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9BF4" w14:textId="77777777" w:rsidR="0077114F" w:rsidRDefault="0077114F" w:rsidP="0077114F">
      <w:pPr>
        <w:pStyle w:val="MainTitle"/>
      </w:pPr>
      <w:bookmarkStart w:id="0" w:name="_Hlk132123496"/>
      <w:r>
        <w:t xml:space="preserve">Draft General Comment on Article 4 of </w:t>
      </w:r>
      <w:bookmarkEnd w:id="0"/>
      <w:r>
        <w:t>Optional Protocol to the Convention Against Torture and Other Cruel, Inhuman or Degrading Treatment or Punishment (OPCAT)</w:t>
      </w:r>
    </w:p>
    <w:p w14:paraId="7FE3B9ED" w14:textId="77777777" w:rsidR="0077114F" w:rsidRDefault="0077114F" w:rsidP="0077114F">
      <w:pPr>
        <w:pStyle w:val="Subtitle"/>
      </w:pPr>
      <w:bookmarkStart w:id="1" w:name="_Toc515873205"/>
      <w:bookmarkStart w:id="2" w:name="_Toc114492613"/>
      <w:bookmarkStart w:id="3" w:name="_Toc114492702"/>
      <w:bookmarkStart w:id="4" w:name="_Toc114559919"/>
      <w:bookmarkStart w:id="5" w:name="_Toc132117957"/>
      <w:r>
        <w:t xml:space="preserve">Submission to </w:t>
      </w:r>
      <w:bookmarkEnd w:id="1"/>
      <w:bookmarkEnd w:id="2"/>
      <w:bookmarkEnd w:id="3"/>
      <w:bookmarkEnd w:id="4"/>
      <w:r>
        <w:t>United Nations Subcommittee on Prevention of Torture</w:t>
      </w:r>
      <w:bookmarkEnd w:id="5"/>
    </w:p>
    <w:p w14:paraId="5E60B494" w14:textId="2069154E" w:rsidR="0077114F" w:rsidRPr="00817C73" w:rsidRDefault="0077114F" w:rsidP="0077114F">
      <w:pPr>
        <w:pStyle w:val="Date"/>
      </w:pPr>
      <w:r w:rsidRPr="00B36954">
        <w:t xml:space="preserve"> </w:t>
      </w:r>
      <w:r w:rsidR="00245148">
        <w:t>12</w:t>
      </w:r>
      <w:r w:rsidRPr="00B36954">
        <w:t xml:space="preserve"> </w:t>
      </w:r>
      <w:r>
        <w:t>April</w:t>
      </w:r>
      <w:r w:rsidRPr="00B36954">
        <w:t xml:space="preserve"> 202</w:t>
      </w:r>
      <w:r>
        <w:t>3</w:t>
      </w:r>
    </w:p>
    <w:p w14:paraId="3EFC78CB" w14:textId="77777777" w:rsidR="0077114F" w:rsidRDefault="0077114F" w:rsidP="0077114F"/>
    <w:p w14:paraId="76B2D437" w14:textId="77777777" w:rsidR="0077114F" w:rsidRPr="00AC636D" w:rsidRDefault="0077114F" w:rsidP="0077114F">
      <w:pPr>
        <w:sectPr w:rsidR="0077114F"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45844554" w14:textId="77777777" w:rsidR="0077114F" w:rsidRDefault="0077114F" w:rsidP="0077114F">
      <w:pPr>
        <w:pStyle w:val="TOC1"/>
      </w:pPr>
      <w:bookmarkStart w:id="6" w:name="_Toc209316062"/>
      <w:bookmarkEnd w:id="6"/>
      <w:r>
        <w:lastRenderedPageBreak/>
        <w:t>Contents</w:t>
      </w:r>
      <w:r w:rsidRPr="000465F1">
        <w:fldChar w:fldCharType="begin"/>
      </w:r>
      <w:r>
        <w:instrText xml:space="preserve"> TOC \o "1-3" \h \z \u </w:instrText>
      </w:r>
      <w:r w:rsidRPr="000465F1">
        <w:fldChar w:fldCharType="separate"/>
      </w:r>
    </w:p>
    <w:p w14:paraId="7E649163" w14:textId="77777777" w:rsidR="0077114F" w:rsidRDefault="0077114F" w:rsidP="0077114F">
      <w:pPr>
        <w:pStyle w:val="TOC2"/>
        <w:rPr>
          <w:rFonts w:asciiTheme="minorHAnsi" w:eastAsiaTheme="minorEastAsia" w:hAnsiTheme="minorHAnsi" w:cstheme="minorBidi"/>
          <w:b w:val="0"/>
          <w:i w:val="0"/>
          <w:sz w:val="22"/>
          <w:szCs w:val="22"/>
        </w:rPr>
      </w:pPr>
    </w:p>
    <w:p w14:paraId="732A760D" w14:textId="77777777" w:rsidR="0077114F" w:rsidRDefault="001E6DCD" w:rsidP="0077114F">
      <w:pPr>
        <w:pStyle w:val="TOC1"/>
        <w:rPr>
          <w:rFonts w:asciiTheme="minorHAnsi" w:eastAsiaTheme="minorEastAsia" w:hAnsiTheme="minorHAnsi" w:cstheme="minorBidi"/>
          <w:b w:val="0"/>
          <w:sz w:val="22"/>
          <w:szCs w:val="22"/>
        </w:rPr>
      </w:pPr>
      <w:hyperlink w:anchor="_Toc132117958" w:history="1">
        <w:r w:rsidR="0077114F" w:rsidRPr="0097319A">
          <w:rPr>
            <w:rStyle w:val="Hyperlink"/>
          </w:rPr>
          <w:t>1</w:t>
        </w:r>
        <w:r w:rsidR="0077114F">
          <w:rPr>
            <w:rFonts w:asciiTheme="minorHAnsi" w:eastAsiaTheme="minorEastAsia" w:hAnsiTheme="minorHAnsi" w:cstheme="minorBidi"/>
            <w:b w:val="0"/>
            <w:sz w:val="22"/>
            <w:szCs w:val="22"/>
          </w:rPr>
          <w:tab/>
        </w:r>
        <w:r w:rsidR="0077114F" w:rsidRPr="0097319A">
          <w:rPr>
            <w:rStyle w:val="Hyperlink"/>
          </w:rPr>
          <w:t>Introduction</w:t>
        </w:r>
        <w:r w:rsidR="0077114F">
          <w:rPr>
            <w:webHidden/>
          </w:rPr>
          <w:tab/>
        </w:r>
        <w:r w:rsidR="0077114F">
          <w:rPr>
            <w:webHidden/>
          </w:rPr>
          <w:fldChar w:fldCharType="begin"/>
        </w:r>
        <w:r w:rsidR="0077114F">
          <w:rPr>
            <w:webHidden/>
          </w:rPr>
          <w:instrText xml:space="preserve"> PAGEREF _Toc132117958 \h </w:instrText>
        </w:r>
        <w:r w:rsidR="0077114F">
          <w:rPr>
            <w:webHidden/>
          </w:rPr>
        </w:r>
        <w:r w:rsidR="0077114F">
          <w:rPr>
            <w:webHidden/>
          </w:rPr>
          <w:fldChar w:fldCharType="separate"/>
        </w:r>
        <w:r w:rsidR="0077114F">
          <w:rPr>
            <w:webHidden/>
          </w:rPr>
          <w:t>2</w:t>
        </w:r>
        <w:r w:rsidR="0077114F">
          <w:rPr>
            <w:webHidden/>
          </w:rPr>
          <w:fldChar w:fldCharType="end"/>
        </w:r>
      </w:hyperlink>
    </w:p>
    <w:p w14:paraId="3EFFD0ED" w14:textId="77777777" w:rsidR="0077114F" w:rsidRDefault="001E6DCD" w:rsidP="0077114F">
      <w:pPr>
        <w:pStyle w:val="TOC1"/>
        <w:rPr>
          <w:rStyle w:val="Hyperlink"/>
        </w:rPr>
      </w:pPr>
      <w:hyperlink w:anchor="_Toc132117959" w:history="1">
        <w:r w:rsidR="0077114F" w:rsidRPr="0097319A">
          <w:rPr>
            <w:rStyle w:val="Hyperlink"/>
          </w:rPr>
          <w:t>2</w:t>
        </w:r>
        <w:r w:rsidR="0077114F">
          <w:rPr>
            <w:rFonts w:asciiTheme="minorHAnsi" w:eastAsiaTheme="minorEastAsia" w:hAnsiTheme="minorHAnsi" w:cstheme="minorBidi"/>
            <w:b w:val="0"/>
            <w:sz w:val="22"/>
            <w:szCs w:val="22"/>
          </w:rPr>
          <w:tab/>
        </w:r>
        <w:r w:rsidR="0077114F" w:rsidRPr="0097319A">
          <w:rPr>
            <w:rStyle w:val="Hyperlink"/>
          </w:rPr>
          <w:t>A comprehensive approach to defining ‘deprivation of liberty’</w:t>
        </w:r>
        <w:r w:rsidR="0077114F">
          <w:rPr>
            <w:webHidden/>
          </w:rPr>
          <w:tab/>
        </w:r>
        <w:r w:rsidR="0077114F">
          <w:rPr>
            <w:webHidden/>
          </w:rPr>
          <w:fldChar w:fldCharType="begin"/>
        </w:r>
        <w:r w:rsidR="0077114F">
          <w:rPr>
            <w:webHidden/>
          </w:rPr>
          <w:instrText xml:space="preserve"> PAGEREF _Toc132117959 \h </w:instrText>
        </w:r>
        <w:r w:rsidR="0077114F">
          <w:rPr>
            <w:webHidden/>
          </w:rPr>
        </w:r>
        <w:r w:rsidR="0077114F">
          <w:rPr>
            <w:webHidden/>
          </w:rPr>
          <w:fldChar w:fldCharType="separate"/>
        </w:r>
        <w:r w:rsidR="0077114F">
          <w:rPr>
            <w:webHidden/>
          </w:rPr>
          <w:t>3</w:t>
        </w:r>
        <w:r w:rsidR="0077114F">
          <w:rPr>
            <w:webHidden/>
          </w:rPr>
          <w:fldChar w:fldCharType="end"/>
        </w:r>
      </w:hyperlink>
    </w:p>
    <w:p w14:paraId="76FEE5D7" w14:textId="0168AF9F" w:rsidR="0077114F" w:rsidRDefault="001E6DCD" w:rsidP="0077114F">
      <w:pPr>
        <w:pStyle w:val="TOC1"/>
        <w:rPr>
          <w:rStyle w:val="Hyperlink"/>
        </w:rPr>
      </w:pPr>
      <w:hyperlink w:anchor="_Toc132117959" w:history="1">
        <w:r w:rsidR="00D71588">
          <w:rPr>
            <w:rStyle w:val="Hyperlink"/>
          </w:rPr>
          <w:t>3</w:t>
        </w:r>
        <w:r w:rsidR="00D71588">
          <w:rPr>
            <w:rFonts w:asciiTheme="minorHAnsi" w:eastAsiaTheme="minorEastAsia" w:hAnsiTheme="minorHAnsi" w:cstheme="minorBidi"/>
            <w:b w:val="0"/>
            <w:sz w:val="22"/>
            <w:szCs w:val="22"/>
          </w:rPr>
          <w:tab/>
        </w:r>
        <w:r w:rsidR="00D71588">
          <w:rPr>
            <w:rStyle w:val="Hyperlink"/>
          </w:rPr>
          <w:t>Jurisdiction or control</w:t>
        </w:r>
        <w:r w:rsidR="00D71588">
          <w:rPr>
            <w:webHidden/>
          </w:rPr>
          <w:tab/>
          <w:t>7</w:t>
        </w:r>
      </w:hyperlink>
    </w:p>
    <w:p w14:paraId="2BC46FD4" w14:textId="28261CC9" w:rsidR="0077114F" w:rsidRPr="006F0990" w:rsidRDefault="001E6DCD" w:rsidP="0077114F">
      <w:pPr>
        <w:pStyle w:val="TOC1"/>
        <w:rPr>
          <w:color w:val="0000FF"/>
          <w:u w:val="single"/>
        </w:rPr>
      </w:pPr>
      <w:hyperlink w:anchor="_Toc132117959" w:history="1">
        <w:r w:rsidR="00D71588">
          <w:rPr>
            <w:rStyle w:val="Hyperlink"/>
          </w:rPr>
          <w:t>4</w:t>
        </w:r>
        <w:r w:rsidR="00D71588">
          <w:rPr>
            <w:rFonts w:asciiTheme="minorHAnsi" w:eastAsiaTheme="minorEastAsia" w:hAnsiTheme="minorHAnsi" w:cstheme="minorBidi"/>
            <w:b w:val="0"/>
            <w:sz w:val="22"/>
            <w:szCs w:val="22"/>
          </w:rPr>
          <w:tab/>
        </w:r>
        <w:r w:rsidR="00D71588">
          <w:rPr>
            <w:rStyle w:val="Hyperlink"/>
          </w:rPr>
          <w:t>Recommendations</w:t>
        </w:r>
        <w:r w:rsidR="00D71588">
          <w:rPr>
            <w:webHidden/>
          </w:rPr>
          <w:tab/>
          <w:t>9</w:t>
        </w:r>
      </w:hyperlink>
    </w:p>
    <w:p w14:paraId="2A02E245" w14:textId="77777777" w:rsidR="0077114F" w:rsidRDefault="0077114F" w:rsidP="0077114F">
      <w:pPr>
        <w:pStyle w:val="Heading1"/>
      </w:pPr>
      <w:r w:rsidRPr="000465F1">
        <w:fldChar w:fldCharType="end"/>
      </w:r>
      <w:bookmarkStart w:id="7" w:name="_Toc207761830"/>
      <w:bookmarkStart w:id="8" w:name="_Toc209578266"/>
      <w:bookmarkStart w:id="9" w:name="_Toc209941766"/>
      <w:bookmarkStart w:id="10" w:name="_Toc132117958"/>
      <w:r w:rsidRPr="009E08D1">
        <w:t>Introduction</w:t>
      </w:r>
      <w:bookmarkEnd w:id="7"/>
      <w:bookmarkEnd w:id="8"/>
      <w:bookmarkEnd w:id="9"/>
      <w:bookmarkEnd w:id="10"/>
    </w:p>
    <w:p w14:paraId="4BAF4B21" w14:textId="77777777" w:rsidR="0077114F" w:rsidRDefault="0077114F" w:rsidP="0077114F">
      <w:pPr>
        <w:pStyle w:val="ListNumber"/>
      </w:pPr>
      <w:r>
        <w:t xml:space="preserve">The Australian Human Rights Commission (Commission) welcomes the opportunity to provide this submission to the United Nations Subcommittee on Prevention of Torture (UN SPT) consultation on its </w:t>
      </w:r>
      <w:r w:rsidRPr="00EB70BD">
        <w:t>Draft General Comment on Article 4 of</w:t>
      </w:r>
      <w:r>
        <w:t xml:space="preserve"> OPCAT.</w:t>
      </w:r>
      <w:r w:rsidRPr="00033B38">
        <w:rPr>
          <w:rStyle w:val="EndnoteReference"/>
        </w:rPr>
        <w:t xml:space="preserve"> </w:t>
      </w:r>
      <w:r>
        <w:rPr>
          <w:rStyle w:val="EndnoteReference"/>
        </w:rPr>
        <w:endnoteReference w:id="2"/>
      </w:r>
      <w:r>
        <w:t xml:space="preserve"> </w:t>
      </w:r>
    </w:p>
    <w:p w14:paraId="1EE21791" w14:textId="77777777" w:rsidR="0077114F" w:rsidRDefault="0077114F" w:rsidP="0077114F">
      <w:pPr>
        <w:pStyle w:val="ListNumber"/>
      </w:pPr>
      <w:r>
        <w:t xml:space="preserve">The Commission is Australia’s National Human Rights Institution, with recognised independent status and roles in United Nations human rights fora. The Commission’s purpose is to provide independent and impartial services to promote and protect human rights and fundamental freedoms. </w:t>
      </w:r>
    </w:p>
    <w:p w14:paraId="62AEE2B3" w14:textId="77777777" w:rsidR="0077114F" w:rsidRDefault="0077114F" w:rsidP="0077114F">
      <w:pPr>
        <w:pStyle w:val="ListNumber"/>
      </w:pPr>
      <w:r>
        <w:t>The Commission undertakes a range of policy development and research tasks that aim to promote compliance with Australia’s human rights obligations, while also investigating and conciliating complaints of unlawful discrimination and breaches of human rights.</w:t>
      </w:r>
    </w:p>
    <w:p w14:paraId="6A3BE2BD" w14:textId="0F4FA089" w:rsidR="0077114F" w:rsidRDefault="0077114F" w:rsidP="0077114F">
      <w:pPr>
        <w:pStyle w:val="ListNumber"/>
      </w:pPr>
      <w:r w:rsidRPr="003113C5">
        <w:t>While the Commission is not a designated</w:t>
      </w:r>
      <w:r>
        <w:t xml:space="preserve"> National Preventive Mechanism</w:t>
      </w:r>
      <w:r w:rsidRPr="003113C5">
        <w:t xml:space="preserve"> </w:t>
      </w:r>
      <w:r>
        <w:t>(</w:t>
      </w:r>
      <w:r w:rsidRPr="003113C5">
        <w:t>NPM</w:t>
      </w:r>
      <w:r>
        <w:t>)</w:t>
      </w:r>
      <w:r w:rsidRPr="003113C5">
        <w:t xml:space="preserve"> or NPM-coordinator (and therefore has no formal implementation responsibilities), continuing to promote OPCAT compliance and providing an independent perspective on the actions Australia needs to take to ensure compliance with </w:t>
      </w:r>
      <w:r>
        <w:t>its</w:t>
      </w:r>
      <w:r w:rsidRPr="003113C5">
        <w:t xml:space="preserve"> international human rights obligations under OPCAT falls within </w:t>
      </w:r>
      <w:r>
        <w:t>the Commission’s</w:t>
      </w:r>
      <w:r w:rsidRPr="003113C5">
        <w:t xml:space="preserve"> </w:t>
      </w:r>
      <w:r w:rsidR="00B42A72">
        <w:t xml:space="preserve">broad </w:t>
      </w:r>
      <w:r w:rsidRPr="003113C5">
        <w:t xml:space="preserve">statutory mandate. </w:t>
      </w:r>
    </w:p>
    <w:p w14:paraId="16765437" w14:textId="1512CAFB" w:rsidR="0077114F" w:rsidRDefault="0077114F" w:rsidP="0077114F">
      <w:pPr>
        <w:pStyle w:val="ListNumber"/>
      </w:pPr>
      <w:r w:rsidRPr="003113C5">
        <w:t>The Commission has long advocated for</w:t>
      </w:r>
      <w:r>
        <w:t xml:space="preserve"> Australia’s</w:t>
      </w:r>
      <w:r w:rsidRPr="003113C5">
        <w:t xml:space="preserve"> full compliance with OPCAT</w:t>
      </w:r>
      <w:r w:rsidR="00781129">
        <w:t>,</w:t>
      </w:r>
      <w:r w:rsidRPr="003113C5">
        <w:t xml:space="preserve"> noting that ‘merely adjusting the current processes for detention inspections cannot be an end in itself. Instead, the changes required by OPCAT should be pursued in a way that promotes stronger and more consistent human rights protections for people who are detained across all jurisdictions.’</w:t>
      </w:r>
      <w:r>
        <w:rPr>
          <w:rStyle w:val="EndnoteReference"/>
        </w:rPr>
        <w:endnoteReference w:id="3"/>
      </w:r>
    </w:p>
    <w:p w14:paraId="54897681" w14:textId="015BC594" w:rsidR="0077114F" w:rsidRPr="00246A81" w:rsidRDefault="0077114F" w:rsidP="0077114F">
      <w:pPr>
        <w:pStyle w:val="ListNumber"/>
        <w:rPr>
          <w:rStyle w:val="EndnoteReference"/>
          <w:sz w:val="24"/>
          <w:vertAlign w:val="baseline"/>
        </w:rPr>
      </w:pPr>
      <w:r>
        <w:t>The Commission supports the UN SPT’s objective ‘</w:t>
      </w:r>
      <w:r w:rsidRPr="00D971D6">
        <w:t>to clarify and address</w:t>
      </w:r>
      <w:r>
        <w:t>’ misconceptions about the definition of places of deprivation of liberty and places of detention; and by doing so, fortifying ‘</w:t>
      </w:r>
      <w:r w:rsidRPr="001A4720">
        <w:t>the essential purpose of the Optional Protocol</w:t>
      </w:r>
      <w:r>
        <w:t>’ [paragraph 6].</w:t>
      </w:r>
      <w:r w:rsidRPr="00FE6A35">
        <w:rPr>
          <w:rStyle w:val="EndnoteReference"/>
        </w:rPr>
        <w:t xml:space="preserve"> </w:t>
      </w:r>
    </w:p>
    <w:p w14:paraId="3894195E" w14:textId="77777777" w:rsidR="0077114F" w:rsidRDefault="0077114F" w:rsidP="0077114F">
      <w:pPr>
        <w:pStyle w:val="ListNumber"/>
      </w:pPr>
      <w:r w:rsidRPr="007B5AB8">
        <w:lastRenderedPageBreak/>
        <w:t xml:space="preserve">The Commission </w:t>
      </w:r>
      <w:r>
        <w:t>can</w:t>
      </w:r>
      <w:r w:rsidRPr="007B5AB8">
        <w:t xml:space="preserve"> provide further assistance to the </w:t>
      </w:r>
      <w:r>
        <w:t>UN SPT</w:t>
      </w:r>
      <w:r w:rsidRPr="007B5AB8">
        <w:t xml:space="preserve"> in its consideration of these important matters</w:t>
      </w:r>
      <w:r>
        <w:t xml:space="preserve"> and can be contacted at </w:t>
      </w:r>
      <w:hyperlink r:id="rId18" w:history="1">
        <w:r w:rsidRPr="00314A72">
          <w:rPr>
            <w:rStyle w:val="Hyperlink"/>
          </w:rPr>
          <w:t>humanrights.commissioner@humanrights.gov.au</w:t>
        </w:r>
      </w:hyperlink>
      <w:r>
        <w:t xml:space="preserve"> </w:t>
      </w:r>
    </w:p>
    <w:p w14:paraId="249DF135" w14:textId="77777777" w:rsidR="0077114F" w:rsidRDefault="0077114F" w:rsidP="0077114F">
      <w:pPr>
        <w:pStyle w:val="ListNumber"/>
        <w:numPr>
          <w:ilvl w:val="0"/>
          <w:numId w:val="0"/>
        </w:numPr>
        <w:ind w:left="360"/>
      </w:pPr>
    </w:p>
    <w:p w14:paraId="5A3B51B9" w14:textId="77777777" w:rsidR="0077114F" w:rsidRPr="00C816FB" w:rsidRDefault="0077114F" w:rsidP="0077114F">
      <w:pPr>
        <w:pStyle w:val="Heading1"/>
      </w:pPr>
      <w:bookmarkStart w:id="11" w:name="_Toc132117959"/>
      <w:r>
        <w:t>A comprehensive approach to defining ‘deprivation of liberty’</w:t>
      </w:r>
      <w:bookmarkEnd w:id="11"/>
    </w:p>
    <w:p w14:paraId="30BB0D62" w14:textId="77777777" w:rsidR="0077114F" w:rsidRDefault="0077114F" w:rsidP="0077114F">
      <w:pPr>
        <w:pStyle w:val="ListNumber"/>
      </w:pPr>
      <w:r>
        <w:t xml:space="preserve">The Commission supports the Draft General Comment’s comprehensive approach to defining ‘deprivation of liberty’ which: </w:t>
      </w:r>
    </w:p>
    <w:p w14:paraId="12FD4704" w14:textId="77777777" w:rsidR="0077114F" w:rsidRDefault="0077114F" w:rsidP="0077114F">
      <w:pPr>
        <w:pStyle w:val="ListNumber"/>
        <w:numPr>
          <w:ilvl w:val="0"/>
          <w:numId w:val="32"/>
        </w:numPr>
      </w:pPr>
      <w:r>
        <w:t>[includes] both public and private settings and situations in which there is State instigation of or consent or acquiescence to the deprivation of liberty. [paragraph 4]</w:t>
      </w:r>
    </w:p>
    <w:p w14:paraId="199A12D6" w14:textId="77777777" w:rsidR="0077114F" w:rsidRDefault="0077114F" w:rsidP="0077114F">
      <w:pPr>
        <w:pStyle w:val="ListNumber"/>
        <w:numPr>
          <w:ilvl w:val="0"/>
          <w:numId w:val="32"/>
        </w:numPr>
      </w:pPr>
      <w:r>
        <w:t>cannot restrict the definition of places of deprivation of liberty so as to leave out places where persons could be deprived of liberty and where torture could be taking place. [paragraph 9]</w:t>
      </w:r>
    </w:p>
    <w:p w14:paraId="46D15FED" w14:textId="77777777" w:rsidR="0077114F" w:rsidRDefault="0077114F" w:rsidP="0077114F">
      <w:pPr>
        <w:pStyle w:val="ListNumber"/>
        <w:numPr>
          <w:ilvl w:val="0"/>
          <w:numId w:val="32"/>
        </w:numPr>
      </w:pPr>
      <w:r>
        <w:t>[includes] any private institution, and institutions operated by private actors as a result of outsourcing or by non-State officials, from which a person is not permitted to leave at will. [paragraph 21]</w:t>
      </w:r>
    </w:p>
    <w:p w14:paraId="6959EC2C" w14:textId="77777777" w:rsidR="0077114F" w:rsidRDefault="0077114F" w:rsidP="0077114F">
      <w:pPr>
        <w:pStyle w:val="ListNumber"/>
        <w:numPr>
          <w:ilvl w:val="0"/>
          <w:numId w:val="32"/>
        </w:numPr>
      </w:pPr>
      <w:r>
        <w:t>[includes deprivation]</w:t>
      </w:r>
      <w:r w:rsidRPr="007D2F66">
        <w:t xml:space="preserve"> for any period of time, even in transit, and the place itself can be any type of facility or any type of terrain (land, sea or air).</w:t>
      </w:r>
      <w:r>
        <w:t xml:space="preserve"> [paragraph 37]</w:t>
      </w:r>
    </w:p>
    <w:p w14:paraId="39C65576" w14:textId="77777777" w:rsidR="0077114F" w:rsidRDefault="0077114F" w:rsidP="0077114F">
      <w:pPr>
        <w:pStyle w:val="ListNumber"/>
        <w:numPr>
          <w:ilvl w:val="0"/>
          <w:numId w:val="32"/>
        </w:numPr>
      </w:pPr>
      <w:r>
        <w:t>[included deprivation in which a person] may have entered voluntarily or involuntarily [paragraph 37]</w:t>
      </w:r>
    </w:p>
    <w:p w14:paraId="08C964EA" w14:textId="77777777" w:rsidR="0077114F" w:rsidRDefault="0077114F" w:rsidP="0077114F">
      <w:pPr>
        <w:pStyle w:val="ListNumber"/>
        <w:numPr>
          <w:ilvl w:val="0"/>
          <w:numId w:val="32"/>
        </w:numPr>
      </w:pPr>
      <w:r>
        <w:t>is not fixed or limited and should allow for novel circumstances of deprivation of liberty that may arise in new contexts. [paragraph 41]</w:t>
      </w:r>
    </w:p>
    <w:p w14:paraId="31311EB4" w14:textId="77777777" w:rsidR="0077114F" w:rsidRDefault="0077114F" w:rsidP="0077114F">
      <w:pPr>
        <w:pStyle w:val="ListNumber"/>
      </w:pPr>
      <w:r>
        <w:t xml:space="preserve">The Commission supports the position adopted in the </w:t>
      </w:r>
      <w:r w:rsidRPr="004974C3">
        <w:t>Draft General Comment</w:t>
      </w:r>
      <w:r>
        <w:t xml:space="preserve"> that ‘a</w:t>
      </w:r>
      <w:r w:rsidRPr="008145CB">
        <w:t>ny restrictive interpretation would impair</w:t>
      </w:r>
      <w:r w:rsidRPr="007B6FAC">
        <w:t xml:space="preserve"> the mechanism enshrined in the Optional Protocol and thus be contrary to its spirit</w:t>
      </w:r>
      <w:r>
        <w:t>’ [paragraph 8]. The Commission also supports the notion that ‘a good faith interpretation cannot restrict the definition of places of deprivation of liberty so as to leave out places where persons could be deprived of liberty and where torture could be taking place’ [paragraph 9].</w:t>
      </w:r>
    </w:p>
    <w:p w14:paraId="4473B3FC" w14:textId="28F58431" w:rsidR="0077114F" w:rsidRDefault="0077114F" w:rsidP="0077114F">
      <w:pPr>
        <w:pStyle w:val="ListNumber"/>
      </w:pPr>
      <w:bookmarkStart w:id="12" w:name="_Hlk132119590"/>
      <w:r>
        <w:t>These explanatory points are significant to the Australian implementation of OPCAT. The Australian Government has opted for a ‘progressive realisation’</w:t>
      </w:r>
      <w:r w:rsidR="003E7318">
        <w:t>,</w:t>
      </w:r>
      <w:r>
        <w:t xml:space="preserve"> whereby NPMs will prioritise activities in ‘primary’ places of detention, as </w:t>
      </w:r>
      <w:r>
        <w:lastRenderedPageBreak/>
        <w:t xml:space="preserve">opposed to all places where people may be deprived of their liberties. Primary places of detention are defined as including: </w:t>
      </w:r>
    </w:p>
    <w:p w14:paraId="25CCA729" w14:textId="77777777" w:rsidR="0077114F" w:rsidRDefault="0077114F" w:rsidP="0077114F">
      <w:pPr>
        <w:pStyle w:val="Heading3"/>
        <w:spacing w:before="0"/>
      </w:pPr>
      <w:bookmarkStart w:id="13" w:name="_Toc132117960"/>
      <w:bookmarkEnd w:id="12"/>
      <w:r>
        <w:t>adult prisons</w:t>
      </w:r>
      <w:bookmarkEnd w:id="13"/>
      <w:r>
        <w:t xml:space="preserve"> </w:t>
      </w:r>
    </w:p>
    <w:p w14:paraId="373596DA" w14:textId="77777777" w:rsidR="0077114F" w:rsidRDefault="0077114F" w:rsidP="0077114F">
      <w:pPr>
        <w:pStyle w:val="Heading3"/>
        <w:spacing w:before="0"/>
      </w:pPr>
      <w:bookmarkStart w:id="14" w:name="_Toc132117961"/>
      <w:r>
        <w:t>juvenile detention facilities (excluding residential secure facilities)</w:t>
      </w:r>
      <w:bookmarkEnd w:id="14"/>
      <w:r>
        <w:t xml:space="preserve"> </w:t>
      </w:r>
    </w:p>
    <w:p w14:paraId="1DE90390" w14:textId="77777777" w:rsidR="0077114F" w:rsidRDefault="0077114F" w:rsidP="0077114F">
      <w:pPr>
        <w:pStyle w:val="Heading3"/>
        <w:spacing w:before="0"/>
      </w:pPr>
      <w:bookmarkStart w:id="15" w:name="_Toc132117962"/>
      <w:r>
        <w:t>police lock-up or police station cells (where people are held for equal to, or greater than, 24hrs)</w:t>
      </w:r>
      <w:bookmarkEnd w:id="15"/>
      <w:r>
        <w:t xml:space="preserve"> </w:t>
      </w:r>
    </w:p>
    <w:p w14:paraId="0F3A610A" w14:textId="77777777" w:rsidR="0077114F" w:rsidRDefault="0077114F" w:rsidP="0077114F">
      <w:pPr>
        <w:pStyle w:val="Heading3"/>
        <w:spacing w:before="0"/>
      </w:pPr>
      <w:bookmarkStart w:id="16" w:name="_Toc132117963"/>
      <w:r>
        <w:t>closed facilities or units where people may be involuntarily detained by law for mental health assessment or treatment (where people are held for equal to, or greater than, 24hrs)</w:t>
      </w:r>
      <w:bookmarkEnd w:id="16"/>
      <w:r w:rsidRPr="00E2140B">
        <w:t xml:space="preserve"> </w:t>
      </w:r>
    </w:p>
    <w:p w14:paraId="4DA9792D" w14:textId="77777777" w:rsidR="0077114F" w:rsidRDefault="0077114F" w:rsidP="0077114F">
      <w:pPr>
        <w:pStyle w:val="Heading3"/>
        <w:spacing w:before="0"/>
      </w:pPr>
      <w:bookmarkStart w:id="17" w:name="_Toc132117964"/>
      <w:r>
        <w:t>closed forensic disability facilities or units where people may be involuntarily detained by law for care (where people are held for equal to, or greater than, 24hrs)</w:t>
      </w:r>
      <w:bookmarkEnd w:id="17"/>
      <w:r>
        <w:t xml:space="preserve"> </w:t>
      </w:r>
    </w:p>
    <w:p w14:paraId="799A8431" w14:textId="77777777" w:rsidR="0077114F" w:rsidRDefault="0077114F" w:rsidP="0077114F">
      <w:pPr>
        <w:pStyle w:val="Heading3"/>
        <w:spacing w:before="0"/>
      </w:pPr>
      <w:bookmarkStart w:id="18" w:name="_Toc132117965"/>
      <w:r>
        <w:t>immigration detention centres, and</w:t>
      </w:r>
      <w:bookmarkEnd w:id="18"/>
      <w:r>
        <w:t xml:space="preserve"> </w:t>
      </w:r>
    </w:p>
    <w:p w14:paraId="37CE4BA1" w14:textId="77777777" w:rsidR="0077114F" w:rsidRDefault="0077114F" w:rsidP="0077114F">
      <w:pPr>
        <w:pStyle w:val="Heading3"/>
        <w:spacing w:before="0"/>
      </w:pPr>
      <w:bookmarkStart w:id="19" w:name="_Toc132117966"/>
      <w:r>
        <w:t>military detention facilities.</w:t>
      </w:r>
      <w:r>
        <w:rPr>
          <w:rStyle w:val="EndnoteReference"/>
        </w:rPr>
        <w:endnoteReference w:id="4"/>
      </w:r>
      <w:bookmarkEnd w:id="19"/>
    </w:p>
    <w:p w14:paraId="003834D6" w14:textId="0C2170C4" w:rsidR="0077114F" w:rsidRDefault="0077114F" w:rsidP="0077114F">
      <w:pPr>
        <w:pStyle w:val="ListNumber"/>
      </w:pPr>
      <w:r>
        <w:t>The Australian Government has argued that OPCAT implementation is ‘</w:t>
      </w:r>
      <w:r w:rsidRPr="001D5F5C">
        <w:t>an iterative process</w:t>
      </w:r>
      <w:r>
        <w:t>’</w:t>
      </w:r>
      <w:r w:rsidRPr="001D5F5C">
        <w:t xml:space="preserve"> </w:t>
      </w:r>
      <w:r>
        <w:t>and ‘</w:t>
      </w:r>
      <w:r w:rsidRPr="001D5F5C">
        <w:t>mindful of the principle of proportionality when determining prioritisation and focus, consistent with advice from the Subcommittee on Prevention of Torture and Other Cruel, Inhuman or Degrading Treatment or Punishment</w:t>
      </w:r>
      <w:r w:rsidR="003C185D">
        <w:t>’</w:t>
      </w:r>
      <w:r w:rsidRPr="001D5F5C">
        <w:t>.</w:t>
      </w:r>
      <w:r>
        <w:rPr>
          <w:rStyle w:val="EndnoteReference"/>
        </w:rPr>
        <w:endnoteReference w:id="5"/>
      </w:r>
      <w:r>
        <w:t xml:space="preserve"> The Australian Government has also confirmed that it arrived at its list of primary places of detention ‘in consultation with State and Territory governments</w:t>
      </w:r>
      <w:r w:rsidR="003C185D">
        <w:t>’</w:t>
      </w:r>
      <w:r>
        <w:t>.</w:t>
      </w:r>
      <w:r>
        <w:rPr>
          <w:rStyle w:val="EndnoteReference"/>
        </w:rPr>
        <w:endnoteReference w:id="6"/>
      </w:r>
    </w:p>
    <w:p w14:paraId="074FA4F3" w14:textId="33E413F0" w:rsidR="0077114F" w:rsidRDefault="0077114F" w:rsidP="0077114F">
      <w:pPr>
        <w:pStyle w:val="ListNumber"/>
      </w:pPr>
      <w:r>
        <w:t>The United Nations Committee Against Torture has already confirmed the Australian Government’s approach ‘runs counter to the provisions of article 4 of the Optional Protocol</w:t>
      </w:r>
      <w:r w:rsidR="005F4369">
        <w:t>’</w:t>
      </w:r>
      <w:r>
        <w:t>.</w:t>
      </w:r>
      <w:r>
        <w:rPr>
          <w:rStyle w:val="EndnoteReference"/>
        </w:rPr>
        <w:endnoteReference w:id="7"/>
      </w:r>
      <w:r>
        <w:t xml:space="preserve"> The Commission has consistently stated that ‘</w:t>
      </w:r>
      <w:r w:rsidRPr="00EA6D06">
        <w:t xml:space="preserve">the best approach for Australia is simply to adopt an inclusive approach, consistent with </w:t>
      </w:r>
      <w:r w:rsidR="005F4369">
        <w:t>a</w:t>
      </w:r>
      <w:r w:rsidR="005F4369" w:rsidRPr="00EA6D06">
        <w:t xml:space="preserve">rticles </w:t>
      </w:r>
      <w:r w:rsidRPr="00EA6D06">
        <w:t>1 and 4 of OPCAT.</w:t>
      </w:r>
      <w:r>
        <w:rPr>
          <w:rStyle w:val="EndnoteReference"/>
        </w:rPr>
        <w:endnoteReference w:id="8"/>
      </w:r>
      <w:r>
        <w:t xml:space="preserve"> The Commission has also noted ‘there is no temporal limitation on the concept of detention in OPCAT. Therefore, places where people are routinely detained for periods of less than 24 hours, should be included in the places open to inspection by NPMs.’</w:t>
      </w:r>
      <w:r>
        <w:rPr>
          <w:rStyle w:val="EndnoteReference"/>
        </w:rPr>
        <w:endnoteReference w:id="9"/>
      </w:r>
    </w:p>
    <w:p w14:paraId="1577C264" w14:textId="0FE534FF" w:rsidR="0077114F" w:rsidRDefault="0077114F" w:rsidP="0077114F">
      <w:pPr>
        <w:pStyle w:val="ListNumber"/>
      </w:pPr>
      <w:r>
        <w:t>The United Nations Committee Against Torture rightly identifies that the Australian Government’s restrictive approach ‘</w:t>
      </w:r>
      <w:r w:rsidRPr="00026E5F">
        <w:t>leaves several places in which persons are deprived of their liberty outside the scope and the mandate of the network of national preventive mechanisms</w:t>
      </w:r>
      <w:r w:rsidR="000A7C1E">
        <w:t>’</w:t>
      </w:r>
      <w:r>
        <w:t>.</w:t>
      </w:r>
      <w:r>
        <w:rPr>
          <w:rStyle w:val="EndnoteReference"/>
        </w:rPr>
        <w:endnoteReference w:id="10"/>
      </w:r>
      <w:r>
        <w:t xml:space="preserve"> For example, the Australian </w:t>
      </w:r>
      <w:r>
        <w:lastRenderedPageBreak/>
        <w:t xml:space="preserve">Government has advised that </w:t>
      </w:r>
      <w:r w:rsidR="000A7C1E">
        <w:t xml:space="preserve">it considers that </w:t>
      </w:r>
      <w:r>
        <w:t>‘</w:t>
      </w:r>
      <w:r w:rsidRPr="00A41277">
        <w:t>aged care facilities do not fit within the concept of ‘places of detention’ as set out in Article 4 of OPCAT and there is presently no proposal to include them in any list of primary places of detention</w:t>
      </w:r>
      <w:r w:rsidR="000A7C1E">
        <w:t>’</w:t>
      </w:r>
      <w:r w:rsidRPr="00A41277">
        <w:t>.</w:t>
      </w:r>
      <w:r>
        <w:rPr>
          <w:rStyle w:val="EndnoteReference"/>
        </w:rPr>
        <w:endnoteReference w:id="11"/>
      </w:r>
      <w:r w:rsidRPr="00A41277">
        <w:t xml:space="preserve">  </w:t>
      </w:r>
    </w:p>
    <w:p w14:paraId="2E693C74" w14:textId="5015889D" w:rsidR="0077114F" w:rsidRDefault="0077114F" w:rsidP="0077114F">
      <w:pPr>
        <w:pStyle w:val="ListNumber"/>
      </w:pPr>
      <w:r>
        <w:t xml:space="preserve">Former Special Rapporteur on Torture, </w:t>
      </w:r>
      <w:r w:rsidR="00D24189">
        <w:t>Professor</w:t>
      </w:r>
      <w:r>
        <w:t xml:space="preserve"> Manfred Nowak, has pointed out that Australia’s approach ‘</w:t>
      </w:r>
      <w:r w:rsidRPr="0043503D">
        <w:t>excludes a number of places where human beings in fact are or may be deprived of liberty, such as old peoples’ homes and a variety of “institutions” where children are or may be deprived of liberty for various reasons, including educational supervision, drug or alcohol rehabilitation, for their own care as orphans, children living in the streets, indigenous children, etc</w:t>
      </w:r>
      <w:r w:rsidR="0050761A">
        <w:t>’</w:t>
      </w:r>
      <w:r w:rsidRPr="0043503D">
        <w:t>.</w:t>
      </w:r>
      <w:r>
        <w:rPr>
          <w:rStyle w:val="EndnoteReference"/>
        </w:rPr>
        <w:endnoteReference w:id="12"/>
      </w:r>
      <w:r w:rsidRPr="0043503D">
        <w:t xml:space="preserve"> </w:t>
      </w:r>
      <w:r>
        <w:t>Nowak further emphasised that ‘</w:t>
      </w:r>
      <w:r w:rsidRPr="0043503D">
        <w:t>deprived of liberty in these types of ‘institutions’, where the risks of corporal punishment, sexual exploitation, and mental and physical violence are particularly high</w:t>
      </w:r>
      <w:r w:rsidR="009B323A">
        <w:t>’</w:t>
      </w:r>
      <w:r>
        <w:rPr>
          <w:rStyle w:val="EndnoteReference"/>
        </w:rPr>
        <w:endnoteReference w:id="13"/>
      </w:r>
      <w:r w:rsidR="005D683D">
        <w:t xml:space="preserve">, </w:t>
      </w:r>
      <w:r w:rsidR="00A53C7D">
        <w:t xml:space="preserve">reinforcing the need to include them within the mandate of the Australian NPM. </w:t>
      </w:r>
    </w:p>
    <w:p w14:paraId="1640F956" w14:textId="5A90ADB0" w:rsidR="0077114F" w:rsidRDefault="00BE3DB5" w:rsidP="0077114F">
      <w:pPr>
        <w:pStyle w:val="ListNumber"/>
      </w:pPr>
      <w:r>
        <w:t>While n</w:t>
      </w:r>
      <w:r w:rsidR="0077114F">
        <w:t xml:space="preserve">ot all Australian states and territories have chosen to adopt the Australian Government’s narrow definition, they are restricted by it. For example, in debating the </w:t>
      </w:r>
      <w:r w:rsidR="0077114F" w:rsidRPr="001518A2">
        <w:rPr>
          <w:i/>
          <w:iCs/>
        </w:rPr>
        <w:t>OPCAT Implementation Bill 2021 (Tasmania)</w:t>
      </w:r>
      <w:r w:rsidR="0077114F">
        <w:t xml:space="preserve"> it was acknowledged that</w:t>
      </w:r>
      <w:r>
        <w:t>,</w:t>
      </w:r>
    </w:p>
    <w:p w14:paraId="55AA0323" w14:textId="77777777" w:rsidR="0077114F" w:rsidRDefault="0077114F" w:rsidP="0077114F">
      <w:pPr>
        <w:pStyle w:val="ListNumber"/>
        <w:numPr>
          <w:ilvl w:val="0"/>
          <w:numId w:val="0"/>
        </w:numPr>
        <w:ind w:left="720"/>
        <w:rPr>
          <w:sz w:val="22"/>
          <w:szCs w:val="22"/>
        </w:rPr>
      </w:pPr>
      <w:r>
        <w:rPr>
          <w:sz w:val="22"/>
          <w:szCs w:val="22"/>
        </w:rPr>
        <w:t>w</w:t>
      </w:r>
      <w:r w:rsidRPr="00333DE6">
        <w:rPr>
          <w:sz w:val="22"/>
          <w:szCs w:val="22"/>
        </w:rPr>
        <w:t>ithout the Commonwealth establishing a legislative framework we will have in the state of Tasmania our Tasmanian NPM which has no jurisdiction to go into an aged care setting, as I understand it, and to investigate those settings to see what needs to change in those settings to make sure that people are not exposed to cruel and degrading treatment or indeed to punishment.</w:t>
      </w:r>
      <w:r>
        <w:rPr>
          <w:rStyle w:val="EndnoteReference"/>
          <w:szCs w:val="22"/>
        </w:rPr>
        <w:endnoteReference w:id="14"/>
      </w:r>
    </w:p>
    <w:p w14:paraId="76474252" w14:textId="3B237E17" w:rsidR="0077114F" w:rsidRDefault="0077114F" w:rsidP="0077114F">
      <w:pPr>
        <w:pStyle w:val="ListNumber"/>
      </w:pPr>
      <w:r>
        <w:t xml:space="preserve">On the topic of broadening the scope of places of detention which the UN SPT could visit in the </w:t>
      </w:r>
      <w:r w:rsidRPr="003844B8">
        <w:rPr>
          <w:i/>
          <w:iCs/>
        </w:rPr>
        <w:t>Monitoring of Places of Detention (Optional Protocol to the Convention Against Torture) Bill 2022 (Queensland)</w:t>
      </w:r>
      <w:r>
        <w:rPr>
          <w:i/>
          <w:iCs/>
        </w:rPr>
        <w:t xml:space="preserve">, </w:t>
      </w:r>
      <w:r>
        <w:t>the Queensland Department of Justice and Attorney-General (DJAG) acknowledged:</w:t>
      </w:r>
    </w:p>
    <w:p w14:paraId="26C83BD3" w14:textId="77777777" w:rsidR="0077114F" w:rsidRDefault="0077114F" w:rsidP="0077114F">
      <w:pPr>
        <w:ind w:left="720"/>
        <w:rPr>
          <w:sz w:val="22"/>
          <w:szCs w:val="22"/>
        </w:rPr>
      </w:pPr>
      <w:r>
        <w:rPr>
          <w:sz w:val="22"/>
          <w:szCs w:val="22"/>
        </w:rPr>
        <w:t>r</w:t>
      </w:r>
      <w:r w:rsidRPr="00C0687B">
        <w:rPr>
          <w:sz w:val="22"/>
          <w:szCs w:val="22"/>
        </w:rPr>
        <w:t>esidential aged care facilities (and secure dementia units) are regulated and funded by the Commonwealth Government; and in relation to disability group homes and accommodation settings, DJAG understands the Commonwealth Government has responsibility for registration of the majority of these settings through its role in delivering the National Disability Insurance Scheme. A nationally consistent approach could be beneficial for facilitating Subcommittee access to these facilities; noting also the vast majority of residential aged care services are operated by for-profit organisations and non-government organisations.</w:t>
      </w:r>
      <w:r>
        <w:rPr>
          <w:rStyle w:val="EndnoteReference"/>
          <w:szCs w:val="22"/>
        </w:rPr>
        <w:endnoteReference w:id="15"/>
      </w:r>
    </w:p>
    <w:p w14:paraId="7A7F4C9F" w14:textId="77777777" w:rsidR="00C56CA8" w:rsidRPr="00C56CA8" w:rsidRDefault="00C56CA8" w:rsidP="00C56CA8">
      <w:pPr>
        <w:numPr>
          <w:ilvl w:val="0"/>
          <w:numId w:val="9"/>
        </w:numPr>
      </w:pPr>
      <w:r w:rsidRPr="00C56CA8">
        <w:t>It has been recognised by the Special Rapporteur on the rights of persons with disabilities that ‘persons with disabilities extensively experience unique, disability specific forms of deprivation of liberty’</w:t>
      </w:r>
      <w:r w:rsidRPr="00C56CA8">
        <w:rPr>
          <w:vertAlign w:val="superscript"/>
        </w:rPr>
        <w:endnoteReference w:id="16"/>
      </w:r>
      <w:r w:rsidRPr="00C56CA8">
        <w:t xml:space="preserve"> and that they are ‘exposed </w:t>
      </w:r>
      <w:r w:rsidRPr="00C56CA8">
        <w:lastRenderedPageBreak/>
        <w:t>to additional human rights violations, such as forced treatment, seclusion and restraints.’</w:t>
      </w:r>
      <w:r w:rsidRPr="00C56CA8">
        <w:rPr>
          <w:vertAlign w:val="superscript"/>
        </w:rPr>
        <w:endnoteReference w:id="17"/>
      </w:r>
      <w:r w:rsidRPr="00C56CA8">
        <w:t xml:space="preserve"> The Independent Expert on the enjoyment of all human rights by older persons, has also reported that ‘Older persons are exposed to heightened risks of violence, abuse and neglect when they are forcibly placed and deprived of their liberty. This may take several forms, including… prolonged use of physical, mechanical and/or chemical restraints.’</w:t>
      </w:r>
      <w:r w:rsidRPr="00C56CA8">
        <w:rPr>
          <w:vertAlign w:val="superscript"/>
        </w:rPr>
        <w:endnoteReference w:id="18"/>
      </w:r>
    </w:p>
    <w:p w14:paraId="00AB7570" w14:textId="77777777" w:rsidR="00C56CA8" w:rsidRPr="00C56CA8" w:rsidRDefault="00C56CA8" w:rsidP="00C56CA8">
      <w:pPr>
        <w:numPr>
          <w:ilvl w:val="0"/>
          <w:numId w:val="9"/>
        </w:numPr>
      </w:pPr>
      <w:r w:rsidRPr="00C56CA8">
        <w:t>The Commission has advocated that an NPM must be ‘disability-inclusive to safeguard against risks which are unique to people with disability in all forms of detention.’</w:t>
      </w:r>
      <w:r w:rsidRPr="00C56CA8">
        <w:rPr>
          <w:vertAlign w:val="superscript"/>
        </w:rPr>
        <w:endnoteReference w:id="19"/>
      </w:r>
      <w:r w:rsidRPr="00C56CA8">
        <w:t xml:space="preserve"> Any examination of the ‘place, facility or setting’ that constitutes deprivation of liberty must needfully include an examination of practices which are applied to people with disability, including: </w:t>
      </w:r>
    </w:p>
    <w:p w14:paraId="4CC4FEF6" w14:textId="77777777" w:rsidR="00C56CA8" w:rsidRPr="00852435" w:rsidRDefault="00C56CA8" w:rsidP="00C56CA8">
      <w:r w:rsidRPr="00C56CA8">
        <w:tab/>
        <w:t>(</w:t>
      </w:r>
      <w:r w:rsidRPr="00852435">
        <w:t xml:space="preserve">a) non-consensual treatments and practices; </w:t>
      </w:r>
    </w:p>
    <w:p w14:paraId="3C7602D4" w14:textId="77777777" w:rsidR="00C56CA8" w:rsidRPr="00852435" w:rsidRDefault="00C56CA8" w:rsidP="00C56CA8">
      <w:r w:rsidRPr="00852435">
        <w:tab/>
        <w:t xml:space="preserve">(b) behaviour modification methods; </w:t>
      </w:r>
    </w:p>
    <w:p w14:paraId="16574DB1" w14:textId="77777777" w:rsidR="00C56CA8" w:rsidRPr="00852435" w:rsidRDefault="00C56CA8" w:rsidP="00C56CA8">
      <w:pPr>
        <w:ind w:left="720"/>
      </w:pPr>
      <w:r w:rsidRPr="00852435">
        <w:t xml:space="preserve">(c) the use of restrictive practices, such as physical, chemical and mechanical restraints, and seclusion; and </w:t>
      </w:r>
    </w:p>
    <w:p w14:paraId="33B9A464" w14:textId="04B7CE50" w:rsidR="00C56CA8" w:rsidRDefault="00C56CA8" w:rsidP="00C56CA8">
      <w:pPr>
        <w:rPr>
          <w:sz w:val="22"/>
          <w:szCs w:val="22"/>
        </w:rPr>
      </w:pPr>
      <w:r w:rsidRPr="00852435">
        <w:tab/>
        <w:t>(d</w:t>
      </w:r>
      <w:r w:rsidRPr="00C56CA8">
        <w:t>) indefinite detention</w:t>
      </w:r>
      <w:r>
        <w:rPr>
          <w:sz w:val="22"/>
          <w:szCs w:val="22"/>
        </w:rPr>
        <w:t>.</w:t>
      </w:r>
    </w:p>
    <w:p w14:paraId="6AABE730" w14:textId="7BEF6DC9" w:rsidR="0077114F" w:rsidRPr="006F0990" w:rsidRDefault="0077114F" w:rsidP="0077114F">
      <w:pPr>
        <w:pStyle w:val="ListNumber"/>
      </w:pPr>
      <w:r w:rsidRPr="006F0990">
        <w:rPr>
          <w:b/>
          <w:bCs/>
        </w:rPr>
        <w:t xml:space="preserve">Recommendation 1: </w:t>
      </w:r>
      <w:bookmarkStart w:id="20" w:name="_Hlk132125773"/>
      <w:r w:rsidRPr="006F0990">
        <w:rPr>
          <w:b/>
          <w:bCs/>
        </w:rPr>
        <w:t>The Commission recommends the Draft General Comment</w:t>
      </w:r>
      <w:r>
        <w:rPr>
          <w:b/>
          <w:bCs/>
        </w:rPr>
        <w:t xml:space="preserve"> </w:t>
      </w:r>
      <w:r w:rsidRPr="006F0990">
        <w:rPr>
          <w:b/>
          <w:bCs/>
        </w:rPr>
        <w:t xml:space="preserve">incorporate within paragraphs </w:t>
      </w:r>
      <w:r>
        <w:rPr>
          <w:b/>
          <w:bCs/>
        </w:rPr>
        <w:t>8</w:t>
      </w:r>
      <w:r w:rsidR="00626183">
        <w:rPr>
          <w:b/>
          <w:bCs/>
        </w:rPr>
        <w:t>–</w:t>
      </w:r>
      <w:r>
        <w:rPr>
          <w:b/>
          <w:bCs/>
        </w:rPr>
        <w:t>9, the advice</w:t>
      </w:r>
      <w:r w:rsidRPr="006F0990">
        <w:rPr>
          <w:b/>
          <w:bCs/>
        </w:rPr>
        <w:t xml:space="preserve"> of the SPT that the ‘principle of proportionality’ when determining</w:t>
      </w:r>
      <w:r>
        <w:rPr>
          <w:b/>
          <w:bCs/>
        </w:rPr>
        <w:t xml:space="preserve"> visiting</w:t>
      </w:r>
      <w:r w:rsidRPr="006F0990">
        <w:rPr>
          <w:b/>
          <w:bCs/>
        </w:rPr>
        <w:t xml:space="preserve"> priorities, is the express responsibility of the NPM and not of the State.</w:t>
      </w:r>
      <w:r>
        <w:rPr>
          <w:rStyle w:val="EndnoteReference"/>
          <w:b/>
          <w:bCs/>
        </w:rPr>
        <w:endnoteReference w:id="20"/>
      </w:r>
      <w:bookmarkEnd w:id="20"/>
    </w:p>
    <w:p w14:paraId="5FD11EF6" w14:textId="5E5B4364" w:rsidR="0077114F" w:rsidRPr="00553153" w:rsidRDefault="0077114F" w:rsidP="0077114F">
      <w:pPr>
        <w:pStyle w:val="ListNumber"/>
      </w:pPr>
      <w:r w:rsidRPr="006F0990">
        <w:rPr>
          <w:b/>
          <w:bCs/>
        </w:rPr>
        <w:t xml:space="preserve">Recommendation 2: The Commission acknowledges the list at </w:t>
      </w:r>
      <w:r w:rsidR="001E25EB" w:rsidRPr="006F0990">
        <w:rPr>
          <w:b/>
          <w:bCs/>
        </w:rPr>
        <w:t>paragraph</w:t>
      </w:r>
      <w:r w:rsidR="001E25EB">
        <w:rPr>
          <w:b/>
          <w:bCs/>
        </w:rPr>
        <w:t> </w:t>
      </w:r>
      <w:r w:rsidRPr="006F0990">
        <w:rPr>
          <w:b/>
          <w:bCs/>
        </w:rPr>
        <w:t>38 of Draft General Comment is non-exhaustive. However, recommends it also includes:</w:t>
      </w:r>
    </w:p>
    <w:p w14:paraId="749DAD3D" w14:textId="77777777" w:rsidR="0077114F" w:rsidRPr="00553153" w:rsidRDefault="0077114F" w:rsidP="0077114F">
      <w:pPr>
        <w:pStyle w:val="Heading3"/>
        <w:numPr>
          <w:ilvl w:val="2"/>
          <w:numId w:val="34"/>
        </w:numPr>
        <w:spacing w:before="0"/>
        <w:rPr>
          <w:b/>
          <w:bCs w:val="0"/>
        </w:rPr>
      </w:pPr>
      <w:bookmarkStart w:id="21" w:name="_Toc132117967"/>
      <w:r w:rsidRPr="007955C6">
        <w:rPr>
          <w:b/>
          <w:bCs w:val="0"/>
        </w:rPr>
        <w:t>disability group homes</w:t>
      </w:r>
      <w:bookmarkEnd w:id="21"/>
      <w:r>
        <w:rPr>
          <w:b/>
          <w:bCs w:val="0"/>
        </w:rPr>
        <w:t xml:space="preserve"> and </w:t>
      </w:r>
      <w:bookmarkStart w:id="22" w:name="_Toc132117968"/>
      <w:r w:rsidRPr="00553153">
        <w:rPr>
          <w:b/>
          <w:bCs w:val="0"/>
        </w:rPr>
        <w:t>closed community-based accommodation and residences for people with disability</w:t>
      </w:r>
      <w:bookmarkEnd w:id="22"/>
    </w:p>
    <w:p w14:paraId="600BF040" w14:textId="77777777" w:rsidR="0077114F" w:rsidRPr="00553153" w:rsidRDefault="0077114F" w:rsidP="0077114F">
      <w:pPr>
        <w:pStyle w:val="Heading3"/>
        <w:spacing w:before="0"/>
        <w:rPr>
          <w:b/>
          <w:bCs w:val="0"/>
        </w:rPr>
      </w:pPr>
      <w:bookmarkStart w:id="23" w:name="_Toc132117971"/>
      <w:bookmarkStart w:id="24" w:name="_Toc132117969"/>
      <w:r w:rsidRPr="007955C6">
        <w:rPr>
          <w:b/>
          <w:bCs w:val="0"/>
        </w:rPr>
        <w:t>special schools</w:t>
      </w:r>
      <w:bookmarkEnd w:id="23"/>
      <w:r>
        <w:rPr>
          <w:b/>
          <w:bCs w:val="0"/>
        </w:rPr>
        <w:t xml:space="preserve"> and </w:t>
      </w:r>
      <w:r w:rsidRPr="00553153">
        <w:rPr>
          <w:b/>
          <w:bCs w:val="0"/>
        </w:rPr>
        <w:t>‘time out’ and seclusion rooms and segregated areas in</w:t>
      </w:r>
      <w:r>
        <w:rPr>
          <w:b/>
          <w:bCs w:val="0"/>
        </w:rPr>
        <w:t xml:space="preserve"> any</w:t>
      </w:r>
      <w:r w:rsidRPr="00553153">
        <w:rPr>
          <w:b/>
          <w:bCs w:val="0"/>
        </w:rPr>
        <w:t xml:space="preserve"> educational settings</w:t>
      </w:r>
    </w:p>
    <w:p w14:paraId="2C798C73" w14:textId="0446A4B5" w:rsidR="00131BE8" w:rsidRPr="00131BE8" w:rsidRDefault="0077114F" w:rsidP="00131BE8">
      <w:pPr>
        <w:pStyle w:val="Heading3"/>
        <w:spacing w:before="0"/>
        <w:rPr>
          <w:b/>
          <w:bCs w:val="0"/>
        </w:rPr>
      </w:pPr>
      <w:bookmarkStart w:id="25" w:name="_Toc132117970"/>
      <w:bookmarkEnd w:id="24"/>
      <w:r w:rsidRPr="007955C6">
        <w:rPr>
          <w:b/>
          <w:bCs w:val="0"/>
        </w:rPr>
        <w:t>emergency departments and hospitals</w:t>
      </w:r>
      <w:bookmarkEnd w:id="25"/>
      <w:r>
        <w:rPr>
          <w:b/>
          <w:bCs w:val="0"/>
        </w:rPr>
        <w:t>.</w:t>
      </w:r>
    </w:p>
    <w:p w14:paraId="34328BD9" w14:textId="77777777" w:rsidR="00131BE8" w:rsidRPr="000254A6" w:rsidRDefault="00131BE8" w:rsidP="00131BE8">
      <w:pPr>
        <w:pStyle w:val="ListNumber"/>
      </w:pPr>
      <w:r w:rsidRPr="006F0990">
        <w:rPr>
          <w:b/>
          <w:bCs/>
        </w:rPr>
        <w:t xml:space="preserve">Recommendation </w:t>
      </w:r>
      <w:r>
        <w:rPr>
          <w:b/>
          <w:bCs/>
        </w:rPr>
        <w:t>3</w:t>
      </w:r>
      <w:r w:rsidRPr="006F0990">
        <w:rPr>
          <w:b/>
          <w:bCs/>
        </w:rPr>
        <w:t xml:space="preserve">: The Commission recommends the </w:t>
      </w:r>
      <w:r>
        <w:rPr>
          <w:b/>
          <w:bCs/>
        </w:rPr>
        <w:t>final example in</w:t>
      </w:r>
      <w:r w:rsidRPr="006F0990">
        <w:rPr>
          <w:b/>
          <w:bCs/>
        </w:rPr>
        <w:t xml:space="preserve"> paragraph</w:t>
      </w:r>
      <w:r>
        <w:rPr>
          <w:b/>
          <w:bCs/>
        </w:rPr>
        <w:t xml:space="preserve"> 37 be broadened to ‘persons with disabilities’ and a more overt refence to the use of ‘restrictive practices’ imposed by service providers be made.  </w:t>
      </w:r>
    </w:p>
    <w:p w14:paraId="108CC108" w14:textId="77777777" w:rsidR="0077114F" w:rsidRPr="00EA1531" w:rsidRDefault="0077114F" w:rsidP="0077114F"/>
    <w:p w14:paraId="02D602F0" w14:textId="77777777" w:rsidR="0077114F" w:rsidRDefault="0077114F" w:rsidP="0077114F">
      <w:pPr>
        <w:pStyle w:val="Heading1"/>
      </w:pPr>
      <w:bookmarkStart w:id="26" w:name="_Toc132117972"/>
      <w:bookmarkStart w:id="27" w:name="_Hlk114486856"/>
      <w:r>
        <w:lastRenderedPageBreak/>
        <w:t>Jurisdiction or control</w:t>
      </w:r>
      <w:bookmarkEnd w:id="26"/>
      <w:r>
        <w:t xml:space="preserve"> </w:t>
      </w:r>
    </w:p>
    <w:bookmarkEnd w:id="27"/>
    <w:p w14:paraId="673B590C" w14:textId="4311D6A1" w:rsidR="0077114F" w:rsidRDefault="0077114F" w:rsidP="0077114F">
      <w:pPr>
        <w:pStyle w:val="ListNumber"/>
      </w:pPr>
      <w:r>
        <w:t>The Commission supports the Draft General Comment’s approach that t</w:t>
      </w:r>
      <w:r w:rsidRPr="00F777D5">
        <w:t xml:space="preserve">he scope of </w:t>
      </w:r>
      <w:r>
        <w:t>‘</w:t>
      </w:r>
      <w:r w:rsidRPr="00F777D5">
        <w:t>jurisdiction and control</w:t>
      </w:r>
      <w:r>
        <w:t>’</w:t>
      </w:r>
      <w:r w:rsidRPr="00F777D5">
        <w:t xml:space="preserve"> of article 4 (1) </w:t>
      </w:r>
      <w:r w:rsidRPr="0062452E">
        <w:t xml:space="preserve">be understood to mean </w:t>
      </w:r>
      <w:r>
        <w:t>‘</w:t>
      </w:r>
      <w:r w:rsidRPr="0062452E">
        <w:t>jurisdiction or control</w:t>
      </w:r>
      <w:r>
        <w:t xml:space="preserve">’ [paragraph 24]. The Commission also supports the explanation that ‘control’ applies </w:t>
      </w:r>
      <w:r w:rsidR="001E6DCD">
        <w:t>‘</w:t>
      </w:r>
      <w:r>
        <w:t>also to those within the power or effective control of the forces of a State party acting outside its territory, regardless of the circumstances in which such power or effective control was obtained</w:t>
      </w:r>
      <w:r w:rsidR="00AA3B53">
        <w:t>’</w:t>
      </w:r>
      <w:r>
        <w:t>. [paragraph 27].</w:t>
      </w:r>
    </w:p>
    <w:p w14:paraId="6AD4137A" w14:textId="30EEC1E3" w:rsidR="0077114F" w:rsidRDefault="0077114F" w:rsidP="0077114F">
      <w:pPr>
        <w:pStyle w:val="ListNumber"/>
      </w:pPr>
      <w:r>
        <w:t>These explanatory points are particularly relevant to the Australian context. Prior to</w:t>
      </w:r>
      <w:r w:rsidR="001E5C83">
        <w:t>, and shortly after,</w:t>
      </w:r>
      <w:r>
        <w:t xml:space="preserve"> OPCAT ratification, the Australian Government </w:t>
      </w:r>
      <w:r w:rsidR="001E5C83">
        <w:t xml:space="preserve">asserted </w:t>
      </w:r>
      <w:r>
        <w:t>that its obligations did not extend to the regional processing arrangements in Nauru and Papua New Guinea.</w:t>
      </w:r>
      <w:r>
        <w:rPr>
          <w:rStyle w:val="EndnoteReference"/>
        </w:rPr>
        <w:endnoteReference w:id="21"/>
      </w:r>
      <w:r>
        <w:t xml:space="preserve"> The Commission however has consistently maintained that ‘</w:t>
      </w:r>
      <w:r w:rsidRPr="00877BC3">
        <w:t>there are a</w:t>
      </w:r>
      <w:r>
        <w:t xml:space="preserve"> </w:t>
      </w:r>
      <w:r w:rsidRPr="00877BC3">
        <w:t>number of factors which would support the conclusion that Australia is</w:t>
      </w:r>
      <w:r>
        <w:t xml:space="preserve"> </w:t>
      </w:r>
      <w:r w:rsidRPr="00877BC3">
        <w:t>exercising effective control over the asylum seekers transferred to and</w:t>
      </w:r>
      <w:r>
        <w:t xml:space="preserve"> </w:t>
      </w:r>
      <w:r w:rsidRPr="00877BC3">
        <w:t xml:space="preserve">detained </w:t>
      </w:r>
      <w:r>
        <w:t>[</w:t>
      </w:r>
      <w:r w:rsidR="00B4797C">
        <w:t xml:space="preserve">in </w:t>
      </w:r>
      <w:r>
        <w:t>Papua New Guinea and Nauru]</w:t>
      </w:r>
      <w:r w:rsidR="001E5C83">
        <w:t>’</w:t>
      </w:r>
      <w:r w:rsidRPr="00877BC3">
        <w:t>.</w:t>
      </w:r>
      <w:r>
        <w:rPr>
          <w:rStyle w:val="EndnoteReference"/>
        </w:rPr>
        <w:endnoteReference w:id="22"/>
      </w:r>
      <w:r w:rsidR="008E7D0A">
        <w:t xml:space="preserve"> The Commission has additionally </w:t>
      </w:r>
      <w:r w:rsidR="00F64F69">
        <w:t>recommended</w:t>
      </w:r>
      <w:r w:rsidR="001318DF">
        <w:t xml:space="preserve"> Australia follow</w:t>
      </w:r>
      <w:r w:rsidR="00C31D88">
        <w:t xml:space="preserve"> the UN SPT’s advice on ‘cross-border monitoring’</w:t>
      </w:r>
      <w:r w:rsidR="000A1B92" w:rsidRPr="001100A4">
        <w:rPr>
          <w:rStyle w:val="EndnoteReference"/>
        </w:rPr>
        <w:endnoteReference w:id="23"/>
      </w:r>
      <w:r w:rsidR="00035F37">
        <w:t xml:space="preserve"> and the United Nations Committee Against Torture has expressed its concern about ‘</w:t>
      </w:r>
      <w:r w:rsidR="00035F37" w:rsidRPr="00035F37">
        <w:t>a lack of monitoring by independent inspection bodies</w:t>
      </w:r>
      <w:r w:rsidR="00035F37">
        <w:t>.’</w:t>
      </w:r>
      <w:r w:rsidR="00035F37">
        <w:rPr>
          <w:rStyle w:val="EndnoteReference"/>
        </w:rPr>
        <w:endnoteReference w:id="24"/>
      </w:r>
    </w:p>
    <w:p w14:paraId="64FC124C" w14:textId="7F7AA880" w:rsidR="0077114F" w:rsidRDefault="0077114F" w:rsidP="0077114F">
      <w:pPr>
        <w:pStyle w:val="ListNumber"/>
      </w:pPr>
      <w:r>
        <w:t>The Special Rapporteur on the human rights of migrants has noted that individuals transferred to Nauru by the Australian Government are under the effective control of Australia ‘because, inter alia, Australia transferred them to regional processing centres, which are funded by Australia, and with the involvement of private contractors of Australia’s choice</w:t>
      </w:r>
      <w:r w:rsidR="001215BE">
        <w:t>’</w:t>
      </w:r>
      <w:r>
        <w:t>.</w:t>
      </w:r>
      <w:r>
        <w:rPr>
          <w:rStyle w:val="EndnoteReference"/>
        </w:rPr>
        <w:endnoteReference w:id="25"/>
      </w:r>
      <w:r>
        <w:t xml:space="preserve"> This viewpoint has also been repeated by the United Nations Committee against Torture.</w:t>
      </w:r>
      <w:r>
        <w:rPr>
          <w:rStyle w:val="EndnoteReference"/>
        </w:rPr>
        <w:endnoteReference w:id="26"/>
      </w:r>
    </w:p>
    <w:p w14:paraId="3556EBDD" w14:textId="76EC51B9" w:rsidR="0077114F" w:rsidRDefault="0077114F" w:rsidP="0077114F">
      <w:pPr>
        <w:pStyle w:val="ListNumber"/>
      </w:pPr>
      <w:r>
        <w:t xml:space="preserve">The Parliamentary Joint Committee on Human Rights found in 2013 that ‘the evidence demonstrates that Australia could be viewed as exercising </w:t>
      </w:r>
      <w:r w:rsidR="001215BE">
        <w:t>”</w:t>
      </w:r>
      <w:r>
        <w:t xml:space="preserve">effective </w:t>
      </w:r>
      <w:r w:rsidR="001215BE">
        <w:t xml:space="preserve">control” </w:t>
      </w:r>
      <w:r>
        <w:t>of the arrangements relating to the treatment of persons transferred to Manus Island or Nauru</w:t>
      </w:r>
      <w:r w:rsidR="001215BE">
        <w:t>’</w:t>
      </w:r>
      <w:r>
        <w:t>.</w:t>
      </w:r>
      <w:r>
        <w:rPr>
          <w:rStyle w:val="EndnoteReference"/>
        </w:rPr>
        <w:endnoteReference w:id="27"/>
      </w:r>
    </w:p>
    <w:p w14:paraId="62A35998" w14:textId="27302680" w:rsidR="0077114F" w:rsidRDefault="0077114F" w:rsidP="0077114F">
      <w:pPr>
        <w:pStyle w:val="ListNumber"/>
      </w:pPr>
      <w:r>
        <w:t>The Senate Legal and Constitutional Affairs References Committee also reported in 2017 that</w:t>
      </w:r>
    </w:p>
    <w:p w14:paraId="2FB11408" w14:textId="5105F938" w:rsidR="0077114F" w:rsidRDefault="0077114F" w:rsidP="0077114F">
      <w:pPr>
        <w:pStyle w:val="ListNumber"/>
        <w:numPr>
          <w:ilvl w:val="0"/>
          <w:numId w:val="0"/>
        </w:numPr>
        <w:ind w:left="720"/>
        <w:rPr>
          <w:sz w:val="22"/>
          <w:szCs w:val="22"/>
        </w:rPr>
      </w:pPr>
      <w:r w:rsidRPr="00F62B07">
        <w:rPr>
          <w:sz w:val="22"/>
          <w:szCs w:val="22"/>
        </w:rPr>
        <w:t xml:space="preserve">the Australian Government must acknowledge that it controls </w:t>
      </w:r>
      <w:r w:rsidR="004D498C" w:rsidRPr="00F62B07">
        <w:rPr>
          <w:sz w:val="22"/>
          <w:szCs w:val="22"/>
        </w:rPr>
        <w:t>Australia</w:t>
      </w:r>
      <w:r w:rsidR="004D498C">
        <w:rPr>
          <w:sz w:val="22"/>
          <w:szCs w:val="22"/>
        </w:rPr>
        <w:t>’</w:t>
      </w:r>
      <w:r w:rsidR="004D498C" w:rsidRPr="00F62B07">
        <w:rPr>
          <w:sz w:val="22"/>
          <w:szCs w:val="22"/>
        </w:rPr>
        <w:t xml:space="preserve">s </w:t>
      </w:r>
      <w:r w:rsidRPr="00F62B07">
        <w:rPr>
          <w:sz w:val="22"/>
          <w:szCs w:val="22"/>
        </w:rPr>
        <w:t>RPCs</w:t>
      </w:r>
      <w:r>
        <w:rPr>
          <w:sz w:val="22"/>
          <w:szCs w:val="22"/>
        </w:rPr>
        <w:t xml:space="preserve"> [Regional Processing Centres]</w:t>
      </w:r>
      <w:r w:rsidRPr="00F62B07">
        <w:rPr>
          <w:sz w:val="22"/>
          <w:szCs w:val="22"/>
        </w:rPr>
        <w:t>. Through the department, the Australian Government pays for all associated costs, engages all major contractors, owns all the major assets, and (to date) has been responsible for negotiating all third country resettlement options. Additionally, the department is the final decision-maker for approving the provision of specialist health services and medical transfers (including medical evacuations) and the development of policies and procedures which relate to the operation of the RPCs.</w:t>
      </w:r>
      <w:r>
        <w:rPr>
          <w:rStyle w:val="EndnoteReference"/>
          <w:szCs w:val="22"/>
        </w:rPr>
        <w:endnoteReference w:id="28"/>
      </w:r>
    </w:p>
    <w:p w14:paraId="375A3B64" w14:textId="09C49E94" w:rsidR="0077114F" w:rsidRDefault="0077114F" w:rsidP="0077114F">
      <w:pPr>
        <w:pStyle w:val="ListNumber"/>
      </w:pPr>
      <w:r>
        <w:lastRenderedPageBreak/>
        <w:t xml:space="preserve">While regional processing arrangements for asylum seekers </w:t>
      </w:r>
      <w:r w:rsidR="004D498C">
        <w:t xml:space="preserve">in </w:t>
      </w:r>
      <w:r>
        <w:t>Papua New Guinea ceased at the end of 2021, the Commission continues to hold serious concerns that that those asylum seekers remaining in Papua New Guinea may be subjected to arbitrary detention and inadequate living conditions. Similar concerns are held about those subjected to</w:t>
      </w:r>
      <w:r w:rsidRPr="009425C8">
        <w:t xml:space="preserve"> regiona</w:t>
      </w:r>
      <w:r>
        <w:t>l</w:t>
      </w:r>
      <w:r w:rsidRPr="009425C8">
        <w:t xml:space="preserve"> processing arrangements in Nauru</w:t>
      </w:r>
      <w:r>
        <w:t xml:space="preserve">. </w:t>
      </w:r>
    </w:p>
    <w:p w14:paraId="1BA545EB" w14:textId="67469FF4" w:rsidR="0077114F" w:rsidRDefault="0077114F" w:rsidP="0077114F">
      <w:pPr>
        <w:pStyle w:val="ListNumber"/>
      </w:pPr>
      <w:r>
        <w:t>The Australian Government has argued that ‘t</w:t>
      </w:r>
      <w:r w:rsidRPr="00EB6319">
        <w:t>ransitory persons in Nauru are not in detention and all reside in community accommodation</w:t>
      </w:r>
      <w:r w:rsidR="00E50782">
        <w:t>’</w:t>
      </w:r>
      <w:r w:rsidRPr="00EB6319">
        <w:t>.</w:t>
      </w:r>
      <w:r>
        <w:rPr>
          <w:rStyle w:val="EndnoteReference"/>
        </w:rPr>
        <w:endnoteReference w:id="29"/>
      </w:r>
      <w:r>
        <w:t xml:space="preserve"> </w:t>
      </w:r>
      <w:r w:rsidR="00ED708D">
        <w:t>In reporting on the ‘open centres’ in Nauru</w:t>
      </w:r>
      <w:r>
        <w:t>, the United Nations High Commissioner for Refugees (UNHCR) stated:</w:t>
      </w:r>
    </w:p>
    <w:p w14:paraId="2E781300" w14:textId="77777777" w:rsidR="0077114F" w:rsidRDefault="0077114F" w:rsidP="0077114F">
      <w:pPr>
        <w:pStyle w:val="ListNumber"/>
        <w:numPr>
          <w:ilvl w:val="0"/>
          <w:numId w:val="0"/>
        </w:numPr>
        <w:ind w:left="720"/>
        <w:rPr>
          <w:sz w:val="22"/>
          <w:szCs w:val="22"/>
        </w:rPr>
      </w:pPr>
      <w:r w:rsidRPr="00664CB1">
        <w:rPr>
          <w:sz w:val="22"/>
          <w:szCs w:val="22"/>
        </w:rPr>
        <w:t>key aspects of conditions are indistinguishable from previous detention arrangements. This includes the number of security guards, the configuration of the fences at the perimeters and the sub-compounds and the overcrowding in accommodation, including the continued use of communal tents (‘marquees’) for protracted periods of time. Individuals remain living in a detention-like setting, which not only has a very detrimental impact on mental health, but also increases the risk of abuse and self-harm.</w:t>
      </w:r>
      <w:r>
        <w:rPr>
          <w:rStyle w:val="EndnoteReference"/>
          <w:szCs w:val="22"/>
        </w:rPr>
        <w:endnoteReference w:id="30"/>
      </w:r>
    </w:p>
    <w:p w14:paraId="4F7DBD8B" w14:textId="77777777" w:rsidR="0077114F" w:rsidRDefault="0077114F" w:rsidP="0077114F">
      <w:pPr>
        <w:pStyle w:val="ListNumber"/>
      </w:pPr>
      <w:r w:rsidRPr="0064147E">
        <w:t>The Special Rapporteur on the human rights of migrants</w:t>
      </w:r>
      <w:r>
        <w:t xml:space="preserve"> has also noted: </w:t>
      </w:r>
    </w:p>
    <w:p w14:paraId="25DD4F78" w14:textId="77777777" w:rsidR="0077114F" w:rsidRDefault="0077114F" w:rsidP="0077114F">
      <w:pPr>
        <w:pStyle w:val="ListNumber"/>
        <w:numPr>
          <w:ilvl w:val="0"/>
          <w:numId w:val="0"/>
        </w:numPr>
        <w:ind w:left="720"/>
        <w:rPr>
          <w:sz w:val="22"/>
          <w:szCs w:val="22"/>
        </w:rPr>
      </w:pPr>
      <w:r w:rsidRPr="003911C5">
        <w:rPr>
          <w:sz w:val="22"/>
          <w:szCs w:val="22"/>
        </w:rPr>
        <w:t>the geographical and psychological isolation of Nauru, the equatorial heat bearing down on often still non-air-conditioned tent dwellings, the length of the processing (soon to be four years for many of them since their arrival) and the absence of any solution allowing them a durable resettlement in a country where they can imagine a future for themselves and their children makes the unresolved situation extremely difficult to bear.</w:t>
      </w:r>
      <w:r>
        <w:rPr>
          <w:rStyle w:val="EndnoteReference"/>
          <w:szCs w:val="22"/>
        </w:rPr>
        <w:endnoteReference w:id="31"/>
      </w:r>
    </w:p>
    <w:p w14:paraId="363E7D7F" w14:textId="77777777" w:rsidR="0077114F" w:rsidRDefault="0077114F" w:rsidP="0077114F">
      <w:pPr>
        <w:pStyle w:val="ListNumber"/>
      </w:pPr>
      <w:r>
        <w:t xml:space="preserve">The Senate Legal and Constitutional Affairs References Committee furthermore reported in 2017 that: </w:t>
      </w:r>
    </w:p>
    <w:p w14:paraId="16612EE1" w14:textId="77777777" w:rsidR="0077114F" w:rsidRDefault="0077114F" w:rsidP="0077114F">
      <w:pPr>
        <w:pStyle w:val="ListNumber"/>
        <w:numPr>
          <w:ilvl w:val="0"/>
          <w:numId w:val="0"/>
        </w:numPr>
        <w:ind w:left="720"/>
        <w:rPr>
          <w:sz w:val="22"/>
          <w:szCs w:val="22"/>
        </w:rPr>
      </w:pPr>
      <w:r w:rsidRPr="009160F3">
        <w:rPr>
          <w:sz w:val="22"/>
          <w:szCs w:val="22"/>
        </w:rPr>
        <w:t>people who choose to leave the RPCs, or who have been housed in the local communities, also live in a challenging environment, and have limited control over their lives. This is starkly apparent in Nauru. The Nauru atoll is tiny, at just 21 square kilometres. It is an isolated island surrounded by ocean. The only way a refugee or asylum seeker can leave the island is by agreeing to be resettled in Cambodia, indicating their interest in being resettled in the USA (and then being found eligible to do so), or by agreeing to return to their country of origin.</w:t>
      </w:r>
      <w:r>
        <w:rPr>
          <w:rStyle w:val="EndnoteReference"/>
          <w:szCs w:val="22"/>
        </w:rPr>
        <w:endnoteReference w:id="32"/>
      </w:r>
    </w:p>
    <w:p w14:paraId="29503AFE" w14:textId="51D1B1FE" w:rsidR="0077114F" w:rsidRDefault="0077114F" w:rsidP="0077114F">
      <w:pPr>
        <w:pStyle w:val="ListNumber"/>
      </w:pPr>
      <w:r>
        <w:t>These factors taken together are demonstrative of the point raised in the Draft General Comment that ‘</w:t>
      </w:r>
      <w:r w:rsidRPr="00E65DF7">
        <w:t>an individual might be found in a place that – examined separately – does not constitute a place of deprivation of liberty, but does indeed constitute a place of deprivation of liberty when examined in context</w:t>
      </w:r>
      <w:r w:rsidR="002A4EB0">
        <w:t>’</w:t>
      </w:r>
      <w:r>
        <w:t>; including, ‘</w:t>
      </w:r>
      <w:r w:rsidRPr="00895E19">
        <w:t>if the ability to leave such a place or facility would be limited or would entail exposing a person to serious human rights violations, that place should also be perceived as a place of deprivation of liberty, in accordance with article 4 of the Optional Protocol</w:t>
      </w:r>
      <w:r w:rsidR="00F50F5A">
        <w:t>’</w:t>
      </w:r>
      <w:r w:rsidRPr="00895E19">
        <w:t>.</w:t>
      </w:r>
      <w:r>
        <w:t xml:space="preserve"> [paragraph 39].</w:t>
      </w:r>
    </w:p>
    <w:p w14:paraId="05F3E02B" w14:textId="7FA49238" w:rsidR="0077114F" w:rsidRPr="006F0990" w:rsidRDefault="0077114F" w:rsidP="0077114F">
      <w:pPr>
        <w:pStyle w:val="ListNumber"/>
        <w:rPr>
          <w:b/>
          <w:bCs/>
        </w:rPr>
      </w:pPr>
      <w:r w:rsidRPr="006F0990">
        <w:rPr>
          <w:b/>
          <w:bCs/>
        </w:rPr>
        <w:lastRenderedPageBreak/>
        <w:t xml:space="preserve">Recommendation </w:t>
      </w:r>
      <w:r w:rsidR="00131BE8">
        <w:rPr>
          <w:b/>
          <w:bCs/>
        </w:rPr>
        <w:t>4</w:t>
      </w:r>
      <w:r w:rsidRPr="006F0990">
        <w:rPr>
          <w:b/>
          <w:bCs/>
        </w:rPr>
        <w:t>: The Commission recommends the Draft General Comment incorporate within paragraphs 24-28, the advice of the UN SPT regarding ‘cross border monitoring</w:t>
      </w:r>
      <w:r w:rsidR="001100A4">
        <w:rPr>
          <w:b/>
          <w:bCs/>
        </w:rPr>
        <w:t>.’</w:t>
      </w:r>
      <w:r w:rsidRPr="006F0990">
        <w:rPr>
          <w:b/>
          <w:bCs/>
        </w:rPr>
        <w:t xml:space="preserve">    </w:t>
      </w:r>
    </w:p>
    <w:p w14:paraId="77EB8671" w14:textId="6327DEA6" w:rsidR="0077114F" w:rsidRPr="006F0990" w:rsidRDefault="0077114F" w:rsidP="0077114F">
      <w:pPr>
        <w:pStyle w:val="ListNumber"/>
      </w:pPr>
      <w:r w:rsidRPr="006F0990">
        <w:rPr>
          <w:b/>
          <w:bCs/>
        </w:rPr>
        <w:t xml:space="preserve">Recommendation </w:t>
      </w:r>
      <w:r w:rsidR="00131BE8">
        <w:rPr>
          <w:b/>
          <w:bCs/>
        </w:rPr>
        <w:t>5</w:t>
      </w:r>
      <w:r w:rsidRPr="006F0990">
        <w:rPr>
          <w:b/>
          <w:bCs/>
        </w:rPr>
        <w:t xml:space="preserve">: </w:t>
      </w:r>
      <w:bookmarkStart w:id="28" w:name="_Hlk132126397"/>
      <w:r w:rsidRPr="006F0990">
        <w:rPr>
          <w:b/>
          <w:bCs/>
        </w:rPr>
        <w:t>The Commission recommends the Draft General Comment</w:t>
      </w:r>
      <w:r>
        <w:rPr>
          <w:b/>
          <w:bCs/>
        </w:rPr>
        <w:t xml:space="preserve"> provide</w:t>
      </w:r>
      <w:r w:rsidRPr="006F0990">
        <w:rPr>
          <w:b/>
          <w:bCs/>
        </w:rPr>
        <w:t xml:space="preserve"> further elaborat</w:t>
      </w:r>
      <w:r>
        <w:rPr>
          <w:b/>
          <w:bCs/>
        </w:rPr>
        <w:t>ion</w:t>
      </w:r>
      <w:r w:rsidRPr="006F0990">
        <w:rPr>
          <w:b/>
          <w:bCs/>
        </w:rPr>
        <w:t xml:space="preserve"> </w:t>
      </w:r>
      <w:r>
        <w:rPr>
          <w:b/>
          <w:bCs/>
        </w:rPr>
        <w:t>to</w:t>
      </w:r>
      <w:r w:rsidRPr="006F0990">
        <w:rPr>
          <w:b/>
          <w:bCs/>
        </w:rPr>
        <w:t xml:space="preserve"> paragraph 39</w:t>
      </w:r>
      <w:r>
        <w:rPr>
          <w:b/>
          <w:bCs/>
        </w:rPr>
        <w:t>,</w:t>
      </w:r>
      <w:r w:rsidRPr="006F0990">
        <w:rPr>
          <w:b/>
          <w:bCs/>
        </w:rPr>
        <w:t xml:space="preserve"> including th</w:t>
      </w:r>
      <w:r>
        <w:rPr>
          <w:b/>
          <w:bCs/>
        </w:rPr>
        <w:t>r</w:t>
      </w:r>
      <w:r w:rsidRPr="006F0990">
        <w:rPr>
          <w:b/>
          <w:bCs/>
        </w:rPr>
        <w:t xml:space="preserve">ough examples of known situations where deprivation of liberty has been found </w:t>
      </w:r>
      <w:r>
        <w:rPr>
          <w:b/>
          <w:bCs/>
        </w:rPr>
        <w:t>as the result of</w:t>
      </w:r>
      <w:r w:rsidRPr="006F0990">
        <w:rPr>
          <w:b/>
          <w:bCs/>
        </w:rPr>
        <w:t xml:space="preserve"> an examination of the wider context. </w:t>
      </w:r>
      <w:bookmarkEnd w:id="28"/>
    </w:p>
    <w:p w14:paraId="21919F6E" w14:textId="77777777" w:rsidR="0077114F" w:rsidRDefault="0077114F" w:rsidP="0077114F">
      <w:pPr>
        <w:pStyle w:val="ListNumber"/>
        <w:numPr>
          <w:ilvl w:val="0"/>
          <w:numId w:val="0"/>
        </w:numPr>
        <w:rPr>
          <w:b/>
          <w:bCs/>
        </w:rPr>
      </w:pPr>
    </w:p>
    <w:p w14:paraId="6A9DF488" w14:textId="77777777" w:rsidR="0077114F" w:rsidRDefault="0077114F" w:rsidP="0077114F">
      <w:pPr>
        <w:pStyle w:val="Heading1"/>
      </w:pPr>
      <w:r>
        <w:t>Recommendations</w:t>
      </w:r>
    </w:p>
    <w:p w14:paraId="48BB00BD" w14:textId="77777777" w:rsidR="0077114F" w:rsidRDefault="0077114F" w:rsidP="0077114F">
      <w:pPr>
        <w:pStyle w:val="ListNumber"/>
      </w:pPr>
      <w:r>
        <w:t>The Commission makes the following recommendations:</w:t>
      </w:r>
    </w:p>
    <w:p w14:paraId="49182BC0" w14:textId="77777777" w:rsidR="0077114F" w:rsidRDefault="0077114F" w:rsidP="0077114F">
      <w:pPr>
        <w:pStyle w:val="ListNumber"/>
        <w:numPr>
          <w:ilvl w:val="0"/>
          <w:numId w:val="0"/>
        </w:numPr>
        <w:ind w:left="360" w:hanging="360"/>
      </w:pPr>
    </w:p>
    <w:p w14:paraId="3F533D77" w14:textId="00479F5F" w:rsidR="0077114F" w:rsidRDefault="0077114F" w:rsidP="0077114F">
      <w:pPr>
        <w:pStyle w:val="ListNumber"/>
        <w:numPr>
          <w:ilvl w:val="0"/>
          <w:numId w:val="0"/>
        </w:numPr>
      </w:pPr>
      <w:r w:rsidRPr="006F0990">
        <w:rPr>
          <w:b/>
          <w:bCs/>
        </w:rPr>
        <w:t xml:space="preserve">Recommendation 1: </w:t>
      </w:r>
      <w:r w:rsidRPr="00ED46F1">
        <w:t>The Commission recommends the Draft General Comment incorporate within paragraphs 8</w:t>
      </w:r>
      <w:r w:rsidR="00C652DC">
        <w:t>–</w:t>
      </w:r>
      <w:r w:rsidRPr="00ED46F1">
        <w:t>9, the advice of the SPT that the ‘principle of proportionality’ when determining visiting priorities, is the express responsibility of the NPM and not of the State.</w:t>
      </w:r>
      <w:r w:rsidRPr="00ED46F1">
        <w:rPr>
          <w:rStyle w:val="EndnoteReference"/>
        </w:rPr>
        <w:endnoteReference w:id="33"/>
      </w:r>
    </w:p>
    <w:p w14:paraId="7769DA77" w14:textId="77777777" w:rsidR="0077114F" w:rsidRDefault="0077114F" w:rsidP="0077114F">
      <w:pPr>
        <w:pStyle w:val="ListNumber"/>
        <w:numPr>
          <w:ilvl w:val="0"/>
          <w:numId w:val="0"/>
        </w:numPr>
      </w:pPr>
      <w:r w:rsidRPr="006F0990">
        <w:rPr>
          <w:b/>
          <w:bCs/>
        </w:rPr>
        <w:t xml:space="preserve">Recommendation 2: </w:t>
      </w:r>
      <w:r w:rsidRPr="00D15310">
        <w:t>The Commission acknowledges the list at paragraph 38 of Draft General Comment is non-exhaustive. However, recommends it also includes:</w:t>
      </w:r>
    </w:p>
    <w:p w14:paraId="2B85060A" w14:textId="77777777" w:rsidR="0042142C" w:rsidRPr="00D15310" w:rsidRDefault="0042142C" w:rsidP="0042142C">
      <w:pPr>
        <w:pStyle w:val="Heading3"/>
        <w:numPr>
          <w:ilvl w:val="2"/>
          <w:numId w:val="34"/>
        </w:numPr>
        <w:spacing w:before="0"/>
        <w:rPr>
          <w:bCs w:val="0"/>
        </w:rPr>
      </w:pPr>
      <w:r w:rsidRPr="00D15310">
        <w:rPr>
          <w:bCs w:val="0"/>
        </w:rPr>
        <w:t>disability group homes and closed community-based accommodation and residences for people with disability</w:t>
      </w:r>
    </w:p>
    <w:p w14:paraId="29457D82" w14:textId="77777777" w:rsidR="0042142C" w:rsidRPr="00D15310" w:rsidRDefault="0042142C" w:rsidP="0042142C">
      <w:pPr>
        <w:pStyle w:val="Heading3"/>
        <w:spacing w:before="0"/>
        <w:rPr>
          <w:bCs w:val="0"/>
        </w:rPr>
      </w:pPr>
      <w:r w:rsidRPr="00D15310">
        <w:rPr>
          <w:bCs w:val="0"/>
        </w:rPr>
        <w:t>special schools and ‘time out’ and seclusion rooms and segregated areas in any educational settings</w:t>
      </w:r>
    </w:p>
    <w:p w14:paraId="2E331873" w14:textId="1664DD41" w:rsidR="00D33703" w:rsidRPr="00D71588" w:rsidRDefault="0042142C" w:rsidP="00D71588">
      <w:pPr>
        <w:pStyle w:val="Heading3"/>
        <w:spacing w:before="0"/>
        <w:rPr>
          <w:b/>
        </w:rPr>
      </w:pPr>
      <w:r w:rsidRPr="00D15310">
        <w:rPr>
          <w:bCs w:val="0"/>
        </w:rPr>
        <w:t>emergency departments and hospitals</w:t>
      </w:r>
    </w:p>
    <w:p w14:paraId="170EBD68" w14:textId="0B14736A" w:rsidR="0042142C" w:rsidRPr="00D15310" w:rsidRDefault="00131BE8" w:rsidP="0077114F">
      <w:pPr>
        <w:pStyle w:val="ListNumber"/>
        <w:numPr>
          <w:ilvl w:val="0"/>
          <w:numId w:val="0"/>
        </w:numPr>
      </w:pPr>
      <w:r w:rsidRPr="006F0990">
        <w:rPr>
          <w:b/>
          <w:bCs/>
        </w:rPr>
        <w:t xml:space="preserve">Recommendation </w:t>
      </w:r>
      <w:r>
        <w:rPr>
          <w:b/>
          <w:bCs/>
        </w:rPr>
        <w:t>3</w:t>
      </w:r>
      <w:r w:rsidRPr="006F0990">
        <w:rPr>
          <w:b/>
          <w:bCs/>
        </w:rPr>
        <w:t xml:space="preserve">: </w:t>
      </w:r>
      <w:r w:rsidRPr="00D33703">
        <w:t xml:space="preserve">The Commission recommends the final example in paragraph 37 be broadened to ‘persons with disabilities’ and a more overt refence to the use of ‘restrictive practices’ imposed by service providers be made.  </w:t>
      </w:r>
    </w:p>
    <w:p w14:paraId="1F94B2FC" w14:textId="0F0D02F5" w:rsidR="0077114F" w:rsidRDefault="0077114F" w:rsidP="0077114F">
      <w:pPr>
        <w:pStyle w:val="ListNumber"/>
        <w:numPr>
          <w:ilvl w:val="0"/>
          <w:numId w:val="0"/>
        </w:numPr>
        <w:rPr>
          <w:b/>
          <w:bCs/>
        </w:rPr>
      </w:pPr>
      <w:r w:rsidRPr="006F0990">
        <w:rPr>
          <w:b/>
          <w:bCs/>
        </w:rPr>
        <w:t xml:space="preserve">Recommendation </w:t>
      </w:r>
      <w:r w:rsidR="00D33703">
        <w:rPr>
          <w:b/>
          <w:bCs/>
        </w:rPr>
        <w:t>4</w:t>
      </w:r>
      <w:r w:rsidRPr="006F0990">
        <w:rPr>
          <w:b/>
          <w:bCs/>
        </w:rPr>
        <w:t xml:space="preserve">: </w:t>
      </w:r>
      <w:r w:rsidRPr="00D15310">
        <w:t>The Commission recommends the Draft General Comment incorporate within paragraphs 24</w:t>
      </w:r>
      <w:r w:rsidR="00C652DC">
        <w:t>–</w:t>
      </w:r>
      <w:r w:rsidRPr="00D15310">
        <w:t>28, the advice of the UN SPT regarding ‘cross border monitoring</w:t>
      </w:r>
      <w:r w:rsidR="00C652DC">
        <w:t>’</w:t>
      </w:r>
      <w:r w:rsidRPr="00D15310">
        <w:t>.</w:t>
      </w:r>
      <w:r w:rsidRPr="006F0990">
        <w:rPr>
          <w:b/>
          <w:bCs/>
        </w:rPr>
        <w:t xml:space="preserve">     </w:t>
      </w:r>
    </w:p>
    <w:p w14:paraId="26A33315" w14:textId="178A9E39" w:rsidR="0077114F" w:rsidRDefault="0077114F" w:rsidP="0077114F">
      <w:pPr>
        <w:pStyle w:val="ListNumber"/>
        <w:numPr>
          <w:ilvl w:val="0"/>
          <w:numId w:val="0"/>
        </w:numPr>
        <w:rPr>
          <w:b/>
          <w:bCs/>
        </w:rPr>
      </w:pPr>
      <w:r w:rsidRPr="006F0990">
        <w:rPr>
          <w:b/>
          <w:bCs/>
        </w:rPr>
        <w:t xml:space="preserve">Recommendation </w:t>
      </w:r>
      <w:r w:rsidR="00D33703">
        <w:rPr>
          <w:b/>
          <w:bCs/>
        </w:rPr>
        <w:t>5</w:t>
      </w:r>
      <w:r w:rsidRPr="006F0990">
        <w:rPr>
          <w:b/>
          <w:bCs/>
        </w:rPr>
        <w:t xml:space="preserve">: </w:t>
      </w:r>
      <w:r w:rsidRPr="006E5607">
        <w:t>The Commission recommends the Draft General Comment provide further elaboration to paragraph 39, including th</w:t>
      </w:r>
      <w:r>
        <w:t>r</w:t>
      </w:r>
      <w:r w:rsidRPr="006E5607">
        <w:t xml:space="preserve">ough examples of known situations where deprivation of liberty has been found </w:t>
      </w:r>
      <w:r>
        <w:t>as the result of</w:t>
      </w:r>
      <w:r w:rsidRPr="006E5607">
        <w:t xml:space="preserve"> an examination of the wider context.</w:t>
      </w:r>
    </w:p>
    <w:p w14:paraId="5DEB75AF" w14:textId="77777777" w:rsidR="0077114F" w:rsidRPr="006259AA" w:rsidRDefault="0077114F" w:rsidP="0077114F">
      <w:pPr>
        <w:pStyle w:val="ListNumber"/>
        <w:numPr>
          <w:ilvl w:val="0"/>
          <w:numId w:val="0"/>
        </w:numPr>
      </w:pPr>
    </w:p>
    <w:p w14:paraId="6A572722" w14:textId="77777777" w:rsidR="006259AA" w:rsidRPr="006259AA" w:rsidRDefault="006259AA" w:rsidP="006B0533">
      <w:pPr>
        <w:pStyle w:val="ListNumber"/>
        <w:numPr>
          <w:ilvl w:val="0"/>
          <w:numId w:val="0"/>
        </w:numPr>
      </w:pPr>
    </w:p>
    <w:p w14:paraId="164A78E6" w14:textId="6AAFCE1B" w:rsidR="006B0533" w:rsidRPr="00894CC9" w:rsidRDefault="006B0533" w:rsidP="006B0533">
      <w:pPr>
        <w:pStyle w:val="ListNumber"/>
        <w:numPr>
          <w:ilvl w:val="0"/>
          <w:numId w:val="0"/>
        </w:numPr>
        <w:rPr>
          <w:rFonts w:cs="Open Sans"/>
          <w:b/>
          <w:bCs/>
        </w:rPr>
      </w:pPr>
      <w:r w:rsidRPr="00894CC9">
        <w:rPr>
          <w:rFonts w:cs="Open Sans"/>
          <w:b/>
          <w:bCs/>
        </w:rPr>
        <w:t>Endnotes</w:t>
      </w:r>
    </w:p>
    <w:sectPr w:rsidR="006B0533" w:rsidRPr="00894CC9" w:rsidSect="00460EE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CDE7" w14:textId="77777777" w:rsidR="00BE1EFE" w:rsidRDefault="00BE1EFE" w:rsidP="00F14C6D">
      <w:r>
        <w:separator/>
      </w:r>
    </w:p>
  </w:endnote>
  <w:endnote w:type="continuationSeparator" w:id="0">
    <w:p w14:paraId="1ED75EC1" w14:textId="77777777" w:rsidR="00BE1EFE" w:rsidRDefault="00BE1EFE" w:rsidP="00F14C6D">
      <w:r>
        <w:continuationSeparator/>
      </w:r>
    </w:p>
  </w:endnote>
  <w:endnote w:type="continuationNotice" w:id="1">
    <w:p w14:paraId="04EFCEC4" w14:textId="77777777" w:rsidR="00BE1EFE" w:rsidRDefault="00BE1EFE">
      <w:pPr>
        <w:spacing w:before="0" w:after="0"/>
      </w:pPr>
    </w:p>
  </w:endnote>
  <w:endnote w:id="2">
    <w:p w14:paraId="23F31196" w14:textId="77777777" w:rsidR="0077114F" w:rsidRDefault="0077114F" w:rsidP="0077114F">
      <w:pPr>
        <w:pStyle w:val="EndnoteText"/>
      </w:pPr>
      <w:r>
        <w:rPr>
          <w:rStyle w:val="EndnoteReference"/>
        </w:rPr>
        <w:endnoteRef/>
      </w:r>
      <w:r>
        <w:t xml:space="preserve"> United Nations Subcommittee on Prevention of Torture and Other Cruel, Inhuman or Degrading Treatment or Punishment. Draft general comment No. 1 on places of deprivation of</w:t>
      </w:r>
    </w:p>
    <w:p w14:paraId="3EF66E86" w14:textId="77777777" w:rsidR="0077114F" w:rsidRPr="007655CF" w:rsidRDefault="0077114F" w:rsidP="0077114F">
      <w:pPr>
        <w:pStyle w:val="EndnoteText"/>
      </w:pPr>
      <w:r>
        <w:t>liberty (article 4) [6] &lt;</w:t>
      </w:r>
      <w:hyperlink r:id="rId1" w:history="1">
        <w:r w:rsidRPr="00314A72">
          <w:rPr>
            <w:rStyle w:val="Hyperlink"/>
          </w:rPr>
          <w:t>https://www.ohchr.org/sites/default/files/documents/hrbodies/spt-opcat/call-inputs/draft-GC1-on-art1-for-public-consultation-en.pdf</w:t>
        </w:r>
      </w:hyperlink>
      <w:r>
        <w:t xml:space="preserve">&gt; </w:t>
      </w:r>
    </w:p>
  </w:endnote>
  <w:endnote w:id="3">
    <w:p w14:paraId="0EFAEC04" w14:textId="77777777" w:rsidR="0077114F" w:rsidRDefault="0077114F" w:rsidP="0077114F">
      <w:pPr>
        <w:pStyle w:val="EndnoteText"/>
      </w:pPr>
      <w:r>
        <w:rPr>
          <w:rStyle w:val="EndnoteReference"/>
        </w:rPr>
        <w:endnoteRef/>
      </w:r>
      <w:r>
        <w:t xml:space="preserve"> Australian Human Rights Commission. Implementing OPCAT in Australia. (29 June 2020), 21</w:t>
      </w:r>
    </w:p>
    <w:p w14:paraId="4B3D070E" w14:textId="77777777" w:rsidR="0077114F" w:rsidRPr="006D22AC" w:rsidRDefault="0077114F" w:rsidP="0077114F">
      <w:pPr>
        <w:pStyle w:val="EndnoteText"/>
        <w:rPr>
          <w:lang w:val="en-US"/>
        </w:rPr>
      </w:pPr>
      <w:r>
        <w:t>&lt;</w:t>
      </w:r>
      <w:hyperlink r:id="rId2" w:history="1">
        <w:r w:rsidRPr="00314A72">
          <w:rPr>
            <w:rStyle w:val="Hyperlink"/>
          </w:rPr>
          <w:t>https://humanrights.gov.au/our-work/rights-and-freedoms/publications/implementing-opcataustralia-2020</w:t>
        </w:r>
      </w:hyperlink>
      <w:r>
        <w:t>&gt;</w:t>
      </w:r>
    </w:p>
  </w:endnote>
  <w:endnote w:id="4">
    <w:p w14:paraId="7F44875D" w14:textId="77777777" w:rsidR="0077114F" w:rsidRDefault="0077114F" w:rsidP="0077114F">
      <w:pPr>
        <w:pStyle w:val="EndnoteText"/>
      </w:pPr>
      <w:r>
        <w:rPr>
          <w:rStyle w:val="EndnoteReference"/>
        </w:rPr>
        <w:endnoteRef/>
      </w:r>
      <w:r>
        <w:t xml:space="preserve"> </w:t>
      </w:r>
      <w:r w:rsidRPr="00783303">
        <w:t xml:space="preserve">Commonwealth </w:t>
      </w:r>
      <w:r w:rsidRPr="0014257A">
        <w:t>Ombudsman</w:t>
      </w:r>
      <w:r>
        <w:t xml:space="preserve">. </w:t>
      </w:r>
      <w:r w:rsidRPr="0014257A">
        <w:t>Implementation of the Optional Protocol to the Convention against Torture and Other Cruel, Inhuman or Degrading Treatment or Punishment (OPCAT)</w:t>
      </w:r>
      <w:r>
        <w:t xml:space="preserve">. (September 2019), </w:t>
      </w:r>
      <w:r w:rsidRPr="0014257A">
        <w:t>8</w:t>
      </w:r>
      <w:r>
        <w:t xml:space="preserve"> &lt;</w:t>
      </w:r>
      <w:hyperlink r:id="rId3" w:history="1">
        <w:r w:rsidRPr="00314A72">
          <w:rPr>
            <w:rStyle w:val="Hyperlink"/>
          </w:rPr>
          <w:t>https://www.ombudsman.gov.au/__data/assets/pdf_file/0025/106657/Ombudsman-Report-Implementation-of-OPCAT.pdf</w:t>
        </w:r>
      </w:hyperlink>
      <w:r>
        <w:t>&gt;</w:t>
      </w:r>
    </w:p>
  </w:endnote>
  <w:endnote w:id="5">
    <w:p w14:paraId="0309EE7A" w14:textId="77777777" w:rsidR="0077114F" w:rsidRPr="00AB049C" w:rsidRDefault="0077114F" w:rsidP="0077114F">
      <w:pPr>
        <w:pStyle w:val="EndnoteText"/>
      </w:pPr>
      <w:r>
        <w:rPr>
          <w:rStyle w:val="EndnoteReference"/>
        </w:rPr>
        <w:endnoteRef/>
      </w:r>
      <w:r>
        <w:t xml:space="preserve"> Standing Senate Committee on Legal and Constitutional Affairs. Additional Estimates 2019-2020. </w:t>
      </w:r>
      <w:r w:rsidRPr="00E222E0">
        <w:t>LCC-AE20-50 - OPCAT obligations</w:t>
      </w:r>
      <w:r>
        <w:t>. (8 May 2020) &lt;</w:t>
      </w:r>
      <w:hyperlink r:id="rId4" w:history="1">
        <w:r w:rsidRPr="00314A72">
          <w:rPr>
            <w:rStyle w:val="Hyperlink"/>
          </w:rPr>
          <w:t>https://www.aph.gov.au/api/qon/downloadattachment?attachmentId=f458fc2e-bbf2-4ccc-8da8-49b246b437b6</w:t>
        </w:r>
      </w:hyperlink>
      <w:r>
        <w:t>&gt;</w:t>
      </w:r>
    </w:p>
  </w:endnote>
  <w:endnote w:id="6">
    <w:p w14:paraId="2F0E832E" w14:textId="77777777" w:rsidR="0077114F" w:rsidRPr="00A73E00" w:rsidRDefault="0077114F" w:rsidP="0077114F">
      <w:pPr>
        <w:pStyle w:val="EndnoteText"/>
        <w:rPr>
          <w:lang w:val="en-US"/>
        </w:rPr>
      </w:pPr>
      <w:r>
        <w:rPr>
          <w:rStyle w:val="EndnoteReference"/>
        </w:rPr>
        <w:endnoteRef/>
      </w:r>
      <w:r>
        <w:t xml:space="preserve"> Standing Senate Committee on Legal and Constitutional Affairs. Additional Estimates 2021-2022. </w:t>
      </w:r>
      <w:r w:rsidRPr="00A967A2">
        <w:t xml:space="preserve">LCC-AE22-029 - Implementation of obligations under OPCAT </w:t>
      </w:r>
      <w:r>
        <w:t>(25 March 2022) &lt;</w:t>
      </w:r>
      <w:hyperlink r:id="rId5" w:history="1">
        <w:r w:rsidRPr="00314A72">
          <w:rPr>
            <w:rStyle w:val="Hyperlink"/>
          </w:rPr>
          <w:t>https://www.aph.gov.au/api/qon/downloadattachment?attachmentId=e3da4ae3-d04e-4045-9e4d-723cdbf47af8</w:t>
        </w:r>
      </w:hyperlink>
      <w:r>
        <w:t>&gt;</w:t>
      </w:r>
    </w:p>
  </w:endnote>
  <w:endnote w:id="7">
    <w:p w14:paraId="5ACB52C7" w14:textId="77777777" w:rsidR="0077114F" w:rsidRPr="00C05816" w:rsidRDefault="0077114F" w:rsidP="0077114F">
      <w:pPr>
        <w:pStyle w:val="EndnoteText"/>
      </w:pPr>
      <w:r>
        <w:rPr>
          <w:rStyle w:val="EndnoteReference"/>
        </w:rPr>
        <w:endnoteRef/>
      </w:r>
      <w:r>
        <w:t xml:space="preserve"> United Nations Committee Against Torture. Concluding observations on the sixth periodic report of Australia [41] &lt;</w:t>
      </w:r>
      <w:hyperlink r:id="rId6" w:history="1">
        <w:r w:rsidRPr="00314A72">
          <w:rPr>
            <w:rStyle w:val="Hyperlink"/>
          </w:rPr>
          <w:t>https://docstore.ohchr.org/SelfServices/FilesHandler.ashx?enc=6QkG1d%2FPPRiCAqhKb7yhsoQ6oVJgGLf6YX4ROs1VbzEru4wycL%2FqQoIrzLep%2BJZyT2kIvroOhuMbJG1ioCx4Z3eXyrZ%2FkEdUDMwgHAnBoh1QacztVksYlBc05kmHLUTZ</w:t>
        </w:r>
      </w:hyperlink>
      <w:r>
        <w:t>&gt;</w:t>
      </w:r>
    </w:p>
  </w:endnote>
  <w:endnote w:id="8">
    <w:p w14:paraId="45338FAF" w14:textId="77777777" w:rsidR="0077114F" w:rsidRDefault="0077114F" w:rsidP="0077114F">
      <w:pPr>
        <w:pStyle w:val="EndnoteText"/>
      </w:pPr>
      <w:r>
        <w:rPr>
          <w:rStyle w:val="EndnoteReference"/>
        </w:rPr>
        <w:endnoteRef/>
      </w:r>
      <w:r>
        <w:t xml:space="preserve"> Australian Human Rights Commission. Implementing OPCAT in Australia. (29 June 2020), 44</w:t>
      </w:r>
    </w:p>
    <w:p w14:paraId="661BFBEC" w14:textId="77777777" w:rsidR="0077114F" w:rsidRPr="0003030F" w:rsidRDefault="0077114F" w:rsidP="0077114F">
      <w:pPr>
        <w:pStyle w:val="EndnoteText"/>
        <w:rPr>
          <w:lang w:val="en-US"/>
        </w:rPr>
      </w:pPr>
      <w:r>
        <w:t>&lt;</w:t>
      </w:r>
      <w:hyperlink r:id="rId7" w:history="1">
        <w:r w:rsidRPr="00314A72">
          <w:rPr>
            <w:rStyle w:val="Hyperlink"/>
          </w:rPr>
          <w:t>https://humanrights.gov.au/our-work/rights-and-freedoms/publications/implementing-opcataustralia-2020</w:t>
        </w:r>
      </w:hyperlink>
      <w:r>
        <w:t xml:space="preserve">&gt;; Australian Human Rights Commission. </w:t>
      </w:r>
      <w:r w:rsidRPr="00D92E80">
        <w:t>National Preventive Mechanisms: a formal safeguard for people with disability Submission to the Royal Commission into Violence, Abuse, Neglect and Exploitation of People with Disability</w:t>
      </w:r>
      <w:r>
        <w:t>. (23 September 2022), pp 8-11 &lt;</w:t>
      </w:r>
      <w:hyperlink r:id="rId8" w:history="1">
        <w:r w:rsidRPr="00314A72">
          <w:rPr>
            <w:rStyle w:val="Hyperlink"/>
          </w:rPr>
          <w:t>https://humanrights.gov.au/sites/default/files/submission_to_the_royal_commission_into_violence_abuse_neglect_and_exploitation_of_people_with_disability_2.pdf</w:t>
        </w:r>
      </w:hyperlink>
      <w:r>
        <w:t>&gt;; Australian Human Rights Commission. Roadmap to OPCAT Compliance (17 October 2022), pp11-12 &lt;</w:t>
      </w:r>
      <w:hyperlink r:id="rId9" w:history="1">
        <w:r w:rsidRPr="00314A72">
          <w:rPr>
            <w:rStyle w:val="Hyperlink"/>
          </w:rPr>
          <w:t>https://humanrights.gov.au/sites/default/files/opcat_road_map_0.pdf</w:t>
        </w:r>
      </w:hyperlink>
      <w:r>
        <w:t>&gt;</w:t>
      </w:r>
    </w:p>
  </w:endnote>
  <w:endnote w:id="9">
    <w:p w14:paraId="5A9C7449" w14:textId="77777777" w:rsidR="0077114F" w:rsidRDefault="0077114F" w:rsidP="0077114F">
      <w:pPr>
        <w:pStyle w:val="EndnoteText"/>
      </w:pPr>
      <w:r>
        <w:rPr>
          <w:rStyle w:val="EndnoteReference"/>
        </w:rPr>
        <w:endnoteRef/>
      </w:r>
      <w:r>
        <w:t xml:space="preserve"> Australian Human Rights Commission. Implementing OPCAT in Australia. (29 June 2020), 44</w:t>
      </w:r>
    </w:p>
    <w:p w14:paraId="3F25EF68" w14:textId="77777777" w:rsidR="0077114F" w:rsidRPr="004B1934" w:rsidRDefault="0077114F" w:rsidP="0077114F">
      <w:pPr>
        <w:pStyle w:val="EndnoteText"/>
        <w:rPr>
          <w:lang w:val="en-US"/>
        </w:rPr>
      </w:pPr>
      <w:r>
        <w:t>&lt;</w:t>
      </w:r>
      <w:hyperlink r:id="rId10" w:history="1">
        <w:r w:rsidRPr="00314A72">
          <w:rPr>
            <w:rStyle w:val="Hyperlink"/>
          </w:rPr>
          <w:t>https://humanrights.gov.au/our-work/rights-and-freedoms/publications/implementing-opcataustralia-2020</w:t>
        </w:r>
      </w:hyperlink>
      <w:r>
        <w:t>&gt;;</w:t>
      </w:r>
    </w:p>
  </w:endnote>
  <w:endnote w:id="10">
    <w:p w14:paraId="2D5E4F49" w14:textId="77777777" w:rsidR="0077114F" w:rsidRPr="001E5A22" w:rsidRDefault="0077114F" w:rsidP="0077114F">
      <w:pPr>
        <w:pStyle w:val="EndnoteText"/>
        <w:rPr>
          <w:lang w:val="en-US"/>
        </w:rPr>
      </w:pPr>
      <w:r>
        <w:rPr>
          <w:rStyle w:val="EndnoteReference"/>
        </w:rPr>
        <w:endnoteRef/>
      </w:r>
      <w:r>
        <w:t xml:space="preserve"> United Nations Committee Against Torture. Concluding observations on the sixth periodic report of Australia [41] &lt;</w:t>
      </w:r>
      <w:hyperlink r:id="rId11" w:history="1">
        <w:r w:rsidRPr="00314A72">
          <w:rPr>
            <w:rStyle w:val="Hyperlink"/>
          </w:rPr>
          <w:t>https://docstore.ohchr.org/SelfServices/FilesHandler.ashx?enc=6QkG1d%2FPPRiCAqhKb7yhsoQ6oVJgGLf6YX4ROs1VbzEru4wycL%2FqQoIrzLep%2BJZyT2kIvroOhuMbJG1ioCx4Z3eXyrZ%2FkEdUDMwgHAnBoh1QacztVksYlBc05kmHLUTZ</w:t>
        </w:r>
      </w:hyperlink>
      <w:r>
        <w:t>&gt;</w:t>
      </w:r>
    </w:p>
  </w:endnote>
  <w:endnote w:id="11">
    <w:p w14:paraId="16146995" w14:textId="77777777" w:rsidR="0077114F" w:rsidRPr="00A41277" w:rsidRDefault="0077114F" w:rsidP="0077114F">
      <w:pPr>
        <w:pStyle w:val="EndnoteText"/>
        <w:rPr>
          <w:lang w:val="en-US"/>
        </w:rPr>
      </w:pPr>
      <w:r>
        <w:rPr>
          <w:rStyle w:val="EndnoteReference"/>
        </w:rPr>
        <w:endnoteRef/>
      </w:r>
      <w:r>
        <w:t xml:space="preserve"> Standing Senate Committee on Legal and Constitutional Affairs. Supplementary Budget Estimates 2019-2020. </w:t>
      </w:r>
      <w:r w:rsidRPr="00B500E7">
        <w:t xml:space="preserve">LCC-SBE19-141 - OPCAT - National Preventive Mechanism </w:t>
      </w:r>
      <w:r>
        <w:t>(4 February 2020) &lt;</w:t>
      </w:r>
      <w:hyperlink r:id="rId12" w:history="1">
        <w:r w:rsidRPr="00314A72">
          <w:rPr>
            <w:rStyle w:val="Hyperlink"/>
          </w:rPr>
          <w:t>https://www.aph.gov.au/api/qon/downloadattachment?attachmentId=b5bb497e-4175-432b-be2b-a8d17c839ad7</w:t>
        </w:r>
      </w:hyperlink>
      <w:r>
        <w:t>&gt;</w:t>
      </w:r>
    </w:p>
  </w:endnote>
  <w:endnote w:id="12">
    <w:p w14:paraId="2823263D" w14:textId="77777777" w:rsidR="0077114F" w:rsidRPr="00244AD5" w:rsidRDefault="0077114F" w:rsidP="0077114F">
      <w:pPr>
        <w:pStyle w:val="EndnoteText"/>
        <w:rPr>
          <w:lang w:val="en-US"/>
        </w:rPr>
      </w:pPr>
      <w:r>
        <w:rPr>
          <w:rStyle w:val="EndnoteReference"/>
        </w:rPr>
        <w:endnoteRef/>
      </w:r>
      <w:r>
        <w:t xml:space="preserve"> </w:t>
      </w:r>
      <w:r>
        <w:rPr>
          <w:lang w:val="en-US"/>
        </w:rPr>
        <w:t xml:space="preserve">Manfred Nowak. </w:t>
      </w:r>
      <w:r w:rsidRPr="00D10045">
        <w:rPr>
          <w:lang w:val="en-US"/>
        </w:rPr>
        <w:t>OPCAT series: Australia’s obligations under OPCAT: The challenging task of establishing an effective NPM in a federal state</w:t>
      </w:r>
      <w:r>
        <w:rPr>
          <w:lang w:val="en-US"/>
        </w:rPr>
        <w:t xml:space="preserve">. </w:t>
      </w:r>
      <w:r w:rsidRPr="00DC48A2">
        <w:rPr>
          <w:lang w:val="en-US"/>
        </w:rPr>
        <w:t>UWA Public Policy Institute</w:t>
      </w:r>
      <w:r>
        <w:rPr>
          <w:lang w:val="en-US"/>
        </w:rPr>
        <w:t>. (16 December 2019) &lt;</w:t>
      </w:r>
      <w:hyperlink r:id="rId13" w:history="1">
        <w:r w:rsidRPr="00314A72">
          <w:rPr>
            <w:rStyle w:val="Hyperlink"/>
            <w:lang w:val="en-US"/>
          </w:rPr>
          <w:t>https://www.news.uwa.edu.au/archive/2019121611779/uwa-public-policy-institute/opcat-series-australia-s-obligations-under-opcat-challengi/</w:t>
        </w:r>
      </w:hyperlink>
      <w:r>
        <w:rPr>
          <w:lang w:val="en-US"/>
        </w:rPr>
        <w:t>&gt;</w:t>
      </w:r>
    </w:p>
  </w:endnote>
  <w:endnote w:id="13">
    <w:p w14:paraId="677EB2F9" w14:textId="77777777" w:rsidR="0077114F" w:rsidRPr="00562849" w:rsidRDefault="0077114F" w:rsidP="0077114F">
      <w:pPr>
        <w:pStyle w:val="EndnoteText"/>
        <w:rPr>
          <w:lang w:val="en-US"/>
        </w:rPr>
      </w:pPr>
      <w:r>
        <w:rPr>
          <w:rStyle w:val="EndnoteReference"/>
        </w:rPr>
        <w:endnoteRef/>
      </w:r>
      <w:r>
        <w:t xml:space="preserve"> </w:t>
      </w:r>
      <w:r>
        <w:rPr>
          <w:lang w:val="en-US"/>
        </w:rPr>
        <w:t>Ibid.</w:t>
      </w:r>
    </w:p>
  </w:endnote>
  <w:endnote w:id="14">
    <w:p w14:paraId="02A4D8DF" w14:textId="77777777" w:rsidR="0077114F" w:rsidRPr="000C2FCC" w:rsidRDefault="0077114F" w:rsidP="0077114F">
      <w:pPr>
        <w:pStyle w:val="EndnoteText"/>
        <w:rPr>
          <w:lang w:val="en-US"/>
        </w:rPr>
      </w:pPr>
      <w:r>
        <w:rPr>
          <w:rStyle w:val="EndnoteReference"/>
        </w:rPr>
        <w:endnoteRef/>
      </w:r>
      <w:r>
        <w:t xml:space="preserve"> Parliament of Tasmania. House of Assembly. Report of Debates. (28 October 2021), 50. &lt;</w:t>
      </w:r>
      <w:hyperlink r:id="rId14" w:history="1">
        <w:r w:rsidRPr="00314A72">
          <w:rPr>
            <w:rStyle w:val="Hyperlink"/>
          </w:rPr>
          <w:t>https://www.parliament.tas.gov.au/ParliamentSearch/isysquery/f75f70b4-62ba-4abc-b015-6466e136dd98/1/doc/</w:t>
        </w:r>
      </w:hyperlink>
      <w:r>
        <w:t>&gt;</w:t>
      </w:r>
    </w:p>
  </w:endnote>
  <w:endnote w:id="15">
    <w:p w14:paraId="09209165" w14:textId="77777777" w:rsidR="0077114F" w:rsidRPr="00211FA2" w:rsidRDefault="0077114F" w:rsidP="0077114F">
      <w:pPr>
        <w:pStyle w:val="EndnoteText"/>
        <w:rPr>
          <w:lang w:val="en-US"/>
        </w:rPr>
      </w:pPr>
      <w:r>
        <w:rPr>
          <w:rStyle w:val="EndnoteReference"/>
        </w:rPr>
        <w:endnoteRef/>
      </w:r>
      <w:r>
        <w:t xml:space="preserve"> Queensland Department of Justice and Attorney-General. Departmental response to submissions. (20 January 2023). &lt;</w:t>
      </w:r>
      <w:hyperlink r:id="rId15" w:history="1">
        <w:r w:rsidRPr="00314A72">
          <w:rPr>
            <w:rStyle w:val="Hyperlink"/>
          </w:rPr>
          <w:t>https://documents.parliament.qld.gov.au/com/LASC-C96E/CSETSOLAB2-2E69/Departmental%20Response%20to%20LASC%20-%20OPCAT%20Bill%202.pdf</w:t>
        </w:r>
      </w:hyperlink>
      <w:r>
        <w:t>&gt;</w:t>
      </w:r>
    </w:p>
  </w:endnote>
  <w:endnote w:id="16">
    <w:p w14:paraId="406C5E1D" w14:textId="77777777" w:rsidR="00C56CA8" w:rsidRPr="00CF24B2" w:rsidRDefault="00C56CA8" w:rsidP="00C56CA8">
      <w:pPr>
        <w:pStyle w:val="EndnoteText"/>
        <w:rPr>
          <w:lang w:val="en-US"/>
        </w:rPr>
      </w:pPr>
      <w:r>
        <w:rPr>
          <w:rStyle w:val="EndnoteReference"/>
        </w:rPr>
        <w:endnoteRef/>
      </w:r>
      <w:r>
        <w:t xml:space="preserve"> </w:t>
      </w:r>
      <w:r>
        <w:rPr>
          <w:lang w:val="en-US"/>
        </w:rPr>
        <w:t xml:space="preserve">United Nations Human Rights Council. </w:t>
      </w:r>
      <w:r w:rsidRPr="006528A4">
        <w:rPr>
          <w:lang w:val="en-US"/>
        </w:rPr>
        <w:t>Rights of persons with disabilities</w:t>
      </w:r>
      <w:r>
        <w:rPr>
          <w:lang w:val="en-US"/>
        </w:rPr>
        <w:t xml:space="preserve">: </w:t>
      </w:r>
      <w:r w:rsidRPr="006528A4">
        <w:rPr>
          <w:lang w:val="en-US"/>
        </w:rPr>
        <w:t>Report of the Special Rapporteur on the rights of persons with</w:t>
      </w:r>
      <w:r>
        <w:rPr>
          <w:lang w:val="en-US"/>
        </w:rPr>
        <w:t xml:space="preserve"> </w:t>
      </w:r>
      <w:r w:rsidRPr="006528A4">
        <w:rPr>
          <w:lang w:val="en-US"/>
        </w:rPr>
        <w:t>disabilitie</w:t>
      </w:r>
      <w:r>
        <w:rPr>
          <w:lang w:val="en-US"/>
        </w:rPr>
        <w:t>s. (</w:t>
      </w:r>
      <w:r>
        <w:t>11 January 2019) [14]</w:t>
      </w:r>
    </w:p>
  </w:endnote>
  <w:endnote w:id="17">
    <w:p w14:paraId="186361AB" w14:textId="77777777" w:rsidR="00C56CA8" w:rsidRPr="009C4831" w:rsidRDefault="00C56CA8" w:rsidP="00C56CA8">
      <w:pPr>
        <w:pStyle w:val="EndnoteText"/>
        <w:rPr>
          <w:lang w:val="en-US"/>
        </w:rPr>
      </w:pPr>
      <w:r>
        <w:rPr>
          <w:rStyle w:val="EndnoteReference"/>
        </w:rPr>
        <w:endnoteRef/>
      </w:r>
      <w:r>
        <w:t xml:space="preserve"> </w:t>
      </w:r>
      <w:r>
        <w:rPr>
          <w:lang w:val="en-US"/>
        </w:rPr>
        <w:t xml:space="preserve">United Nations Human Rights Council. </w:t>
      </w:r>
      <w:r w:rsidRPr="006528A4">
        <w:rPr>
          <w:lang w:val="en-US"/>
        </w:rPr>
        <w:t>Rights of persons with disabilities</w:t>
      </w:r>
      <w:r>
        <w:rPr>
          <w:lang w:val="en-US"/>
        </w:rPr>
        <w:t xml:space="preserve">: </w:t>
      </w:r>
      <w:r w:rsidRPr="006528A4">
        <w:rPr>
          <w:lang w:val="en-US"/>
        </w:rPr>
        <w:t>Report of the Special Rapporteur on the rights of persons with</w:t>
      </w:r>
      <w:r>
        <w:rPr>
          <w:lang w:val="en-US"/>
        </w:rPr>
        <w:t xml:space="preserve"> </w:t>
      </w:r>
      <w:r w:rsidRPr="006528A4">
        <w:rPr>
          <w:lang w:val="en-US"/>
        </w:rPr>
        <w:t>disabilitie</w:t>
      </w:r>
      <w:r>
        <w:rPr>
          <w:lang w:val="en-US"/>
        </w:rPr>
        <w:t>s. (</w:t>
      </w:r>
      <w:r>
        <w:t>11 January 2019) [85]</w:t>
      </w:r>
    </w:p>
  </w:endnote>
  <w:endnote w:id="18">
    <w:p w14:paraId="37A69C83" w14:textId="77777777" w:rsidR="00C56CA8" w:rsidRPr="006C1C3C" w:rsidRDefault="00C56CA8" w:rsidP="00C56CA8">
      <w:pPr>
        <w:pStyle w:val="EndnoteText"/>
        <w:rPr>
          <w:lang w:val="en-US"/>
        </w:rPr>
      </w:pPr>
      <w:r>
        <w:rPr>
          <w:rStyle w:val="EndnoteReference"/>
        </w:rPr>
        <w:endnoteRef/>
      </w:r>
      <w:r>
        <w:t xml:space="preserve"> </w:t>
      </w:r>
      <w:r>
        <w:rPr>
          <w:lang w:val="en-US"/>
        </w:rPr>
        <w:t xml:space="preserve">United Nations Human Rights Council. </w:t>
      </w:r>
      <w:r w:rsidRPr="00455EE9">
        <w:rPr>
          <w:lang w:val="en-US"/>
        </w:rPr>
        <w:t>Older persons deprived of liberty</w:t>
      </w:r>
      <w:r>
        <w:rPr>
          <w:lang w:val="en-US"/>
        </w:rPr>
        <w:t xml:space="preserve"> </w:t>
      </w:r>
      <w:r w:rsidRPr="00455EE9">
        <w:rPr>
          <w:lang w:val="en-US"/>
        </w:rPr>
        <w:t>Report of the Independent Expert on the enjoyment of all human rights</w:t>
      </w:r>
      <w:r>
        <w:rPr>
          <w:lang w:val="en-US"/>
        </w:rPr>
        <w:t xml:space="preserve"> </w:t>
      </w:r>
      <w:r w:rsidRPr="00455EE9">
        <w:rPr>
          <w:lang w:val="en-US"/>
        </w:rPr>
        <w:t>by older persons, Claudia Mahler</w:t>
      </w:r>
      <w:r>
        <w:rPr>
          <w:lang w:val="en-US"/>
        </w:rPr>
        <w:t xml:space="preserve"> (9 August 2022) [56]</w:t>
      </w:r>
    </w:p>
  </w:endnote>
  <w:endnote w:id="19">
    <w:p w14:paraId="0DCF1AB2" w14:textId="77777777" w:rsidR="00C56CA8" w:rsidRPr="00E64341" w:rsidRDefault="00C56CA8" w:rsidP="00C56CA8">
      <w:pPr>
        <w:pStyle w:val="EndnoteText"/>
        <w:rPr>
          <w:lang w:val="en-US"/>
        </w:rPr>
      </w:pPr>
      <w:r>
        <w:rPr>
          <w:rStyle w:val="EndnoteReference"/>
        </w:rPr>
        <w:endnoteRef/>
      </w:r>
      <w:r>
        <w:t xml:space="preserve"> Australian Human Rights Commission. </w:t>
      </w:r>
      <w:r w:rsidRPr="00D92E80">
        <w:t>National Preventive Mechanisms: a formal safeguard for people with disability Submission to the Royal Commission into Violence, Abuse, Neglect and Exploitation of People with Disability</w:t>
      </w:r>
      <w:r>
        <w:t>. (23 September 2022), 12 &lt;</w:t>
      </w:r>
      <w:hyperlink r:id="rId16" w:history="1">
        <w:r w:rsidRPr="00314A72">
          <w:rPr>
            <w:rStyle w:val="Hyperlink"/>
          </w:rPr>
          <w:t>https://humanrights.gov.au/sites/default/files/submission_to_the_royal_commission_into_violence_abuse_neglect_and_exploitation_of_people_with_disability_2.pdf</w:t>
        </w:r>
      </w:hyperlink>
      <w:r>
        <w:t>&gt;</w:t>
      </w:r>
    </w:p>
  </w:endnote>
  <w:endnote w:id="20">
    <w:p w14:paraId="417693E1" w14:textId="77777777" w:rsidR="0077114F" w:rsidRPr="009B69D9" w:rsidRDefault="0077114F" w:rsidP="0077114F">
      <w:pPr>
        <w:pStyle w:val="EndnoteText"/>
        <w:rPr>
          <w:lang w:val="en-US"/>
        </w:rPr>
      </w:pPr>
      <w:r>
        <w:rPr>
          <w:rStyle w:val="EndnoteReference"/>
        </w:rPr>
        <w:endnoteRef/>
      </w:r>
      <w:r>
        <w:t xml:space="preserve"> United Nations Subcommittee on Prevention of Torture and Other Cruel, Inhuman or Degrading Treatment or Punishment.</w:t>
      </w:r>
      <w:r w:rsidRPr="00602BFF">
        <w:t xml:space="preserve"> </w:t>
      </w:r>
      <w:r>
        <w:t>Ninth annual report of the Subcommittee on Prevention of Torture and Other Cruel, Inhuman or Degrading Treatment or Punishment. Annex Compilation of advice provided by the Subcommittee in response to requests from national preventive mechanisms (22 March 2016) [3] &lt;</w:t>
      </w:r>
      <w:hyperlink r:id="rId17" w:history="1">
        <w:r w:rsidRPr="00314A72">
          <w:rPr>
            <w:rStyle w:val="Hyperlink"/>
          </w:rPr>
          <w:t>https://documents-dds-ny.un.org/doc/UNDOC/GEN/G16/059/73/PDF/G1605973.pdf?OpenElement</w:t>
        </w:r>
      </w:hyperlink>
      <w:r>
        <w:t xml:space="preserve">&gt; </w:t>
      </w:r>
    </w:p>
  </w:endnote>
  <w:endnote w:id="21">
    <w:p w14:paraId="7D13F472" w14:textId="77777777" w:rsidR="0077114F" w:rsidRPr="006D7460" w:rsidRDefault="0077114F" w:rsidP="0077114F">
      <w:pPr>
        <w:pStyle w:val="EndnoteText"/>
        <w:rPr>
          <w:lang w:val="en-US"/>
        </w:rPr>
      </w:pPr>
      <w:r>
        <w:rPr>
          <w:rStyle w:val="EndnoteReference"/>
        </w:rPr>
        <w:endnoteRef/>
      </w:r>
      <w:r>
        <w:t xml:space="preserve"> The Hon. Julie Bishop MP. </w:t>
      </w:r>
      <w:r w:rsidRPr="00634F15">
        <w:t>Joint doorstop interview</w:t>
      </w:r>
      <w:r>
        <w:t>. (9 February 2017) &lt;</w:t>
      </w:r>
      <w:hyperlink r:id="rId18" w:history="1">
        <w:r w:rsidRPr="00314A72">
          <w:rPr>
            <w:rStyle w:val="Hyperlink"/>
          </w:rPr>
          <w:t>https://www.foreignminister.gov.au/minister/julie-bishop/transcript-eoe/joint-doorstop-interview</w:t>
        </w:r>
      </w:hyperlink>
      <w:r>
        <w:t xml:space="preserve">&gt; ; Standing Senate Committee on Legal and Constitutional Affairs. Supplementary Budget Estimates 2017. </w:t>
      </w:r>
      <w:r w:rsidRPr="00FF45E0">
        <w:t>SBE17-074 - Ratification of and obligations to the OPCAT</w:t>
      </w:r>
      <w:r>
        <w:t xml:space="preserve"> (14 February 2018) &lt;</w:t>
      </w:r>
      <w:hyperlink r:id="rId19" w:history="1">
        <w:r w:rsidRPr="00314A72">
          <w:rPr>
            <w:rStyle w:val="Hyperlink"/>
          </w:rPr>
          <w:t>https://www.aph.gov.au/api/qon/downloadattachment?attachmentId=ce89c0a3-228f-4876-ab18-b852d0b5f9ff</w:t>
        </w:r>
      </w:hyperlink>
      <w:r>
        <w:t>&gt;</w:t>
      </w:r>
    </w:p>
  </w:endnote>
  <w:endnote w:id="22">
    <w:p w14:paraId="0195A28B" w14:textId="77777777" w:rsidR="0077114F" w:rsidRPr="00E71A53" w:rsidRDefault="0077114F" w:rsidP="0077114F">
      <w:pPr>
        <w:pStyle w:val="EndnoteText"/>
        <w:rPr>
          <w:lang w:val="en-US"/>
        </w:rPr>
      </w:pPr>
      <w:r>
        <w:rPr>
          <w:rStyle w:val="EndnoteReference"/>
        </w:rPr>
        <w:endnoteRef/>
      </w:r>
      <w:r>
        <w:t xml:space="preserve"> </w:t>
      </w:r>
      <w:r>
        <w:rPr>
          <w:lang w:val="en-US"/>
        </w:rPr>
        <w:t xml:space="preserve">Australian Human Rights Commission. </w:t>
      </w:r>
      <w:r w:rsidRPr="002F1AF2">
        <w:rPr>
          <w:lang w:val="en-US"/>
        </w:rPr>
        <w:t>Inquiry into the incident at the</w:t>
      </w:r>
      <w:r>
        <w:rPr>
          <w:lang w:val="en-US"/>
        </w:rPr>
        <w:t xml:space="preserve"> </w:t>
      </w:r>
      <w:r w:rsidRPr="002F1AF2">
        <w:rPr>
          <w:lang w:val="en-US"/>
        </w:rPr>
        <w:t>Manus Island Detention Centre</w:t>
      </w:r>
      <w:r>
        <w:rPr>
          <w:lang w:val="en-US"/>
        </w:rPr>
        <w:t xml:space="preserve"> </w:t>
      </w:r>
      <w:r w:rsidRPr="002F1AF2">
        <w:rPr>
          <w:lang w:val="en-US"/>
        </w:rPr>
        <w:t>from 16 February to 18 February</w:t>
      </w:r>
      <w:r>
        <w:rPr>
          <w:lang w:val="en-US"/>
        </w:rPr>
        <w:t>: Australian Human Rights Commission Submission to the Senate Legal and Constitutional Affairs References Committee (16 May 2014) pp 4-5 &lt;</w:t>
      </w:r>
      <w:hyperlink r:id="rId20" w:history="1">
        <w:r w:rsidRPr="00314A72">
          <w:rPr>
            <w:rStyle w:val="Hyperlink"/>
            <w:lang w:val="en-US"/>
          </w:rPr>
          <w:t>https://humanrights.gov.au/sites/default/files/20140516_Manus_Submission.pdf</w:t>
        </w:r>
      </w:hyperlink>
      <w:r>
        <w:rPr>
          <w:lang w:val="en-US"/>
        </w:rPr>
        <w:t xml:space="preserve">&gt;; Australian Human Rights Commission. </w:t>
      </w:r>
      <w:r w:rsidRPr="00B40B8E">
        <w:rPr>
          <w:lang w:val="en-US"/>
        </w:rPr>
        <w:t>Ms BK, Ms CO and Mr DE</w:t>
      </w:r>
      <w:r>
        <w:rPr>
          <w:lang w:val="en-US"/>
        </w:rPr>
        <w:t xml:space="preserve"> </w:t>
      </w:r>
      <w:r w:rsidRPr="00B40B8E">
        <w:rPr>
          <w:lang w:val="en-US"/>
        </w:rPr>
        <w:t>on behalf of themselves</w:t>
      </w:r>
      <w:r>
        <w:rPr>
          <w:lang w:val="en-US"/>
        </w:rPr>
        <w:t xml:space="preserve"> </w:t>
      </w:r>
      <w:r w:rsidRPr="00B40B8E">
        <w:rPr>
          <w:lang w:val="en-US"/>
        </w:rPr>
        <w:t>and their families v</w:t>
      </w:r>
      <w:r>
        <w:rPr>
          <w:lang w:val="en-US"/>
        </w:rPr>
        <w:t xml:space="preserve"> </w:t>
      </w:r>
      <w:r w:rsidRPr="00B40B8E">
        <w:rPr>
          <w:lang w:val="en-US"/>
        </w:rPr>
        <w:t>Commonwealth of Australia</w:t>
      </w:r>
      <w:r>
        <w:rPr>
          <w:lang w:val="en-US"/>
        </w:rPr>
        <w:t xml:space="preserve"> </w:t>
      </w:r>
      <w:r w:rsidRPr="00B40B8E">
        <w:rPr>
          <w:lang w:val="en-US"/>
        </w:rPr>
        <w:t>(Department of Home Affairs)</w:t>
      </w:r>
      <w:r>
        <w:rPr>
          <w:lang w:val="en-US"/>
        </w:rPr>
        <w:t xml:space="preserve"> (2018), 10 &lt;</w:t>
      </w:r>
      <w:hyperlink r:id="rId21" w:history="1">
        <w:r w:rsidRPr="00314A72">
          <w:rPr>
            <w:rStyle w:val="Hyperlink"/>
            <w:lang w:val="en-US"/>
          </w:rPr>
          <w:t>https://humanrights.gov.au/sites/default/files/document/publication/2018_aushrc_128_final_web_version.pdf</w:t>
        </w:r>
      </w:hyperlink>
      <w:r>
        <w:rPr>
          <w:lang w:val="en-US"/>
        </w:rPr>
        <w:t xml:space="preserve">&gt;; Australian Human Rights Commission. </w:t>
      </w:r>
      <w:r w:rsidRPr="00E71A53">
        <w:rPr>
          <w:lang w:val="en-US"/>
        </w:rPr>
        <w:t>Submission to the Committee</w:t>
      </w:r>
    </w:p>
    <w:p w14:paraId="64895BFA" w14:textId="77777777" w:rsidR="0077114F" w:rsidRPr="00877BC3" w:rsidRDefault="0077114F" w:rsidP="0077114F">
      <w:pPr>
        <w:pStyle w:val="EndnoteText"/>
        <w:rPr>
          <w:lang w:val="en-US"/>
        </w:rPr>
      </w:pPr>
      <w:r w:rsidRPr="00E71A53">
        <w:rPr>
          <w:lang w:val="en-US"/>
        </w:rPr>
        <w:t>Against Torture</w:t>
      </w:r>
      <w:r>
        <w:rPr>
          <w:lang w:val="en-US"/>
        </w:rPr>
        <w:t xml:space="preserve"> (October 2022) pp12-13 &lt;</w:t>
      </w:r>
      <w:hyperlink r:id="rId22" w:history="1">
        <w:r w:rsidRPr="00314A72">
          <w:rPr>
            <w:rStyle w:val="Hyperlink"/>
            <w:lang w:val="en-US"/>
          </w:rPr>
          <w:t>https://humanrights.gov.au/sites/default/files/submission_to_the_committee_against_torture_2022_0.pdf</w:t>
        </w:r>
      </w:hyperlink>
      <w:r>
        <w:rPr>
          <w:lang w:val="en-US"/>
        </w:rPr>
        <w:t>&gt;</w:t>
      </w:r>
    </w:p>
  </w:endnote>
  <w:endnote w:id="23">
    <w:p w14:paraId="0990E05A" w14:textId="6BD9FF46" w:rsidR="000A1B92" w:rsidRPr="00B7430C" w:rsidRDefault="000A1B92" w:rsidP="00EB2DC8">
      <w:pPr>
        <w:pStyle w:val="EndnoteText"/>
        <w:rPr>
          <w:lang w:val="en-US"/>
        </w:rPr>
      </w:pPr>
      <w:r>
        <w:rPr>
          <w:rStyle w:val="EndnoteReference"/>
        </w:rPr>
        <w:endnoteRef/>
      </w:r>
      <w:r>
        <w:t xml:space="preserve"> United Nations Subcommittee on Prevention of Torture and Other Cruel, Inhuman or Degrading Treatment or Punishment.</w:t>
      </w:r>
      <w:r w:rsidRPr="00602BFF">
        <w:t xml:space="preserve"> </w:t>
      </w:r>
      <w:r>
        <w:t>Ninth annual report of the Subcommittee on Prevention of Torture and Other Cruel, Inhuman or Degrading Treatment or Punishment. Annex Compilation of advice provided by the Subcommittee in response to requests from national preventive mechanisms (22 March 2016) [26-31] &lt;</w:t>
      </w:r>
      <w:hyperlink r:id="rId23" w:history="1">
        <w:r w:rsidRPr="00314A72">
          <w:rPr>
            <w:rStyle w:val="Hyperlink"/>
          </w:rPr>
          <w:t>https://documents-dds-ny.un.org/doc/UNDOC/GEN/G16/059/73/PDF/G1605973.pdf?OpenElement</w:t>
        </w:r>
      </w:hyperlink>
      <w:r>
        <w:t xml:space="preserve">&gt; </w:t>
      </w:r>
      <w:r w:rsidR="00EB2DC8">
        <w:t xml:space="preserve">; </w:t>
      </w:r>
      <w:r w:rsidR="00EB2DC8">
        <w:rPr>
          <w:lang w:val="en-US"/>
        </w:rPr>
        <w:t xml:space="preserve">Australian Human Rights Commission. </w:t>
      </w:r>
      <w:r w:rsidR="00EB2DC8" w:rsidRPr="00E71A53">
        <w:rPr>
          <w:lang w:val="en-US"/>
        </w:rPr>
        <w:t>Submission to the Committee</w:t>
      </w:r>
      <w:r w:rsidR="00EB2DC8">
        <w:rPr>
          <w:lang w:val="en-US"/>
        </w:rPr>
        <w:t xml:space="preserve"> </w:t>
      </w:r>
      <w:r w:rsidR="00EB2DC8" w:rsidRPr="00E71A53">
        <w:rPr>
          <w:lang w:val="en-US"/>
        </w:rPr>
        <w:t>Against Torture</w:t>
      </w:r>
      <w:r w:rsidR="00EB2DC8">
        <w:rPr>
          <w:lang w:val="en-US"/>
        </w:rPr>
        <w:t xml:space="preserve"> (October 2022) 13 &lt;</w:t>
      </w:r>
      <w:hyperlink r:id="rId24" w:history="1">
        <w:r w:rsidR="00EB2DC8" w:rsidRPr="00314A72">
          <w:rPr>
            <w:rStyle w:val="Hyperlink"/>
            <w:lang w:val="en-US"/>
          </w:rPr>
          <w:t>https://humanrights.gov.au/sites/default/files/submission_to_the_committee_against_torture_2022_0.pdf</w:t>
        </w:r>
      </w:hyperlink>
      <w:r w:rsidR="00EB2DC8">
        <w:rPr>
          <w:lang w:val="en-US"/>
        </w:rPr>
        <w:t>&gt;</w:t>
      </w:r>
    </w:p>
  </w:endnote>
  <w:endnote w:id="24">
    <w:p w14:paraId="5290EDBE" w14:textId="178C9989" w:rsidR="00035F37" w:rsidRPr="00B7430C" w:rsidRDefault="00035F37">
      <w:pPr>
        <w:pStyle w:val="EndnoteText"/>
        <w:rPr>
          <w:lang w:val="en-US"/>
        </w:rPr>
      </w:pPr>
      <w:r>
        <w:rPr>
          <w:rStyle w:val="EndnoteReference"/>
        </w:rPr>
        <w:endnoteRef/>
      </w:r>
      <w:r>
        <w:t xml:space="preserve"> United Nations Committee Against Torture. Concluding observations on the sixth periodic report of Australia [29] &lt;</w:t>
      </w:r>
      <w:hyperlink r:id="rId25" w:history="1">
        <w:r w:rsidRPr="00314A72">
          <w:rPr>
            <w:rStyle w:val="Hyperlink"/>
          </w:rPr>
          <w:t>https://docstore.ohchr.org/SelfServices/FilesHandler.ashx?enc=6QkG1d%2FPPRiCAqhKb7yhsoQ6oVJgGLf6YX4ROs1VbzEru4wycL%2FqQoIrzLep%2BJZyT2kIvroOhuMbJG1ioCx4Z3eXyrZ%2FkEdUDMwgHAnBoh1QacztVksYlBc05kmHLUTZ</w:t>
        </w:r>
      </w:hyperlink>
      <w:r>
        <w:t>&gt;</w:t>
      </w:r>
    </w:p>
  </w:endnote>
  <w:endnote w:id="25">
    <w:p w14:paraId="049A697B" w14:textId="77777777" w:rsidR="0077114F" w:rsidRPr="005B6C9D" w:rsidRDefault="0077114F" w:rsidP="0077114F">
      <w:pPr>
        <w:pStyle w:val="EndnoteText"/>
        <w:rPr>
          <w:lang w:val="en-US"/>
        </w:rPr>
      </w:pPr>
      <w:r>
        <w:rPr>
          <w:rStyle w:val="EndnoteReference"/>
        </w:rPr>
        <w:endnoteRef/>
      </w:r>
      <w:r>
        <w:t xml:space="preserve"> </w:t>
      </w:r>
      <w:r>
        <w:rPr>
          <w:lang w:val="en-US"/>
        </w:rPr>
        <w:t xml:space="preserve">United Nations Human Rights Council. </w:t>
      </w:r>
      <w:r w:rsidRPr="005B6C9D">
        <w:rPr>
          <w:lang w:val="en-US"/>
        </w:rPr>
        <w:t>Report of the Special Rapporteur on the human rights of</w:t>
      </w:r>
    </w:p>
    <w:p w14:paraId="32CD4297" w14:textId="77777777" w:rsidR="0077114F" w:rsidRPr="00B61FEB" w:rsidRDefault="0077114F" w:rsidP="0077114F">
      <w:pPr>
        <w:pStyle w:val="EndnoteText"/>
        <w:rPr>
          <w:lang w:val="en-US"/>
        </w:rPr>
      </w:pPr>
      <w:r w:rsidRPr="005B6C9D">
        <w:rPr>
          <w:lang w:val="en-US"/>
        </w:rPr>
        <w:t>migrants on his mission to Australia and the regional</w:t>
      </w:r>
      <w:r>
        <w:rPr>
          <w:lang w:val="en-US"/>
        </w:rPr>
        <w:t xml:space="preserve"> </w:t>
      </w:r>
      <w:r w:rsidRPr="005B6C9D">
        <w:rPr>
          <w:lang w:val="en-US"/>
        </w:rPr>
        <w:t>processing centres in Nauru</w:t>
      </w:r>
      <w:r>
        <w:rPr>
          <w:lang w:val="en-US"/>
        </w:rPr>
        <w:t>. (24 April 2017) [73] &lt;</w:t>
      </w:r>
      <w:hyperlink r:id="rId26" w:history="1">
        <w:r w:rsidRPr="00314A72">
          <w:rPr>
            <w:rStyle w:val="Hyperlink"/>
            <w:lang w:val="en-US"/>
          </w:rPr>
          <w:t>https://www.refworld.org/docid/593a8c924.html</w:t>
        </w:r>
      </w:hyperlink>
      <w:r>
        <w:rPr>
          <w:lang w:val="en-US"/>
        </w:rPr>
        <w:t>&gt;</w:t>
      </w:r>
    </w:p>
  </w:endnote>
  <w:endnote w:id="26">
    <w:p w14:paraId="07806976" w14:textId="77777777" w:rsidR="0077114F" w:rsidRPr="00051611" w:rsidRDefault="0077114F" w:rsidP="0077114F">
      <w:pPr>
        <w:pStyle w:val="EndnoteText"/>
        <w:rPr>
          <w:lang w:val="en-US"/>
        </w:rPr>
      </w:pPr>
      <w:r>
        <w:rPr>
          <w:rStyle w:val="EndnoteReference"/>
        </w:rPr>
        <w:endnoteRef/>
      </w:r>
      <w:r>
        <w:t xml:space="preserve"> </w:t>
      </w:r>
      <w:r w:rsidRPr="00051611">
        <w:t>United Nations Committee Against Torture. Concluding observations on the sixth periodic report of Australia [</w:t>
      </w:r>
      <w:r>
        <w:t>29</w:t>
      </w:r>
      <w:r w:rsidRPr="00051611">
        <w:t>] &lt;</w:t>
      </w:r>
      <w:hyperlink r:id="rId27" w:history="1">
        <w:r w:rsidRPr="00051611">
          <w:rPr>
            <w:rStyle w:val="Hyperlink"/>
          </w:rPr>
          <w:t>https://docstore.ohchr.org/SelfServices/FilesHandler.ashx?enc=6QkG1d%2FPPRiCAqhKb7yhsoQ6oVJgGLf6YX4ROs1VbzEru4wycL%2FqQoIrzLep%2BJZyT2kIvroOhuMbJG1ioCx4Z3eXyrZ%2FkEdUDMwgHAnBoh1QacztVksYlBc05kmHLUTZ</w:t>
        </w:r>
      </w:hyperlink>
      <w:r w:rsidRPr="00051611">
        <w:t>&gt;</w:t>
      </w:r>
    </w:p>
  </w:endnote>
  <w:endnote w:id="27">
    <w:p w14:paraId="645A75BC" w14:textId="77777777" w:rsidR="0077114F" w:rsidRPr="00121DAF" w:rsidRDefault="0077114F" w:rsidP="0077114F">
      <w:pPr>
        <w:pStyle w:val="EndnoteText"/>
        <w:rPr>
          <w:lang w:val="en-US"/>
        </w:rPr>
      </w:pPr>
      <w:r>
        <w:rPr>
          <w:rStyle w:val="EndnoteReference"/>
        </w:rPr>
        <w:endnoteRef/>
      </w:r>
      <w:r>
        <w:t xml:space="preserve"> </w:t>
      </w:r>
      <w:r>
        <w:rPr>
          <w:lang w:val="en-US"/>
        </w:rPr>
        <w:t xml:space="preserve">Parliamentary Joint Committee on Human Rights. </w:t>
      </w:r>
      <w:r w:rsidRPr="00CE6A2C">
        <w:rPr>
          <w:lang w:val="en-US"/>
        </w:rPr>
        <w:t>Examination of legislation in accordance with the</w:t>
      </w:r>
      <w:r>
        <w:rPr>
          <w:lang w:val="en-US"/>
        </w:rPr>
        <w:t xml:space="preserve"> </w:t>
      </w:r>
      <w:r w:rsidRPr="00CE6A2C">
        <w:rPr>
          <w:lang w:val="en-US"/>
        </w:rPr>
        <w:t>Human Rights (Parliamentary Scrutiny) Act 2011</w:t>
      </w:r>
      <w:r>
        <w:rPr>
          <w:lang w:val="en-US"/>
        </w:rPr>
        <w:t xml:space="preserve"> </w:t>
      </w:r>
      <w:r w:rsidRPr="00CE6A2C">
        <w:rPr>
          <w:lang w:val="en-US"/>
        </w:rPr>
        <w:t>Migration Legislation Amendment</w:t>
      </w:r>
      <w:r>
        <w:rPr>
          <w:lang w:val="en-US"/>
        </w:rPr>
        <w:t xml:space="preserve"> </w:t>
      </w:r>
      <w:r w:rsidRPr="00CE6A2C">
        <w:rPr>
          <w:lang w:val="en-US"/>
        </w:rPr>
        <w:t>(Regional</w:t>
      </w:r>
      <w:r>
        <w:rPr>
          <w:lang w:val="en-US"/>
        </w:rPr>
        <w:t xml:space="preserve"> </w:t>
      </w:r>
      <w:r w:rsidRPr="00CE6A2C">
        <w:rPr>
          <w:lang w:val="en-US"/>
        </w:rPr>
        <w:t>Processing and Other Measures) Act 2012</w:t>
      </w:r>
      <w:r>
        <w:rPr>
          <w:lang w:val="en-US"/>
        </w:rPr>
        <w:t xml:space="preserve"> </w:t>
      </w:r>
      <w:r w:rsidRPr="00CE6A2C">
        <w:rPr>
          <w:lang w:val="en-US"/>
        </w:rPr>
        <w:t>and related legislation</w:t>
      </w:r>
      <w:r>
        <w:rPr>
          <w:lang w:val="en-US"/>
        </w:rPr>
        <w:t>. (June 2013). 43 &lt;</w:t>
      </w:r>
      <w:hyperlink r:id="rId28" w:history="1">
        <w:r w:rsidRPr="00314A72">
          <w:rPr>
            <w:rStyle w:val="Hyperlink"/>
            <w:lang w:val="en-US"/>
          </w:rPr>
          <w:t>https://www.aph.gov.au/Parliamentary_Business/Committees/Joint/Human_Rights/Scrutiny_reports/2013/2013/92013/~/media/Committees/Senate/committee/humanrights_ctte/reports/2013/9_2013/pdf/report.ashx</w:t>
        </w:r>
      </w:hyperlink>
      <w:r>
        <w:rPr>
          <w:lang w:val="en-US"/>
        </w:rPr>
        <w:t>&gt;</w:t>
      </w:r>
    </w:p>
  </w:endnote>
  <w:endnote w:id="28">
    <w:p w14:paraId="7D638B07" w14:textId="77777777" w:rsidR="0077114F" w:rsidRPr="00C155AC" w:rsidRDefault="0077114F" w:rsidP="0077114F">
      <w:pPr>
        <w:pStyle w:val="EndnoteText"/>
        <w:rPr>
          <w:lang w:val="en-US"/>
        </w:rPr>
      </w:pPr>
      <w:r>
        <w:rPr>
          <w:rStyle w:val="EndnoteReference"/>
        </w:rPr>
        <w:endnoteRef/>
      </w:r>
      <w:r>
        <w:t xml:space="preserve"> </w:t>
      </w:r>
      <w:r>
        <w:rPr>
          <w:lang w:val="en-US"/>
        </w:rPr>
        <w:t xml:space="preserve">Senate Legal and Constitutional Affairs References Committee. </w:t>
      </w:r>
      <w:r w:rsidRPr="006244F5">
        <w:rPr>
          <w:lang w:val="en-US"/>
        </w:rPr>
        <w:t>Serious allegations of abuse, self-harm and</w:t>
      </w:r>
      <w:r>
        <w:rPr>
          <w:lang w:val="en-US"/>
        </w:rPr>
        <w:t xml:space="preserve"> </w:t>
      </w:r>
      <w:r w:rsidRPr="006244F5">
        <w:rPr>
          <w:lang w:val="en-US"/>
        </w:rPr>
        <w:t>neglect of asylum seekers in relation to the</w:t>
      </w:r>
      <w:r>
        <w:rPr>
          <w:lang w:val="en-US"/>
        </w:rPr>
        <w:t xml:space="preserve"> </w:t>
      </w:r>
      <w:r w:rsidRPr="006244F5">
        <w:rPr>
          <w:lang w:val="en-US"/>
        </w:rPr>
        <w:t>Nauru Regional Processing Centre, and any</w:t>
      </w:r>
      <w:r>
        <w:rPr>
          <w:lang w:val="en-US"/>
        </w:rPr>
        <w:t xml:space="preserve"> </w:t>
      </w:r>
      <w:r w:rsidRPr="006244F5">
        <w:rPr>
          <w:lang w:val="en-US"/>
        </w:rPr>
        <w:t>like allegations in relation to the Manus</w:t>
      </w:r>
      <w:r>
        <w:rPr>
          <w:lang w:val="en-US"/>
        </w:rPr>
        <w:t xml:space="preserve"> </w:t>
      </w:r>
      <w:r w:rsidRPr="006244F5">
        <w:rPr>
          <w:lang w:val="en-US"/>
        </w:rPr>
        <w:t>Regional Processing Centre</w:t>
      </w:r>
      <w:r>
        <w:rPr>
          <w:lang w:val="en-US"/>
        </w:rPr>
        <w:t>. (April 2017) v &lt;</w:t>
      </w:r>
      <w:hyperlink r:id="rId29" w:history="1">
        <w:r w:rsidRPr="00314A72">
          <w:rPr>
            <w:rStyle w:val="Hyperlink"/>
            <w:lang w:val="en-US"/>
          </w:rPr>
          <w:t>https://www.aph.gov.au/Parliamentary_Business/Committees/Senate/Legal_and_Constitutional_Affairs/NauruandManusRPCs/~/media/Committees/legcon_ctte/NauruandManusRPCs/report.pdf</w:t>
        </w:r>
      </w:hyperlink>
      <w:r>
        <w:rPr>
          <w:lang w:val="en-US"/>
        </w:rPr>
        <w:t>&gt;</w:t>
      </w:r>
    </w:p>
  </w:endnote>
  <w:endnote w:id="29">
    <w:p w14:paraId="6ED994A9" w14:textId="77777777" w:rsidR="0077114F" w:rsidRPr="00EB6319" w:rsidRDefault="0077114F" w:rsidP="0077114F">
      <w:pPr>
        <w:pStyle w:val="EndnoteText"/>
        <w:rPr>
          <w:lang w:val="en-US"/>
        </w:rPr>
      </w:pPr>
      <w:r>
        <w:rPr>
          <w:rStyle w:val="EndnoteReference"/>
        </w:rPr>
        <w:endnoteRef/>
      </w:r>
      <w:r>
        <w:t xml:space="preserve"> Minister for Home Affairs and Minister for Cyber-Security. Statement about the Minster’s Consultation with the Office of the United Nations High Commissioner for Refugees (UNHCR) in relation to the designation of Nauru as a regional processing country, including the nature of those consultations. (7 February 2023). &lt;</w:t>
      </w:r>
      <w:hyperlink r:id="rId30" w:anchor="search=%22publications/tabledpapers/2ed26bb1-813e-45c9-9b25-33a56a991145%22" w:history="1">
        <w:r w:rsidRPr="00314A72">
          <w:rPr>
            <w:rStyle w:val="Hyperlink"/>
          </w:rPr>
          <w:t>https://parlinfo.aph.gov.au/parlInfo/download/publications/tabledpapers/2ed26bb1-813e-45c9-9b25-33a56a991145/upload_pdf/Migration%20Act_Statement_Minister.pdf;fileType=application%2Fpdf#search=%22publications/tabledpapers/2ed26bb1-813e-45c9-9b25-33a56a991145%22</w:t>
        </w:r>
      </w:hyperlink>
      <w:r>
        <w:t xml:space="preserve">&gt;  </w:t>
      </w:r>
    </w:p>
  </w:endnote>
  <w:endnote w:id="30">
    <w:p w14:paraId="2C2900D2" w14:textId="77777777" w:rsidR="0077114F" w:rsidRPr="00664CB1" w:rsidRDefault="0077114F" w:rsidP="0077114F">
      <w:pPr>
        <w:pStyle w:val="EndnoteText"/>
        <w:rPr>
          <w:lang w:val="en-US"/>
        </w:rPr>
      </w:pPr>
      <w:r>
        <w:rPr>
          <w:rStyle w:val="EndnoteReference"/>
        </w:rPr>
        <w:endnoteRef/>
      </w:r>
      <w:r>
        <w:t xml:space="preserve"> United Nations High Commissioner for Refugees. </w:t>
      </w:r>
      <w:r w:rsidRPr="003D5AF9">
        <w:t>Submission to the Senate Legal and Constitutional Affairs Committee: Serious allegations of abuse, self-harm and neglect of asylum seekers in relation to the Nauru Regional Processing Centre, and any like allegations in relation to the Manus Regional Processing Centre 2016</w:t>
      </w:r>
      <w:r>
        <w:t>. (12 November 2016). 8 &lt;</w:t>
      </w:r>
      <w:hyperlink r:id="rId31" w:history="1">
        <w:r w:rsidRPr="00314A72">
          <w:rPr>
            <w:rStyle w:val="Hyperlink"/>
          </w:rPr>
          <w:t>https://www.unhcr.org/en-au/publications/legal/58362da34/submission-to-the-senate-legal-and-constitutional-affairs-committee-serious.html</w:t>
        </w:r>
      </w:hyperlink>
      <w:r>
        <w:t>&gt;</w:t>
      </w:r>
    </w:p>
  </w:endnote>
  <w:endnote w:id="31">
    <w:p w14:paraId="3C1141A5" w14:textId="77777777" w:rsidR="0077114F" w:rsidRPr="005B6C9D" w:rsidRDefault="0077114F" w:rsidP="0077114F">
      <w:pPr>
        <w:pStyle w:val="EndnoteText"/>
        <w:rPr>
          <w:lang w:val="en-US"/>
        </w:rPr>
      </w:pPr>
      <w:r>
        <w:rPr>
          <w:rStyle w:val="EndnoteReference"/>
        </w:rPr>
        <w:endnoteRef/>
      </w:r>
      <w:r>
        <w:t xml:space="preserve"> </w:t>
      </w:r>
      <w:r>
        <w:rPr>
          <w:lang w:val="en-US"/>
        </w:rPr>
        <w:t xml:space="preserve">United Nations Human Rights Council. </w:t>
      </w:r>
      <w:r w:rsidRPr="005B6C9D">
        <w:rPr>
          <w:lang w:val="en-US"/>
        </w:rPr>
        <w:t>Report of the Special Rapporteur on the human rights of</w:t>
      </w:r>
    </w:p>
    <w:p w14:paraId="7D102A1C" w14:textId="77777777" w:rsidR="0077114F" w:rsidRPr="003911C5" w:rsidRDefault="0077114F" w:rsidP="0077114F">
      <w:pPr>
        <w:pStyle w:val="EndnoteText"/>
        <w:rPr>
          <w:lang w:val="en-US"/>
        </w:rPr>
      </w:pPr>
      <w:r w:rsidRPr="005B6C9D">
        <w:rPr>
          <w:lang w:val="en-US"/>
        </w:rPr>
        <w:t>migrants on his mission to Australia and the regional</w:t>
      </w:r>
      <w:r>
        <w:rPr>
          <w:lang w:val="en-US"/>
        </w:rPr>
        <w:t xml:space="preserve"> </w:t>
      </w:r>
      <w:r w:rsidRPr="005B6C9D">
        <w:rPr>
          <w:lang w:val="en-US"/>
        </w:rPr>
        <w:t>processing centres in Nauru</w:t>
      </w:r>
      <w:r>
        <w:rPr>
          <w:lang w:val="en-US"/>
        </w:rPr>
        <w:t>. (24 April 2017) [76] &lt;</w:t>
      </w:r>
      <w:hyperlink r:id="rId32" w:history="1">
        <w:r w:rsidRPr="00314A72">
          <w:rPr>
            <w:rStyle w:val="Hyperlink"/>
            <w:lang w:val="en-US"/>
          </w:rPr>
          <w:t>https://www.refworld.org/docid/593a8c924.html</w:t>
        </w:r>
      </w:hyperlink>
      <w:r>
        <w:rPr>
          <w:lang w:val="en-US"/>
        </w:rPr>
        <w:t>&gt;</w:t>
      </w:r>
    </w:p>
  </w:endnote>
  <w:endnote w:id="32">
    <w:p w14:paraId="702C65D6" w14:textId="77777777" w:rsidR="0077114F" w:rsidRPr="009160F3" w:rsidRDefault="0077114F" w:rsidP="0077114F">
      <w:pPr>
        <w:pStyle w:val="EndnoteText"/>
        <w:rPr>
          <w:lang w:val="en-US"/>
        </w:rPr>
      </w:pPr>
      <w:r>
        <w:rPr>
          <w:rStyle w:val="EndnoteReference"/>
        </w:rPr>
        <w:endnoteRef/>
      </w:r>
      <w:r>
        <w:t xml:space="preserve"> </w:t>
      </w:r>
      <w:r>
        <w:rPr>
          <w:lang w:val="en-US"/>
        </w:rPr>
        <w:t xml:space="preserve">Senate Legal and Constitutional Affairs References Committee. </w:t>
      </w:r>
      <w:r w:rsidRPr="006244F5">
        <w:rPr>
          <w:lang w:val="en-US"/>
        </w:rPr>
        <w:t>Serious allegations of abuse, self-harm and</w:t>
      </w:r>
      <w:r>
        <w:rPr>
          <w:lang w:val="en-US"/>
        </w:rPr>
        <w:t xml:space="preserve"> </w:t>
      </w:r>
      <w:r w:rsidRPr="006244F5">
        <w:rPr>
          <w:lang w:val="en-US"/>
        </w:rPr>
        <w:t>neglect of asylum seekers in relation to the</w:t>
      </w:r>
      <w:r>
        <w:rPr>
          <w:lang w:val="en-US"/>
        </w:rPr>
        <w:t xml:space="preserve"> </w:t>
      </w:r>
      <w:r w:rsidRPr="006244F5">
        <w:rPr>
          <w:lang w:val="en-US"/>
        </w:rPr>
        <w:t>Nauru Regional Processing Centre, and any</w:t>
      </w:r>
      <w:r>
        <w:rPr>
          <w:lang w:val="en-US"/>
        </w:rPr>
        <w:t xml:space="preserve"> </w:t>
      </w:r>
      <w:r w:rsidRPr="006244F5">
        <w:rPr>
          <w:lang w:val="en-US"/>
        </w:rPr>
        <w:t>like allegations in relation to the Manus</w:t>
      </w:r>
      <w:r>
        <w:rPr>
          <w:lang w:val="en-US"/>
        </w:rPr>
        <w:t xml:space="preserve"> </w:t>
      </w:r>
      <w:r w:rsidRPr="006244F5">
        <w:rPr>
          <w:lang w:val="en-US"/>
        </w:rPr>
        <w:t>Regional Processing Centre</w:t>
      </w:r>
      <w:r>
        <w:rPr>
          <w:lang w:val="en-US"/>
        </w:rPr>
        <w:t>. (April 2017) 169 &lt;</w:t>
      </w:r>
      <w:hyperlink r:id="rId33" w:history="1">
        <w:r w:rsidRPr="00314A72">
          <w:rPr>
            <w:rStyle w:val="Hyperlink"/>
            <w:lang w:val="en-US"/>
          </w:rPr>
          <w:t>https://www.aph.gov.au/Parliamentary_Business/Committees/Senate/Legal_and_Constitutional_Affairs/NauruandManusRPCs/~/media/Committees/legcon_ctte/NauruandManusRPCs/report.pdf</w:t>
        </w:r>
      </w:hyperlink>
      <w:r>
        <w:rPr>
          <w:lang w:val="en-US"/>
        </w:rPr>
        <w:t>&gt;</w:t>
      </w:r>
    </w:p>
  </w:endnote>
  <w:endnote w:id="33">
    <w:p w14:paraId="5CED6D68" w14:textId="77777777" w:rsidR="0077114F" w:rsidRPr="009B69D9" w:rsidRDefault="0077114F" w:rsidP="0077114F">
      <w:pPr>
        <w:pStyle w:val="EndnoteText"/>
        <w:rPr>
          <w:lang w:val="en-US"/>
        </w:rPr>
      </w:pPr>
      <w:r>
        <w:rPr>
          <w:rStyle w:val="EndnoteReference"/>
        </w:rPr>
        <w:endnoteRef/>
      </w:r>
      <w:r>
        <w:t xml:space="preserve"> United Nations Subcommittee on Prevention of Torture and Other Cruel, Inhuman or Degrading Treatment or Punishment.</w:t>
      </w:r>
      <w:r w:rsidRPr="00602BFF">
        <w:t xml:space="preserve"> </w:t>
      </w:r>
      <w:r>
        <w:t>Ninth annual report of the Subcommittee on Prevention of Torture and Other Cruel, Inhuman or Degrading Treatment or Punishment. Annex Compilation of advice provided by the Subcommittee in response to requests from national preventive mechanisms (22 March 2016) [3] &lt;</w:t>
      </w:r>
      <w:hyperlink r:id="rId34" w:history="1">
        <w:r w:rsidRPr="00314A72">
          <w:rPr>
            <w:rStyle w:val="Hyperlink"/>
          </w:rPr>
          <w:t>https://documents-dds-ny.un.org/doc/UNDOC/GEN/G16/059/73/PDF/G1605973.pdf?OpenElement</w:t>
        </w:r>
      </w:hyperlink>
      <w:r>
        <w:t xml:space="preserve">&gt;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5C8C" w14:textId="77777777" w:rsidR="0077114F" w:rsidRPr="000465F1" w:rsidRDefault="0077114F" w:rsidP="000465F1">
    <w:pPr>
      <w:pStyle w:val="Footer"/>
    </w:pPr>
    <w:r w:rsidRPr="000465F1">
      <w:t>ABN 47 996 232 602</w:t>
    </w:r>
  </w:p>
  <w:p w14:paraId="351A3EC0" w14:textId="77777777" w:rsidR="0077114F" w:rsidRPr="000465F1" w:rsidRDefault="0077114F" w:rsidP="000465F1">
    <w:pPr>
      <w:pStyle w:val="Footer"/>
    </w:pPr>
    <w:r w:rsidRPr="000465F1">
      <w:t>Level 3, 175 Pitt Street, Sydney NSW 2000</w:t>
    </w:r>
  </w:p>
  <w:p w14:paraId="4AE62810" w14:textId="77777777" w:rsidR="0077114F" w:rsidRPr="000465F1" w:rsidRDefault="0077114F" w:rsidP="000465F1">
    <w:pPr>
      <w:pStyle w:val="Footer"/>
    </w:pPr>
    <w:r w:rsidRPr="000465F1">
      <w:t>GPO Box 5218, Sydney NSW 2001</w:t>
    </w:r>
  </w:p>
  <w:p w14:paraId="7A9BBF42" w14:textId="77777777" w:rsidR="0077114F" w:rsidRPr="000465F1" w:rsidRDefault="0077114F" w:rsidP="000465F1">
    <w:pPr>
      <w:pStyle w:val="Footer"/>
    </w:pPr>
    <w:r w:rsidRPr="000465F1">
      <w:t>General enquiries 1300 369 711</w:t>
    </w:r>
  </w:p>
  <w:p w14:paraId="440531D3" w14:textId="77777777" w:rsidR="0077114F" w:rsidRPr="000465F1" w:rsidRDefault="0077114F" w:rsidP="000465F1">
    <w:pPr>
      <w:pStyle w:val="Footer"/>
    </w:pPr>
    <w:r w:rsidRPr="000465F1">
      <w:t>Complaints info line 1300 656 419</w:t>
    </w:r>
  </w:p>
  <w:p w14:paraId="16554665" w14:textId="77777777" w:rsidR="0077114F" w:rsidRPr="000465F1" w:rsidRDefault="0077114F"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FA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7CA"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367"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DEE5" w14:textId="77777777" w:rsidR="00BE1EFE" w:rsidRDefault="00BE1EFE" w:rsidP="00F14C6D">
      <w:r>
        <w:separator/>
      </w:r>
    </w:p>
  </w:footnote>
  <w:footnote w:type="continuationSeparator" w:id="0">
    <w:p w14:paraId="03E2F7CA" w14:textId="77777777" w:rsidR="00BE1EFE" w:rsidRDefault="00BE1EFE" w:rsidP="00F14C6D">
      <w:r>
        <w:continuationSeparator/>
      </w:r>
    </w:p>
  </w:footnote>
  <w:footnote w:type="continuationNotice" w:id="1">
    <w:p w14:paraId="41FD8706" w14:textId="77777777" w:rsidR="00BE1EFE" w:rsidRDefault="00BE1E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3FBF" w14:textId="77777777" w:rsidR="0077114F" w:rsidRPr="000465F1" w:rsidRDefault="001E6DCD" w:rsidP="000465F1">
    <w:pPr>
      <w:pStyle w:val="Header"/>
    </w:pPr>
    <w:r>
      <w:pict w14:anchorId="3F245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9"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77114F" w:rsidRPr="000465F1">
      <w:t>Australian Human Rights Commission</w:t>
    </w:r>
  </w:p>
  <w:p w14:paraId="0F8959FB" w14:textId="77777777" w:rsidR="0077114F" w:rsidRPr="00622508" w:rsidRDefault="0077114F"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5FB1" w14:textId="77777777" w:rsidR="0077114F" w:rsidRPr="000465F1" w:rsidRDefault="001E6DCD" w:rsidP="000465F1">
    <w:r>
      <w:pict w14:anchorId="6FEF0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50"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77114F" w:rsidRPr="000465F1">
      <w:t>Australian Human Rights Commission</w:t>
    </w:r>
  </w:p>
  <w:p w14:paraId="4CC5F2A6" w14:textId="77777777" w:rsidR="0077114F" w:rsidRPr="000465F1" w:rsidRDefault="0077114F"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D740" w14:textId="77777777" w:rsidR="0077114F" w:rsidRDefault="001E6DCD" w:rsidP="002012F7">
    <w:pPr>
      <w:pStyle w:val="Header"/>
    </w:pPr>
    <w:r>
      <w:pict w14:anchorId="4132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51"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3DBA28C7">
        <v:shape id="WordPictureWatermark1034832" o:spid="_x0000_s1048"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5D6C790E" w14:textId="77777777" w:rsidR="0077114F" w:rsidRDefault="0077114F" w:rsidP="002012F7">
    <w:pPr>
      <w:pStyle w:val="Header"/>
    </w:pPr>
  </w:p>
  <w:p w14:paraId="256D00E1" w14:textId="77777777" w:rsidR="0077114F" w:rsidRDefault="0077114F"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A073" w14:textId="77777777" w:rsidR="0015239E" w:rsidRPr="000465F1" w:rsidRDefault="0015239E" w:rsidP="0015239E">
    <w:pPr>
      <w:pStyle w:val="Header"/>
    </w:pPr>
    <w:r w:rsidRPr="000465F1">
      <w:t>Australian Human Rights Commission</w:t>
    </w:r>
  </w:p>
  <w:p w14:paraId="2234164C" w14:textId="390BE00E" w:rsidR="00C00733" w:rsidRPr="000465F1" w:rsidRDefault="0000744F" w:rsidP="0000744F">
    <w:pPr>
      <w:pStyle w:val="HeaderDocumentDate"/>
    </w:pPr>
    <w:r w:rsidRPr="0000744F">
      <w:rPr>
        <w:rStyle w:val="HeaderDocumentTitle"/>
      </w:rPr>
      <w:t>Draft General Comment on Article 4 of Optional Protocol to the Convention Against Torture (OPCAT)</w:t>
    </w:r>
    <w:r w:rsidRPr="00B36954">
      <w:rPr>
        <w:rStyle w:val="HeaderDocumentTitle"/>
      </w:rPr>
      <w:t>,</w:t>
    </w:r>
    <w:r w:rsidRPr="00B36954">
      <w:t xml:space="preserve"> </w:t>
    </w:r>
    <w:r>
      <w:t>1</w:t>
    </w:r>
    <w:r w:rsidR="00245148">
      <w:t>2</w:t>
    </w:r>
    <w:r w:rsidRPr="00B36954">
      <w:t xml:space="preserve"> </w:t>
    </w:r>
    <w:r>
      <w:t>April</w:t>
    </w:r>
    <w:r w:rsidRPr="00B36954">
      <w:t xml:space="preserve"> 202</w:t>
    </w:r>
    <w: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CA2" w14:textId="77777777" w:rsidR="00BF6406" w:rsidRPr="000465F1" w:rsidRDefault="00BF6406" w:rsidP="00CA5D90">
    <w:pPr>
      <w:pStyle w:val="Header"/>
    </w:pPr>
    <w:bookmarkStart w:id="29" w:name="_Hlk514672172"/>
    <w:bookmarkStart w:id="30" w:name="_Hlk514672173"/>
    <w:r w:rsidRPr="000465F1">
      <w:t>Australian Human Rights Commission</w:t>
    </w:r>
  </w:p>
  <w:bookmarkEnd w:id="29"/>
  <w:bookmarkEnd w:id="30"/>
  <w:p w14:paraId="05273B3B" w14:textId="63AB6120" w:rsidR="00C00733" w:rsidRPr="000465F1" w:rsidRDefault="0000744F" w:rsidP="0000744F">
    <w:pPr>
      <w:pStyle w:val="HeaderDocumentDate"/>
    </w:pPr>
    <w:r w:rsidRPr="0000744F">
      <w:rPr>
        <w:rStyle w:val="HeaderDocumentTitle"/>
      </w:rPr>
      <w:t>Draft General Comment on Article 4 of Optional Protocol to the Convention Against Torture (OPCAT)</w:t>
    </w:r>
    <w:r w:rsidRPr="00B36954">
      <w:rPr>
        <w:rStyle w:val="HeaderDocumentTitle"/>
      </w:rPr>
      <w:t>,</w:t>
    </w:r>
    <w:r w:rsidRPr="00B36954">
      <w:t xml:space="preserve"> </w:t>
    </w:r>
    <w:r>
      <w:t>1</w:t>
    </w:r>
    <w:r w:rsidR="00245148">
      <w:t>2</w:t>
    </w:r>
    <w:r w:rsidRPr="00B36954">
      <w:t xml:space="preserve"> </w:t>
    </w:r>
    <w:r>
      <w:t>April</w:t>
    </w:r>
    <w:r w:rsidRPr="00B36954">
      <w:t xml:space="preserve"> 202</w:t>
    </w:r>
    <w: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D380" w14:textId="77777777" w:rsidR="0063009F" w:rsidRPr="000465F1" w:rsidRDefault="0063009F" w:rsidP="0063009F">
    <w:pPr>
      <w:pStyle w:val="Header"/>
    </w:pPr>
    <w:r w:rsidRPr="000465F1">
      <w:t>Australian Human Rights Commission</w:t>
    </w:r>
  </w:p>
  <w:p w14:paraId="70528201" w14:textId="3E729B01" w:rsidR="0063009F" w:rsidRPr="000465F1" w:rsidRDefault="0000744F" w:rsidP="0063009F">
    <w:pPr>
      <w:pStyle w:val="HeaderDocumentDate"/>
    </w:pPr>
    <w:r w:rsidRPr="0000744F">
      <w:rPr>
        <w:rStyle w:val="HeaderDocumentTitle"/>
      </w:rPr>
      <w:t>Draft General Comment on Article 4 of Optional Protocol to the Convention Against Torture (OPCAT)</w:t>
    </w:r>
    <w:r w:rsidR="0063009F" w:rsidRPr="00B36954">
      <w:rPr>
        <w:rStyle w:val="HeaderDocumentTitle"/>
      </w:rPr>
      <w:t>,</w:t>
    </w:r>
    <w:r w:rsidR="0063009F" w:rsidRPr="00B36954">
      <w:t xml:space="preserve"> </w:t>
    </w:r>
    <w:r>
      <w:t>1</w:t>
    </w:r>
    <w:r w:rsidR="00245148">
      <w:t>2</w:t>
    </w:r>
    <w:r w:rsidR="00B36954" w:rsidRPr="00B36954">
      <w:t xml:space="preserve"> </w:t>
    </w:r>
    <w:r>
      <w:t>April</w:t>
    </w:r>
    <w:r w:rsidR="00C26B53" w:rsidRPr="00B36954">
      <w:t xml:space="preserve"> 202</w:t>
    </w:r>
    <w:r>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82988"/>
    <w:lvl w:ilvl="0">
      <w:start w:val="1"/>
      <w:numFmt w:val="decimal"/>
      <w:pStyle w:val="ListNumber"/>
      <w:lvlText w:val="%1."/>
      <w:lvlJc w:val="left"/>
      <w:pPr>
        <w:tabs>
          <w:tab w:val="num" w:pos="360"/>
        </w:tabs>
        <w:ind w:left="360" w:hanging="360"/>
      </w:pPr>
      <w:rPr>
        <w:b w:val="0"/>
        <w:bCs w:val="0"/>
      </w:r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5637D7"/>
    <w:multiLevelType w:val="hybridMultilevel"/>
    <w:tmpl w:val="FFFFFFFF"/>
    <w:lvl w:ilvl="0" w:tplc="7A28D16E">
      <w:start w:val="1"/>
      <w:numFmt w:val="decimal"/>
      <w:lvlText w:val="%1."/>
      <w:lvlJc w:val="left"/>
      <w:pPr>
        <w:ind w:left="720" w:hanging="360"/>
      </w:pPr>
    </w:lvl>
    <w:lvl w:ilvl="1" w:tplc="279E3D70">
      <w:start w:val="1"/>
      <w:numFmt w:val="lowerLetter"/>
      <w:lvlText w:val="%2."/>
      <w:lvlJc w:val="left"/>
      <w:pPr>
        <w:ind w:left="1440" w:hanging="360"/>
      </w:pPr>
    </w:lvl>
    <w:lvl w:ilvl="2" w:tplc="3BB87BCE">
      <w:start w:val="1"/>
      <w:numFmt w:val="lowerRoman"/>
      <w:lvlText w:val="%3."/>
      <w:lvlJc w:val="right"/>
      <w:pPr>
        <w:ind w:left="2160" w:hanging="180"/>
      </w:pPr>
    </w:lvl>
    <w:lvl w:ilvl="3" w:tplc="1FC8AF3C">
      <w:start w:val="1"/>
      <w:numFmt w:val="decimal"/>
      <w:lvlText w:val="%4."/>
      <w:lvlJc w:val="left"/>
      <w:pPr>
        <w:ind w:left="2880" w:hanging="360"/>
      </w:pPr>
    </w:lvl>
    <w:lvl w:ilvl="4" w:tplc="2AEE4956">
      <w:start w:val="1"/>
      <w:numFmt w:val="lowerLetter"/>
      <w:lvlText w:val="%5."/>
      <w:lvlJc w:val="left"/>
      <w:pPr>
        <w:ind w:left="3600" w:hanging="360"/>
      </w:pPr>
    </w:lvl>
    <w:lvl w:ilvl="5" w:tplc="D5B290B4">
      <w:start w:val="1"/>
      <w:numFmt w:val="lowerRoman"/>
      <w:lvlText w:val="%6."/>
      <w:lvlJc w:val="right"/>
      <w:pPr>
        <w:ind w:left="4320" w:hanging="180"/>
      </w:pPr>
    </w:lvl>
    <w:lvl w:ilvl="6" w:tplc="AC0025F0">
      <w:start w:val="1"/>
      <w:numFmt w:val="decimal"/>
      <w:lvlText w:val="%7."/>
      <w:lvlJc w:val="left"/>
      <w:pPr>
        <w:ind w:left="5040" w:hanging="360"/>
      </w:pPr>
    </w:lvl>
    <w:lvl w:ilvl="7" w:tplc="EBE66598">
      <w:start w:val="1"/>
      <w:numFmt w:val="lowerLetter"/>
      <w:lvlText w:val="%8."/>
      <w:lvlJc w:val="left"/>
      <w:pPr>
        <w:ind w:left="5760" w:hanging="360"/>
      </w:pPr>
    </w:lvl>
    <w:lvl w:ilvl="8" w:tplc="13F05ECC">
      <w:start w:val="1"/>
      <w:numFmt w:val="lowerRoman"/>
      <w:lvlText w:val="%9."/>
      <w:lvlJc w:val="right"/>
      <w:pPr>
        <w:ind w:left="6480" w:hanging="180"/>
      </w:pPr>
    </w:lvl>
  </w:abstractNum>
  <w:abstractNum w:abstractNumId="11" w15:restartNumberingAfterBreak="0">
    <w:nsid w:val="0A3B8D73"/>
    <w:multiLevelType w:val="hybridMultilevel"/>
    <w:tmpl w:val="FFFFFFFF"/>
    <w:lvl w:ilvl="0" w:tplc="EB2C8C9C">
      <w:start w:val="1"/>
      <w:numFmt w:val="decimal"/>
      <w:lvlText w:val="%1."/>
      <w:lvlJc w:val="left"/>
      <w:pPr>
        <w:ind w:left="720" w:hanging="360"/>
      </w:pPr>
    </w:lvl>
    <w:lvl w:ilvl="1" w:tplc="D6E22B4E">
      <w:start w:val="1"/>
      <w:numFmt w:val="lowerLetter"/>
      <w:lvlText w:val="%2."/>
      <w:lvlJc w:val="left"/>
      <w:pPr>
        <w:ind w:left="1440" w:hanging="360"/>
      </w:pPr>
    </w:lvl>
    <w:lvl w:ilvl="2" w:tplc="A84CFFD6">
      <w:start w:val="1"/>
      <w:numFmt w:val="lowerRoman"/>
      <w:lvlText w:val="%3."/>
      <w:lvlJc w:val="right"/>
      <w:pPr>
        <w:ind w:left="2160" w:hanging="180"/>
      </w:pPr>
    </w:lvl>
    <w:lvl w:ilvl="3" w:tplc="65EA5274">
      <w:start w:val="1"/>
      <w:numFmt w:val="decimal"/>
      <w:lvlText w:val="%4."/>
      <w:lvlJc w:val="left"/>
      <w:pPr>
        <w:ind w:left="2880" w:hanging="360"/>
      </w:pPr>
    </w:lvl>
    <w:lvl w:ilvl="4" w:tplc="C0561980">
      <w:start w:val="1"/>
      <w:numFmt w:val="lowerLetter"/>
      <w:lvlText w:val="%5."/>
      <w:lvlJc w:val="left"/>
      <w:pPr>
        <w:ind w:left="3600" w:hanging="360"/>
      </w:pPr>
    </w:lvl>
    <w:lvl w:ilvl="5" w:tplc="AC0006EA">
      <w:start w:val="1"/>
      <w:numFmt w:val="lowerRoman"/>
      <w:lvlText w:val="%6."/>
      <w:lvlJc w:val="right"/>
      <w:pPr>
        <w:ind w:left="4320" w:hanging="180"/>
      </w:pPr>
    </w:lvl>
    <w:lvl w:ilvl="6" w:tplc="966ACCF4">
      <w:start w:val="1"/>
      <w:numFmt w:val="decimal"/>
      <w:lvlText w:val="%7."/>
      <w:lvlJc w:val="left"/>
      <w:pPr>
        <w:ind w:left="5040" w:hanging="360"/>
      </w:pPr>
    </w:lvl>
    <w:lvl w:ilvl="7" w:tplc="4A1811D2">
      <w:start w:val="1"/>
      <w:numFmt w:val="lowerLetter"/>
      <w:lvlText w:val="%8."/>
      <w:lvlJc w:val="left"/>
      <w:pPr>
        <w:ind w:left="5760" w:hanging="360"/>
      </w:pPr>
    </w:lvl>
    <w:lvl w:ilvl="8" w:tplc="1DA6E58E">
      <w:start w:val="1"/>
      <w:numFmt w:val="lowerRoman"/>
      <w:lvlText w:val="%9."/>
      <w:lvlJc w:val="right"/>
      <w:pPr>
        <w:ind w:left="6480" w:hanging="180"/>
      </w:p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35E7FD7"/>
    <w:multiLevelType w:val="hybridMultilevel"/>
    <w:tmpl w:val="72405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38D792"/>
    <w:multiLevelType w:val="hybridMultilevel"/>
    <w:tmpl w:val="FFFFFFFF"/>
    <w:lvl w:ilvl="0" w:tplc="8716D24C">
      <w:start w:val="1"/>
      <w:numFmt w:val="decimal"/>
      <w:lvlText w:val="%1."/>
      <w:lvlJc w:val="left"/>
      <w:pPr>
        <w:ind w:left="720" w:hanging="360"/>
      </w:pPr>
    </w:lvl>
    <w:lvl w:ilvl="1" w:tplc="5582F6EC">
      <w:start w:val="1"/>
      <w:numFmt w:val="lowerLetter"/>
      <w:lvlText w:val="%2."/>
      <w:lvlJc w:val="left"/>
      <w:pPr>
        <w:ind w:left="1440" w:hanging="360"/>
      </w:pPr>
    </w:lvl>
    <w:lvl w:ilvl="2" w:tplc="78408F6C">
      <w:start w:val="1"/>
      <w:numFmt w:val="lowerRoman"/>
      <w:lvlText w:val="%3."/>
      <w:lvlJc w:val="right"/>
      <w:pPr>
        <w:ind w:left="2160" w:hanging="180"/>
      </w:pPr>
    </w:lvl>
    <w:lvl w:ilvl="3" w:tplc="9EB4E5A8">
      <w:start w:val="1"/>
      <w:numFmt w:val="decimal"/>
      <w:lvlText w:val="%4."/>
      <w:lvlJc w:val="left"/>
      <w:pPr>
        <w:ind w:left="2880" w:hanging="360"/>
      </w:pPr>
    </w:lvl>
    <w:lvl w:ilvl="4" w:tplc="257C480C">
      <w:start w:val="1"/>
      <w:numFmt w:val="lowerLetter"/>
      <w:lvlText w:val="%5."/>
      <w:lvlJc w:val="left"/>
      <w:pPr>
        <w:ind w:left="3600" w:hanging="360"/>
      </w:pPr>
    </w:lvl>
    <w:lvl w:ilvl="5" w:tplc="7D1AD614">
      <w:start w:val="1"/>
      <w:numFmt w:val="lowerRoman"/>
      <w:lvlText w:val="%6."/>
      <w:lvlJc w:val="right"/>
      <w:pPr>
        <w:ind w:left="4320" w:hanging="180"/>
      </w:pPr>
    </w:lvl>
    <w:lvl w:ilvl="6" w:tplc="7F648D1C">
      <w:start w:val="1"/>
      <w:numFmt w:val="decimal"/>
      <w:lvlText w:val="%7."/>
      <w:lvlJc w:val="left"/>
      <w:pPr>
        <w:ind w:left="5040" w:hanging="360"/>
      </w:pPr>
    </w:lvl>
    <w:lvl w:ilvl="7" w:tplc="D898F7B6">
      <w:start w:val="1"/>
      <w:numFmt w:val="lowerLetter"/>
      <w:lvlText w:val="%8."/>
      <w:lvlJc w:val="left"/>
      <w:pPr>
        <w:ind w:left="5760" w:hanging="360"/>
      </w:pPr>
    </w:lvl>
    <w:lvl w:ilvl="8" w:tplc="865E57E6">
      <w:start w:val="1"/>
      <w:numFmt w:val="lowerRoman"/>
      <w:lvlText w:val="%9."/>
      <w:lvlJc w:val="right"/>
      <w:pPr>
        <w:ind w:left="6480" w:hanging="180"/>
      </w:p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FF7A73"/>
    <w:multiLevelType w:val="multilevel"/>
    <w:tmpl w:val="C4FE01A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2552"/>
        </w:tabs>
        <w:ind w:left="2552" w:hanging="851"/>
      </w:pPr>
      <w:rPr>
        <w:rFonts w:hint="default"/>
        <w:b/>
        <w:bCs/>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09071DC"/>
    <w:multiLevelType w:val="hybridMultilevel"/>
    <w:tmpl w:val="FFFFFFFF"/>
    <w:lvl w:ilvl="0" w:tplc="BD0635BA">
      <w:start w:val="1"/>
      <w:numFmt w:val="decimal"/>
      <w:lvlText w:val="%1."/>
      <w:lvlJc w:val="left"/>
      <w:pPr>
        <w:ind w:left="720" w:hanging="360"/>
      </w:pPr>
    </w:lvl>
    <w:lvl w:ilvl="1" w:tplc="9CA87B84">
      <w:start w:val="1"/>
      <w:numFmt w:val="lowerLetter"/>
      <w:lvlText w:val="%2."/>
      <w:lvlJc w:val="left"/>
      <w:pPr>
        <w:ind w:left="1440" w:hanging="360"/>
      </w:pPr>
    </w:lvl>
    <w:lvl w:ilvl="2" w:tplc="1CF42B54">
      <w:start w:val="1"/>
      <w:numFmt w:val="lowerRoman"/>
      <w:lvlText w:val="%3."/>
      <w:lvlJc w:val="right"/>
      <w:pPr>
        <w:ind w:left="2160" w:hanging="180"/>
      </w:pPr>
    </w:lvl>
    <w:lvl w:ilvl="3" w:tplc="8AFE9A14">
      <w:start w:val="1"/>
      <w:numFmt w:val="decimal"/>
      <w:lvlText w:val="%4."/>
      <w:lvlJc w:val="left"/>
      <w:pPr>
        <w:ind w:left="2880" w:hanging="360"/>
      </w:pPr>
    </w:lvl>
    <w:lvl w:ilvl="4" w:tplc="7F66D9CA">
      <w:start w:val="1"/>
      <w:numFmt w:val="lowerLetter"/>
      <w:lvlText w:val="%5."/>
      <w:lvlJc w:val="left"/>
      <w:pPr>
        <w:ind w:left="3600" w:hanging="360"/>
      </w:pPr>
    </w:lvl>
    <w:lvl w:ilvl="5" w:tplc="DE1A20A0">
      <w:start w:val="1"/>
      <w:numFmt w:val="lowerRoman"/>
      <w:lvlText w:val="%6."/>
      <w:lvlJc w:val="right"/>
      <w:pPr>
        <w:ind w:left="4320" w:hanging="180"/>
      </w:pPr>
    </w:lvl>
    <w:lvl w:ilvl="6" w:tplc="252A1F94">
      <w:start w:val="1"/>
      <w:numFmt w:val="decimal"/>
      <w:lvlText w:val="%7."/>
      <w:lvlJc w:val="left"/>
      <w:pPr>
        <w:ind w:left="5040" w:hanging="360"/>
      </w:pPr>
    </w:lvl>
    <w:lvl w:ilvl="7" w:tplc="BFC21472">
      <w:start w:val="1"/>
      <w:numFmt w:val="lowerLetter"/>
      <w:lvlText w:val="%8."/>
      <w:lvlJc w:val="left"/>
      <w:pPr>
        <w:ind w:left="5760" w:hanging="360"/>
      </w:pPr>
    </w:lvl>
    <w:lvl w:ilvl="8" w:tplc="C7B8824A">
      <w:start w:val="1"/>
      <w:numFmt w:val="lowerRoman"/>
      <w:lvlText w:val="%9."/>
      <w:lvlJc w:val="right"/>
      <w:pPr>
        <w:ind w:left="6480" w:hanging="180"/>
      </w:pPr>
    </w:lvl>
  </w:abstractNum>
  <w:abstractNum w:abstractNumId="20" w15:restartNumberingAfterBreak="0">
    <w:nsid w:val="67642458"/>
    <w:multiLevelType w:val="hybridMultilevel"/>
    <w:tmpl w:val="FFFFFFFF"/>
    <w:lvl w:ilvl="0" w:tplc="3CEC9900">
      <w:start w:val="1"/>
      <w:numFmt w:val="decimal"/>
      <w:lvlText w:val="%1."/>
      <w:lvlJc w:val="left"/>
      <w:pPr>
        <w:ind w:left="720" w:hanging="360"/>
      </w:pPr>
    </w:lvl>
    <w:lvl w:ilvl="1" w:tplc="FE56C71A">
      <w:start w:val="1"/>
      <w:numFmt w:val="lowerLetter"/>
      <w:lvlText w:val="%2."/>
      <w:lvlJc w:val="left"/>
      <w:pPr>
        <w:ind w:left="1440" w:hanging="360"/>
      </w:pPr>
    </w:lvl>
    <w:lvl w:ilvl="2" w:tplc="A5F2B732">
      <w:start w:val="1"/>
      <w:numFmt w:val="lowerRoman"/>
      <w:lvlText w:val="%3."/>
      <w:lvlJc w:val="right"/>
      <w:pPr>
        <w:ind w:left="2160" w:hanging="180"/>
      </w:pPr>
    </w:lvl>
    <w:lvl w:ilvl="3" w:tplc="B1744F04">
      <w:start w:val="1"/>
      <w:numFmt w:val="decimal"/>
      <w:lvlText w:val="%4."/>
      <w:lvlJc w:val="left"/>
      <w:pPr>
        <w:ind w:left="2880" w:hanging="360"/>
      </w:pPr>
    </w:lvl>
    <w:lvl w:ilvl="4" w:tplc="E23E2760">
      <w:start w:val="1"/>
      <w:numFmt w:val="lowerLetter"/>
      <w:lvlText w:val="%5."/>
      <w:lvlJc w:val="left"/>
      <w:pPr>
        <w:ind w:left="3600" w:hanging="360"/>
      </w:pPr>
    </w:lvl>
    <w:lvl w:ilvl="5" w:tplc="D3C6DD7A">
      <w:start w:val="1"/>
      <w:numFmt w:val="lowerRoman"/>
      <w:lvlText w:val="%6."/>
      <w:lvlJc w:val="right"/>
      <w:pPr>
        <w:ind w:left="4320" w:hanging="180"/>
      </w:pPr>
    </w:lvl>
    <w:lvl w:ilvl="6" w:tplc="275E8DF6">
      <w:start w:val="1"/>
      <w:numFmt w:val="decimal"/>
      <w:lvlText w:val="%7."/>
      <w:lvlJc w:val="left"/>
      <w:pPr>
        <w:ind w:left="5040" w:hanging="360"/>
      </w:pPr>
    </w:lvl>
    <w:lvl w:ilvl="7" w:tplc="B82630D6">
      <w:start w:val="1"/>
      <w:numFmt w:val="lowerLetter"/>
      <w:lvlText w:val="%8."/>
      <w:lvlJc w:val="left"/>
      <w:pPr>
        <w:ind w:left="5760" w:hanging="360"/>
      </w:pPr>
    </w:lvl>
    <w:lvl w:ilvl="8" w:tplc="08B219EA">
      <w:start w:val="1"/>
      <w:numFmt w:val="lowerRoman"/>
      <w:lvlText w:val="%9."/>
      <w:lvlJc w:val="right"/>
      <w:pPr>
        <w:ind w:left="6480" w:hanging="180"/>
      </w:pPr>
    </w:lvl>
  </w:abstractNum>
  <w:abstractNum w:abstractNumId="21" w15:restartNumberingAfterBreak="0">
    <w:nsid w:val="6B91330A"/>
    <w:multiLevelType w:val="hybridMultilevel"/>
    <w:tmpl w:val="B47ED534"/>
    <w:lvl w:ilvl="0" w:tplc="C414E616">
      <w:start w:val="1"/>
      <w:numFmt w:val="decimal"/>
      <w:lvlText w:val="%1."/>
      <w:lvlJc w:val="left"/>
      <w:pPr>
        <w:ind w:left="720" w:hanging="360"/>
      </w:pPr>
    </w:lvl>
    <w:lvl w:ilvl="1" w:tplc="9B06A0DA">
      <w:start w:val="1"/>
      <w:numFmt w:val="lowerLetter"/>
      <w:lvlText w:val="%2."/>
      <w:lvlJc w:val="left"/>
      <w:pPr>
        <w:ind w:left="1440" w:hanging="360"/>
      </w:pPr>
    </w:lvl>
    <w:lvl w:ilvl="2" w:tplc="33D274C8">
      <w:start w:val="1"/>
      <w:numFmt w:val="lowerRoman"/>
      <w:lvlText w:val="%3."/>
      <w:lvlJc w:val="right"/>
      <w:pPr>
        <w:ind w:left="2160" w:hanging="180"/>
      </w:pPr>
    </w:lvl>
    <w:lvl w:ilvl="3" w:tplc="B67E7A66">
      <w:start w:val="1"/>
      <w:numFmt w:val="decimal"/>
      <w:lvlText w:val="%4."/>
      <w:lvlJc w:val="left"/>
      <w:pPr>
        <w:ind w:left="2880" w:hanging="360"/>
      </w:pPr>
    </w:lvl>
    <w:lvl w:ilvl="4" w:tplc="15720908">
      <w:start w:val="1"/>
      <w:numFmt w:val="lowerLetter"/>
      <w:lvlText w:val="%5."/>
      <w:lvlJc w:val="left"/>
      <w:pPr>
        <w:ind w:left="3600" w:hanging="360"/>
      </w:pPr>
    </w:lvl>
    <w:lvl w:ilvl="5" w:tplc="E18086FC">
      <w:start w:val="1"/>
      <w:numFmt w:val="lowerRoman"/>
      <w:lvlText w:val="%6."/>
      <w:lvlJc w:val="right"/>
      <w:pPr>
        <w:ind w:left="4320" w:hanging="180"/>
      </w:pPr>
    </w:lvl>
    <w:lvl w:ilvl="6" w:tplc="DB32C69E">
      <w:start w:val="1"/>
      <w:numFmt w:val="decimal"/>
      <w:lvlText w:val="%7."/>
      <w:lvlJc w:val="left"/>
      <w:pPr>
        <w:ind w:left="5040" w:hanging="360"/>
      </w:pPr>
    </w:lvl>
    <w:lvl w:ilvl="7" w:tplc="47B6676E">
      <w:start w:val="1"/>
      <w:numFmt w:val="lowerLetter"/>
      <w:lvlText w:val="%8."/>
      <w:lvlJc w:val="left"/>
      <w:pPr>
        <w:ind w:left="5760" w:hanging="360"/>
      </w:pPr>
    </w:lvl>
    <w:lvl w:ilvl="8" w:tplc="84DC7842">
      <w:start w:val="1"/>
      <w:numFmt w:val="lowerRoman"/>
      <w:lvlText w:val="%9."/>
      <w:lvlJc w:val="right"/>
      <w:pPr>
        <w:ind w:left="6480" w:hanging="180"/>
      </w:pPr>
    </w:lvl>
  </w:abstractNum>
  <w:abstractNum w:abstractNumId="22" w15:restartNumberingAfterBreak="0">
    <w:nsid w:val="72E0EC95"/>
    <w:multiLevelType w:val="hybridMultilevel"/>
    <w:tmpl w:val="7B9A54BC"/>
    <w:lvl w:ilvl="0" w:tplc="0BCE5652">
      <w:start w:val="1"/>
      <w:numFmt w:val="decimal"/>
      <w:lvlText w:val="%1."/>
      <w:lvlJc w:val="left"/>
      <w:pPr>
        <w:ind w:left="720" w:hanging="360"/>
      </w:pPr>
    </w:lvl>
    <w:lvl w:ilvl="1" w:tplc="E8627A64">
      <w:start w:val="1"/>
      <w:numFmt w:val="lowerLetter"/>
      <w:lvlText w:val="%2."/>
      <w:lvlJc w:val="left"/>
      <w:pPr>
        <w:ind w:left="1440" w:hanging="360"/>
      </w:pPr>
    </w:lvl>
    <w:lvl w:ilvl="2" w:tplc="F398C05E">
      <w:start w:val="1"/>
      <w:numFmt w:val="lowerRoman"/>
      <w:lvlText w:val="%3."/>
      <w:lvlJc w:val="right"/>
      <w:pPr>
        <w:ind w:left="2160" w:hanging="180"/>
      </w:pPr>
    </w:lvl>
    <w:lvl w:ilvl="3" w:tplc="89AC132A">
      <w:start w:val="1"/>
      <w:numFmt w:val="decimal"/>
      <w:lvlText w:val="%4."/>
      <w:lvlJc w:val="left"/>
      <w:pPr>
        <w:ind w:left="2880" w:hanging="360"/>
      </w:pPr>
    </w:lvl>
    <w:lvl w:ilvl="4" w:tplc="73C826B0">
      <w:start w:val="1"/>
      <w:numFmt w:val="lowerLetter"/>
      <w:lvlText w:val="%5."/>
      <w:lvlJc w:val="left"/>
      <w:pPr>
        <w:ind w:left="3600" w:hanging="360"/>
      </w:pPr>
    </w:lvl>
    <w:lvl w:ilvl="5" w:tplc="7F6CD238">
      <w:start w:val="1"/>
      <w:numFmt w:val="lowerRoman"/>
      <w:lvlText w:val="%6."/>
      <w:lvlJc w:val="right"/>
      <w:pPr>
        <w:ind w:left="4320" w:hanging="180"/>
      </w:pPr>
    </w:lvl>
    <w:lvl w:ilvl="6" w:tplc="4B06B6C4">
      <w:start w:val="1"/>
      <w:numFmt w:val="decimal"/>
      <w:lvlText w:val="%7."/>
      <w:lvlJc w:val="left"/>
      <w:pPr>
        <w:ind w:left="5040" w:hanging="360"/>
      </w:pPr>
    </w:lvl>
    <w:lvl w:ilvl="7" w:tplc="FEF6E9BE">
      <w:start w:val="1"/>
      <w:numFmt w:val="lowerLetter"/>
      <w:lvlText w:val="%8."/>
      <w:lvlJc w:val="left"/>
      <w:pPr>
        <w:ind w:left="5760" w:hanging="360"/>
      </w:pPr>
    </w:lvl>
    <w:lvl w:ilvl="8" w:tplc="BA0C06C6">
      <w:start w:val="1"/>
      <w:numFmt w:val="lowerRoman"/>
      <w:lvlText w:val="%9."/>
      <w:lvlJc w:val="right"/>
      <w:pPr>
        <w:ind w:left="6480" w:hanging="180"/>
      </w:pPr>
    </w:lvl>
  </w:abstractNum>
  <w:num w:numId="1" w16cid:durableId="1275483699">
    <w:abstractNumId w:val="21"/>
  </w:num>
  <w:num w:numId="2" w16cid:durableId="1933584782">
    <w:abstractNumId w:val="22"/>
  </w:num>
  <w:num w:numId="3" w16cid:durableId="305010289">
    <w:abstractNumId w:val="17"/>
  </w:num>
  <w:num w:numId="4" w16cid:durableId="525099821">
    <w:abstractNumId w:val="9"/>
  </w:num>
  <w:num w:numId="5" w16cid:durableId="743839812">
    <w:abstractNumId w:val="7"/>
  </w:num>
  <w:num w:numId="6" w16cid:durableId="514733628">
    <w:abstractNumId w:val="6"/>
  </w:num>
  <w:num w:numId="7" w16cid:durableId="147289155">
    <w:abstractNumId w:val="5"/>
  </w:num>
  <w:num w:numId="8" w16cid:durableId="1496994107">
    <w:abstractNumId w:val="4"/>
  </w:num>
  <w:num w:numId="9" w16cid:durableId="1068386476">
    <w:abstractNumId w:val="8"/>
  </w:num>
  <w:num w:numId="10" w16cid:durableId="1947496464">
    <w:abstractNumId w:val="1"/>
  </w:num>
  <w:num w:numId="11" w16cid:durableId="777716823">
    <w:abstractNumId w:val="0"/>
  </w:num>
  <w:num w:numId="12" w16cid:durableId="832183710">
    <w:abstractNumId w:val="3"/>
  </w:num>
  <w:num w:numId="13" w16cid:durableId="911744539">
    <w:abstractNumId w:val="2"/>
  </w:num>
  <w:num w:numId="14" w16cid:durableId="577404032">
    <w:abstractNumId w:val="18"/>
  </w:num>
  <w:num w:numId="15" w16cid:durableId="523905181">
    <w:abstractNumId w:val="16"/>
  </w:num>
  <w:num w:numId="16" w16cid:durableId="895287567">
    <w:abstractNumId w:val="13"/>
  </w:num>
  <w:num w:numId="17" w16cid:durableId="1271008918">
    <w:abstractNumId w:val="12"/>
  </w:num>
  <w:num w:numId="18" w16cid:durableId="1795559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3726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9287758">
    <w:abstractNumId w:val="17"/>
  </w:num>
  <w:num w:numId="21" w16cid:durableId="546339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255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6974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8895607">
    <w:abstractNumId w:val="17"/>
    <w:lvlOverride w:ilvl="0">
      <w:startOverride w:val="1"/>
    </w:lvlOverride>
    <w:lvlOverride w:ilvl="1">
      <w:startOverride w:val="1"/>
    </w:lvlOverride>
    <w:lvlOverride w:ilvl="2">
      <w:startOverride w:val="1"/>
    </w:lvlOverride>
  </w:num>
  <w:num w:numId="25" w16cid:durableId="565379900">
    <w:abstractNumId w:val="17"/>
    <w:lvlOverride w:ilvl="0">
      <w:startOverride w:val="1"/>
    </w:lvlOverride>
    <w:lvlOverride w:ilvl="1">
      <w:startOverride w:val="1"/>
    </w:lvlOverride>
    <w:lvlOverride w:ilvl="2">
      <w:startOverride w:val="1"/>
    </w:lvlOverride>
  </w:num>
  <w:num w:numId="26" w16cid:durableId="1546867200">
    <w:abstractNumId w:val="11"/>
  </w:num>
  <w:num w:numId="27" w16cid:durableId="1019086742">
    <w:abstractNumId w:val="15"/>
  </w:num>
  <w:num w:numId="28" w16cid:durableId="898981661">
    <w:abstractNumId w:val="10"/>
  </w:num>
  <w:num w:numId="29" w16cid:durableId="1111511377">
    <w:abstractNumId w:val="20"/>
  </w:num>
  <w:num w:numId="30" w16cid:durableId="83571009">
    <w:abstractNumId w:val="19"/>
  </w:num>
  <w:num w:numId="31" w16cid:durableId="1915433878">
    <w:abstractNumId w:val="8"/>
  </w:num>
  <w:num w:numId="32" w16cid:durableId="1709916495">
    <w:abstractNumId w:val="14"/>
  </w:num>
  <w:num w:numId="33" w16cid:durableId="898174284">
    <w:abstractNumId w:val="8"/>
  </w:num>
  <w:num w:numId="34" w16cid:durableId="173030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353020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A"/>
    <w:rsid w:val="00000DB5"/>
    <w:rsid w:val="000012A1"/>
    <w:rsid w:val="000015EC"/>
    <w:rsid w:val="00001EC1"/>
    <w:rsid w:val="00002A91"/>
    <w:rsid w:val="00003EA5"/>
    <w:rsid w:val="000067A2"/>
    <w:rsid w:val="00006F95"/>
    <w:rsid w:val="0000744F"/>
    <w:rsid w:val="0001080B"/>
    <w:rsid w:val="00010FD9"/>
    <w:rsid w:val="000161C2"/>
    <w:rsid w:val="00017BCF"/>
    <w:rsid w:val="00017D76"/>
    <w:rsid w:val="0002188A"/>
    <w:rsid w:val="00023EFF"/>
    <w:rsid w:val="0002476A"/>
    <w:rsid w:val="00026E5F"/>
    <w:rsid w:val="0003030F"/>
    <w:rsid w:val="00030770"/>
    <w:rsid w:val="0003243E"/>
    <w:rsid w:val="00033B38"/>
    <w:rsid w:val="00035F37"/>
    <w:rsid w:val="00036BE4"/>
    <w:rsid w:val="000428F7"/>
    <w:rsid w:val="00042DE3"/>
    <w:rsid w:val="000430B8"/>
    <w:rsid w:val="00043206"/>
    <w:rsid w:val="00044501"/>
    <w:rsid w:val="00045712"/>
    <w:rsid w:val="00045725"/>
    <w:rsid w:val="00045C4B"/>
    <w:rsid w:val="000462C6"/>
    <w:rsid w:val="000465F1"/>
    <w:rsid w:val="00047B42"/>
    <w:rsid w:val="0004EFF8"/>
    <w:rsid w:val="00051611"/>
    <w:rsid w:val="000529E2"/>
    <w:rsid w:val="00053B83"/>
    <w:rsid w:val="00054351"/>
    <w:rsid w:val="0005439C"/>
    <w:rsid w:val="00054659"/>
    <w:rsid w:val="00055B74"/>
    <w:rsid w:val="00055FC9"/>
    <w:rsid w:val="000579B1"/>
    <w:rsid w:val="00061886"/>
    <w:rsid w:val="00061C6C"/>
    <w:rsid w:val="000659C5"/>
    <w:rsid w:val="00065ACD"/>
    <w:rsid w:val="00066F33"/>
    <w:rsid w:val="00071CC2"/>
    <w:rsid w:val="0007200E"/>
    <w:rsid w:val="000729B7"/>
    <w:rsid w:val="00072EDA"/>
    <w:rsid w:val="000740F5"/>
    <w:rsid w:val="00075438"/>
    <w:rsid w:val="00080B3F"/>
    <w:rsid w:val="00080D93"/>
    <w:rsid w:val="000825EC"/>
    <w:rsid w:val="00082AA4"/>
    <w:rsid w:val="00086F00"/>
    <w:rsid w:val="000901C1"/>
    <w:rsid w:val="00090475"/>
    <w:rsid w:val="0009125C"/>
    <w:rsid w:val="000914B5"/>
    <w:rsid w:val="000949EE"/>
    <w:rsid w:val="000962A3"/>
    <w:rsid w:val="000A1B92"/>
    <w:rsid w:val="000A1DB8"/>
    <w:rsid w:val="000A32CA"/>
    <w:rsid w:val="000A48AC"/>
    <w:rsid w:val="000A520E"/>
    <w:rsid w:val="000A54C9"/>
    <w:rsid w:val="000A5A02"/>
    <w:rsid w:val="000A62AB"/>
    <w:rsid w:val="000A7489"/>
    <w:rsid w:val="000A7C1E"/>
    <w:rsid w:val="000B0603"/>
    <w:rsid w:val="000B0A5D"/>
    <w:rsid w:val="000B237A"/>
    <w:rsid w:val="000B5B68"/>
    <w:rsid w:val="000B7217"/>
    <w:rsid w:val="000B79C0"/>
    <w:rsid w:val="000B7BDB"/>
    <w:rsid w:val="000C0A84"/>
    <w:rsid w:val="000C1670"/>
    <w:rsid w:val="000C1AA5"/>
    <w:rsid w:val="000C2FCC"/>
    <w:rsid w:val="000C3388"/>
    <w:rsid w:val="000C5608"/>
    <w:rsid w:val="000C5DA6"/>
    <w:rsid w:val="000D0392"/>
    <w:rsid w:val="000D0AB0"/>
    <w:rsid w:val="000D4238"/>
    <w:rsid w:val="000E130A"/>
    <w:rsid w:val="000E2434"/>
    <w:rsid w:val="000E26EA"/>
    <w:rsid w:val="000E3C26"/>
    <w:rsid w:val="000F07B6"/>
    <w:rsid w:val="000F73F2"/>
    <w:rsid w:val="000F7FEC"/>
    <w:rsid w:val="00102A4B"/>
    <w:rsid w:val="00102B28"/>
    <w:rsid w:val="00102E99"/>
    <w:rsid w:val="001064F0"/>
    <w:rsid w:val="00107803"/>
    <w:rsid w:val="001100A4"/>
    <w:rsid w:val="00112126"/>
    <w:rsid w:val="00112B93"/>
    <w:rsid w:val="00112F9F"/>
    <w:rsid w:val="00115F7F"/>
    <w:rsid w:val="00116A63"/>
    <w:rsid w:val="001170EF"/>
    <w:rsid w:val="00120D7C"/>
    <w:rsid w:val="001215BE"/>
    <w:rsid w:val="00121DAF"/>
    <w:rsid w:val="001228B0"/>
    <w:rsid w:val="00123A63"/>
    <w:rsid w:val="00124FAF"/>
    <w:rsid w:val="001254A3"/>
    <w:rsid w:val="00126FB3"/>
    <w:rsid w:val="001309AB"/>
    <w:rsid w:val="001318DF"/>
    <w:rsid w:val="00131BE8"/>
    <w:rsid w:val="00134774"/>
    <w:rsid w:val="00134C3F"/>
    <w:rsid w:val="0013688A"/>
    <w:rsid w:val="00140274"/>
    <w:rsid w:val="00141364"/>
    <w:rsid w:val="00141756"/>
    <w:rsid w:val="00142530"/>
    <w:rsid w:val="0014257A"/>
    <w:rsid w:val="0014385C"/>
    <w:rsid w:val="001478EB"/>
    <w:rsid w:val="001502D4"/>
    <w:rsid w:val="00150F90"/>
    <w:rsid w:val="00151263"/>
    <w:rsid w:val="001518A2"/>
    <w:rsid w:val="0015239E"/>
    <w:rsid w:val="00154112"/>
    <w:rsid w:val="0015763C"/>
    <w:rsid w:val="0016266F"/>
    <w:rsid w:val="00162A8D"/>
    <w:rsid w:val="00163578"/>
    <w:rsid w:val="00164FFE"/>
    <w:rsid w:val="0016567F"/>
    <w:rsid w:val="00165E3C"/>
    <w:rsid w:val="0017222B"/>
    <w:rsid w:val="00172825"/>
    <w:rsid w:val="00172F3A"/>
    <w:rsid w:val="00173FB5"/>
    <w:rsid w:val="00174D9A"/>
    <w:rsid w:val="001825C4"/>
    <w:rsid w:val="00182D70"/>
    <w:rsid w:val="00184E8A"/>
    <w:rsid w:val="00186314"/>
    <w:rsid w:val="00186C52"/>
    <w:rsid w:val="00186E66"/>
    <w:rsid w:val="001908BF"/>
    <w:rsid w:val="00191E73"/>
    <w:rsid w:val="00193DFB"/>
    <w:rsid w:val="00194786"/>
    <w:rsid w:val="00195392"/>
    <w:rsid w:val="00195B73"/>
    <w:rsid w:val="00195EDE"/>
    <w:rsid w:val="001A3DBC"/>
    <w:rsid w:val="001A4720"/>
    <w:rsid w:val="001A4C21"/>
    <w:rsid w:val="001A62B6"/>
    <w:rsid w:val="001B0353"/>
    <w:rsid w:val="001B16CD"/>
    <w:rsid w:val="001B2E06"/>
    <w:rsid w:val="001B4FEE"/>
    <w:rsid w:val="001B5BC6"/>
    <w:rsid w:val="001B6EDF"/>
    <w:rsid w:val="001C1006"/>
    <w:rsid w:val="001C1EB3"/>
    <w:rsid w:val="001C1F8B"/>
    <w:rsid w:val="001C41A3"/>
    <w:rsid w:val="001C5541"/>
    <w:rsid w:val="001C7C77"/>
    <w:rsid w:val="001D0024"/>
    <w:rsid w:val="001D15DD"/>
    <w:rsid w:val="001D4635"/>
    <w:rsid w:val="001D5F5C"/>
    <w:rsid w:val="001E1257"/>
    <w:rsid w:val="001E12E6"/>
    <w:rsid w:val="001E1D67"/>
    <w:rsid w:val="001E2267"/>
    <w:rsid w:val="001E2335"/>
    <w:rsid w:val="001E25EB"/>
    <w:rsid w:val="001E28D9"/>
    <w:rsid w:val="001E3D78"/>
    <w:rsid w:val="001E5676"/>
    <w:rsid w:val="001E5A22"/>
    <w:rsid w:val="001E5C83"/>
    <w:rsid w:val="001E6DCD"/>
    <w:rsid w:val="001F0D50"/>
    <w:rsid w:val="001F104B"/>
    <w:rsid w:val="001F2622"/>
    <w:rsid w:val="001F2BBB"/>
    <w:rsid w:val="001F52FD"/>
    <w:rsid w:val="001F54FC"/>
    <w:rsid w:val="001F5ECD"/>
    <w:rsid w:val="001F62CC"/>
    <w:rsid w:val="001F79B6"/>
    <w:rsid w:val="00200677"/>
    <w:rsid w:val="002012F7"/>
    <w:rsid w:val="002017B6"/>
    <w:rsid w:val="00201DFB"/>
    <w:rsid w:val="002027F6"/>
    <w:rsid w:val="002029DD"/>
    <w:rsid w:val="002068EB"/>
    <w:rsid w:val="00206E8B"/>
    <w:rsid w:val="00210BDD"/>
    <w:rsid w:val="002112C5"/>
    <w:rsid w:val="0021179A"/>
    <w:rsid w:val="002117C8"/>
    <w:rsid w:val="00211FA2"/>
    <w:rsid w:val="00212A87"/>
    <w:rsid w:val="002136B1"/>
    <w:rsid w:val="00214D50"/>
    <w:rsid w:val="00216747"/>
    <w:rsid w:val="002205F1"/>
    <w:rsid w:val="00221BC7"/>
    <w:rsid w:val="00223F4C"/>
    <w:rsid w:val="00230B67"/>
    <w:rsid w:val="00231ED1"/>
    <w:rsid w:val="002323A0"/>
    <w:rsid w:val="002340FA"/>
    <w:rsid w:val="002350E2"/>
    <w:rsid w:val="00236817"/>
    <w:rsid w:val="00237A0C"/>
    <w:rsid w:val="00241102"/>
    <w:rsid w:val="00241523"/>
    <w:rsid w:val="00241A0F"/>
    <w:rsid w:val="00241AF9"/>
    <w:rsid w:val="00242624"/>
    <w:rsid w:val="00244AD5"/>
    <w:rsid w:val="00245148"/>
    <w:rsid w:val="0024557E"/>
    <w:rsid w:val="00245628"/>
    <w:rsid w:val="00245733"/>
    <w:rsid w:val="00245813"/>
    <w:rsid w:val="00245ADE"/>
    <w:rsid w:val="00246A81"/>
    <w:rsid w:val="002471FD"/>
    <w:rsid w:val="00254628"/>
    <w:rsid w:val="0025517D"/>
    <w:rsid w:val="002605BB"/>
    <w:rsid w:val="0026219E"/>
    <w:rsid w:val="002632EA"/>
    <w:rsid w:val="00264FAF"/>
    <w:rsid w:val="00266AEE"/>
    <w:rsid w:val="0026731E"/>
    <w:rsid w:val="00267D0C"/>
    <w:rsid w:val="0027512B"/>
    <w:rsid w:val="0027613E"/>
    <w:rsid w:val="002817E2"/>
    <w:rsid w:val="002818B2"/>
    <w:rsid w:val="0028506A"/>
    <w:rsid w:val="002850B0"/>
    <w:rsid w:val="00285131"/>
    <w:rsid w:val="00285D30"/>
    <w:rsid w:val="002863D7"/>
    <w:rsid w:val="002873B4"/>
    <w:rsid w:val="002917D9"/>
    <w:rsid w:val="00291972"/>
    <w:rsid w:val="00292AB5"/>
    <w:rsid w:val="002941F6"/>
    <w:rsid w:val="00294A21"/>
    <w:rsid w:val="002A0E21"/>
    <w:rsid w:val="002A26AB"/>
    <w:rsid w:val="002A4185"/>
    <w:rsid w:val="002A43AE"/>
    <w:rsid w:val="002A43C2"/>
    <w:rsid w:val="002A4EB0"/>
    <w:rsid w:val="002A52D0"/>
    <w:rsid w:val="002A5D6D"/>
    <w:rsid w:val="002A6687"/>
    <w:rsid w:val="002A6CE7"/>
    <w:rsid w:val="002A79A9"/>
    <w:rsid w:val="002B0ADD"/>
    <w:rsid w:val="002B0F83"/>
    <w:rsid w:val="002B1B65"/>
    <w:rsid w:val="002B3F5C"/>
    <w:rsid w:val="002B4941"/>
    <w:rsid w:val="002B5141"/>
    <w:rsid w:val="002B5939"/>
    <w:rsid w:val="002B6374"/>
    <w:rsid w:val="002C02DB"/>
    <w:rsid w:val="002C0B33"/>
    <w:rsid w:val="002C15DC"/>
    <w:rsid w:val="002C1866"/>
    <w:rsid w:val="002C1FD9"/>
    <w:rsid w:val="002C2FA0"/>
    <w:rsid w:val="002C3837"/>
    <w:rsid w:val="002C446F"/>
    <w:rsid w:val="002C4B9A"/>
    <w:rsid w:val="002C6B0B"/>
    <w:rsid w:val="002D26BA"/>
    <w:rsid w:val="002D281D"/>
    <w:rsid w:val="002D290F"/>
    <w:rsid w:val="002D2C4E"/>
    <w:rsid w:val="002D32BA"/>
    <w:rsid w:val="002D4729"/>
    <w:rsid w:val="002D56E2"/>
    <w:rsid w:val="002D59AA"/>
    <w:rsid w:val="002D6659"/>
    <w:rsid w:val="002D778B"/>
    <w:rsid w:val="002E4567"/>
    <w:rsid w:val="002E5A1B"/>
    <w:rsid w:val="002E60DF"/>
    <w:rsid w:val="002E7986"/>
    <w:rsid w:val="002E7D40"/>
    <w:rsid w:val="002F134A"/>
    <w:rsid w:val="002F19A0"/>
    <w:rsid w:val="002F1AF2"/>
    <w:rsid w:val="002F1BBC"/>
    <w:rsid w:val="002F4610"/>
    <w:rsid w:val="002F4AF3"/>
    <w:rsid w:val="002F4CE1"/>
    <w:rsid w:val="002F5E96"/>
    <w:rsid w:val="002F6B52"/>
    <w:rsid w:val="0030053D"/>
    <w:rsid w:val="00300F22"/>
    <w:rsid w:val="00301B8D"/>
    <w:rsid w:val="0030279B"/>
    <w:rsid w:val="00304A37"/>
    <w:rsid w:val="00304E28"/>
    <w:rsid w:val="0031040E"/>
    <w:rsid w:val="00310ED4"/>
    <w:rsid w:val="003113C5"/>
    <w:rsid w:val="00312301"/>
    <w:rsid w:val="003124A9"/>
    <w:rsid w:val="00314629"/>
    <w:rsid w:val="0031492A"/>
    <w:rsid w:val="00314EFB"/>
    <w:rsid w:val="00315B83"/>
    <w:rsid w:val="00316C1A"/>
    <w:rsid w:val="00317E9E"/>
    <w:rsid w:val="00320176"/>
    <w:rsid w:val="00320920"/>
    <w:rsid w:val="003217A9"/>
    <w:rsid w:val="003219DD"/>
    <w:rsid w:val="00323C73"/>
    <w:rsid w:val="003246FA"/>
    <w:rsid w:val="00324BEB"/>
    <w:rsid w:val="00331141"/>
    <w:rsid w:val="00331D41"/>
    <w:rsid w:val="003325EC"/>
    <w:rsid w:val="00332918"/>
    <w:rsid w:val="00333702"/>
    <w:rsid w:val="00333DE6"/>
    <w:rsid w:val="00335E15"/>
    <w:rsid w:val="00340364"/>
    <w:rsid w:val="0034148D"/>
    <w:rsid w:val="003423F4"/>
    <w:rsid w:val="00342B17"/>
    <w:rsid w:val="00342F54"/>
    <w:rsid w:val="00344758"/>
    <w:rsid w:val="0034575C"/>
    <w:rsid w:val="00346209"/>
    <w:rsid w:val="00347142"/>
    <w:rsid w:val="003474BE"/>
    <w:rsid w:val="00350D1B"/>
    <w:rsid w:val="003532D8"/>
    <w:rsid w:val="00353592"/>
    <w:rsid w:val="00353B2D"/>
    <w:rsid w:val="00354041"/>
    <w:rsid w:val="00354E3A"/>
    <w:rsid w:val="00354EBB"/>
    <w:rsid w:val="003565A8"/>
    <w:rsid w:val="003566EA"/>
    <w:rsid w:val="0035761B"/>
    <w:rsid w:val="00360010"/>
    <w:rsid w:val="0036112F"/>
    <w:rsid w:val="00361203"/>
    <w:rsid w:val="0036268F"/>
    <w:rsid w:val="0036291B"/>
    <w:rsid w:val="00366830"/>
    <w:rsid w:val="00367729"/>
    <w:rsid w:val="00371056"/>
    <w:rsid w:val="003718E5"/>
    <w:rsid w:val="00372633"/>
    <w:rsid w:val="00372C79"/>
    <w:rsid w:val="0037477E"/>
    <w:rsid w:val="003821BC"/>
    <w:rsid w:val="00383D83"/>
    <w:rsid w:val="003844B8"/>
    <w:rsid w:val="003859CD"/>
    <w:rsid w:val="0038736B"/>
    <w:rsid w:val="00390F60"/>
    <w:rsid w:val="003911C5"/>
    <w:rsid w:val="003934D9"/>
    <w:rsid w:val="003935F6"/>
    <w:rsid w:val="00393DD5"/>
    <w:rsid w:val="00395FDB"/>
    <w:rsid w:val="003971DE"/>
    <w:rsid w:val="003A033B"/>
    <w:rsid w:val="003A168E"/>
    <w:rsid w:val="003A34A9"/>
    <w:rsid w:val="003A48B7"/>
    <w:rsid w:val="003A69BD"/>
    <w:rsid w:val="003A6B0B"/>
    <w:rsid w:val="003A71D8"/>
    <w:rsid w:val="003B01B0"/>
    <w:rsid w:val="003B02FC"/>
    <w:rsid w:val="003B07CB"/>
    <w:rsid w:val="003B3274"/>
    <w:rsid w:val="003B4D55"/>
    <w:rsid w:val="003B510B"/>
    <w:rsid w:val="003B5630"/>
    <w:rsid w:val="003B571E"/>
    <w:rsid w:val="003B78B6"/>
    <w:rsid w:val="003C0287"/>
    <w:rsid w:val="003C136D"/>
    <w:rsid w:val="003C185D"/>
    <w:rsid w:val="003C1A57"/>
    <w:rsid w:val="003C3F05"/>
    <w:rsid w:val="003C4FFA"/>
    <w:rsid w:val="003C6C5C"/>
    <w:rsid w:val="003C7555"/>
    <w:rsid w:val="003D3786"/>
    <w:rsid w:val="003D4985"/>
    <w:rsid w:val="003D5AF9"/>
    <w:rsid w:val="003D6057"/>
    <w:rsid w:val="003D6870"/>
    <w:rsid w:val="003D71AA"/>
    <w:rsid w:val="003E0BE5"/>
    <w:rsid w:val="003E0F80"/>
    <w:rsid w:val="003E1A52"/>
    <w:rsid w:val="003E2B2A"/>
    <w:rsid w:val="003E3F69"/>
    <w:rsid w:val="003E5432"/>
    <w:rsid w:val="003E5DEF"/>
    <w:rsid w:val="003E7318"/>
    <w:rsid w:val="003F170F"/>
    <w:rsid w:val="003F26A1"/>
    <w:rsid w:val="003F43F6"/>
    <w:rsid w:val="003F5A49"/>
    <w:rsid w:val="003F6202"/>
    <w:rsid w:val="003F6FEA"/>
    <w:rsid w:val="00401262"/>
    <w:rsid w:val="00402F7A"/>
    <w:rsid w:val="0040497E"/>
    <w:rsid w:val="00405A49"/>
    <w:rsid w:val="00410375"/>
    <w:rsid w:val="00411F4E"/>
    <w:rsid w:val="00417774"/>
    <w:rsid w:val="00420AE1"/>
    <w:rsid w:val="004213B3"/>
    <w:rsid w:val="0042142C"/>
    <w:rsid w:val="00422417"/>
    <w:rsid w:val="00422D7E"/>
    <w:rsid w:val="00423446"/>
    <w:rsid w:val="00424233"/>
    <w:rsid w:val="00427A94"/>
    <w:rsid w:val="00430E3A"/>
    <w:rsid w:val="00432A9A"/>
    <w:rsid w:val="00432DDE"/>
    <w:rsid w:val="0043503D"/>
    <w:rsid w:val="00435424"/>
    <w:rsid w:val="00436254"/>
    <w:rsid w:val="0043729B"/>
    <w:rsid w:val="00441923"/>
    <w:rsid w:val="00442358"/>
    <w:rsid w:val="0044315B"/>
    <w:rsid w:val="0044318F"/>
    <w:rsid w:val="004457E4"/>
    <w:rsid w:val="00445CB5"/>
    <w:rsid w:val="004462FB"/>
    <w:rsid w:val="00451820"/>
    <w:rsid w:val="00451CC5"/>
    <w:rsid w:val="00452AF0"/>
    <w:rsid w:val="00452E80"/>
    <w:rsid w:val="00457A68"/>
    <w:rsid w:val="00460B5B"/>
    <w:rsid w:val="00460EE0"/>
    <w:rsid w:val="00461B86"/>
    <w:rsid w:val="00463B68"/>
    <w:rsid w:val="00464378"/>
    <w:rsid w:val="004649BA"/>
    <w:rsid w:val="00466208"/>
    <w:rsid w:val="004712FB"/>
    <w:rsid w:val="00471846"/>
    <w:rsid w:val="00471BB7"/>
    <w:rsid w:val="00472257"/>
    <w:rsid w:val="00472896"/>
    <w:rsid w:val="00472EFF"/>
    <w:rsid w:val="00474063"/>
    <w:rsid w:val="00476793"/>
    <w:rsid w:val="004767A3"/>
    <w:rsid w:val="00480719"/>
    <w:rsid w:val="00481B2A"/>
    <w:rsid w:val="00482091"/>
    <w:rsid w:val="0048213F"/>
    <w:rsid w:val="004829C6"/>
    <w:rsid w:val="004835F0"/>
    <w:rsid w:val="00483738"/>
    <w:rsid w:val="00483915"/>
    <w:rsid w:val="00483EE9"/>
    <w:rsid w:val="004849A6"/>
    <w:rsid w:val="004857EB"/>
    <w:rsid w:val="004862E6"/>
    <w:rsid w:val="00486864"/>
    <w:rsid w:val="00486FCB"/>
    <w:rsid w:val="004871AA"/>
    <w:rsid w:val="0048761D"/>
    <w:rsid w:val="00491A60"/>
    <w:rsid w:val="00496C5A"/>
    <w:rsid w:val="00496DF8"/>
    <w:rsid w:val="004974C3"/>
    <w:rsid w:val="004A08CE"/>
    <w:rsid w:val="004A11F2"/>
    <w:rsid w:val="004A187B"/>
    <w:rsid w:val="004A2AD3"/>
    <w:rsid w:val="004A2D3C"/>
    <w:rsid w:val="004A5980"/>
    <w:rsid w:val="004A5A65"/>
    <w:rsid w:val="004A621B"/>
    <w:rsid w:val="004A6BEA"/>
    <w:rsid w:val="004A7CA1"/>
    <w:rsid w:val="004B1934"/>
    <w:rsid w:val="004B3F7F"/>
    <w:rsid w:val="004B5155"/>
    <w:rsid w:val="004B6D93"/>
    <w:rsid w:val="004C1EFA"/>
    <w:rsid w:val="004C26ED"/>
    <w:rsid w:val="004C4F98"/>
    <w:rsid w:val="004C57F4"/>
    <w:rsid w:val="004C6162"/>
    <w:rsid w:val="004C6F46"/>
    <w:rsid w:val="004C7412"/>
    <w:rsid w:val="004C779B"/>
    <w:rsid w:val="004D04BF"/>
    <w:rsid w:val="004D0637"/>
    <w:rsid w:val="004D3C80"/>
    <w:rsid w:val="004D498C"/>
    <w:rsid w:val="004D5236"/>
    <w:rsid w:val="004D52A6"/>
    <w:rsid w:val="004D59E6"/>
    <w:rsid w:val="004D6494"/>
    <w:rsid w:val="004D6DF3"/>
    <w:rsid w:val="004D746A"/>
    <w:rsid w:val="004D74AD"/>
    <w:rsid w:val="004D7827"/>
    <w:rsid w:val="004E0DFF"/>
    <w:rsid w:val="004E15FF"/>
    <w:rsid w:val="004E2E33"/>
    <w:rsid w:val="004E42B1"/>
    <w:rsid w:val="004E6305"/>
    <w:rsid w:val="004E718E"/>
    <w:rsid w:val="004E7366"/>
    <w:rsid w:val="004E76E4"/>
    <w:rsid w:val="004F0E91"/>
    <w:rsid w:val="004F1C7C"/>
    <w:rsid w:val="004F27E1"/>
    <w:rsid w:val="004F2F96"/>
    <w:rsid w:val="004F3376"/>
    <w:rsid w:val="004F3D63"/>
    <w:rsid w:val="004F5291"/>
    <w:rsid w:val="004F52E0"/>
    <w:rsid w:val="004F6E83"/>
    <w:rsid w:val="004F7996"/>
    <w:rsid w:val="0050154F"/>
    <w:rsid w:val="00504A20"/>
    <w:rsid w:val="00505C83"/>
    <w:rsid w:val="00505E78"/>
    <w:rsid w:val="005060AF"/>
    <w:rsid w:val="005072EE"/>
    <w:rsid w:val="0050761A"/>
    <w:rsid w:val="00510390"/>
    <w:rsid w:val="005123F0"/>
    <w:rsid w:val="00512735"/>
    <w:rsid w:val="00513540"/>
    <w:rsid w:val="00513941"/>
    <w:rsid w:val="0051484E"/>
    <w:rsid w:val="00515EE6"/>
    <w:rsid w:val="00516F6D"/>
    <w:rsid w:val="00522D44"/>
    <w:rsid w:val="0052388E"/>
    <w:rsid w:val="00526ECA"/>
    <w:rsid w:val="00527905"/>
    <w:rsid w:val="0053051D"/>
    <w:rsid w:val="00531CE5"/>
    <w:rsid w:val="005324FE"/>
    <w:rsid w:val="00532CDD"/>
    <w:rsid w:val="00532FDD"/>
    <w:rsid w:val="0053303D"/>
    <w:rsid w:val="00534231"/>
    <w:rsid w:val="00537DA8"/>
    <w:rsid w:val="00539ED0"/>
    <w:rsid w:val="00545E93"/>
    <w:rsid w:val="0054704B"/>
    <w:rsid w:val="005505F6"/>
    <w:rsid w:val="005506C0"/>
    <w:rsid w:val="00550971"/>
    <w:rsid w:val="0055175C"/>
    <w:rsid w:val="00552044"/>
    <w:rsid w:val="00553153"/>
    <w:rsid w:val="00553B25"/>
    <w:rsid w:val="00555B07"/>
    <w:rsid w:val="005560C8"/>
    <w:rsid w:val="00562849"/>
    <w:rsid w:val="00562AC8"/>
    <w:rsid w:val="00564208"/>
    <w:rsid w:val="00564FEC"/>
    <w:rsid w:val="00566B97"/>
    <w:rsid w:val="005675B6"/>
    <w:rsid w:val="00567998"/>
    <w:rsid w:val="0057084C"/>
    <w:rsid w:val="005708C3"/>
    <w:rsid w:val="00570E80"/>
    <w:rsid w:val="00571CEB"/>
    <w:rsid w:val="00572312"/>
    <w:rsid w:val="005728A2"/>
    <w:rsid w:val="0057404E"/>
    <w:rsid w:val="00574536"/>
    <w:rsid w:val="00575120"/>
    <w:rsid w:val="005807C1"/>
    <w:rsid w:val="005814EE"/>
    <w:rsid w:val="0058175A"/>
    <w:rsid w:val="00581796"/>
    <w:rsid w:val="005819EE"/>
    <w:rsid w:val="00586123"/>
    <w:rsid w:val="005862CE"/>
    <w:rsid w:val="00586440"/>
    <w:rsid w:val="00586688"/>
    <w:rsid w:val="005869EC"/>
    <w:rsid w:val="00586ADD"/>
    <w:rsid w:val="00587786"/>
    <w:rsid w:val="0059087F"/>
    <w:rsid w:val="00591951"/>
    <w:rsid w:val="00593FC7"/>
    <w:rsid w:val="005941BC"/>
    <w:rsid w:val="0059421E"/>
    <w:rsid w:val="00594965"/>
    <w:rsid w:val="005961C2"/>
    <w:rsid w:val="005A090B"/>
    <w:rsid w:val="005A0964"/>
    <w:rsid w:val="005A4AE9"/>
    <w:rsid w:val="005A7E06"/>
    <w:rsid w:val="005B2513"/>
    <w:rsid w:val="005B36F6"/>
    <w:rsid w:val="005B4F00"/>
    <w:rsid w:val="005B5482"/>
    <w:rsid w:val="005B6C9D"/>
    <w:rsid w:val="005C1F09"/>
    <w:rsid w:val="005C2550"/>
    <w:rsid w:val="005C2B0F"/>
    <w:rsid w:val="005C2ECF"/>
    <w:rsid w:val="005C366E"/>
    <w:rsid w:val="005C5D41"/>
    <w:rsid w:val="005C646B"/>
    <w:rsid w:val="005C6908"/>
    <w:rsid w:val="005C783E"/>
    <w:rsid w:val="005D1F34"/>
    <w:rsid w:val="005D2BE3"/>
    <w:rsid w:val="005D2E52"/>
    <w:rsid w:val="005D378C"/>
    <w:rsid w:val="005D383D"/>
    <w:rsid w:val="005D4493"/>
    <w:rsid w:val="005D5064"/>
    <w:rsid w:val="005D683D"/>
    <w:rsid w:val="005E3946"/>
    <w:rsid w:val="005E3EA7"/>
    <w:rsid w:val="005E503F"/>
    <w:rsid w:val="005E6C7E"/>
    <w:rsid w:val="005E726A"/>
    <w:rsid w:val="005F08B5"/>
    <w:rsid w:val="005F0C18"/>
    <w:rsid w:val="005F19FA"/>
    <w:rsid w:val="005F262D"/>
    <w:rsid w:val="005F2AF2"/>
    <w:rsid w:val="005F2D9F"/>
    <w:rsid w:val="005F3CAD"/>
    <w:rsid w:val="005F4369"/>
    <w:rsid w:val="005F5789"/>
    <w:rsid w:val="00602BFF"/>
    <w:rsid w:val="006043D4"/>
    <w:rsid w:val="00606851"/>
    <w:rsid w:val="006100F9"/>
    <w:rsid w:val="00613488"/>
    <w:rsid w:val="00616F88"/>
    <w:rsid w:val="00617B31"/>
    <w:rsid w:val="00622508"/>
    <w:rsid w:val="00623A4F"/>
    <w:rsid w:val="00623DE1"/>
    <w:rsid w:val="006244F5"/>
    <w:rsid w:val="0062452E"/>
    <w:rsid w:val="00625016"/>
    <w:rsid w:val="006259AA"/>
    <w:rsid w:val="00626183"/>
    <w:rsid w:val="0063009F"/>
    <w:rsid w:val="0063038F"/>
    <w:rsid w:val="00630EF8"/>
    <w:rsid w:val="00632B72"/>
    <w:rsid w:val="00634F15"/>
    <w:rsid w:val="006356C5"/>
    <w:rsid w:val="00635741"/>
    <w:rsid w:val="00635EBF"/>
    <w:rsid w:val="00636883"/>
    <w:rsid w:val="00637747"/>
    <w:rsid w:val="0064016F"/>
    <w:rsid w:val="0064147E"/>
    <w:rsid w:val="00641A44"/>
    <w:rsid w:val="00642D63"/>
    <w:rsid w:val="00647EFB"/>
    <w:rsid w:val="00650E26"/>
    <w:rsid w:val="00654640"/>
    <w:rsid w:val="00654793"/>
    <w:rsid w:val="0065479D"/>
    <w:rsid w:val="00654CDD"/>
    <w:rsid w:val="00654FD5"/>
    <w:rsid w:val="00655A6F"/>
    <w:rsid w:val="006561DB"/>
    <w:rsid w:val="00656202"/>
    <w:rsid w:val="0066152D"/>
    <w:rsid w:val="00663B89"/>
    <w:rsid w:val="00663E4D"/>
    <w:rsid w:val="00664CB1"/>
    <w:rsid w:val="00665264"/>
    <w:rsid w:val="0066713B"/>
    <w:rsid w:val="0067017D"/>
    <w:rsid w:val="00671AFE"/>
    <w:rsid w:val="006721B4"/>
    <w:rsid w:val="00673348"/>
    <w:rsid w:val="00673ADA"/>
    <w:rsid w:val="00673DF8"/>
    <w:rsid w:val="0068321C"/>
    <w:rsid w:val="006837DA"/>
    <w:rsid w:val="00684197"/>
    <w:rsid w:val="00684A77"/>
    <w:rsid w:val="006855DE"/>
    <w:rsid w:val="00686CFE"/>
    <w:rsid w:val="00687127"/>
    <w:rsid w:val="006902B4"/>
    <w:rsid w:val="00690389"/>
    <w:rsid w:val="00691630"/>
    <w:rsid w:val="00694606"/>
    <w:rsid w:val="00694997"/>
    <w:rsid w:val="0069567B"/>
    <w:rsid w:val="00695B80"/>
    <w:rsid w:val="00696E2A"/>
    <w:rsid w:val="00697B1F"/>
    <w:rsid w:val="00697F9E"/>
    <w:rsid w:val="006A007B"/>
    <w:rsid w:val="006A1AF2"/>
    <w:rsid w:val="006A408C"/>
    <w:rsid w:val="006A4CA9"/>
    <w:rsid w:val="006A6BB3"/>
    <w:rsid w:val="006A703C"/>
    <w:rsid w:val="006B045D"/>
    <w:rsid w:val="006B0533"/>
    <w:rsid w:val="006B32DA"/>
    <w:rsid w:val="006B38EB"/>
    <w:rsid w:val="006B3DE1"/>
    <w:rsid w:val="006B59C4"/>
    <w:rsid w:val="006B6258"/>
    <w:rsid w:val="006C027A"/>
    <w:rsid w:val="006C0642"/>
    <w:rsid w:val="006C58A2"/>
    <w:rsid w:val="006C602F"/>
    <w:rsid w:val="006C6F6C"/>
    <w:rsid w:val="006D0407"/>
    <w:rsid w:val="006D22AC"/>
    <w:rsid w:val="006D2972"/>
    <w:rsid w:val="006D38D1"/>
    <w:rsid w:val="006D51E9"/>
    <w:rsid w:val="006D5533"/>
    <w:rsid w:val="006D5EE5"/>
    <w:rsid w:val="006D7460"/>
    <w:rsid w:val="006E4456"/>
    <w:rsid w:val="006E4697"/>
    <w:rsid w:val="006E4FE8"/>
    <w:rsid w:val="006E5607"/>
    <w:rsid w:val="006E58BF"/>
    <w:rsid w:val="006E5A46"/>
    <w:rsid w:val="006E6D3B"/>
    <w:rsid w:val="006F0990"/>
    <w:rsid w:val="006F125B"/>
    <w:rsid w:val="006F2617"/>
    <w:rsid w:val="006F2912"/>
    <w:rsid w:val="006F6AF5"/>
    <w:rsid w:val="006F769C"/>
    <w:rsid w:val="007001AC"/>
    <w:rsid w:val="00701D84"/>
    <w:rsid w:val="00701F7A"/>
    <w:rsid w:val="007021FD"/>
    <w:rsid w:val="007027AC"/>
    <w:rsid w:val="00704FF5"/>
    <w:rsid w:val="007058AA"/>
    <w:rsid w:val="00706882"/>
    <w:rsid w:val="00706C63"/>
    <w:rsid w:val="007136A5"/>
    <w:rsid w:val="00714EFD"/>
    <w:rsid w:val="00714F04"/>
    <w:rsid w:val="00714FF5"/>
    <w:rsid w:val="0071664F"/>
    <w:rsid w:val="00716871"/>
    <w:rsid w:val="0071719C"/>
    <w:rsid w:val="0072122C"/>
    <w:rsid w:val="00723195"/>
    <w:rsid w:val="00723FA7"/>
    <w:rsid w:val="0072445D"/>
    <w:rsid w:val="00724C32"/>
    <w:rsid w:val="007270ED"/>
    <w:rsid w:val="00727DD1"/>
    <w:rsid w:val="00730BD2"/>
    <w:rsid w:val="007333D4"/>
    <w:rsid w:val="00734523"/>
    <w:rsid w:val="00736F2E"/>
    <w:rsid w:val="0073707F"/>
    <w:rsid w:val="00742C51"/>
    <w:rsid w:val="00742E10"/>
    <w:rsid w:val="00746887"/>
    <w:rsid w:val="0075089E"/>
    <w:rsid w:val="007516CF"/>
    <w:rsid w:val="007525F8"/>
    <w:rsid w:val="007540BF"/>
    <w:rsid w:val="00754375"/>
    <w:rsid w:val="00755E06"/>
    <w:rsid w:val="00756107"/>
    <w:rsid w:val="0075618F"/>
    <w:rsid w:val="0075683D"/>
    <w:rsid w:val="00756A4F"/>
    <w:rsid w:val="00756EAA"/>
    <w:rsid w:val="007611DA"/>
    <w:rsid w:val="007637A8"/>
    <w:rsid w:val="007655CF"/>
    <w:rsid w:val="00765B58"/>
    <w:rsid w:val="00765CCC"/>
    <w:rsid w:val="00770DCB"/>
    <w:rsid w:val="0077114F"/>
    <w:rsid w:val="00771680"/>
    <w:rsid w:val="00775485"/>
    <w:rsid w:val="007774CD"/>
    <w:rsid w:val="007807D5"/>
    <w:rsid w:val="00781129"/>
    <w:rsid w:val="00781965"/>
    <w:rsid w:val="00781F47"/>
    <w:rsid w:val="00782DD8"/>
    <w:rsid w:val="00783303"/>
    <w:rsid w:val="00783532"/>
    <w:rsid w:val="007836F6"/>
    <w:rsid w:val="00783FE0"/>
    <w:rsid w:val="007846B5"/>
    <w:rsid w:val="007852EA"/>
    <w:rsid w:val="0078667D"/>
    <w:rsid w:val="00786CE4"/>
    <w:rsid w:val="007913C9"/>
    <w:rsid w:val="00792594"/>
    <w:rsid w:val="007941B2"/>
    <w:rsid w:val="007942E6"/>
    <w:rsid w:val="007955C6"/>
    <w:rsid w:val="00796F89"/>
    <w:rsid w:val="007A0A5F"/>
    <w:rsid w:val="007A1DD8"/>
    <w:rsid w:val="007A2121"/>
    <w:rsid w:val="007A25D5"/>
    <w:rsid w:val="007A4321"/>
    <w:rsid w:val="007A46D4"/>
    <w:rsid w:val="007A61EF"/>
    <w:rsid w:val="007A7070"/>
    <w:rsid w:val="007A7302"/>
    <w:rsid w:val="007A7633"/>
    <w:rsid w:val="007B06EA"/>
    <w:rsid w:val="007B0A59"/>
    <w:rsid w:val="007B23C3"/>
    <w:rsid w:val="007B252F"/>
    <w:rsid w:val="007B2FA5"/>
    <w:rsid w:val="007B3FC0"/>
    <w:rsid w:val="007B5428"/>
    <w:rsid w:val="007B5589"/>
    <w:rsid w:val="007B5AB8"/>
    <w:rsid w:val="007B6FAC"/>
    <w:rsid w:val="007B71E7"/>
    <w:rsid w:val="007C0AB4"/>
    <w:rsid w:val="007C2DCC"/>
    <w:rsid w:val="007C2EB5"/>
    <w:rsid w:val="007C3A55"/>
    <w:rsid w:val="007C4347"/>
    <w:rsid w:val="007C5C25"/>
    <w:rsid w:val="007C6769"/>
    <w:rsid w:val="007D2152"/>
    <w:rsid w:val="007D2917"/>
    <w:rsid w:val="007D2F00"/>
    <w:rsid w:val="007D2F66"/>
    <w:rsid w:val="007D3426"/>
    <w:rsid w:val="007D4916"/>
    <w:rsid w:val="007D4F95"/>
    <w:rsid w:val="007D5AEE"/>
    <w:rsid w:val="007D60BF"/>
    <w:rsid w:val="007E1780"/>
    <w:rsid w:val="007E529C"/>
    <w:rsid w:val="007E5B88"/>
    <w:rsid w:val="007E6430"/>
    <w:rsid w:val="007E68C2"/>
    <w:rsid w:val="007E7CFE"/>
    <w:rsid w:val="007F0D0B"/>
    <w:rsid w:val="007F3AD0"/>
    <w:rsid w:val="007F405C"/>
    <w:rsid w:val="007F586F"/>
    <w:rsid w:val="007F7D5B"/>
    <w:rsid w:val="008007A8"/>
    <w:rsid w:val="008008B1"/>
    <w:rsid w:val="00800F39"/>
    <w:rsid w:val="008015D8"/>
    <w:rsid w:val="0080161E"/>
    <w:rsid w:val="00802D8C"/>
    <w:rsid w:val="008042D9"/>
    <w:rsid w:val="0080640F"/>
    <w:rsid w:val="008076B1"/>
    <w:rsid w:val="00811A87"/>
    <w:rsid w:val="0081254B"/>
    <w:rsid w:val="00812D62"/>
    <w:rsid w:val="008130AB"/>
    <w:rsid w:val="008145CB"/>
    <w:rsid w:val="00814FC0"/>
    <w:rsid w:val="00815E03"/>
    <w:rsid w:val="00817A97"/>
    <w:rsid w:val="00817C73"/>
    <w:rsid w:val="00823005"/>
    <w:rsid w:val="00824599"/>
    <w:rsid w:val="00824E40"/>
    <w:rsid w:val="00825CED"/>
    <w:rsid w:val="008263FA"/>
    <w:rsid w:val="00826D38"/>
    <w:rsid w:val="00830FC3"/>
    <w:rsid w:val="00831E2B"/>
    <w:rsid w:val="00833249"/>
    <w:rsid w:val="00834671"/>
    <w:rsid w:val="00834A4A"/>
    <w:rsid w:val="0083536E"/>
    <w:rsid w:val="008376A1"/>
    <w:rsid w:val="00844778"/>
    <w:rsid w:val="008449B9"/>
    <w:rsid w:val="008452E3"/>
    <w:rsid w:val="00845A36"/>
    <w:rsid w:val="00846C81"/>
    <w:rsid w:val="00846C8D"/>
    <w:rsid w:val="00846F5A"/>
    <w:rsid w:val="00847191"/>
    <w:rsid w:val="00847335"/>
    <w:rsid w:val="00847363"/>
    <w:rsid w:val="008479BB"/>
    <w:rsid w:val="00850E70"/>
    <w:rsid w:val="00852435"/>
    <w:rsid w:val="008529C5"/>
    <w:rsid w:val="00853BEF"/>
    <w:rsid w:val="00857880"/>
    <w:rsid w:val="00857A16"/>
    <w:rsid w:val="00857EBF"/>
    <w:rsid w:val="0086254F"/>
    <w:rsid w:val="0086264B"/>
    <w:rsid w:val="00862843"/>
    <w:rsid w:val="0086288E"/>
    <w:rsid w:val="008628C6"/>
    <w:rsid w:val="00862ACE"/>
    <w:rsid w:val="00863453"/>
    <w:rsid w:val="00863DAC"/>
    <w:rsid w:val="008675F8"/>
    <w:rsid w:val="008724DE"/>
    <w:rsid w:val="00872FF2"/>
    <w:rsid w:val="00873283"/>
    <w:rsid w:val="008758D9"/>
    <w:rsid w:val="00875C17"/>
    <w:rsid w:val="00875F36"/>
    <w:rsid w:val="00877BC3"/>
    <w:rsid w:val="00880CA2"/>
    <w:rsid w:val="00882B0A"/>
    <w:rsid w:val="00883BC7"/>
    <w:rsid w:val="00885425"/>
    <w:rsid w:val="00885833"/>
    <w:rsid w:val="00890BA8"/>
    <w:rsid w:val="00890BD3"/>
    <w:rsid w:val="00892A97"/>
    <w:rsid w:val="008934DF"/>
    <w:rsid w:val="00894CC9"/>
    <w:rsid w:val="00895AE2"/>
    <w:rsid w:val="00895E19"/>
    <w:rsid w:val="00897280"/>
    <w:rsid w:val="0089766D"/>
    <w:rsid w:val="00897C1F"/>
    <w:rsid w:val="00897E42"/>
    <w:rsid w:val="008A0162"/>
    <w:rsid w:val="008A2582"/>
    <w:rsid w:val="008A3D57"/>
    <w:rsid w:val="008A3D8D"/>
    <w:rsid w:val="008A45D4"/>
    <w:rsid w:val="008A51C5"/>
    <w:rsid w:val="008A63D6"/>
    <w:rsid w:val="008A7867"/>
    <w:rsid w:val="008B0D92"/>
    <w:rsid w:val="008B23BC"/>
    <w:rsid w:val="008B3280"/>
    <w:rsid w:val="008B3899"/>
    <w:rsid w:val="008B3F41"/>
    <w:rsid w:val="008B7643"/>
    <w:rsid w:val="008C216B"/>
    <w:rsid w:val="008C49AC"/>
    <w:rsid w:val="008C501E"/>
    <w:rsid w:val="008E2584"/>
    <w:rsid w:val="008E2A73"/>
    <w:rsid w:val="008E2E67"/>
    <w:rsid w:val="008E328C"/>
    <w:rsid w:val="008E3AE2"/>
    <w:rsid w:val="008E3D60"/>
    <w:rsid w:val="008E3F4C"/>
    <w:rsid w:val="008E4D36"/>
    <w:rsid w:val="008E4D8D"/>
    <w:rsid w:val="008E6450"/>
    <w:rsid w:val="008E66F0"/>
    <w:rsid w:val="008E7D0A"/>
    <w:rsid w:val="008F062E"/>
    <w:rsid w:val="008F1386"/>
    <w:rsid w:val="008F1C76"/>
    <w:rsid w:val="008F1C77"/>
    <w:rsid w:val="008F5856"/>
    <w:rsid w:val="009008EE"/>
    <w:rsid w:val="00900CB6"/>
    <w:rsid w:val="00901566"/>
    <w:rsid w:val="0090165F"/>
    <w:rsid w:val="00901B82"/>
    <w:rsid w:val="00901DCD"/>
    <w:rsid w:val="00902AF7"/>
    <w:rsid w:val="00903F56"/>
    <w:rsid w:val="00905886"/>
    <w:rsid w:val="00910D61"/>
    <w:rsid w:val="0091150A"/>
    <w:rsid w:val="00912B09"/>
    <w:rsid w:val="0091537B"/>
    <w:rsid w:val="009160F3"/>
    <w:rsid w:val="00916497"/>
    <w:rsid w:val="00916CDF"/>
    <w:rsid w:val="009171C5"/>
    <w:rsid w:val="00922936"/>
    <w:rsid w:val="00922D46"/>
    <w:rsid w:val="009241E3"/>
    <w:rsid w:val="00924481"/>
    <w:rsid w:val="0092692F"/>
    <w:rsid w:val="009349DF"/>
    <w:rsid w:val="009352F5"/>
    <w:rsid w:val="00936147"/>
    <w:rsid w:val="00937E8E"/>
    <w:rsid w:val="009402DA"/>
    <w:rsid w:val="00941E8F"/>
    <w:rsid w:val="009425C8"/>
    <w:rsid w:val="009432CF"/>
    <w:rsid w:val="009437AF"/>
    <w:rsid w:val="00945CAB"/>
    <w:rsid w:val="0095101B"/>
    <w:rsid w:val="00951D21"/>
    <w:rsid w:val="0096086A"/>
    <w:rsid w:val="009609BA"/>
    <w:rsid w:val="00961325"/>
    <w:rsid w:val="00961817"/>
    <w:rsid w:val="0096582D"/>
    <w:rsid w:val="00966221"/>
    <w:rsid w:val="0096623F"/>
    <w:rsid w:val="00966B52"/>
    <w:rsid w:val="00966C2F"/>
    <w:rsid w:val="00967181"/>
    <w:rsid w:val="0096742A"/>
    <w:rsid w:val="009736C1"/>
    <w:rsid w:val="00974902"/>
    <w:rsid w:val="00974B84"/>
    <w:rsid w:val="0097512B"/>
    <w:rsid w:val="00981340"/>
    <w:rsid w:val="009815A5"/>
    <w:rsid w:val="00982404"/>
    <w:rsid w:val="0098279E"/>
    <w:rsid w:val="009865AB"/>
    <w:rsid w:val="009873C1"/>
    <w:rsid w:val="00992BAD"/>
    <w:rsid w:val="009931E0"/>
    <w:rsid w:val="00994858"/>
    <w:rsid w:val="00994C31"/>
    <w:rsid w:val="009954A4"/>
    <w:rsid w:val="0099718B"/>
    <w:rsid w:val="00997982"/>
    <w:rsid w:val="009A1259"/>
    <w:rsid w:val="009A2C1C"/>
    <w:rsid w:val="009A3057"/>
    <w:rsid w:val="009A4281"/>
    <w:rsid w:val="009A70DA"/>
    <w:rsid w:val="009B1145"/>
    <w:rsid w:val="009B323A"/>
    <w:rsid w:val="009B3AC1"/>
    <w:rsid w:val="009B44B6"/>
    <w:rsid w:val="009B597A"/>
    <w:rsid w:val="009B6470"/>
    <w:rsid w:val="009B69D9"/>
    <w:rsid w:val="009B7AFD"/>
    <w:rsid w:val="009C099D"/>
    <w:rsid w:val="009C0DA8"/>
    <w:rsid w:val="009C19B4"/>
    <w:rsid w:val="009C1E98"/>
    <w:rsid w:val="009C22B6"/>
    <w:rsid w:val="009C5CF8"/>
    <w:rsid w:val="009C7CF8"/>
    <w:rsid w:val="009D1769"/>
    <w:rsid w:val="009D4DB5"/>
    <w:rsid w:val="009D5D3B"/>
    <w:rsid w:val="009D6149"/>
    <w:rsid w:val="009D67F6"/>
    <w:rsid w:val="009D7402"/>
    <w:rsid w:val="009E01C0"/>
    <w:rsid w:val="009E08D1"/>
    <w:rsid w:val="009E0FE1"/>
    <w:rsid w:val="009E26FA"/>
    <w:rsid w:val="009E337F"/>
    <w:rsid w:val="009E3761"/>
    <w:rsid w:val="009E4BD0"/>
    <w:rsid w:val="009E6978"/>
    <w:rsid w:val="009E6A5B"/>
    <w:rsid w:val="009E71A8"/>
    <w:rsid w:val="009F0343"/>
    <w:rsid w:val="009F0F06"/>
    <w:rsid w:val="009F2764"/>
    <w:rsid w:val="009F3167"/>
    <w:rsid w:val="009F5704"/>
    <w:rsid w:val="00A02FB8"/>
    <w:rsid w:val="00A0406E"/>
    <w:rsid w:val="00A04544"/>
    <w:rsid w:val="00A06936"/>
    <w:rsid w:val="00A071BB"/>
    <w:rsid w:val="00A07581"/>
    <w:rsid w:val="00A10B67"/>
    <w:rsid w:val="00A11307"/>
    <w:rsid w:val="00A13AF3"/>
    <w:rsid w:val="00A13E5B"/>
    <w:rsid w:val="00A16EDB"/>
    <w:rsid w:val="00A17E1E"/>
    <w:rsid w:val="00A21388"/>
    <w:rsid w:val="00A214F3"/>
    <w:rsid w:val="00A23202"/>
    <w:rsid w:val="00A237DF"/>
    <w:rsid w:val="00A248FE"/>
    <w:rsid w:val="00A25020"/>
    <w:rsid w:val="00A26006"/>
    <w:rsid w:val="00A27791"/>
    <w:rsid w:val="00A27ABE"/>
    <w:rsid w:val="00A3175E"/>
    <w:rsid w:val="00A3183B"/>
    <w:rsid w:val="00A31A57"/>
    <w:rsid w:val="00A31B9E"/>
    <w:rsid w:val="00A3437D"/>
    <w:rsid w:val="00A34CD0"/>
    <w:rsid w:val="00A355F9"/>
    <w:rsid w:val="00A41277"/>
    <w:rsid w:val="00A41355"/>
    <w:rsid w:val="00A437B6"/>
    <w:rsid w:val="00A43B92"/>
    <w:rsid w:val="00A43CA8"/>
    <w:rsid w:val="00A46453"/>
    <w:rsid w:val="00A477E9"/>
    <w:rsid w:val="00A4799A"/>
    <w:rsid w:val="00A47B87"/>
    <w:rsid w:val="00A5167D"/>
    <w:rsid w:val="00A51916"/>
    <w:rsid w:val="00A53C7D"/>
    <w:rsid w:val="00A53F50"/>
    <w:rsid w:val="00A54002"/>
    <w:rsid w:val="00A54251"/>
    <w:rsid w:val="00A55C58"/>
    <w:rsid w:val="00A55D4C"/>
    <w:rsid w:val="00A56592"/>
    <w:rsid w:val="00A576F9"/>
    <w:rsid w:val="00A57C7A"/>
    <w:rsid w:val="00A60C16"/>
    <w:rsid w:val="00A6179E"/>
    <w:rsid w:val="00A62144"/>
    <w:rsid w:val="00A64316"/>
    <w:rsid w:val="00A66112"/>
    <w:rsid w:val="00A673AE"/>
    <w:rsid w:val="00A7023A"/>
    <w:rsid w:val="00A71256"/>
    <w:rsid w:val="00A71C90"/>
    <w:rsid w:val="00A73E00"/>
    <w:rsid w:val="00A74F0C"/>
    <w:rsid w:val="00A74F22"/>
    <w:rsid w:val="00A77559"/>
    <w:rsid w:val="00A804D9"/>
    <w:rsid w:val="00A804EB"/>
    <w:rsid w:val="00A8154F"/>
    <w:rsid w:val="00A81984"/>
    <w:rsid w:val="00A82DDD"/>
    <w:rsid w:val="00A83543"/>
    <w:rsid w:val="00A84CBC"/>
    <w:rsid w:val="00A8573B"/>
    <w:rsid w:val="00A85D18"/>
    <w:rsid w:val="00A87A3E"/>
    <w:rsid w:val="00A903B5"/>
    <w:rsid w:val="00A90C7A"/>
    <w:rsid w:val="00A91357"/>
    <w:rsid w:val="00A91D00"/>
    <w:rsid w:val="00A92627"/>
    <w:rsid w:val="00A92915"/>
    <w:rsid w:val="00A92F92"/>
    <w:rsid w:val="00A95D0A"/>
    <w:rsid w:val="00A967A2"/>
    <w:rsid w:val="00A96892"/>
    <w:rsid w:val="00A97D01"/>
    <w:rsid w:val="00AA00E1"/>
    <w:rsid w:val="00AA0251"/>
    <w:rsid w:val="00AA0B39"/>
    <w:rsid w:val="00AA2051"/>
    <w:rsid w:val="00AA392C"/>
    <w:rsid w:val="00AA3B53"/>
    <w:rsid w:val="00AA57F9"/>
    <w:rsid w:val="00AA70C4"/>
    <w:rsid w:val="00AB049C"/>
    <w:rsid w:val="00AB061A"/>
    <w:rsid w:val="00AB1B1B"/>
    <w:rsid w:val="00AB3672"/>
    <w:rsid w:val="00AB69B7"/>
    <w:rsid w:val="00AB6FDD"/>
    <w:rsid w:val="00AB7C8F"/>
    <w:rsid w:val="00AC084E"/>
    <w:rsid w:val="00AC1DD8"/>
    <w:rsid w:val="00AC2192"/>
    <w:rsid w:val="00AC3030"/>
    <w:rsid w:val="00AC5D81"/>
    <w:rsid w:val="00AC61A8"/>
    <w:rsid w:val="00AC636D"/>
    <w:rsid w:val="00AC685B"/>
    <w:rsid w:val="00AD2D30"/>
    <w:rsid w:val="00AD31E9"/>
    <w:rsid w:val="00AD35BF"/>
    <w:rsid w:val="00AD3B58"/>
    <w:rsid w:val="00AD4583"/>
    <w:rsid w:val="00AD5C6E"/>
    <w:rsid w:val="00AD5E72"/>
    <w:rsid w:val="00AD615E"/>
    <w:rsid w:val="00AD7CA4"/>
    <w:rsid w:val="00AE1627"/>
    <w:rsid w:val="00AE1FE7"/>
    <w:rsid w:val="00AE237C"/>
    <w:rsid w:val="00AE2DF3"/>
    <w:rsid w:val="00AE7BB5"/>
    <w:rsid w:val="00AF0FD6"/>
    <w:rsid w:val="00AF1A55"/>
    <w:rsid w:val="00AF1F8D"/>
    <w:rsid w:val="00AF3459"/>
    <w:rsid w:val="00AF4BFC"/>
    <w:rsid w:val="00AF7BFC"/>
    <w:rsid w:val="00B008EC"/>
    <w:rsid w:val="00B00F61"/>
    <w:rsid w:val="00B018E6"/>
    <w:rsid w:val="00B1075E"/>
    <w:rsid w:val="00B111C2"/>
    <w:rsid w:val="00B12348"/>
    <w:rsid w:val="00B12752"/>
    <w:rsid w:val="00B14371"/>
    <w:rsid w:val="00B200A1"/>
    <w:rsid w:val="00B21EF1"/>
    <w:rsid w:val="00B22309"/>
    <w:rsid w:val="00B237FB"/>
    <w:rsid w:val="00B24B1D"/>
    <w:rsid w:val="00B26C33"/>
    <w:rsid w:val="00B277E0"/>
    <w:rsid w:val="00B30835"/>
    <w:rsid w:val="00B30936"/>
    <w:rsid w:val="00B31287"/>
    <w:rsid w:val="00B34946"/>
    <w:rsid w:val="00B3567D"/>
    <w:rsid w:val="00B364E5"/>
    <w:rsid w:val="00B36954"/>
    <w:rsid w:val="00B40B8E"/>
    <w:rsid w:val="00B41EB1"/>
    <w:rsid w:val="00B42967"/>
    <w:rsid w:val="00B42A72"/>
    <w:rsid w:val="00B42B84"/>
    <w:rsid w:val="00B4440B"/>
    <w:rsid w:val="00B44F79"/>
    <w:rsid w:val="00B4550B"/>
    <w:rsid w:val="00B459F1"/>
    <w:rsid w:val="00B471C2"/>
    <w:rsid w:val="00B4797C"/>
    <w:rsid w:val="00B500E7"/>
    <w:rsid w:val="00B519FD"/>
    <w:rsid w:val="00B520BC"/>
    <w:rsid w:val="00B539CC"/>
    <w:rsid w:val="00B53B58"/>
    <w:rsid w:val="00B55987"/>
    <w:rsid w:val="00B57600"/>
    <w:rsid w:val="00B61FEB"/>
    <w:rsid w:val="00B63D24"/>
    <w:rsid w:val="00B6402C"/>
    <w:rsid w:val="00B65E80"/>
    <w:rsid w:val="00B666E1"/>
    <w:rsid w:val="00B671D3"/>
    <w:rsid w:val="00B700AA"/>
    <w:rsid w:val="00B70A5E"/>
    <w:rsid w:val="00B70B4B"/>
    <w:rsid w:val="00B70B61"/>
    <w:rsid w:val="00B71E70"/>
    <w:rsid w:val="00B7430C"/>
    <w:rsid w:val="00B750D7"/>
    <w:rsid w:val="00B755F1"/>
    <w:rsid w:val="00B771BB"/>
    <w:rsid w:val="00B77E98"/>
    <w:rsid w:val="00B80147"/>
    <w:rsid w:val="00B80F5C"/>
    <w:rsid w:val="00B82001"/>
    <w:rsid w:val="00B82A01"/>
    <w:rsid w:val="00B90942"/>
    <w:rsid w:val="00B924E6"/>
    <w:rsid w:val="00B9662D"/>
    <w:rsid w:val="00B96BD0"/>
    <w:rsid w:val="00B97189"/>
    <w:rsid w:val="00B97F4F"/>
    <w:rsid w:val="00BA262D"/>
    <w:rsid w:val="00BA4A1F"/>
    <w:rsid w:val="00BA552F"/>
    <w:rsid w:val="00BA5698"/>
    <w:rsid w:val="00BA75B3"/>
    <w:rsid w:val="00BA7714"/>
    <w:rsid w:val="00BB0695"/>
    <w:rsid w:val="00BB0799"/>
    <w:rsid w:val="00BB1539"/>
    <w:rsid w:val="00BB3A8E"/>
    <w:rsid w:val="00BB3B43"/>
    <w:rsid w:val="00BB425C"/>
    <w:rsid w:val="00BC01E8"/>
    <w:rsid w:val="00BC6216"/>
    <w:rsid w:val="00BC677B"/>
    <w:rsid w:val="00BC79EB"/>
    <w:rsid w:val="00BD219B"/>
    <w:rsid w:val="00BD2BE6"/>
    <w:rsid w:val="00BD3188"/>
    <w:rsid w:val="00BD3C7B"/>
    <w:rsid w:val="00BD3C80"/>
    <w:rsid w:val="00BD5A34"/>
    <w:rsid w:val="00BD7A02"/>
    <w:rsid w:val="00BD7FCF"/>
    <w:rsid w:val="00BE0923"/>
    <w:rsid w:val="00BE18D3"/>
    <w:rsid w:val="00BE1EFE"/>
    <w:rsid w:val="00BE3088"/>
    <w:rsid w:val="00BE3DB5"/>
    <w:rsid w:val="00BE4043"/>
    <w:rsid w:val="00BE42AA"/>
    <w:rsid w:val="00BE455E"/>
    <w:rsid w:val="00BE4A95"/>
    <w:rsid w:val="00BE5BBD"/>
    <w:rsid w:val="00BE60D7"/>
    <w:rsid w:val="00BE66D2"/>
    <w:rsid w:val="00BF35AD"/>
    <w:rsid w:val="00BF59A8"/>
    <w:rsid w:val="00BF6406"/>
    <w:rsid w:val="00BF72AF"/>
    <w:rsid w:val="00BF78B7"/>
    <w:rsid w:val="00C00733"/>
    <w:rsid w:val="00C02405"/>
    <w:rsid w:val="00C04646"/>
    <w:rsid w:val="00C04685"/>
    <w:rsid w:val="00C05816"/>
    <w:rsid w:val="00C064DC"/>
    <w:rsid w:val="00C0687B"/>
    <w:rsid w:val="00C12959"/>
    <w:rsid w:val="00C12D5A"/>
    <w:rsid w:val="00C1359F"/>
    <w:rsid w:val="00C149BD"/>
    <w:rsid w:val="00C14A93"/>
    <w:rsid w:val="00C15143"/>
    <w:rsid w:val="00C155AC"/>
    <w:rsid w:val="00C1592B"/>
    <w:rsid w:val="00C204F1"/>
    <w:rsid w:val="00C210E0"/>
    <w:rsid w:val="00C22DAC"/>
    <w:rsid w:val="00C2390C"/>
    <w:rsid w:val="00C24FBF"/>
    <w:rsid w:val="00C25BDA"/>
    <w:rsid w:val="00C26035"/>
    <w:rsid w:val="00C26B53"/>
    <w:rsid w:val="00C30141"/>
    <w:rsid w:val="00C31D88"/>
    <w:rsid w:val="00C32674"/>
    <w:rsid w:val="00C33104"/>
    <w:rsid w:val="00C332D4"/>
    <w:rsid w:val="00C36F44"/>
    <w:rsid w:val="00C37ADD"/>
    <w:rsid w:val="00C37C6E"/>
    <w:rsid w:val="00C40EE6"/>
    <w:rsid w:val="00C427F0"/>
    <w:rsid w:val="00C452DE"/>
    <w:rsid w:val="00C46193"/>
    <w:rsid w:val="00C50765"/>
    <w:rsid w:val="00C50EDB"/>
    <w:rsid w:val="00C51011"/>
    <w:rsid w:val="00C52620"/>
    <w:rsid w:val="00C54FE3"/>
    <w:rsid w:val="00C55BD7"/>
    <w:rsid w:val="00C560AC"/>
    <w:rsid w:val="00C56CA8"/>
    <w:rsid w:val="00C5781C"/>
    <w:rsid w:val="00C60343"/>
    <w:rsid w:val="00C61727"/>
    <w:rsid w:val="00C652DC"/>
    <w:rsid w:val="00C67CE7"/>
    <w:rsid w:val="00C70D95"/>
    <w:rsid w:val="00C7263C"/>
    <w:rsid w:val="00C73BBB"/>
    <w:rsid w:val="00C73C02"/>
    <w:rsid w:val="00C73E4F"/>
    <w:rsid w:val="00C75152"/>
    <w:rsid w:val="00C7570A"/>
    <w:rsid w:val="00C766B1"/>
    <w:rsid w:val="00C76B2C"/>
    <w:rsid w:val="00C77648"/>
    <w:rsid w:val="00C80ABC"/>
    <w:rsid w:val="00C816FB"/>
    <w:rsid w:val="00C81C41"/>
    <w:rsid w:val="00C83FDA"/>
    <w:rsid w:val="00C854D4"/>
    <w:rsid w:val="00C859C1"/>
    <w:rsid w:val="00C86114"/>
    <w:rsid w:val="00C90551"/>
    <w:rsid w:val="00C90556"/>
    <w:rsid w:val="00C90EC2"/>
    <w:rsid w:val="00C91B29"/>
    <w:rsid w:val="00C9274B"/>
    <w:rsid w:val="00C936E8"/>
    <w:rsid w:val="00C93B88"/>
    <w:rsid w:val="00C96518"/>
    <w:rsid w:val="00CA0D78"/>
    <w:rsid w:val="00CA14F8"/>
    <w:rsid w:val="00CA17F9"/>
    <w:rsid w:val="00CA2A9E"/>
    <w:rsid w:val="00CA45CB"/>
    <w:rsid w:val="00CA4855"/>
    <w:rsid w:val="00CA5400"/>
    <w:rsid w:val="00CA5D90"/>
    <w:rsid w:val="00CA7058"/>
    <w:rsid w:val="00CB081C"/>
    <w:rsid w:val="00CB1E91"/>
    <w:rsid w:val="00CB24FE"/>
    <w:rsid w:val="00CB3890"/>
    <w:rsid w:val="00CB3C50"/>
    <w:rsid w:val="00CB5C03"/>
    <w:rsid w:val="00CC16E1"/>
    <w:rsid w:val="00CC2AA0"/>
    <w:rsid w:val="00CC4AF0"/>
    <w:rsid w:val="00CC566E"/>
    <w:rsid w:val="00CD08DD"/>
    <w:rsid w:val="00CD0BF4"/>
    <w:rsid w:val="00CD1A07"/>
    <w:rsid w:val="00CD41CF"/>
    <w:rsid w:val="00CD48D5"/>
    <w:rsid w:val="00CD48FA"/>
    <w:rsid w:val="00CD4E6A"/>
    <w:rsid w:val="00CD58FD"/>
    <w:rsid w:val="00CD6D41"/>
    <w:rsid w:val="00CE180E"/>
    <w:rsid w:val="00CE3361"/>
    <w:rsid w:val="00CE3428"/>
    <w:rsid w:val="00CE3D38"/>
    <w:rsid w:val="00CE4A4E"/>
    <w:rsid w:val="00CE5E95"/>
    <w:rsid w:val="00CE6A2C"/>
    <w:rsid w:val="00CE6C84"/>
    <w:rsid w:val="00CE7E98"/>
    <w:rsid w:val="00CF373F"/>
    <w:rsid w:val="00D016B8"/>
    <w:rsid w:val="00D03307"/>
    <w:rsid w:val="00D0661B"/>
    <w:rsid w:val="00D0719D"/>
    <w:rsid w:val="00D10045"/>
    <w:rsid w:val="00D10D58"/>
    <w:rsid w:val="00D1135A"/>
    <w:rsid w:val="00D11815"/>
    <w:rsid w:val="00D118AA"/>
    <w:rsid w:val="00D136B7"/>
    <w:rsid w:val="00D15310"/>
    <w:rsid w:val="00D17ABC"/>
    <w:rsid w:val="00D200C0"/>
    <w:rsid w:val="00D207B3"/>
    <w:rsid w:val="00D20F9C"/>
    <w:rsid w:val="00D215E7"/>
    <w:rsid w:val="00D21C0D"/>
    <w:rsid w:val="00D21C41"/>
    <w:rsid w:val="00D2273F"/>
    <w:rsid w:val="00D24189"/>
    <w:rsid w:val="00D27164"/>
    <w:rsid w:val="00D27F23"/>
    <w:rsid w:val="00D31DD2"/>
    <w:rsid w:val="00D32DCE"/>
    <w:rsid w:val="00D33703"/>
    <w:rsid w:val="00D343FA"/>
    <w:rsid w:val="00D35CDB"/>
    <w:rsid w:val="00D368C5"/>
    <w:rsid w:val="00D36CE3"/>
    <w:rsid w:val="00D36D87"/>
    <w:rsid w:val="00D37709"/>
    <w:rsid w:val="00D37737"/>
    <w:rsid w:val="00D40CC2"/>
    <w:rsid w:val="00D418CA"/>
    <w:rsid w:val="00D418FF"/>
    <w:rsid w:val="00D4318D"/>
    <w:rsid w:val="00D44973"/>
    <w:rsid w:val="00D45028"/>
    <w:rsid w:val="00D450D1"/>
    <w:rsid w:val="00D45F9C"/>
    <w:rsid w:val="00D466C0"/>
    <w:rsid w:val="00D475FD"/>
    <w:rsid w:val="00D50E95"/>
    <w:rsid w:val="00D52590"/>
    <w:rsid w:val="00D53CF0"/>
    <w:rsid w:val="00D54B94"/>
    <w:rsid w:val="00D55AAE"/>
    <w:rsid w:val="00D56876"/>
    <w:rsid w:val="00D56A4E"/>
    <w:rsid w:val="00D5754E"/>
    <w:rsid w:val="00D60C8B"/>
    <w:rsid w:val="00D65C76"/>
    <w:rsid w:val="00D66A00"/>
    <w:rsid w:val="00D673CB"/>
    <w:rsid w:val="00D71588"/>
    <w:rsid w:val="00D7308D"/>
    <w:rsid w:val="00D734C7"/>
    <w:rsid w:val="00D7542B"/>
    <w:rsid w:val="00D770C5"/>
    <w:rsid w:val="00D77B25"/>
    <w:rsid w:val="00D8050F"/>
    <w:rsid w:val="00D8351F"/>
    <w:rsid w:val="00D86156"/>
    <w:rsid w:val="00D86282"/>
    <w:rsid w:val="00D87421"/>
    <w:rsid w:val="00D90EF9"/>
    <w:rsid w:val="00D91023"/>
    <w:rsid w:val="00D91D71"/>
    <w:rsid w:val="00D92273"/>
    <w:rsid w:val="00D92E80"/>
    <w:rsid w:val="00D93D51"/>
    <w:rsid w:val="00D971D6"/>
    <w:rsid w:val="00D97B0E"/>
    <w:rsid w:val="00DA0120"/>
    <w:rsid w:val="00DA0D0B"/>
    <w:rsid w:val="00DA1C77"/>
    <w:rsid w:val="00DA1D32"/>
    <w:rsid w:val="00DA218A"/>
    <w:rsid w:val="00DA2F73"/>
    <w:rsid w:val="00DA56EC"/>
    <w:rsid w:val="00DA6932"/>
    <w:rsid w:val="00DA6981"/>
    <w:rsid w:val="00DA7875"/>
    <w:rsid w:val="00DA7A55"/>
    <w:rsid w:val="00DA7F3C"/>
    <w:rsid w:val="00DB205B"/>
    <w:rsid w:val="00DB79CE"/>
    <w:rsid w:val="00DC02CA"/>
    <w:rsid w:val="00DC2843"/>
    <w:rsid w:val="00DC307B"/>
    <w:rsid w:val="00DC343B"/>
    <w:rsid w:val="00DC3663"/>
    <w:rsid w:val="00DC462F"/>
    <w:rsid w:val="00DC48A2"/>
    <w:rsid w:val="00DC499A"/>
    <w:rsid w:val="00DC5374"/>
    <w:rsid w:val="00DD01D7"/>
    <w:rsid w:val="00DD2420"/>
    <w:rsid w:val="00DD47F8"/>
    <w:rsid w:val="00DD5131"/>
    <w:rsid w:val="00DD5CB5"/>
    <w:rsid w:val="00DD6A21"/>
    <w:rsid w:val="00DD7503"/>
    <w:rsid w:val="00DE18A7"/>
    <w:rsid w:val="00DE2927"/>
    <w:rsid w:val="00DE2EFB"/>
    <w:rsid w:val="00DE43FD"/>
    <w:rsid w:val="00DE60CA"/>
    <w:rsid w:val="00DE6444"/>
    <w:rsid w:val="00DE7FCB"/>
    <w:rsid w:val="00DF12AE"/>
    <w:rsid w:val="00DF2300"/>
    <w:rsid w:val="00DF3055"/>
    <w:rsid w:val="00DF3955"/>
    <w:rsid w:val="00DF3A56"/>
    <w:rsid w:val="00DF3E0E"/>
    <w:rsid w:val="00DF4527"/>
    <w:rsid w:val="00DF47F8"/>
    <w:rsid w:val="00DF4A35"/>
    <w:rsid w:val="00DF6DFD"/>
    <w:rsid w:val="00E0038B"/>
    <w:rsid w:val="00E00AFE"/>
    <w:rsid w:val="00E02517"/>
    <w:rsid w:val="00E03942"/>
    <w:rsid w:val="00E07560"/>
    <w:rsid w:val="00E07B41"/>
    <w:rsid w:val="00E10DC1"/>
    <w:rsid w:val="00E11369"/>
    <w:rsid w:val="00E140BC"/>
    <w:rsid w:val="00E14362"/>
    <w:rsid w:val="00E14833"/>
    <w:rsid w:val="00E1675F"/>
    <w:rsid w:val="00E172A4"/>
    <w:rsid w:val="00E21380"/>
    <w:rsid w:val="00E2140B"/>
    <w:rsid w:val="00E22087"/>
    <w:rsid w:val="00E222E0"/>
    <w:rsid w:val="00E2237D"/>
    <w:rsid w:val="00E23336"/>
    <w:rsid w:val="00E23536"/>
    <w:rsid w:val="00E247F7"/>
    <w:rsid w:val="00E24FA3"/>
    <w:rsid w:val="00E26147"/>
    <w:rsid w:val="00E26B28"/>
    <w:rsid w:val="00E27207"/>
    <w:rsid w:val="00E3115C"/>
    <w:rsid w:val="00E31465"/>
    <w:rsid w:val="00E328CD"/>
    <w:rsid w:val="00E3489E"/>
    <w:rsid w:val="00E362F0"/>
    <w:rsid w:val="00E36B95"/>
    <w:rsid w:val="00E37E1D"/>
    <w:rsid w:val="00E4003F"/>
    <w:rsid w:val="00E438CE"/>
    <w:rsid w:val="00E44FB9"/>
    <w:rsid w:val="00E4564E"/>
    <w:rsid w:val="00E45768"/>
    <w:rsid w:val="00E458F6"/>
    <w:rsid w:val="00E45954"/>
    <w:rsid w:val="00E46704"/>
    <w:rsid w:val="00E46832"/>
    <w:rsid w:val="00E46AB7"/>
    <w:rsid w:val="00E47871"/>
    <w:rsid w:val="00E50782"/>
    <w:rsid w:val="00E51360"/>
    <w:rsid w:val="00E52E4C"/>
    <w:rsid w:val="00E52FEB"/>
    <w:rsid w:val="00E53546"/>
    <w:rsid w:val="00E545C2"/>
    <w:rsid w:val="00E552F9"/>
    <w:rsid w:val="00E55F24"/>
    <w:rsid w:val="00E564B9"/>
    <w:rsid w:val="00E5680E"/>
    <w:rsid w:val="00E60235"/>
    <w:rsid w:val="00E60F97"/>
    <w:rsid w:val="00E615B3"/>
    <w:rsid w:val="00E623B0"/>
    <w:rsid w:val="00E65DF7"/>
    <w:rsid w:val="00E6712D"/>
    <w:rsid w:val="00E671E7"/>
    <w:rsid w:val="00E67D20"/>
    <w:rsid w:val="00E71A53"/>
    <w:rsid w:val="00E726FE"/>
    <w:rsid w:val="00E73A5B"/>
    <w:rsid w:val="00E760EE"/>
    <w:rsid w:val="00E76432"/>
    <w:rsid w:val="00E81A7B"/>
    <w:rsid w:val="00E843D3"/>
    <w:rsid w:val="00E852E3"/>
    <w:rsid w:val="00E86C84"/>
    <w:rsid w:val="00E90A42"/>
    <w:rsid w:val="00E94D78"/>
    <w:rsid w:val="00E977CF"/>
    <w:rsid w:val="00EA110C"/>
    <w:rsid w:val="00EA1531"/>
    <w:rsid w:val="00EA2E1D"/>
    <w:rsid w:val="00EA32A7"/>
    <w:rsid w:val="00EA3A6A"/>
    <w:rsid w:val="00EA3B2B"/>
    <w:rsid w:val="00EA44D9"/>
    <w:rsid w:val="00EA6D06"/>
    <w:rsid w:val="00EB13C0"/>
    <w:rsid w:val="00EB2DC8"/>
    <w:rsid w:val="00EB38C1"/>
    <w:rsid w:val="00EB4B4A"/>
    <w:rsid w:val="00EB6102"/>
    <w:rsid w:val="00EB6319"/>
    <w:rsid w:val="00EB68B9"/>
    <w:rsid w:val="00EB6A76"/>
    <w:rsid w:val="00EB70BD"/>
    <w:rsid w:val="00EC07D3"/>
    <w:rsid w:val="00EC1AE4"/>
    <w:rsid w:val="00EC2340"/>
    <w:rsid w:val="00EC2D15"/>
    <w:rsid w:val="00EC4E33"/>
    <w:rsid w:val="00ED31AE"/>
    <w:rsid w:val="00ED37BC"/>
    <w:rsid w:val="00ED43DD"/>
    <w:rsid w:val="00ED46F1"/>
    <w:rsid w:val="00ED708D"/>
    <w:rsid w:val="00ED7FB6"/>
    <w:rsid w:val="00EE0F26"/>
    <w:rsid w:val="00EE4288"/>
    <w:rsid w:val="00EE5D8A"/>
    <w:rsid w:val="00EE77F7"/>
    <w:rsid w:val="00EF1664"/>
    <w:rsid w:val="00EF2D24"/>
    <w:rsid w:val="00EF485D"/>
    <w:rsid w:val="00EF6224"/>
    <w:rsid w:val="00EF70BE"/>
    <w:rsid w:val="00F011EB"/>
    <w:rsid w:val="00F01D56"/>
    <w:rsid w:val="00F0586F"/>
    <w:rsid w:val="00F06D22"/>
    <w:rsid w:val="00F0799D"/>
    <w:rsid w:val="00F07EB3"/>
    <w:rsid w:val="00F10255"/>
    <w:rsid w:val="00F107A0"/>
    <w:rsid w:val="00F1151A"/>
    <w:rsid w:val="00F11BDE"/>
    <w:rsid w:val="00F11C4C"/>
    <w:rsid w:val="00F1271A"/>
    <w:rsid w:val="00F127A8"/>
    <w:rsid w:val="00F14825"/>
    <w:rsid w:val="00F14C6D"/>
    <w:rsid w:val="00F14EC1"/>
    <w:rsid w:val="00F15F2D"/>
    <w:rsid w:val="00F176CA"/>
    <w:rsid w:val="00F20144"/>
    <w:rsid w:val="00F2041F"/>
    <w:rsid w:val="00F20C77"/>
    <w:rsid w:val="00F2118D"/>
    <w:rsid w:val="00F220A5"/>
    <w:rsid w:val="00F25D19"/>
    <w:rsid w:val="00F27022"/>
    <w:rsid w:val="00F31635"/>
    <w:rsid w:val="00F31D82"/>
    <w:rsid w:val="00F34362"/>
    <w:rsid w:val="00F34BC9"/>
    <w:rsid w:val="00F3791A"/>
    <w:rsid w:val="00F4396B"/>
    <w:rsid w:val="00F441DB"/>
    <w:rsid w:val="00F473B2"/>
    <w:rsid w:val="00F47547"/>
    <w:rsid w:val="00F50F5A"/>
    <w:rsid w:val="00F50FBD"/>
    <w:rsid w:val="00F513AE"/>
    <w:rsid w:val="00F51A14"/>
    <w:rsid w:val="00F55B19"/>
    <w:rsid w:val="00F569EC"/>
    <w:rsid w:val="00F56F0B"/>
    <w:rsid w:val="00F60653"/>
    <w:rsid w:val="00F62B07"/>
    <w:rsid w:val="00F6369C"/>
    <w:rsid w:val="00F63F1B"/>
    <w:rsid w:val="00F64E50"/>
    <w:rsid w:val="00F64F69"/>
    <w:rsid w:val="00F64FFC"/>
    <w:rsid w:val="00F66A41"/>
    <w:rsid w:val="00F70427"/>
    <w:rsid w:val="00F710B8"/>
    <w:rsid w:val="00F71A98"/>
    <w:rsid w:val="00F71EA0"/>
    <w:rsid w:val="00F73480"/>
    <w:rsid w:val="00F73B88"/>
    <w:rsid w:val="00F73CD6"/>
    <w:rsid w:val="00F75F06"/>
    <w:rsid w:val="00F777D5"/>
    <w:rsid w:val="00F81573"/>
    <w:rsid w:val="00F8302E"/>
    <w:rsid w:val="00F8338A"/>
    <w:rsid w:val="00F8401A"/>
    <w:rsid w:val="00F84E30"/>
    <w:rsid w:val="00F86DAB"/>
    <w:rsid w:val="00F87485"/>
    <w:rsid w:val="00F87510"/>
    <w:rsid w:val="00F90F24"/>
    <w:rsid w:val="00F91086"/>
    <w:rsid w:val="00F9121E"/>
    <w:rsid w:val="00F9180A"/>
    <w:rsid w:val="00F91B19"/>
    <w:rsid w:val="00F922C4"/>
    <w:rsid w:val="00F92E75"/>
    <w:rsid w:val="00F956C7"/>
    <w:rsid w:val="00F96942"/>
    <w:rsid w:val="00FA01F8"/>
    <w:rsid w:val="00FA4202"/>
    <w:rsid w:val="00FA4916"/>
    <w:rsid w:val="00FA60D5"/>
    <w:rsid w:val="00FA7E5C"/>
    <w:rsid w:val="00FB0E01"/>
    <w:rsid w:val="00FB193D"/>
    <w:rsid w:val="00FB3422"/>
    <w:rsid w:val="00FB5CC1"/>
    <w:rsid w:val="00FB7076"/>
    <w:rsid w:val="00FC3425"/>
    <w:rsid w:val="00FC3B6D"/>
    <w:rsid w:val="00FC3F78"/>
    <w:rsid w:val="00FC4D12"/>
    <w:rsid w:val="00FC4FD4"/>
    <w:rsid w:val="00FC5765"/>
    <w:rsid w:val="00FC71C2"/>
    <w:rsid w:val="00FD01B5"/>
    <w:rsid w:val="00FD035E"/>
    <w:rsid w:val="00FD190F"/>
    <w:rsid w:val="00FD234A"/>
    <w:rsid w:val="00FD289B"/>
    <w:rsid w:val="00FD2FB3"/>
    <w:rsid w:val="00FD5BF0"/>
    <w:rsid w:val="00FD5E30"/>
    <w:rsid w:val="00FD6202"/>
    <w:rsid w:val="00FE0B51"/>
    <w:rsid w:val="00FE2AA5"/>
    <w:rsid w:val="00FE6A35"/>
    <w:rsid w:val="00FF02C2"/>
    <w:rsid w:val="00FF3AA6"/>
    <w:rsid w:val="00FF45E0"/>
    <w:rsid w:val="00FF59E8"/>
    <w:rsid w:val="011E4A75"/>
    <w:rsid w:val="0133EDEA"/>
    <w:rsid w:val="01905936"/>
    <w:rsid w:val="01905B51"/>
    <w:rsid w:val="023C633C"/>
    <w:rsid w:val="028F5A95"/>
    <w:rsid w:val="029E324A"/>
    <w:rsid w:val="03272D35"/>
    <w:rsid w:val="032A21B5"/>
    <w:rsid w:val="032D8E1C"/>
    <w:rsid w:val="0354748F"/>
    <w:rsid w:val="035DF05B"/>
    <w:rsid w:val="0418E1DA"/>
    <w:rsid w:val="043F68AC"/>
    <w:rsid w:val="045CD652"/>
    <w:rsid w:val="0488F27C"/>
    <w:rsid w:val="0498E4D2"/>
    <w:rsid w:val="04F836D7"/>
    <w:rsid w:val="050D0B01"/>
    <w:rsid w:val="05348973"/>
    <w:rsid w:val="0545E226"/>
    <w:rsid w:val="05A00F7A"/>
    <w:rsid w:val="05B156CD"/>
    <w:rsid w:val="05B5BF43"/>
    <w:rsid w:val="05EE28B1"/>
    <w:rsid w:val="060FC6CA"/>
    <w:rsid w:val="0610DAD5"/>
    <w:rsid w:val="06EE66E3"/>
    <w:rsid w:val="07ADACE4"/>
    <w:rsid w:val="07E99BE8"/>
    <w:rsid w:val="07F5916A"/>
    <w:rsid w:val="0809B99C"/>
    <w:rsid w:val="081A4E65"/>
    <w:rsid w:val="081E2354"/>
    <w:rsid w:val="086C7556"/>
    <w:rsid w:val="08C4CEF0"/>
    <w:rsid w:val="090B51EB"/>
    <w:rsid w:val="0933D5B2"/>
    <w:rsid w:val="094F037C"/>
    <w:rsid w:val="095CE4AE"/>
    <w:rsid w:val="095FAC79"/>
    <w:rsid w:val="096A03BA"/>
    <w:rsid w:val="099D21BB"/>
    <w:rsid w:val="09BD7E5F"/>
    <w:rsid w:val="09CF176C"/>
    <w:rsid w:val="0A0345A5"/>
    <w:rsid w:val="0A6398F1"/>
    <w:rsid w:val="0A85E00A"/>
    <w:rsid w:val="0A90F9A2"/>
    <w:rsid w:val="0A9D42DA"/>
    <w:rsid w:val="0AA7399F"/>
    <w:rsid w:val="0AF2FBED"/>
    <w:rsid w:val="0B0311B3"/>
    <w:rsid w:val="0B211737"/>
    <w:rsid w:val="0B28DA60"/>
    <w:rsid w:val="0B2E96B7"/>
    <w:rsid w:val="0B479817"/>
    <w:rsid w:val="0BC5112A"/>
    <w:rsid w:val="0BD51F78"/>
    <w:rsid w:val="0BDFC5C0"/>
    <w:rsid w:val="0BE89302"/>
    <w:rsid w:val="0C0600A8"/>
    <w:rsid w:val="0CF20CEA"/>
    <w:rsid w:val="0CF49D92"/>
    <w:rsid w:val="0D0DFA10"/>
    <w:rsid w:val="0D1A9F61"/>
    <w:rsid w:val="0D314DEB"/>
    <w:rsid w:val="0D7DD79E"/>
    <w:rsid w:val="0DE0F207"/>
    <w:rsid w:val="0E0369C6"/>
    <w:rsid w:val="0E8CE12C"/>
    <w:rsid w:val="0EAF08A1"/>
    <w:rsid w:val="0EC0FA81"/>
    <w:rsid w:val="0EF8FF40"/>
    <w:rsid w:val="0F7107AA"/>
    <w:rsid w:val="0F7AD827"/>
    <w:rsid w:val="0FABBB58"/>
    <w:rsid w:val="0FEA24FA"/>
    <w:rsid w:val="0FEC79B5"/>
    <w:rsid w:val="0FF8ABCA"/>
    <w:rsid w:val="100FFA3A"/>
    <w:rsid w:val="1054360D"/>
    <w:rsid w:val="10888189"/>
    <w:rsid w:val="109C9B32"/>
    <w:rsid w:val="10A3B5F4"/>
    <w:rsid w:val="10F5D43E"/>
    <w:rsid w:val="1143D6D8"/>
    <w:rsid w:val="116BC8EA"/>
    <w:rsid w:val="11726B84"/>
    <w:rsid w:val="1187C0C9"/>
    <w:rsid w:val="1192B643"/>
    <w:rsid w:val="11961854"/>
    <w:rsid w:val="119653B0"/>
    <w:rsid w:val="11EDB32C"/>
    <w:rsid w:val="11F29026"/>
    <w:rsid w:val="11F81ED2"/>
    <w:rsid w:val="12095793"/>
    <w:rsid w:val="120FC4DD"/>
    <w:rsid w:val="12156D4D"/>
    <w:rsid w:val="121CC870"/>
    <w:rsid w:val="1229C228"/>
    <w:rsid w:val="12AA5CD5"/>
    <w:rsid w:val="12C00AEE"/>
    <w:rsid w:val="133B2065"/>
    <w:rsid w:val="1352989D"/>
    <w:rsid w:val="137CB497"/>
    <w:rsid w:val="13900022"/>
    <w:rsid w:val="1392C29F"/>
    <w:rsid w:val="13BE441E"/>
    <w:rsid w:val="13CA8B3C"/>
    <w:rsid w:val="145DD1E4"/>
    <w:rsid w:val="1490334A"/>
    <w:rsid w:val="14E80580"/>
    <w:rsid w:val="152415C8"/>
    <w:rsid w:val="15793851"/>
    <w:rsid w:val="15A39EEC"/>
    <w:rsid w:val="15C45020"/>
    <w:rsid w:val="15EBD8FE"/>
    <w:rsid w:val="161F24F8"/>
    <w:rsid w:val="1660813E"/>
    <w:rsid w:val="16705F9A"/>
    <w:rsid w:val="1690AE15"/>
    <w:rsid w:val="16975B99"/>
    <w:rsid w:val="16C1F75D"/>
    <w:rsid w:val="170B9187"/>
    <w:rsid w:val="17E2C76C"/>
    <w:rsid w:val="17F3A6E9"/>
    <w:rsid w:val="183C6952"/>
    <w:rsid w:val="1868B45A"/>
    <w:rsid w:val="189B2B2A"/>
    <w:rsid w:val="18A1A8E0"/>
    <w:rsid w:val="18A4E4D1"/>
    <w:rsid w:val="1902A83F"/>
    <w:rsid w:val="192E5F8C"/>
    <w:rsid w:val="1967207F"/>
    <w:rsid w:val="19704AB9"/>
    <w:rsid w:val="19B9939F"/>
    <w:rsid w:val="1A265FAD"/>
    <w:rsid w:val="1A291A15"/>
    <w:rsid w:val="1A433249"/>
    <w:rsid w:val="1A769E98"/>
    <w:rsid w:val="1A9CD718"/>
    <w:rsid w:val="1AF87847"/>
    <w:rsid w:val="1AFE89B6"/>
    <w:rsid w:val="1B2205CD"/>
    <w:rsid w:val="1B381261"/>
    <w:rsid w:val="1B82C629"/>
    <w:rsid w:val="1BE4CF03"/>
    <w:rsid w:val="1C143BEB"/>
    <w:rsid w:val="1C1EAAD1"/>
    <w:rsid w:val="1C531209"/>
    <w:rsid w:val="1C9448A8"/>
    <w:rsid w:val="1C9965D0"/>
    <w:rsid w:val="1D43D553"/>
    <w:rsid w:val="1D6B41CC"/>
    <w:rsid w:val="1DA93087"/>
    <w:rsid w:val="1DB52678"/>
    <w:rsid w:val="1DCAF4C9"/>
    <w:rsid w:val="1DD04609"/>
    <w:rsid w:val="1DE68AEB"/>
    <w:rsid w:val="1E301909"/>
    <w:rsid w:val="1E68AE2D"/>
    <w:rsid w:val="1E814DF9"/>
    <w:rsid w:val="1EFE9CF7"/>
    <w:rsid w:val="1F16A36C"/>
    <w:rsid w:val="1F21D0FB"/>
    <w:rsid w:val="1F55E6EC"/>
    <w:rsid w:val="1F87DEEA"/>
    <w:rsid w:val="1FF19438"/>
    <w:rsid w:val="20299B50"/>
    <w:rsid w:val="205B8CCB"/>
    <w:rsid w:val="20BFAC5D"/>
    <w:rsid w:val="20EEE6B9"/>
    <w:rsid w:val="2126060D"/>
    <w:rsid w:val="212DFBD2"/>
    <w:rsid w:val="214C5676"/>
    <w:rsid w:val="216A64C8"/>
    <w:rsid w:val="21E30E94"/>
    <w:rsid w:val="226AC8DC"/>
    <w:rsid w:val="227AF96C"/>
    <w:rsid w:val="22D92EA6"/>
    <w:rsid w:val="22EE3F70"/>
    <w:rsid w:val="22F05900"/>
    <w:rsid w:val="230521C7"/>
    <w:rsid w:val="23120F6C"/>
    <w:rsid w:val="232BF07F"/>
    <w:rsid w:val="236B45C6"/>
    <w:rsid w:val="23DE786F"/>
    <w:rsid w:val="2443FEC3"/>
    <w:rsid w:val="24509AE6"/>
    <w:rsid w:val="246346A6"/>
    <w:rsid w:val="248F4209"/>
    <w:rsid w:val="24DECEEF"/>
    <w:rsid w:val="252E34B9"/>
    <w:rsid w:val="2534E705"/>
    <w:rsid w:val="2576D7C2"/>
    <w:rsid w:val="25C99ACE"/>
    <w:rsid w:val="25DC29C2"/>
    <w:rsid w:val="25E5A8C6"/>
    <w:rsid w:val="261033B9"/>
    <w:rsid w:val="2615B2E8"/>
    <w:rsid w:val="262D1309"/>
    <w:rsid w:val="263F862A"/>
    <w:rsid w:val="264103B0"/>
    <w:rsid w:val="264CFAF3"/>
    <w:rsid w:val="26592D08"/>
    <w:rsid w:val="265CA9FD"/>
    <w:rsid w:val="2661F3D9"/>
    <w:rsid w:val="267075FA"/>
    <w:rsid w:val="2672381C"/>
    <w:rsid w:val="267D27CA"/>
    <w:rsid w:val="26A30CAB"/>
    <w:rsid w:val="2701EBBC"/>
    <w:rsid w:val="273CEC4E"/>
    <w:rsid w:val="27641EA4"/>
    <w:rsid w:val="2764DB31"/>
    <w:rsid w:val="276818D9"/>
    <w:rsid w:val="27B2E2CF"/>
    <w:rsid w:val="282CA366"/>
    <w:rsid w:val="285B5257"/>
    <w:rsid w:val="285F9C16"/>
    <w:rsid w:val="287CECB6"/>
    <w:rsid w:val="28A82816"/>
    <w:rsid w:val="28B589D9"/>
    <w:rsid w:val="28CBBF40"/>
    <w:rsid w:val="292A2A69"/>
    <w:rsid w:val="292ED118"/>
    <w:rsid w:val="295712BF"/>
    <w:rsid w:val="29958505"/>
    <w:rsid w:val="29A4C4A2"/>
    <w:rsid w:val="29BB3905"/>
    <w:rsid w:val="2A057062"/>
    <w:rsid w:val="2A77586A"/>
    <w:rsid w:val="2A9009C7"/>
    <w:rsid w:val="2AD3EE01"/>
    <w:rsid w:val="2ADD7FA2"/>
    <w:rsid w:val="2B1C973D"/>
    <w:rsid w:val="2B345652"/>
    <w:rsid w:val="2B412189"/>
    <w:rsid w:val="2B89B590"/>
    <w:rsid w:val="2BA7033A"/>
    <w:rsid w:val="2BA85F5D"/>
    <w:rsid w:val="2C0AA52E"/>
    <w:rsid w:val="2C22496A"/>
    <w:rsid w:val="2C359C05"/>
    <w:rsid w:val="2CA6AC48"/>
    <w:rsid w:val="2CB400F9"/>
    <w:rsid w:val="2CD30239"/>
    <w:rsid w:val="2D328F45"/>
    <w:rsid w:val="2D8DB439"/>
    <w:rsid w:val="2DA7B7E5"/>
    <w:rsid w:val="2E28D09F"/>
    <w:rsid w:val="2E7AF067"/>
    <w:rsid w:val="2E7CC0C5"/>
    <w:rsid w:val="2EDEA3FC"/>
    <w:rsid w:val="2F36E415"/>
    <w:rsid w:val="2F4B3ECC"/>
    <w:rsid w:val="2F4F7A4D"/>
    <w:rsid w:val="2F5816AF"/>
    <w:rsid w:val="2F70DE69"/>
    <w:rsid w:val="2F7991AA"/>
    <w:rsid w:val="2F7FCFCF"/>
    <w:rsid w:val="2FABE1DD"/>
    <w:rsid w:val="2FC35189"/>
    <w:rsid w:val="2FC38B9F"/>
    <w:rsid w:val="2FE9E038"/>
    <w:rsid w:val="2FFFC4DE"/>
    <w:rsid w:val="3018FC4D"/>
    <w:rsid w:val="3065E5BF"/>
    <w:rsid w:val="309CEA57"/>
    <w:rsid w:val="30A811F4"/>
    <w:rsid w:val="30AC73DB"/>
    <w:rsid w:val="30BE0CAB"/>
    <w:rsid w:val="30F3C2C6"/>
    <w:rsid w:val="30FF42BF"/>
    <w:rsid w:val="312CDA6A"/>
    <w:rsid w:val="314D216D"/>
    <w:rsid w:val="31984EA7"/>
    <w:rsid w:val="3263EA50"/>
    <w:rsid w:val="32720DA5"/>
    <w:rsid w:val="328B388C"/>
    <w:rsid w:val="32D6630F"/>
    <w:rsid w:val="32F6A11B"/>
    <w:rsid w:val="330C1B7C"/>
    <w:rsid w:val="3353E7AE"/>
    <w:rsid w:val="3391495A"/>
    <w:rsid w:val="3412813A"/>
    <w:rsid w:val="341943A9"/>
    <w:rsid w:val="344A43D9"/>
    <w:rsid w:val="34A76BDC"/>
    <w:rsid w:val="35561F1C"/>
    <w:rsid w:val="356532DA"/>
    <w:rsid w:val="3592A4FB"/>
    <w:rsid w:val="35C102DF"/>
    <w:rsid w:val="35CDDFFF"/>
    <w:rsid w:val="364B941E"/>
    <w:rsid w:val="369249C5"/>
    <w:rsid w:val="36953DAC"/>
    <w:rsid w:val="369B98B4"/>
    <w:rsid w:val="36AAE072"/>
    <w:rsid w:val="36C19C5C"/>
    <w:rsid w:val="36CEEC45"/>
    <w:rsid w:val="37230EF2"/>
    <w:rsid w:val="37240408"/>
    <w:rsid w:val="372BD3A9"/>
    <w:rsid w:val="372FCAF8"/>
    <w:rsid w:val="37373BFB"/>
    <w:rsid w:val="37455D46"/>
    <w:rsid w:val="37A1CCB1"/>
    <w:rsid w:val="3814F14C"/>
    <w:rsid w:val="381BAD19"/>
    <w:rsid w:val="383AAAF8"/>
    <w:rsid w:val="383D40DB"/>
    <w:rsid w:val="389175C5"/>
    <w:rsid w:val="38C3B9F8"/>
    <w:rsid w:val="3950FFE2"/>
    <w:rsid w:val="3972C0C8"/>
    <w:rsid w:val="39A5C00F"/>
    <w:rsid w:val="39C7EBF6"/>
    <w:rsid w:val="39E6E3A9"/>
    <w:rsid w:val="39F81C0E"/>
    <w:rsid w:val="3A37A5DB"/>
    <w:rsid w:val="3A849FF3"/>
    <w:rsid w:val="3A8B1E4A"/>
    <w:rsid w:val="3AAAF568"/>
    <w:rsid w:val="3B74E304"/>
    <w:rsid w:val="3BFAC0B3"/>
    <w:rsid w:val="3C395C23"/>
    <w:rsid w:val="3C52CAAB"/>
    <w:rsid w:val="3CD1B1C5"/>
    <w:rsid w:val="3CDABE9A"/>
    <w:rsid w:val="3D0E37EB"/>
    <w:rsid w:val="3D32247C"/>
    <w:rsid w:val="3D674B24"/>
    <w:rsid w:val="3D9B3C9D"/>
    <w:rsid w:val="3DD73B7B"/>
    <w:rsid w:val="3DFC88C4"/>
    <w:rsid w:val="3E4CD3F1"/>
    <w:rsid w:val="3E63C565"/>
    <w:rsid w:val="3EB06D19"/>
    <w:rsid w:val="3EBB6E1C"/>
    <w:rsid w:val="3ED4DC30"/>
    <w:rsid w:val="3EDBE6CE"/>
    <w:rsid w:val="3EEECD38"/>
    <w:rsid w:val="3F6F8F17"/>
    <w:rsid w:val="3F9C40FF"/>
    <w:rsid w:val="3FCF29BE"/>
    <w:rsid w:val="3FE736A8"/>
    <w:rsid w:val="403A6690"/>
    <w:rsid w:val="4062547D"/>
    <w:rsid w:val="40A11E1D"/>
    <w:rsid w:val="40D774D8"/>
    <w:rsid w:val="410D1371"/>
    <w:rsid w:val="413E8DBD"/>
    <w:rsid w:val="4146914C"/>
    <w:rsid w:val="414D8600"/>
    <w:rsid w:val="4166EA6A"/>
    <w:rsid w:val="416A03CD"/>
    <w:rsid w:val="4175F1C6"/>
    <w:rsid w:val="41C1437D"/>
    <w:rsid w:val="41FC838A"/>
    <w:rsid w:val="4222C365"/>
    <w:rsid w:val="42251498"/>
    <w:rsid w:val="42299453"/>
    <w:rsid w:val="427A35DD"/>
    <w:rsid w:val="42AAD76D"/>
    <w:rsid w:val="42EBE198"/>
    <w:rsid w:val="4324F93C"/>
    <w:rsid w:val="43541F21"/>
    <w:rsid w:val="43E45A30"/>
    <w:rsid w:val="4416197E"/>
    <w:rsid w:val="4424423D"/>
    <w:rsid w:val="44536E31"/>
    <w:rsid w:val="44DC2575"/>
    <w:rsid w:val="44DC320B"/>
    <w:rsid w:val="4522FAE6"/>
    <w:rsid w:val="4545BBB1"/>
    <w:rsid w:val="455DD082"/>
    <w:rsid w:val="457B6C4C"/>
    <w:rsid w:val="45818033"/>
    <w:rsid w:val="4584696C"/>
    <w:rsid w:val="45CCD9D1"/>
    <w:rsid w:val="45CD265C"/>
    <w:rsid w:val="467C5520"/>
    <w:rsid w:val="467E0686"/>
    <w:rsid w:val="46BFA7D7"/>
    <w:rsid w:val="46D4DDCB"/>
    <w:rsid w:val="47291EF8"/>
    <w:rsid w:val="4731C9BD"/>
    <w:rsid w:val="4749FA9E"/>
    <w:rsid w:val="477AFC41"/>
    <w:rsid w:val="47E8B51D"/>
    <w:rsid w:val="488E28DA"/>
    <w:rsid w:val="489EDF77"/>
    <w:rsid w:val="48FC17AC"/>
    <w:rsid w:val="48FF6085"/>
    <w:rsid w:val="494F4E35"/>
    <w:rsid w:val="4A5401C3"/>
    <w:rsid w:val="4AA77192"/>
    <w:rsid w:val="4AC1BC71"/>
    <w:rsid w:val="4ADEDD13"/>
    <w:rsid w:val="4B04F8D6"/>
    <w:rsid w:val="4B77A6AD"/>
    <w:rsid w:val="4BB8BC0D"/>
    <w:rsid w:val="4BCD40FD"/>
    <w:rsid w:val="4C08FD30"/>
    <w:rsid w:val="4C478859"/>
    <w:rsid w:val="4C8D77FF"/>
    <w:rsid w:val="4CA627FB"/>
    <w:rsid w:val="4CCA22BD"/>
    <w:rsid w:val="4CECF579"/>
    <w:rsid w:val="4CF0A351"/>
    <w:rsid w:val="4D9292F1"/>
    <w:rsid w:val="4D9BCE98"/>
    <w:rsid w:val="4DAB216F"/>
    <w:rsid w:val="4DD0F2AC"/>
    <w:rsid w:val="4DFEC982"/>
    <w:rsid w:val="4E0773DC"/>
    <w:rsid w:val="4E13E0CE"/>
    <w:rsid w:val="4E287078"/>
    <w:rsid w:val="4E6932B2"/>
    <w:rsid w:val="4E9FC685"/>
    <w:rsid w:val="4ED23D2B"/>
    <w:rsid w:val="4EE0CE76"/>
    <w:rsid w:val="4EF7CF33"/>
    <w:rsid w:val="4F7FDDE3"/>
    <w:rsid w:val="4F91DF73"/>
    <w:rsid w:val="4FA6AEEB"/>
    <w:rsid w:val="4FAE139A"/>
    <w:rsid w:val="4FD27167"/>
    <w:rsid w:val="509BA4B2"/>
    <w:rsid w:val="50F8A869"/>
    <w:rsid w:val="50FB1461"/>
    <w:rsid w:val="5121C4F9"/>
    <w:rsid w:val="512B47E4"/>
    <w:rsid w:val="515A68B3"/>
    <w:rsid w:val="5193AA71"/>
    <w:rsid w:val="51BBB1C1"/>
    <w:rsid w:val="520C30D1"/>
    <w:rsid w:val="5216FA2E"/>
    <w:rsid w:val="522BE810"/>
    <w:rsid w:val="524F3C71"/>
    <w:rsid w:val="525E7C30"/>
    <w:rsid w:val="52A18BEC"/>
    <w:rsid w:val="52AA2CB6"/>
    <w:rsid w:val="52E297A2"/>
    <w:rsid w:val="52F035A6"/>
    <w:rsid w:val="53156790"/>
    <w:rsid w:val="532B9B44"/>
    <w:rsid w:val="53546A32"/>
    <w:rsid w:val="538344E4"/>
    <w:rsid w:val="5393CD7A"/>
    <w:rsid w:val="53FEE1A2"/>
    <w:rsid w:val="541EB360"/>
    <w:rsid w:val="5432A7D0"/>
    <w:rsid w:val="54381B87"/>
    <w:rsid w:val="546CFFFC"/>
    <w:rsid w:val="54903FC1"/>
    <w:rsid w:val="549FCEEC"/>
    <w:rsid w:val="54CAF8C2"/>
    <w:rsid w:val="55511A82"/>
    <w:rsid w:val="556893D9"/>
    <w:rsid w:val="55D22AE3"/>
    <w:rsid w:val="55D567AE"/>
    <w:rsid w:val="55F028D9"/>
    <w:rsid w:val="55FDBAE7"/>
    <w:rsid w:val="563E4629"/>
    <w:rsid w:val="5660E49F"/>
    <w:rsid w:val="5662E100"/>
    <w:rsid w:val="568B737C"/>
    <w:rsid w:val="570AAFEC"/>
    <w:rsid w:val="573A0053"/>
    <w:rsid w:val="5764DF29"/>
    <w:rsid w:val="5769EFC9"/>
    <w:rsid w:val="57B79C19"/>
    <w:rsid w:val="582DCFA2"/>
    <w:rsid w:val="58345374"/>
    <w:rsid w:val="58D03010"/>
    <w:rsid w:val="58E48831"/>
    <w:rsid w:val="5943513E"/>
    <w:rsid w:val="5980BD7D"/>
    <w:rsid w:val="598A49E9"/>
    <w:rsid w:val="598EDE74"/>
    <w:rsid w:val="59CA346F"/>
    <w:rsid w:val="5A1D1206"/>
    <w:rsid w:val="5A4DF012"/>
    <w:rsid w:val="5A4EF75A"/>
    <w:rsid w:val="5A70B6B0"/>
    <w:rsid w:val="5A8E6C3B"/>
    <w:rsid w:val="5A9CE245"/>
    <w:rsid w:val="5B01E3B5"/>
    <w:rsid w:val="5B1265CC"/>
    <w:rsid w:val="5B1B97B5"/>
    <w:rsid w:val="5B25B57B"/>
    <w:rsid w:val="5B2E1382"/>
    <w:rsid w:val="5B3F634E"/>
    <w:rsid w:val="5B45A9AF"/>
    <w:rsid w:val="5B4E24DD"/>
    <w:rsid w:val="5B724AC2"/>
    <w:rsid w:val="5BA5E030"/>
    <w:rsid w:val="5BC0F72F"/>
    <w:rsid w:val="5BDA43EE"/>
    <w:rsid w:val="5BE5AA54"/>
    <w:rsid w:val="5C1B5CA1"/>
    <w:rsid w:val="5C2E4EE0"/>
    <w:rsid w:val="5C77480E"/>
    <w:rsid w:val="5C7AC015"/>
    <w:rsid w:val="5C989206"/>
    <w:rsid w:val="5CBC4358"/>
    <w:rsid w:val="5CC56F2A"/>
    <w:rsid w:val="5CE35303"/>
    <w:rsid w:val="5CF84697"/>
    <w:rsid w:val="5D07A136"/>
    <w:rsid w:val="5D35459C"/>
    <w:rsid w:val="5D6F9B9A"/>
    <w:rsid w:val="5D8839FC"/>
    <w:rsid w:val="5DEEB20F"/>
    <w:rsid w:val="5E4D6FC8"/>
    <w:rsid w:val="5EBBBB56"/>
    <w:rsid w:val="5F0DD6A7"/>
    <w:rsid w:val="5F730E6E"/>
    <w:rsid w:val="5F8A2829"/>
    <w:rsid w:val="5F8C4FCD"/>
    <w:rsid w:val="5FF81204"/>
    <w:rsid w:val="5FFC0609"/>
    <w:rsid w:val="60399554"/>
    <w:rsid w:val="6054504C"/>
    <w:rsid w:val="60CB6387"/>
    <w:rsid w:val="60ED52A4"/>
    <w:rsid w:val="614A7E31"/>
    <w:rsid w:val="616C040B"/>
    <w:rsid w:val="618CD5A5"/>
    <w:rsid w:val="61993F11"/>
    <w:rsid w:val="61A620CF"/>
    <w:rsid w:val="61D523E5"/>
    <w:rsid w:val="61DCC75E"/>
    <w:rsid w:val="626493CA"/>
    <w:rsid w:val="626D13AE"/>
    <w:rsid w:val="62A45968"/>
    <w:rsid w:val="62B185FF"/>
    <w:rsid w:val="62D465B2"/>
    <w:rsid w:val="631601BA"/>
    <w:rsid w:val="63200B43"/>
    <w:rsid w:val="6340257E"/>
    <w:rsid w:val="634ED98F"/>
    <w:rsid w:val="636D06BE"/>
    <w:rsid w:val="638ED4AA"/>
    <w:rsid w:val="63F956AA"/>
    <w:rsid w:val="641CBEBE"/>
    <w:rsid w:val="6439EAF3"/>
    <w:rsid w:val="645E0D05"/>
    <w:rsid w:val="6463F608"/>
    <w:rsid w:val="65973563"/>
    <w:rsid w:val="65E20A75"/>
    <w:rsid w:val="661E0647"/>
    <w:rsid w:val="667D28A5"/>
    <w:rsid w:val="66C03D13"/>
    <w:rsid w:val="66C5B2D9"/>
    <w:rsid w:val="66D75371"/>
    <w:rsid w:val="67743B74"/>
    <w:rsid w:val="67E9C02E"/>
    <w:rsid w:val="6814FA95"/>
    <w:rsid w:val="6847F887"/>
    <w:rsid w:val="685D9812"/>
    <w:rsid w:val="6861A4F2"/>
    <w:rsid w:val="686D997E"/>
    <w:rsid w:val="6946D0D0"/>
    <w:rsid w:val="69521C45"/>
    <w:rsid w:val="696A9503"/>
    <w:rsid w:val="69AEB871"/>
    <w:rsid w:val="69B00CD9"/>
    <w:rsid w:val="69D01C8D"/>
    <w:rsid w:val="69E7621F"/>
    <w:rsid w:val="69F658E9"/>
    <w:rsid w:val="6A46E074"/>
    <w:rsid w:val="6B73E5C4"/>
    <w:rsid w:val="6BBF954D"/>
    <w:rsid w:val="6BC0D332"/>
    <w:rsid w:val="6C1F34BD"/>
    <w:rsid w:val="6C48E7A1"/>
    <w:rsid w:val="6C7666F4"/>
    <w:rsid w:val="6C928903"/>
    <w:rsid w:val="6CEB23DB"/>
    <w:rsid w:val="6D0A5688"/>
    <w:rsid w:val="6D1FC83A"/>
    <w:rsid w:val="6D2A3972"/>
    <w:rsid w:val="6D4428F5"/>
    <w:rsid w:val="6D791A48"/>
    <w:rsid w:val="6D8BA284"/>
    <w:rsid w:val="6DB8FDDC"/>
    <w:rsid w:val="6E8A27B6"/>
    <w:rsid w:val="6EA73921"/>
    <w:rsid w:val="6F07C5D1"/>
    <w:rsid w:val="6F301D09"/>
    <w:rsid w:val="6F424CD2"/>
    <w:rsid w:val="6F5A7AF9"/>
    <w:rsid w:val="6F79B91B"/>
    <w:rsid w:val="6F802F9A"/>
    <w:rsid w:val="6FDDCDE3"/>
    <w:rsid w:val="70095EBD"/>
    <w:rsid w:val="709B3497"/>
    <w:rsid w:val="715F964F"/>
    <w:rsid w:val="716D4C32"/>
    <w:rsid w:val="7170EC1A"/>
    <w:rsid w:val="71C93A35"/>
    <w:rsid w:val="720D84D2"/>
    <w:rsid w:val="722C050B"/>
    <w:rsid w:val="724EB8C4"/>
    <w:rsid w:val="72A44BA2"/>
    <w:rsid w:val="72B7F91F"/>
    <w:rsid w:val="72CDD891"/>
    <w:rsid w:val="72E937E7"/>
    <w:rsid w:val="73624E5F"/>
    <w:rsid w:val="73C17456"/>
    <w:rsid w:val="73D6BB53"/>
    <w:rsid w:val="74019830"/>
    <w:rsid w:val="750BE135"/>
    <w:rsid w:val="7528DF19"/>
    <w:rsid w:val="75B09237"/>
    <w:rsid w:val="75F87B21"/>
    <w:rsid w:val="76209722"/>
    <w:rsid w:val="77115AC8"/>
    <w:rsid w:val="77AD591E"/>
    <w:rsid w:val="77BEBBB0"/>
    <w:rsid w:val="77C86F30"/>
    <w:rsid w:val="77D1F3F5"/>
    <w:rsid w:val="77EAD391"/>
    <w:rsid w:val="77FB8AFD"/>
    <w:rsid w:val="78285FCC"/>
    <w:rsid w:val="7830B021"/>
    <w:rsid w:val="7833D43A"/>
    <w:rsid w:val="788C64DA"/>
    <w:rsid w:val="78A95E29"/>
    <w:rsid w:val="78B2B617"/>
    <w:rsid w:val="78C37AEC"/>
    <w:rsid w:val="78D0E772"/>
    <w:rsid w:val="7902B259"/>
    <w:rsid w:val="7958ADFF"/>
    <w:rsid w:val="795ACCBF"/>
    <w:rsid w:val="795F9877"/>
    <w:rsid w:val="79B0B8F5"/>
    <w:rsid w:val="7A471A05"/>
    <w:rsid w:val="7A73AB80"/>
    <w:rsid w:val="7A880376"/>
    <w:rsid w:val="7A95F2C9"/>
    <w:rsid w:val="7AA41760"/>
    <w:rsid w:val="7AB33EA4"/>
    <w:rsid w:val="7AC7E1C7"/>
    <w:rsid w:val="7B561279"/>
    <w:rsid w:val="7B6D587D"/>
    <w:rsid w:val="7B802DED"/>
    <w:rsid w:val="7B82D204"/>
    <w:rsid w:val="7B9F57DC"/>
    <w:rsid w:val="7C122733"/>
    <w:rsid w:val="7C132159"/>
    <w:rsid w:val="7C36D109"/>
    <w:rsid w:val="7C3A4686"/>
    <w:rsid w:val="7C73F0E0"/>
    <w:rsid w:val="7C82AE03"/>
    <w:rsid w:val="7C8EF16E"/>
    <w:rsid w:val="7D3394EC"/>
    <w:rsid w:val="7D8E0F22"/>
    <w:rsid w:val="7DBEBFEA"/>
    <w:rsid w:val="7DE08242"/>
    <w:rsid w:val="7E2D882E"/>
    <w:rsid w:val="7E9FC3A2"/>
    <w:rsid w:val="7EAC59D2"/>
    <w:rsid w:val="7EC4CC26"/>
    <w:rsid w:val="7EF5B6FA"/>
    <w:rsid w:val="7EF5DA13"/>
    <w:rsid w:val="7F435656"/>
    <w:rsid w:val="7F637DE3"/>
    <w:rsid w:val="7F7B7963"/>
    <w:rsid w:val="7FE90A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B182"/>
  <w15:chartTrackingRefBased/>
  <w15:docId w15:val="{A57A3A26-70F8-4AA9-8EDE-9D7DABF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3"/>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3"/>
      </w:numPr>
      <w:spacing w:before="200"/>
      <w:outlineLvl w:val="4"/>
    </w:pPr>
  </w:style>
  <w:style w:type="paragraph" w:styleId="Heading6">
    <w:name w:val="heading 6"/>
    <w:basedOn w:val="Normal"/>
    <w:next w:val="Normal"/>
    <w:link w:val="Heading6Char"/>
    <w:locked/>
    <w:rsid w:val="005C2ECF"/>
    <w:pPr>
      <w:keepNext/>
      <w:keepLines/>
      <w:numPr>
        <w:ilvl w:val="5"/>
        <w:numId w:val="3"/>
      </w:numPr>
      <w:spacing w:before="200"/>
      <w:outlineLvl w:val="5"/>
    </w:pPr>
    <w:rPr>
      <w:i/>
      <w:iCs/>
    </w:rPr>
  </w:style>
  <w:style w:type="paragraph" w:styleId="Heading7">
    <w:name w:val="heading 7"/>
    <w:basedOn w:val="Normal"/>
    <w:next w:val="Normal"/>
    <w:link w:val="Heading7Char"/>
    <w:locked/>
    <w:rsid w:val="005C2ECF"/>
    <w:pPr>
      <w:keepNext/>
      <w:keepLines/>
      <w:numPr>
        <w:ilvl w:val="6"/>
        <w:numId w:val="3"/>
      </w:numPr>
      <w:spacing w:before="200"/>
      <w:outlineLvl w:val="6"/>
    </w:pPr>
    <w:rPr>
      <w:i/>
      <w:iCs/>
    </w:rPr>
  </w:style>
  <w:style w:type="paragraph" w:styleId="Heading8">
    <w:name w:val="heading 8"/>
    <w:basedOn w:val="Normal"/>
    <w:next w:val="Normal"/>
    <w:link w:val="Heading8Char"/>
    <w:locked/>
    <w:rsid w:val="005C2ECF"/>
    <w:pPr>
      <w:keepNext/>
      <w:keepLines/>
      <w:numPr>
        <w:ilvl w:val="7"/>
        <w:numId w:val="3"/>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3"/>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4"/>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5"/>
      </w:numPr>
    </w:pPr>
  </w:style>
  <w:style w:type="numbering" w:styleId="ArticleSection">
    <w:name w:val="Outline List 3"/>
    <w:basedOn w:val="NoList"/>
    <w:semiHidden/>
    <w:locked/>
    <w:rsid w:val="00E45954"/>
    <w:pPr>
      <w:numPr>
        <w:numId w:val="16"/>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4"/>
      </w:numPr>
      <w:spacing w:before="0"/>
    </w:pPr>
  </w:style>
  <w:style w:type="paragraph" w:styleId="ListBullet2">
    <w:name w:val="List Bullet 2"/>
    <w:basedOn w:val="Normal"/>
    <w:semiHidden/>
    <w:locked/>
    <w:rsid w:val="005C2ECF"/>
    <w:pPr>
      <w:numPr>
        <w:numId w:val="5"/>
      </w:numPr>
    </w:pPr>
  </w:style>
  <w:style w:type="paragraph" w:styleId="ListBullet3">
    <w:name w:val="List Bullet 3"/>
    <w:basedOn w:val="Normal"/>
    <w:semiHidden/>
    <w:locked/>
    <w:rsid w:val="005C2ECF"/>
    <w:pPr>
      <w:numPr>
        <w:numId w:val="6"/>
      </w:numPr>
    </w:pPr>
  </w:style>
  <w:style w:type="paragraph" w:styleId="ListBullet4">
    <w:name w:val="List Bullet 4"/>
    <w:basedOn w:val="Normal"/>
    <w:semiHidden/>
    <w:locked/>
    <w:rsid w:val="005C2ECF"/>
    <w:pPr>
      <w:numPr>
        <w:numId w:val="7"/>
      </w:numPr>
    </w:pPr>
  </w:style>
  <w:style w:type="paragraph" w:styleId="ListBullet5">
    <w:name w:val="List Bullet 5"/>
    <w:basedOn w:val="Normal"/>
    <w:semiHidden/>
    <w:locked/>
    <w:rsid w:val="005C2ECF"/>
    <w:pPr>
      <w:numPr>
        <w:numId w:val="8"/>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9"/>
      </w:numPr>
      <w:tabs>
        <w:tab w:val="left" w:pos="1134"/>
      </w:tabs>
      <w:spacing w:before="120" w:after="120"/>
    </w:pPr>
  </w:style>
  <w:style w:type="paragraph" w:styleId="ListNumber2">
    <w:name w:val="List Number 2"/>
    <w:basedOn w:val="Normal"/>
    <w:semiHidden/>
    <w:locked/>
    <w:rsid w:val="005C2ECF"/>
    <w:pPr>
      <w:numPr>
        <w:numId w:val="12"/>
      </w:numPr>
    </w:pPr>
  </w:style>
  <w:style w:type="paragraph" w:styleId="ListNumber3">
    <w:name w:val="List Number 3"/>
    <w:basedOn w:val="Normal"/>
    <w:semiHidden/>
    <w:locked/>
    <w:rsid w:val="005C2ECF"/>
    <w:pPr>
      <w:numPr>
        <w:numId w:val="13"/>
      </w:numPr>
    </w:pPr>
  </w:style>
  <w:style w:type="paragraph" w:styleId="ListNumber4">
    <w:name w:val="List Number 4"/>
    <w:basedOn w:val="Normal"/>
    <w:semiHidden/>
    <w:locked/>
    <w:rsid w:val="005C2ECF"/>
    <w:pPr>
      <w:numPr>
        <w:numId w:val="10"/>
      </w:numPr>
    </w:pPr>
  </w:style>
  <w:style w:type="paragraph" w:styleId="ListNumber5">
    <w:name w:val="List Number 5"/>
    <w:basedOn w:val="Normal"/>
    <w:semiHidden/>
    <w:locked/>
    <w:rsid w:val="005C2ECF"/>
    <w:pPr>
      <w:numPr>
        <w:numId w:val="11"/>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7"/>
      </w:numPr>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A4799A"/>
    <w:rPr>
      <w:rFonts w:ascii="Open Sans" w:eastAsia="MS Mincho" w:hAnsi="Open Sans"/>
      <w:sz w:val="24"/>
      <w:szCs w:val="24"/>
    </w:rPr>
  </w:style>
  <w:style w:type="paragraph" w:styleId="FootnoteText">
    <w:name w:val="footnote text"/>
    <w:basedOn w:val="Normal"/>
    <w:link w:val="FootnoteTextChar"/>
    <w:uiPriority w:val="99"/>
    <w:locked/>
    <w:rsid w:val="00562AC8"/>
    <w:pPr>
      <w:spacing w:before="0" w:after="0"/>
    </w:pPr>
    <w:rPr>
      <w:sz w:val="20"/>
      <w:szCs w:val="20"/>
    </w:rPr>
  </w:style>
  <w:style w:type="character" w:customStyle="1" w:styleId="FootnoteTextChar">
    <w:name w:val="Footnote Text Char"/>
    <w:basedOn w:val="DefaultParagraphFont"/>
    <w:link w:val="FootnoteText"/>
    <w:uiPriority w:val="99"/>
    <w:rsid w:val="00562AC8"/>
    <w:rPr>
      <w:rFonts w:ascii="Open Sans" w:eastAsia="MS Mincho" w:hAnsi="Open Sans"/>
    </w:rPr>
  </w:style>
  <w:style w:type="character" w:styleId="FootnoteReference">
    <w:name w:val="footnote reference"/>
    <w:basedOn w:val="DefaultParagraphFont"/>
    <w:uiPriority w:val="99"/>
    <w:locked/>
    <w:rsid w:val="00562AC8"/>
    <w:rPr>
      <w:vertAlign w:val="superscript"/>
    </w:rPr>
  </w:style>
  <w:style w:type="character" w:styleId="UnresolvedMention">
    <w:name w:val="Unresolved Mention"/>
    <w:basedOn w:val="DefaultParagraphFont"/>
    <w:uiPriority w:val="99"/>
    <w:semiHidden/>
    <w:unhideWhenUsed/>
    <w:rsid w:val="00562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manrights.commissioner@humanright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 Id="rId27" Type="http://schemas.microsoft.com/office/2020/10/relationships/intelligence" Target="intelligence2.xml"/></Relationships>
</file>

<file path=word/_rels/endnotes.xml.rels><?xml version="1.0" encoding="UTF-8" standalone="yes"?>
<Relationships xmlns="http://schemas.openxmlformats.org/package/2006/relationships"><Relationship Id="rId13" Type="http://schemas.openxmlformats.org/officeDocument/2006/relationships/hyperlink" Target="https://www.news.uwa.edu.au/archive/2019121611779/uwa-public-policy-institute/opcat-series-australia-s-obligations-under-opcat-challengi/" TargetMode="External"/><Relationship Id="rId18" Type="http://schemas.openxmlformats.org/officeDocument/2006/relationships/hyperlink" Target="https://www.foreignminister.gov.au/minister/julie-bishop/transcript-eoe/joint-doorstop-interview" TargetMode="External"/><Relationship Id="rId26" Type="http://schemas.openxmlformats.org/officeDocument/2006/relationships/hyperlink" Target="https://www.refworld.org/docid/593a8c924.html" TargetMode="External"/><Relationship Id="rId3" Type="http://schemas.openxmlformats.org/officeDocument/2006/relationships/hyperlink" Target="https://www.ombudsman.gov.au/__data/assets/pdf_file/0025/106657/Ombudsman-Report-Implementation-of-OPCAT.pdf" TargetMode="External"/><Relationship Id="rId21" Type="http://schemas.openxmlformats.org/officeDocument/2006/relationships/hyperlink" Target="https://humanrights.gov.au/sites/default/files/document/publication/2018_aushrc_128_final_web_version.pdf" TargetMode="External"/><Relationship Id="rId34" Type="http://schemas.openxmlformats.org/officeDocument/2006/relationships/hyperlink" Target="https://documents-dds-ny.un.org/doc/UNDOC/GEN/G16/059/73/PDF/G1605973.pdf?OpenElement" TargetMode="External"/><Relationship Id="rId7" Type="http://schemas.openxmlformats.org/officeDocument/2006/relationships/hyperlink" Target="https://humanrights.gov.au/our-work/rights-and-freedoms/publications/implementing-opcataustralia-2020" TargetMode="External"/><Relationship Id="rId12" Type="http://schemas.openxmlformats.org/officeDocument/2006/relationships/hyperlink" Target="https://www.aph.gov.au/api/qon/downloadattachment?attachmentId=b5bb497e-4175-432b-be2b-a8d17c839ad7" TargetMode="External"/><Relationship Id="rId17" Type="http://schemas.openxmlformats.org/officeDocument/2006/relationships/hyperlink" Target="https://documents-dds-ny.un.org/doc/UNDOC/GEN/G16/059/73/PDF/G1605973.pdf?OpenElement" TargetMode="External"/><Relationship Id="rId25" Type="http://schemas.openxmlformats.org/officeDocument/2006/relationships/hyperlink" Target="https://docstore.ohchr.org/SelfServices/FilesHandler.ashx?enc=6QkG1d%2FPPRiCAqhKb7yhsoQ6oVJgGLf6YX4ROs1VbzEru4wycL%2FqQoIrzLep%2BJZyT2kIvroOhuMbJG1ioCx4Z3eXyrZ%2FkEdUDMwgHAnBoh1QacztVksYlBc05kmHLUTZ" TargetMode="External"/><Relationship Id="rId33" Type="http://schemas.openxmlformats.org/officeDocument/2006/relationships/hyperlink" Target="https://www.aph.gov.au/Parliamentary_Business/Committees/Senate/Legal_and_Constitutional_Affairs/NauruandManusRPCs/~/media/Committees/legcon_ctte/NauruandManusRPCs/report.pdf" TargetMode="External"/><Relationship Id="rId2" Type="http://schemas.openxmlformats.org/officeDocument/2006/relationships/hyperlink" Target="https://humanrights.gov.au/our-work/rights-and-freedoms/publications/implementing-opcataustralia-2020" TargetMode="External"/><Relationship Id="rId16" Type="http://schemas.openxmlformats.org/officeDocument/2006/relationships/hyperlink" Target="https://humanrights.gov.au/sites/default/files/submission_to_the_royal_commission_into_violence_abuse_neglect_and_exploitation_of_people_with_disability_2.pdf" TargetMode="External"/><Relationship Id="rId20" Type="http://schemas.openxmlformats.org/officeDocument/2006/relationships/hyperlink" Target="https://humanrights.gov.au/sites/default/files/20140516_Manus_Submission.pdf" TargetMode="External"/><Relationship Id="rId29" Type="http://schemas.openxmlformats.org/officeDocument/2006/relationships/hyperlink" Target="https://www.aph.gov.au/Parliamentary_Business/Committees/Senate/Legal_and_Constitutional_Affairs/NauruandManusRPCs/~/media/Committees/legcon_ctte/NauruandManusRPCs/report.pdf" TargetMode="External"/><Relationship Id="rId1" Type="http://schemas.openxmlformats.org/officeDocument/2006/relationships/hyperlink" Target="https://www.ohchr.org/sites/default/files/documents/hrbodies/spt-opcat/call-inputs/draft-GC1-on-art1-for-public-consultation-en.pdf" TargetMode="External"/><Relationship Id="rId6" Type="http://schemas.openxmlformats.org/officeDocument/2006/relationships/hyperlink" Target="https://docstore.ohchr.org/SelfServices/FilesHandler.ashx?enc=6QkG1d%2FPPRiCAqhKb7yhsoQ6oVJgGLf6YX4ROs1VbzEru4wycL%2FqQoIrzLep%2BJZyT2kIvroOhuMbJG1ioCx4Z3eXyrZ%2FkEdUDMwgHAnBoh1QacztVksYlBc05kmHLUTZ" TargetMode="External"/><Relationship Id="rId11" Type="http://schemas.openxmlformats.org/officeDocument/2006/relationships/hyperlink" Target="https://docstore.ohchr.org/SelfServices/FilesHandler.ashx?enc=6QkG1d%2FPPRiCAqhKb7yhsoQ6oVJgGLf6YX4ROs1VbzEru4wycL%2FqQoIrzLep%2BJZyT2kIvroOhuMbJG1ioCx4Z3eXyrZ%2FkEdUDMwgHAnBoh1QacztVksYlBc05kmHLUTZ" TargetMode="External"/><Relationship Id="rId24" Type="http://schemas.openxmlformats.org/officeDocument/2006/relationships/hyperlink" Target="https://humanrights.gov.au/sites/default/files/submission_to_the_committee_against_torture_2022_0.pdf" TargetMode="External"/><Relationship Id="rId32" Type="http://schemas.openxmlformats.org/officeDocument/2006/relationships/hyperlink" Target="https://www.refworld.org/docid/593a8c924.html" TargetMode="External"/><Relationship Id="rId5" Type="http://schemas.openxmlformats.org/officeDocument/2006/relationships/hyperlink" Target="https://www.aph.gov.au/api/qon/downloadattachment?attachmentId=e3da4ae3-d04e-4045-9e4d-723cdbf47af8" TargetMode="External"/><Relationship Id="rId15" Type="http://schemas.openxmlformats.org/officeDocument/2006/relationships/hyperlink" Target="https://documents.parliament.qld.gov.au/com/LASC-C96E/CSETSOLAB2-2E69/Departmental%20Response%20to%20LASC%20-%20OPCAT%20Bill%202.pdf" TargetMode="External"/><Relationship Id="rId23" Type="http://schemas.openxmlformats.org/officeDocument/2006/relationships/hyperlink" Target="https://documents-dds-ny.un.org/doc/UNDOC/GEN/G16/059/73/PDF/G1605973.pdf?OpenElement" TargetMode="External"/><Relationship Id="rId28" Type="http://schemas.openxmlformats.org/officeDocument/2006/relationships/hyperlink" Target="https://www.aph.gov.au/Parliamentary_Business/Committees/Joint/Human_Rights/Scrutiny_reports/2013/2013/92013/~/media/Committees/Senate/committee/humanrights_ctte/reports/2013/9_2013/pdf/report.ashx" TargetMode="External"/><Relationship Id="rId10" Type="http://schemas.openxmlformats.org/officeDocument/2006/relationships/hyperlink" Target="https://humanrights.gov.au/our-work/rights-and-freedoms/publications/implementing-opcataustralia-2020" TargetMode="External"/><Relationship Id="rId19" Type="http://schemas.openxmlformats.org/officeDocument/2006/relationships/hyperlink" Target="https://www.aph.gov.au/api/qon/downloadattachment?attachmentId=ce89c0a3-228f-4876-ab18-b852d0b5f9ff" TargetMode="External"/><Relationship Id="rId31" Type="http://schemas.openxmlformats.org/officeDocument/2006/relationships/hyperlink" Target="https://www.unhcr.org/en-au/publications/legal/58362da34/submission-to-the-senate-legal-and-constitutional-affairs-committee-serious.html" TargetMode="External"/><Relationship Id="rId4" Type="http://schemas.openxmlformats.org/officeDocument/2006/relationships/hyperlink" Target="https://www.aph.gov.au/api/qon/downloadattachment?attachmentId=f458fc2e-bbf2-4ccc-8da8-49b246b437b6" TargetMode="External"/><Relationship Id="rId9" Type="http://schemas.openxmlformats.org/officeDocument/2006/relationships/hyperlink" Target="https://humanrights.gov.au/sites/default/files/opcat_road_map_0.pdf" TargetMode="External"/><Relationship Id="rId14" Type="http://schemas.openxmlformats.org/officeDocument/2006/relationships/hyperlink" Target="https://www.parliament.tas.gov.au/ParliamentSearch/isysquery/f75f70b4-62ba-4abc-b015-6466e136dd98/1/doc/" TargetMode="External"/><Relationship Id="rId22" Type="http://schemas.openxmlformats.org/officeDocument/2006/relationships/hyperlink" Target="https://humanrights.gov.au/sites/default/files/submission_to_the_committee_against_torture_2022_0.pdf" TargetMode="External"/><Relationship Id="rId27" Type="http://schemas.openxmlformats.org/officeDocument/2006/relationships/hyperlink" Target="https://docstore.ohchr.org/SelfServices/FilesHandler.ashx?enc=6QkG1d%2FPPRiCAqhKb7yhsoQ6oVJgGLf6YX4ROs1VbzEru4wycL%2FqQoIrzLep%2BJZyT2kIvroOhuMbJG1ioCx4Z3eXyrZ%2FkEdUDMwgHAnBoh1QacztVksYlBc05kmHLUTZ" TargetMode="External"/><Relationship Id="rId30" Type="http://schemas.openxmlformats.org/officeDocument/2006/relationships/hyperlink" Target="https://parlinfo.aph.gov.au/parlInfo/download/publications/tabledpapers/2ed26bb1-813e-45c9-9b25-33a56a991145/upload_pdf/Migration%20Act_Statement_Minister.pdf;fileType=application%2Fpdf" TargetMode="External"/><Relationship Id="rId8" Type="http://schemas.openxmlformats.org/officeDocument/2006/relationships/hyperlink" Target="https://humanrights.gov.au/sites/default/files/submission_to_the_royal_commission_into_violence_abuse_neglect_and_exploitation_of_people_with_disability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hooton\OneDrive%20-%20Australian%20Human%20Rights%20Commission\Download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37DBA3B8B954EB0BD033EF3AEEA94" ma:contentTypeVersion="10" ma:contentTypeDescription="Create a new document." ma:contentTypeScope="" ma:versionID="518c267bda0b9cf7fe19b8b86ca7ddcb">
  <xsd:schema xmlns:xsd="http://www.w3.org/2001/XMLSchema" xmlns:xs="http://www.w3.org/2001/XMLSchema" xmlns:p="http://schemas.microsoft.com/office/2006/metadata/properties" xmlns:ns2="6500fe01-343b-4fb9-a1b0-68ac19d62e01" xmlns:ns3="4bb7553a-db5a-4ca7-9e90-a31d629da7a0" xmlns:ns4="39d46e2e-af2c-4283-b2c0-dbe09d693c60" targetNamespace="http://schemas.microsoft.com/office/2006/metadata/properties" ma:root="true" ma:fieldsID="781a80fa570d5939fb9018af28d0a14f" ns2:_="" ns3:_="" ns4:_="">
    <xsd:import namespace="6500fe01-343b-4fb9-a1b0-68ac19d62e01"/>
    <xsd:import namespace="4bb7553a-db5a-4ca7-9e90-a31d629da7a0"/>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b7553a-db5a-4ca7-9e90-a31d629da7a0"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WCE3WTZKT7T4-449564299-40</_dlc_DocId>
    <_dlc_DocIdUrl xmlns="6500fe01-343b-4fb9-a1b0-68ac19d62e01">
      <Url>https://australianhrc.sharepoint.com/sites/HumanRightsScrutiny/_layouts/15/DocIdRedir.aspx?ID=WCE3WTZKT7T4-449564299-40</Url>
      <Description>WCE3WTZKT7T4-449564299-40</Description>
    </_dlc_DocIdUrl>
    <Divider xmlns="6500fe01-343b-4fb9-a1b0-68ac19d62e01" xsi:nil="true"/>
    <SharedWithUsers xmlns="39d46e2e-af2c-4283-b2c0-dbe09d693c60">
      <UserInfo>
        <DisplayName>Ben Gauntlett</DisplayName>
        <AccountId>450</AccountId>
        <AccountType/>
      </UserInfo>
      <UserInfo>
        <DisplayName>Rosalind Croucher</DisplayName>
        <AccountId>37</AccountId>
        <AccountType/>
      </UserInfo>
      <UserInfo>
        <DisplayName>Darren Dick</DisplayName>
        <AccountId>34</AccountId>
        <AccountType/>
      </UserInfo>
      <UserInfo>
        <DisplayName>Sophia Rinaldis</DisplayName>
        <AccountId>429</AccountId>
        <AccountType/>
      </UserInfo>
    </SharedWithUsers>
  </documentManagement>
</p:properties>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E7D4F9-F9FF-4278-ABED-56F6F167D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4bb7553a-db5a-4ca7-9e90-a31d629da7a0"/>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3.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4.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5.xml><?xml version="1.0" encoding="utf-8"?>
<ds:datastoreItem xmlns:ds="http://schemas.openxmlformats.org/officeDocument/2006/customXml" ds:itemID="{9D234E28-B345-4108-8EB3-981E9AB2F75F}">
  <ds:schemaRefs>
    <ds:schemaRef ds:uri="39d46e2e-af2c-4283-b2c0-dbe09d693c60"/>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4bb7553a-db5a-4ca7-9e90-a31d629da7a0"/>
    <ds:schemaRef ds:uri="6500fe01-343b-4fb9-a1b0-68ac19d62e01"/>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A2DEA00A-E2CA-4565-A670-E821953BB444}">
  <ds:schemaRefs>
    <ds:schemaRef ds:uri="Microsoft.SharePoint.Taxonomy.ContentTypeSync"/>
  </ds:schemaRefs>
</ds:datastoreItem>
</file>

<file path=customXml/itemProps7.xml><?xml version="1.0" encoding="utf-8"?>
<ds:datastoreItem xmlns:ds="http://schemas.openxmlformats.org/officeDocument/2006/customXml" ds:itemID="{4FFFF486-CE15-45B2-AD37-2BE2B10776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Submission.dotx</Template>
  <TotalTime>2</TotalTime>
  <Pages>14</Pages>
  <Words>2785</Words>
  <Characters>16032</Characters>
  <Application>Microsoft Office Word</Application>
  <DocSecurity>0</DocSecurity>
  <Lines>133</Lines>
  <Paragraphs>37</Paragraphs>
  <ScaleCrop>false</ScaleCrop>
  <Company>Human Rights and Equal Opportunity Commission</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Patrick Hooton</dc:creator>
  <cp:keywords/>
  <cp:lastModifiedBy>Steven Caruana</cp:lastModifiedBy>
  <cp:revision>5</cp:revision>
  <cp:lastPrinted>2022-09-23T05:48:00Z</cp:lastPrinted>
  <dcterms:created xsi:type="dcterms:W3CDTF">2023-04-12T06:09:00Z</dcterms:created>
  <dcterms:modified xsi:type="dcterms:W3CDTF">2023-04-12T06:43:00Z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0x010100AE237DBA3B8B954EB0BD033EF3AEEA94</vt:lpwstr>
  </property>
  <property fmtid="{D5CDD505-2E9C-101B-9397-08002B2CF9AE}" pid="3" name="_dlc_DocIdItemGuid">
    <vt:lpwstr>286dba48-3a49-46e7-8009-efa2c5aee17e</vt:lpwstr>
  </property>
  <property fmtid="{D5CDD505-2E9C-101B-9397-08002B2CF9AE}" pid="4" name="TaxKeyword">
    <vt:lpwstr/>
  </property>
</Properties>
</file>