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FC4BD" w14:textId="70CD9C00" w:rsidR="00591951" w:rsidRPr="001A3CC6" w:rsidRDefault="00DF667E" w:rsidP="00591951">
      <w:pPr>
        <w:tabs>
          <w:tab w:val="left" w:pos="3014"/>
        </w:tabs>
        <w:spacing w:after="3000"/>
        <w:rPr>
          <w:rStyle w:val="FootnoteReference"/>
          <w:rFonts w:ascii="Open Sans" w:hAnsi="Open Sans" w:cs="Open Sans"/>
          <w:sz w:val="24"/>
        </w:rPr>
      </w:pPr>
      <w:r w:rsidRPr="001A3CC6">
        <w:rPr>
          <w:rFonts w:ascii="Open Sans" w:hAnsi="Open Sans" w:cs="Open Sans"/>
          <w:noProof/>
          <w:lang w:val="en-US" w:eastAsia="en-US"/>
        </w:rPr>
        <mc:AlternateContent>
          <mc:Choice Requires="wps">
            <w:drawing>
              <wp:anchor distT="0" distB="0" distL="114300" distR="114300" simplePos="0" relativeHeight="251655168" behindDoc="0" locked="0" layoutInCell="1" allowOverlap="1" wp14:anchorId="268E4B46" wp14:editId="6AC7FF5A">
                <wp:simplePos x="0" y="0"/>
                <wp:positionH relativeFrom="column">
                  <wp:posOffset>1202690</wp:posOffset>
                </wp:positionH>
                <wp:positionV relativeFrom="paragraph">
                  <wp:posOffset>-179070</wp:posOffset>
                </wp:positionV>
                <wp:extent cx="4876165" cy="31623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76165" cy="3162300"/>
                        </a:xfrm>
                        <a:prstGeom prst="rect">
                          <a:avLst/>
                        </a:prstGeom>
                        <a:noFill/>
                        <a:ln w="6350">
                          <a:noFill/>
                        </a:ln>
                        <a:effectLst/>
                      </wps:spPr>
                      <wps:txbx>
                        <w:txbxContent>
                          <w:p w14:paraId="6470880C" w14:textId="139D828C" w:rsidR="00522D78" w:rsidRPr="00FC2471" w:rsidRDefault="00747CBA" w:rsidP="00AE1E07">
                            <w:pPr>
                              <w:rPr>
                                <w:rStyle w:val="Strong"/>
                                <w:rFonts w:ascii="Open Sans" w:hAnsi="Open Sans" w:cs="Open Sans"/>
                                <w:color w:val="4F81BD" w:themeColor="accent1"/>
                                <w:sz w:val="56"/>
                                <w:szCs w:val="56"/>
                              </w:rPr>
                            </w:pPr>
                            <w:bookmarkStart w:id="0" w:name="_Hlk14352909"/>
                            <w:bookmarkStart w:id="1" w:name="_Hlk14352910"/>
                            <w:r w:rsidRPr="00FC2471">
                              <w:rPr>
                                <w:rStyle w:val="Strong"/>
                                <w:rFonts w:ascii="Open Sans" w:hAnsi="Open Sans" w:cs="Open Sans"/>
                                <w:color w:val="4F81BD" w:themeColor="accent1"/>
                                <w:sz w:val="56"/>
                                <w:szCs w:val="56"/>
                              </w:rPr>
                              <w:t xml:space="preserve">Consultation </w:t>
                            </w:r>
                            <w:r w:rsidR="00522D78" w:rsidRPr="00FC2471">
                              <w:rPr>
                                <w:rStyle w:val="Strong"/>
                                <w:rFonts w:ascii="Open Sans" w:hAnsi="Open Sans" w:cs="Open Sans"/>
                                <w:color w:val="4F81BD" w:themeColor="accent1"/>
                                <w:sz w:val="56"/>
                                <w:szCs w:val="56"/>
                              </w:rPr>
                              <w:t>regarding the disclosure of public servants’ names and contact details in the context of</w:t>
                            </w:r>
                            <w:r w:rsidR="004B2B3B">
                              <w:rPr>
                                <w:rStyle w:val="Strong"/>
                                <w:rFonts w:ascii="Open Sans" w:hAnsi="Open Sans" w:cs="Open Sans"/>
                                <w:color w:val="4F81BD" w:themeColor="accent1"/>
                                <w:sz w:val="56"/>
                                <w:szCs w:val="56"/>
                              </w:rPr>
                              <w:t xml:space="preserve"> </w:t>
                            </w:r>
                            <w:r w:rsidR="00522D78" w:rsidRPr="00FC2471">
                              <w:rPr>
                                <w:rStyle w:val="Strong"/>
                                <w:rFonts w:ascii="Open Sans" w:hAnsi="Open Sans" w:cs="Open Sans"/>
                                <w:color w:val="4F81BD" w:themeColor="accent1"/>
                                <w:sz w:val="56"/>
                                <w:szCs w:val="56"/>
                              </w:rPr>
                              <w:t xml:space="preserve">Freedom of Information requests  </w:t>
                            </w:r>
                            <w:bookmarkEnd w:id="0"/>
                            <w:bookmarkEnd w:id="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8E4B46" id="_x0000_t202" coordsize="21600,21600" o:spt="202" path="m,l,21600r21600,l21600,xe">
                <v:stroke joinstyle="miter"/>
                <v:path gradientshapeok="t" o:connecttype="rect"/>
              </v:shapetype>
              <v:shape id="Text Box 1" o:spid="_x0000_s1026" type="#_x0000_t202" style="position:absolute;margin-left:94.7pt;margin-top:-14.1pt;width:383.95pt;height:24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" filled="f" stroked="f" strokeweight=".5pt">
                <v:textbox>
                  <w:txbxContent>
                    <w:p w14:paraId="6470880C" w14:textId="139D828C" w:rsidR="00522D78" w:rsidRPr="00FC2471" w:rsidRDefault="00747CBA" w:rsidP="00AE1E07">
                      <w:pPr>
                        <w:rPr>
                          <w:rStyle w:val="Strong"/>
                          <w:rFonts w:ascii="Open Sans" w:hAnsi="Open Sans" w:cs="Open Sans"/>
                          <w:color w:val="4F81BD" w:themeColor="accent1"/>
                          <w:sz w:val="56"/>
                          <w:szCs w:val="56"/>
                        </w:rPr>
                      </w:pPr>
                      <w:bookmarkStart w:id="3" w:name="_Hlk14352909"/>
                      <w:bookmarkStart w:id="4" w:name="_Hlk14352910"/>
                      <w:r w:rsidRPr="00FC2471">
                        <w:rPr>
                          <w:rStyle w:val="Strong"/>
                          <w:rFonts w:ascii="Open Sans" w:hAnsi="Open Sans" w:cs="Open Sans"/>
                          <w:color w:val="4F81BD" w:themeColor="accent1"/>
                          <w:sz w:val="56"/>
                          <w:szCs w:val="56"/>
                        </w:rPr>
                        <w:t xml:space="preserve">Consultation </w:t>
                      </w:r>
                      <w:r w:rsidR="00522D78" w:rsidRPr="00FC2471">
                        <w:rPr>
                          <w:rStyle w:val="Strong"/>
                          <w:rFonts w:ascii="Open Sans" w:hAnsi="Open Sans" w:cs="Open Sans"/>
                          <w:color w:val="4F81BD" w:themeColor="accent1"/>
                          <w:sz w:val="56"/>
                          <w:szCs w:val="56"/>
                        </w:rPr>
                        <w:t>regarding the disclosure of public servants’ names and contact details in the context of</w:t>
                      </w:r>
                      <w:r w:rsidR="004B2B3B">
                        <w:rPr>
                          <w:rStyle w:val="Strong"/>
                          <w:rFonts w:ascii="Open Sans" w:hAnsi="Open Sans" w:cs="Open Sans"/>
                          <w:color w:val="4F81BD" w:themeColor="accent1"/>
                          <w:sz w:val="56"/>
                          <w:szCs w:val="56"/>
                        </w:rPr>
                        <w:t xml:space="preserve"> </w:t>
                      </w:r>
                      <w:r w:rsidR="00522D78" w:rsidRPr="00FC2471">
                        <w:rPr>
                          <w:rStyle w:val="Strong"/>
                          <w:rFonts w:ascii="Open Sans" w:hAnsi="Open Sans" w:cs="Open Sans"/>
                          <w:color w:val="4F81BD" w:themeColor="accent1"/>
                          <w:sz w:val="56"/>
                          <w:szCs w:val="56"/>
                        </w:rPr>
                        <w:t>Freedom of Information re</w:t>
                      </w:r>
                      <w:bookmarkStart w:id="5" w:name="_GoBack"/>
                      <w:bookmarkEnd w:id="5"/>
                      <w:r w:rsidR="00522D78" w:rsidRPr="00FC2471">
                        <w:rPr>
                          <w:rStyle w:val="Strong"/>
                          <w:rFonts w:ascii="Open Sans" w:hAnsi="Open Sans" w:cs="Open Sans"/>
                          <w:color w:val="4F81BD" w:themeColor="accent1"/>
                          <w:sz w:val="56"/>
                          <w:szCs w:val="56"/>
                        </w:rPr>
                        <w:t xml:space="preserve">quests  </w:t>
                      </w:r>
                      <w:bookmarkEnd w:id="3"/>
                      <w:bookmarkEnd w:id="4"/>
                    </w:p>
                  </w:txbxContent>
                </v:textbox>
              </v:shape>
            </w:pict>
          </mc:Fallback>
        </mc:AlternateContent>
      </w:r>
      <w:permStart w:id="476846822" w:edGrp="everyone"/>
      <w:permEnd w:id="476846822"/>
    </w:p>
    <w:p w14:paraId="158B490D" w14:textId="69B825C7" w:rsidR="00591951" w:rsidRPr="001A3CC6" w:rsidRDefault="00591951" w:rsidP="00EC0C3B">
      <w:pPr>
        <w:pStyle w:val="MainTitle"/>
        <w:jc w:val="center"/>
        <w:rPr>
          <w:rFonts w:ascii="Open Sans" w:hAnsi="Open Sans" w:cs="Open Sans"/>
          <w:sz w:val="24"/>
          <w:szCs w:val="24"/>
        </w:rPr>
      </w:pPr>
    </w:p>
    <w:p w14:paraId="1B7E28A7" w14:textId="0B5AC42A" w:rsidR="00DF667E" w:rsidRPr="001A3CC6" w:rsidRDefault="00AE1E07" w:rsidP="00EC0C3B">
      <w:pPr>
        <w:pStyle w:val="MainTitle"/>
        <w:jc w:val="center"/>
        <w:rPr>
          <w:rFonts w:ascii="Open Sans" w:hAnsi="Open Sans" w:cs="Open Sans"/>
          <w:sz w:val="24"/>
          <w:szCs w:val="24"/>
        </w:rPr>
      </w:pPr>
      <w:r w:rsidRPr="001A3CC6">
        <w:rPr>
          <w:rFonts w:ascii="Open Sans" w:hAnsi="Open Sans" w:cs="Open Sans"/>
          <w:noProof/>
          <w:sz w:val="24"/>
          <w:szCs w:val="24"/>
          <w:lang w:val="en-US" w:eastAsia="en-US"/>
        </w:rPr>
        <mc:AlternateContent>
          <mc:Choice Requires="wps">
            <w:drawing>
              <wp:anchor distT="0" distB="0" distL="114300" distR="114300" simplePos="0" relativeHeight="251657216" behindDoc="0" locked="0" layoutInCell="1" allowOverlap="1" wp14:anchorId="459F3703" wp14:editId="5290169A">
                <wp:simplePos x="0" y="0"/>
                <wp:positionH relativeFrom="column">
                  <wp:posOffset>-534670</wp:posOffset>
                </wp:positionH>
                <wp:positionV relativeFrom="paragraph">
                  <wp:posOffset>476885</wp:posOffset>
                </wp:positionV>
                <wp:extent cx="6282690" cy="6096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82690" cy="609600"/>
                        </a:xfrm>
                        <a:prstGeom prst="rect">
                          <a:avLst/>
                        </a:prstGeom>
                        <a:noFill/>
                        <a:ln w="6350">
                          <a:noFill/>
                        </a:ln>
                        <a:effectLst/>
                      </wps:spPr>
                      <wps:txbx>
                        <w:txbxContent>
                          <w:p w14:paraId="13DB7D4A" w14:textId="6746107A" w:rsidR="00522D78" w:rsidRPr="007C6F33" w:rsidRDefault="007C6F33" w:rsidP="00736028">
                            <w:pPr>
                              <w:jc w:val="right"/>
                              <w:rPr>
                                <w:b/>
                                <w:bCs/>
                              </w:rPr>
                            </w:pPr>
                            <w:r w:rsidRPr="007C6F33">
                              <w:rPr>
                                <w:b/>
                                <w:bCs/>
                              </w:rPr>
                              <w:t xml:space="preserve">AUSTRALIAN HUMAN RIGHTS COMMISSION SUBMISSION TO THE </w:t>
                            </w:r>
                            <w:r w:rsidR="00A10910">
                              <w:rPr>
                                <w:b/>
                                <w:bCs/>
                              </w:rPr>
                              <w:br/>
                            </w:r>
                            <w:r w:rsidRPr="007C6F33">
                              <w:rPr>
                                <w:b/>
                                <w:bCs/>
                              </w:rPr>
                              <w:t>OFFICE OF THE AUSTRALIAN INFORMATION COMMISSIONER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9F3703" id="_x0000_t202" coordsize="21600,21600" o:spt="202" path="m,l,21600r21600,l21600,xe">
                <v:stroke joinstyle="miter"/>
                <v:path gradientshapeok="t" o:connecttype="rect"/>
              </v:shapetype>
              <v:shape id="Text Box 3" o:spid="_x0000_s1027" type="#_x0000_t202" style="position:absolute;left:0;text-align:left;margin-left:-42.1pt;margin-top:37.55pt;width:494.7pt;height:4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" filled="f" stroked="f" strokeweight=".5pt">
                <v:textbox>
                  <w:txbxContent>
                    <w:p w14:paraId="13DB7D4A" w14:textId="6746107A" w:rsidR="00522D78" w:rsidRPr="007C6F33" w:rsidRDefault="007C6F33" w:rsidP="00736028">
                      <w:pPr>
                        <w:jc w:val="right"/>
                        <w:rPr>
                          <w:b/>
                          <w:bCs/>
                        </w:rPr>
                      </w:pPr>
                      <w:r w:rsidRPr="007C6F33">
                        <w:rPr>
                          <w:b/>
                          <w:bCs/>
                        </w:rPr>
                        <w:t xml:space="preserve">AUSTRALIAN HUMAN RIGHTS COMMISSION SUBMISSION TO THE </w:t>
                      </w:r>
                      <w:r w:rsidR="00A10910">
                        <w:rPr>
                          <w:b/>
                          <w:bCs/>
                        </w:rPr>
                        <w:br/>
                      </w:r>
                      <w:r w:rsidRPr="007C6F33">
                        <w:rPr>
                          <w:b/>
                          <w:bCs/>
                        </w:rPr>
                        <w:t>OFFICE OF THE AUSTRALIAN INFORMATION COMMISSIONER</w:t>
                      </w:r>
                    </w:p>
                  </w:txbxContent>
                </v:textbox>
              </v:shape>
            </w:pict>
          </mc:Fallback>
        </mc:AlternateContent>
      </w:r>
    </w:p>
    <w:p w14:paraId="51EA5998" w14:textId="44339EAA" w:rsidR="00DF667E" w:rsidRPr="001A3CC6" w:rsidRDefault="00DF667E" w:rsidP="00EC0C3B">
      <w:pPr>
        <w:pStyle w:val="MainTitle"/>
        <w:jc w:val="center"/>
        <w:rPr>
          <w:rFonts w:ascii="Open Sans" w:hAnsi="Open Sans" w:cs="Open Sans"/>
          <w:sz w:val="24"/>
          <w:szCs w:val="24"/>
        </w:rPr>
      </w:pPr>
    </w:p>
    <w:p w14:paraId="267C0EA3" w14:textId="4636B370" w:rsidR="00DF667E" w:rsidRPr="001A3CC6" w:rsidRDefault="00880F22" w:rsidP="00EC0C3B">
      <w:pPr>
        <w:pStyle w:val="MainTitle"/>
        <w:jc w:val="center"/>
        <w:rPr>
          <w:rFonts w:ascii="Open Sans" w:hAnsi="Open Sans" w:cs="Open Sans"/>
          <w:sz w:val="24"/>
          <w:szCs w:val="24"/>
        </w:rPr>
      </w:pPr>
      <w:r w:rsidRPr="001A3CC6">
        <w:rPr>
          <w:rFonts w:ascii="Open Sans" w:hAnsi="Open Sans" w:cs="Open Sans"/>
          <w:noProof/>
          <w:sz w:val="24"/>
          <w:szCs w:val="24"/>
          <w:lang w:val="en-US" w:eastAsia="en-US"/>
        </w:rPr>
        <mc:AlternateContent>
          <mc:Choice Requires="wps">
            <w:drawing>
              <wp:anchor distT="0" distB="0" distL="114300" distR="114300" simplePos="0" relativeHeight="251659264" behindDoc="0" locked="0" layoutInCell="1" allowOverlap="1" wp14:anchorId="2E468CC3" wp14:editId="74F6676B">
                <wp:simplePos x="0" y="0"/>
                <wp:positionH relativeFrom="column">
                  <wp:posOffset>1979930</wp:posOffset>
                </wp:positionH>
                <wp:positionV relativeFrom="paragraph">
                  <wp:posOffset>151130</wp:posOffset>
                </wp:positionV>
                <wp:extent cx="3775075" cy="487680"/>
                <wp:effectExtent l="0" t="0" r="0" b="762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75075" cy="487680"/>
                        </a:xfrm>
                        <a:prstGeom prst="rect">
                          <a:avLst/>
                        </a:prstGeom>
                        <a:noFill/>
                        <a:ln w="6350">
                          <a:noFill/>
                        </a:ln>
                        <a:effectLst/>
                      </wps:spPr>
                      <wps:txbx>
                        <w:txbxContent>
                          <w:p w14:paraId="2040E636" w14:textId="57D3893F" w:rsidR="00522D78" w:rsidRPr="00B74219" w:rsidRDefault="009D70C2" w:rsidP="002863D7">
                            <w:pPr>
                              <w:pStyle w:val="Date"/>
                            </w:pPr>
                            <w:r>
                              <w:t>26</w:t>
                            </w:r>
                            <w:r w:rsidR="00522D78">
                              <w:t xml:space="preserve"> July </w:t>
                            </w:r>
                            <w:r w:rsidR="00522D78" w:rsidRPr="002863D7">
                              <w:t>20</w:t>
                            </w:r>
                            <w:r w:rsidR="00522D78">
                              <w:t>19</w:t>
                            </w:r>
                          </w:p>
                          <w:p w14:paraId="74CC6CF2" w14:textId="77777777" w:rsidR="00522D78" w:rsidRDefault="00522D78"/>
                          <w:p w14:paraId="617C7D1E" w14:textId="77777777" w:rsidR="00522D78" w:rsidRPr="00B74219" w:rsidRDefault="00522D78" w:rsidP="002863D7">
                            <w:pPr>
                              <w:pStyle w:val="Date"/>
                            </w:pPr>
                            <w:r>
                              <w:t xml:space="preserve">1 July </w:t>
                            </w:r>
                            <w:r w:rsidRPr="002863D7">
                              <w:t>20</w:t>
                            </w:r>
                            <w:r>
                              <w:t>19</w:t>
                            </w:r>
                          </w:p>
                          <w:p w14:paraId="7FD8D5D1" w14:textId="77777777" w:rsidR="00522D78" w:rsidRDefault="00522D78"/>
                          <w:p w14:paraId="33706F00" w14:textId="77777777" w:rsidR="00522D78" w:rsidRPr="00B74219" w:rsidRDefault="00522D78" w:rsidP="002863D7">
                            <w:pPr>
                              <w:pStyle w:val="Date"/>
                            </w:pPr>
                            <w:r>
                              <w:t xml:space="preserve">1 July </w:t>
                            </w:r>
                            <w:r w:rsidRPr="002863D7">
                              <w:t>20</w:t>
                            </w:r>
                            <w:r>
                              <w:t>19</w:t>
                            </w:r>
                          </w:p>
                          <w:p w14:paraId="7B5F3168" w14:textId="77777777" w:rsidR="00522D78" w:rsidRDefault="00522D78"/>
                          <w:p w14:paraId="62C60628" w14:textId="77777777" w:rsidR="00522D78" w:rsidRPr="00B74219" w:rsidRDefault="00522D78" w:rsidP="002863D7">
                            <w:pPr>
                              <w:pStyle w:val="Date"/>
                            </w:pPr>
                            <w:r>
                              <w:t xml:space="preserve">1 July </w:t>
                            </w:r>
                            <w:r w:rsidRPr="002863D7">
                              <w:t>20</w:t>
                            </w:r>
                            <w:r>
                              <w:t>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468CC3" id="Text Box 4" o:spid="_x0000_s1028" type="#_x0000_t202" style="position:absolute;left:0;text-align:left;margin-left:155.9pt;margin-top:11.9pt;width:297.25pt;height:3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" filled="f" stroked="f" strokeweight=".5pt">
                <v:textbox>
                  <w:txbxContent>
                    <w:p w14:paraId="2040E636" w14:textId="57D3893F" w:rsidR="00522D78" w:rsidRPr="00B74219" w:rsidRDefault="009D70C2" w:rsidP="002863D7">
                      <w:pPr>
                        <w:pStyle w:val="Date"/>
                      </w:pPr>
                      <w:r>
                        <w:t>26</w:t>
                      </w:r>
                      <w:r w:rsidR="00522D78">
                        <w:t xml:space="preserve"> July </w:t>
                      </w:r>
                      <w:r w:rsidR="00522D78" w:rsidRPr="002863D7">
                        <w:t>20</w:t>
                      </w:r>
                      <w:r w:rsidR="00522D78">
                        <w:t>19</w:t>
                      </w:r>
                    </w:p>
                    <w:p w14:paraId="74CC6CF2" w14:textId="77777777" w:rsidR="00522D78" w:rsidRDefault="00522D78"/>
                    <w:p w14:paraId="617C7D1E" w14:textId="77777777" w:rsidR="00522D78" w:rsidRPr="00B74219" w:rsidRDefault="00522D78" w:rsidP="002863D7">
                      <w:pPr>
                        <w:pStyle w:val="Date"/>
                      </w:pPr>
                      <w:r>
                        <w:t xml:space="preserve">1 July </w:t>
                      </w:r>
                      <w:r w:rsidRPr="002863D7">
                        <w:t>20</w:t>
                      </w:r>
                      <w:r>
                        <w:t>19</w:t>
                      </w:r>
                    </w:p>
                    <w:p w14:paraId="7FD8D5D1" w14:textId="77777777" w:rsidR="00522D78" w:rsidRDefault="00522D78"/>
                    <w:p w14:paraId="33706F00" w14:textId="77777777" w:rsidR="00522D78" w:rsidRPr="00B74219" w:rsidRDefault="00522D78" w:rsidP="002863D7">
                      <w:pPr>
                        <w:pStyle w:val="Date"/>
                      </w:pPr>
                      <w:r>
                        <w:t xml:space="preserve">1 July </w:t>
                      </w:r>
                      <w:r w:rsidRPr="002863D7">
                        <w:t>20</w:t>
                      </w:r>
                      <w:r>
                        <w:t>19</w:t>
                      </w:r>
                    </w:p>
                    <w:p w14:paraId="7B5F3168" w14:textId="77777777" w:rsidR="00522D78" w:rsidRDefault="00522D78"/>
                    <w:p w14:paraId="62C60628" w14:textId="77777777" w:rsidR="00522D78" w:rsidRPr="00B74219" w:rsidRDefault="00522D78" w:rsidP="002863D7">
                      <w:pPr>
                        <w:pStyle w:val="Date"/>
                      </w:pPr>
                      <w:r>
                        <w:t xml:space="preserve">1 July </w:t>
                      </w:r>
                      <w:r w:rsidRPr="002863D7">
                        <w:t>20</w:t>
                      </w:r>
                      <w:r>
                        <w:t>19</w:t>
                      </w:r>
                    </w:p>
                  </w:txbxContent>
                </v:textbox>
              </v:shape>
            </w:pict>
          </mc:Fallback>
        </mc:AlternateContent>
      </w:r>
    </w:p>
    <w:p w14:paraId="004A44B5" w14:textId="77777777" w:rsidR="00DF667E" w:rsidRPr="001A3CC6" w:rsidRDefault="00DF667E" w:rsidP="00EC0C3B">
      <w:pPr>
        <w:pStyle w:val="MainTitle"/>
        <w:jc w:val="center"/>
        <w:rPr>
          <w:rFonts w:ascii="Open Sans" w:hAnsi="Open Sans" w:cs="Open Sans"/>
          <w:sz w:val="24"/>
          <w:szCs w:val="24"/>
        </w:rPr>
      </w:pPr>
    </w:p>
    <w:p w14:paraId="3C3A7DCA" w14:textId="77777777" w:rsidR="00DF667E" w:rsidRPr="001A3CC6" w:rsidRDefault="00DF667E" w:rsidP="00EC0C3B">
      <w:pPr>
        <w:pStyle w:val="MainTitle"/>
        <w:jc w:val="center"/>
        <w:rPr>
          <w:rFonts w:ascii="Open Sans" w:hAnsi="Open Sans" w:cs="Open Sans"/>
          <w:sz w:val="24"/>
          <w:szCs w:val="24"/>
        </w:rPr>
      </w:pPr>
    </w:p>
    <w:p w14:paraId="2AF88467" w14:textId="77777777" w:rsidR="00DF667E" w:rsidRPr="001A3CC6" w:rsidRDefault="00DF667E" w:rsidP="00EC0C3B">
      <w:pPr>
        <w:pStyle w:val="MainTitle"/>
        <w:jc w:val="center"/>
        <w:rPr>
          <w:rFonts w:ascii="Open Sans" w:hAnsi="Open Sans" w:cs="Open Sans"/>
          <w:sz w:val="24"/>
          <w:szCs w:val="24"/>
        </w:rPr>
      </w:pPr>
    </w:p>
    <w:p w14:paraId="1AFC395D" w14:textId="77777777" w:rsidR="00DF667E" w:rsidRPr="001A3CC6" w:rsidRDefault="00DF667E" w:rsidP="00EC0C3B">
      <w:pPr>
        <w:pStyle w:val="MainTitle"/>
        <w:jc w:val="center"/>
        <w:rPr>
          <w:rFonts w:ascii="Open Sans" w:hAnsi="Open Sans" w:cs="Open Sans"/>
          <w:sz w:val="24"/>
          <w:szCs w:val="24"/>
        </w:rPr>
      </w:pPr>
    </w:p>
    <w:p w14:paraId="5931655F" w14:textId="77777777" w:rsidR="00DF667E" w:rsidRPr="001A3CC6" w:rsidRDefault="00DF667E" w:rsidP="00EC0C3B">
      <w:pPr>
        <w:pStyle w:val="MainTitle"/>
        <w:jc w:val="center"/>
        <w:rPr>
          <w:rFonts w:ascii="Open Sans" w:hAnsi="Open Sans" w:cs="Open Sans"/>
          <w:sz w:val="24"/>
          <w:szCs w:val="24"/>
        </w:rPr>
      </w:pPr>
    </w:p>
    <w:p w14:paraId="570ADD61" w14:textId="77777777" w:rsidR="00B924E6" w:rsidRPr="001A3CC6" w:rsidRDefault="00B924E6" w:rsidP="00E26B28">
      <w:pPr>
        <w:rPr>
          <w:rFonts w:ascii="Open Sans" w:hAnsi="Open Sans" w:cs="Open Sans"/>
        </w:rPr>
        <w:sectPr w:rsidR="00B924E6" w:rsidRPr="001A3CC6" w:rsidSect="00B24B1D">
          <w:headerReference w:type="even" r:id="rId8"/>
          <w:headerReference w:type="default" r:id="rId9"/>
          <w:footerReference w:type="default" r:id="rId10"/>
          <w:headerReference w:type="first" r:id="rId11"/>
          <w:footerReference w:type="first" r:id="rId12"/>
          <w:type w:val="continuous"/>
          <w:pgSz w:w="11906" w:h="16838" w:code="9"/>
          <w:pgMar w:top="228" w:right="1700" w:bottom="1134" w:left="1418" w:header="277" w:footer="415" w:gutter="0"/>
          <w:cols w:space="708"/>
          <w:titlePg/>
          <w:docGrid w:linePitch="360"/>
        </w:sectPr>
      </w:pPr>
      <w:bookmarkStart w:id="2" w:name="_Toc209316062"/>
      <w:bookmarkEnd w:id="2"/>
      <w:permStart w:id="113995232" w:edGrp="everyone"/>
      <w:permEnd w:id="113995232"/>
    </w:p>
    <w:p w14:paraId="41DAC519" w14:textId="77777777" w:rsidR="00A10910" w:rsidRDefault="00B63D24">
      <w:pPr>
        <w:pStyle w:val="TOC1"/>
      </w:pPr>
      <w:bookmarkStart w:id="3" w:name="_Toc207761829"/>
      <w:r w:rsidRPr="00844AB7">
        <w:lastRenderedPageBreak/>
        <w:t>Table of Contents</w:t>
      </w:r>
      <w:bookmarkEnd w:id="3"/>
    </w:p>
    <w:p w14:paraId="7C660E56" w14:textId="3FEEDB1B" w:rsidR="00A10910" w:rsidRPr="007C1D82" w:rsidRDefault="00B63D24">
      <w:pPr>
        <w:pStyle w:val="TOC1"/>
        <w:rPr>
          <w:rFonts w:eastAsiaTheme="minorEastAsia"/>
          <w:b w:val="0"/>
          <w:bCs/>
          <w:sz w:val="24"/>
          <w:szCs w:val="24"/>
        </w:rPr>
      </w:pPr>
      <w:r w:rsidRPr="007C1D82">
        <w:rPr>
          <w:b w:val="0"/>
          <w:bCs/>
          <w:i/>
        </w:rPr>
        <w:fldChar w:fldCharType="begin"/>
      </w:r>
      <w:r w:rsidRPr="007C1D82">
        <w:rPr>
          <w:b w:val="0"/>
          <w:bCs/>
        </w:rPr>
        <w:instrText xml:space="preserve"> TOC \o "1-4" \h \z \u </w:instrText>
      </w:r>
      <w:r w:rsidRPr="007C1D82">
        <w:rPr>
          <w:b w:val="0"/>
          <w:bCs/>
          <w:i/>
        </w:rPr>
        <w:fldChar w:fldCharType="separate"/>
      </w:r>
      <w:hyperlink w:anchor="_Toc14870609" w:history="1">
        <w:r w:rsidR="00A10910" w:rsidRPr="007C1D82">
          <w:rPr>
            <w:rStyle w:val="Hyperlink"/>
            <w:b w:val="0"/>
            <w:bCs/>
            <w:sz w:val="24"/>
            <w:szCs w:val="24"/>
          </w:rPr>
          <w:t>1</w:t>
        </w:r>
        <w:r w:rsidR="00A10910" w:rsidRPr="007C1D82">
          <w:rPr>
            <w:rFonts w:eastAsiaTheme="minorEastAsia"/>
            <w:b w:val="0"/>
            <w:bCs/>
            <w:sz w:val="24"/>
            <w:szCs w:val="24"/>
          </w:rPr>
          <w:tab/>
        </w:r>
        <w:r w:rsidR="00A10910" w:rsidRPr="007C1D82">
          <w:rPr>
            <w:rStyle w:val="Hyperlink"/>
            <w:b w:val="0"/>
            <w:bCs/>
            <w:sz w:val="24"/>
            <w:szCs w:val="24"/>
          </w:rPr>
          <w:t>Executive Summary</w:t>
        </w:r>
        <w:r w:rsidR="00A10910" w:rsidRPr="007C1D82">
          <w:rPr>
            <w:b w:val="0"/>
            <w:bCs/>
            <w:webHidden/>
            <w:sz w:val="24"/>
            <w:szCs w:val="24"/>
          </w:rPr>
          <w:tab/>
        </w:r>
        <w:r w:rsidR="00A10910" w:rsidRPr="007C1D82">
          <w:rPr>
            <w:b w:val="0"/>
            <w:bCs/>
            <w:webHidden/>
            <w:sz w:val="24"/>
            <w:szCs w:val="24"/>
          </w:rPr>
          <w:fldChar w:fldCharType="begin"/>
        </w:r>
        <w:r w:rsidR="00A10910" w:rsidRPr="007C1D82">
          <w:rPr>
            <w:b w:val="0"/>
            <w:bCs/>
            <w:webHidden/>
            <w:sz w:val="24"/>
            <w:szCs w:val="24"/>
          </w:rPr>
          <w:instrText xml:space="preserve"> PAGEREF _Toc14870609 \h </w:instrText>
        </w:r>
        <w:r w:rsidR="00A10910" w:rsidRPr="007C1D82">
          <w:rPr>
            <w:b w:val="0"/>
            <w:bCs/>
            <w:webHidden/>
            <w:sz w:val="24"/>
            <w:szCs w:val="24"/>
          </w:rPr>
        </w:r>
        <w:r w:rsidR="00A10910" w:rsidRPr="007C1D82">
          <w:rPr>
            <w:b w:val="0"/>
            <w:bCs/>
            <w:webHidden/>
            <w:sz w:val="24"/>
            <w:szCs w:val="24"/>
          </w:rPr>
          <w:fldChar w:fldCharType="separate"/>
        </w:r>
        <w:r w:rsidR="00907795">
          <w:rPr>
            <w:b w:val="0"/>
            <w:bCs/>
            <w:webHidden/>
            <w:sz w:val="24"/>
            <w:szCs w:val="24"/>
          </w:rPr>
          <w:t>1</w:t>
        </w:r>
        <w:r w:rsidR="00A10910" w:rsidRPr="007C1D82">
          <w:rPr>
            <w:b w:val="0"/>
            <w:bCs/>
            <w:webHidden/>
            <w:sz w:val="24"/>
            <w:szCs w:val="24"/>
          </w:rPr>
          <w:fldChar w:fldCharType="end"/>
        </w:r>
      </w:hyperlink>
    </w:p>
    <w:p w14:paraId="7240EAD5" w14:textId="443A7A21" w:rsidR="00A10910" w:rsidRPr="007C1D82" w:rsidRDefault="00AB4454">
      <w:pPr>
        <w:pStyle w:val="TOC1"/>
        <w:rPr>
          <w:rFonts w:eastAsiaTheme="minorEastAsia"/>
          <w:b w:val="0"/>
          <w:bCs/>
          <w:sz w:val="24"/>
          <w:szCs w:val="24"/>
        </w:rPr>
      </w:pPr>
      <w:hyperlink w:anchor="_Toc14870610" w:history="1">
        <w:r w:rsidR="00A10910" w:rsidRPr="007C1D82">
          <w:rPr>
            <w:rStyle w:val="Hyperlink"/>
            <w:b w:val="0"/>
            <w:bCs/>
            <w:sz w:val="24"/>
            <w:szCs w:val="24"/>
          </w:rPr>
          <w:t>2</w:t>
        </w:r>
        <w:r w:rsidR="00A10910" w:rsidRPr="007C1D82">
          <w:rPr>
            <w:rFonts w:eastAsiaTheme="minorEastAsia"/>
            <w:b w:val="0"/>
            <w:bCs/>
            <w:sz w:val="24"/>
            <w:szCs w:val="24"/>
          </w:rPr>
          <w:tab/>
        </w:r>
        <w:r w:rsidR="00A10910" w:rsidRPr="007C1D82">
          <w:rPr>
            <w:rStyle w:val="Hyperlink"/>
            <w:b w:val="0"/>
            <w:bCs/>
            <w:sz w:val="24"/>
            <w:szCs w:val="24"/>
          </w:rPr>
          <w:t>Human rights considerations</w:t>
        </w:r>
        <w:r w:rsidR="00A10910" w:rsidRPr="007C1D82">
          <w:rPr>
            <w:b w:val="0"/>
            <w:bCs/>
            <w:webHidden/>
            <w:sz w:val="24"/>
            <w:szCs w:val="24"/>
          </w:rPr>
          <w:tab/>
        </w:r>
        <w:r w:rsidR="00A10910" w:rsidRPr="007C1D82">
          <w:rPr>
            <w:b w:val="0"/>
            <w:bCs/>
            <w:webHidden/>
            <w:sz w:val="24"/>
            <w:szCs w:val="24"/>
          </w:rPr>
          <w:fldChar w:fldCharType="begin"/>
        </w:r>
        <w:r w:rsidR="00A10910" w:rsidRPr="007C1D82">
          <w:rPr>
            <w:b w:val="0"/>
            <w:bCs/>
            <w:webHidden/>
            <w:sz w:val="24"/>
            <w:szCs w:val="24"/>
          </w:rPr>
          <w:instrText xml:space="preserve"> PAGEREF _Toc14870610 \h </w:instrText>
        </w:r>
        <w:r w:rsidR="00A10910" w:rsidRPr="007C1D82">
          <w:rPr>
            <w:b w:val="0"/>
            <w:bCs/>
            <w:webHidden/>
            <w:sz w:val="24"/>
            <w:szCs w:val="24"/>
          </w:rPr>
        </w:r>
        <w:r w:rsidR="00A10910" w:rsidRPr="007C1D82">
          <w:rPr>
            <w:b w:val="0"/>
            <w:bCs/>
            <w:webHidden/>
            <w:sz w:val="24"/>
            <w:szCs w:val="24"/>
          </w:rPr>
          <w:fldChar w:fldCharType="separate"/>
        </w:r>
        <w:r w:rsidR="00907795">
          <w:rPr>
            <w:b w:val="0"/>
            <w:bCs/>
            <w:webHidden/>
            <w:sz w:val="24"/>
            <w:szCs w:val="24"/>
          </w:rPr>
          <w:t>2</w:t>
        </w:r>
        <w:r w:rsidR="00A10910" w:rsidRPr="007C1D82">
          <w:rPr>
            <w:b w:val="0"/>
            <w:bCs/>
            <w:webHidden/>
            <w:sz w:val="24"/>
            <w:szCs w:val="24"/>
          </w:rPr>
          <w:fldChar w:fldCharType="end"/>
        </w:r>
      </w:hyperlink>
    </w:p>
    <w:p w14:paraId="3F7DE0D8" w14:textId="5B0005D2" w:rsidR="00A10910" w:rsidRPr="007C1D82" w:rsidRDefault="00AB4454">
      <w:pPr>
        <w:pStyle w:val="TOC1"/>
        <w:rPr>
          <w:rFonts w:eastAsiaTheme="minorEastAsia"/>
          <w:b w:val="0"/>
          <w:bCs/>
          <w:sz w:val="24"/>
          <w:szCs w:val="24"/>
        </w:rPr>
      </w:pPr>
      <w:hyperlink w:anchor="_Toc14870611" w:history="1">
        <w:r w:rsidR="00A10910" w:rsidRPr="007C1D82">
          <w:rPr>
            <w:rStyle w:val="Hyperlink"/>
            <w:b w:val="0"/>
            <w:bCs/>
            <w:sz w:val="24"/>
            <w:szCs w:val="24"/>
          </w:rPr>
          <w:t>3</w:t>
        </w:r>
        <w:r w:rsidR="00A10910" w:rsidRPr="007C1D82">
          <w:rPr>
            <w:rFonts w:eastAsiaTheme="minorEastAsia"/>
            <w:b w:val="0"/>
            <w:bCs/>
            <w:sz w:val="24"/>
            <w:szCs w:val="24"/>
          </w:rPr>
          <w:tab/>
        </w:r>
        <w:r w:rsidR="00A10910" w:rsidRPr="007C1D82">
          <w:rPr>
            <w:rStyle w:val="Hyperlink"/>
            <w:b w:val="0"/>
            <w:bCs/>
            <w:sz w:val="24"/>
            <w:szCs w:val="24"/>
          </w:rPr>
          <w:t>The current position</w:t>
        </w:r>
        <w:r w:rsidR="00A10910" w:rsidRPr="007C1D82">
          <w:rPr>
            <w:b w:val="0"/>
            <w:bCs/>
            <w:webHidden/>
            <w:sz w:val="24"/>
            <w:szCs w:val="24"/>
          </w:rPr>
          <w:tab/>
        </w:r>
        <w:r w:rsidR="00A10910" w:rsidRPr="007C1D82">
          <w:rPr>
            <w:b w:val="0"/>
            <w:bCs/>
            <w:webHidden/>
            <w:sz w:val="24"/>
            <w:szCs w:val="24"/>
          </w:rPr>
          <w:fldChar w:fldCharType="begin"/>
        </w:r>
        <w:r w:rsidR="00A10910" w:rsidRPr="007C1D82">
          <w:rPr>
            <w:b w:val="0"/>
            <w:bCs/>
            <w:webHidden/>
            <w:sz w:val="24"/>
            <w:szCs w:val="24"/>
          </w:rPr>
          <w:instrText xml:space="preserve"> PAGEREF _Toc14870611 \h </w:instrText>
        </w:r>
        <w:r w:rsidR="00A10910" w:rsidRPr="007C1D82">
          <w:rPr>
            <w:b w:val="0"/>
            <w:bCs/>
            <w:webHidden/>
            <w:sz w:val="24"/>
            <w:szCs w:val="24"/>
          </w:rPr>
        </w:r>
        <w:r w:rsidR="00A10910" w:rsidRPr="007C1D82">
          <w:rPr>
            <w:b w:val="0"/>
            <w:bCs/>
            <w:webHidden/>
            <w:sz w:val="24"/>
            <w:szCs w:val="24"/>
          </w:rPr>
          <w:fldChar w:fldCharType="separate"/>
        </w:r>
        <w:r w:rsidR="00907795">
          <w:rPr>
            <w:b w:val="0"/>
            <w:bCs/>
            <w:webHidden/>
            <w:sz w:val="24"/>
            <w:szCs w:val="24"/>
          </w:rPr>
          <w:t>3</w:t>
        </w:r>
        <w:r w:rsidR="00A10910" w:rsidRPr="007C1D82">
          <w:rPr>
            <w:b w:val="0"/>
            <w:bCs/>
            <w:webHidden/>
            <w:sz w:val="24"/>
            <w:szCs w:val="24"/>
          </w:rPr>
          <w:fldChar w:fldCharType="end"/>
        </w:r>
      </w:hyperlink>
    </w:p>
    <w:p w14:paraId="5B2794DC" w14:textId="42F2194B" w:rsidR="00A10910" w:rsidRPr="007C1D82" w:rsidRDefault="00AB4454" w:rsidP="007C1D82">
      <w:pPr>
        <w:pStyle w:val="TOC1"/>
        <w:spacing w:line="360" w:lineRule="auto"/>
        <w:rPr>
          <w:rFonts w:eastAsiaTheme="minorEastAsia"/>
          <w:b w:val="0"/>
          <w:bCs/>
          <w:sz w:val="24"/>
          <w:szCs w:val="24"/>
        </w:rPr>
      </w:pPr>
      <w:hyperlink w:anchor="_Toc14870612" w:history="1">
        <w:r w:rsidR="00A10910" w:rsidRPr="007C1D82">
          <w:rPr>
            <w:rStyle w:val="Hyperlink"/>
            <w:b w:val="0"/>
            <w:bCs/>
            <w:sz w:val="24"/>
            <w:szCs w:val="24"/>
          </w:rPr>
          <w:t>4</w:t>
        </w:r>
        <w:r w:rsidR="00A10910" w:rsidRPr="007C1D82">
          <w:rPr>
            <w:rFonts w:eastAsiaTheme="minorEastAsia"/>
            <w:b w:val="0"/>
            <w:bCs/>
            <w:sz w:val="24"/>
            <w:szCs w:val="24"/>
          </w:rPr>
          <w:tab/>
        </w:r>
        <w:r w:rsidR="00A10910" w:rsidRPr="007C1D82">
          <w:rPr>
            <w:rStyle w:val="Hyperlink"/>
            <w:b w:val="0"/>
            <w:bCs/>
            <w:sz w:val="24"/>
            <w:szCs w:val="24"/>
          </w:rPr>
          <w:t>The Commission’s views and concerns</w:t>
        </w:r>
        <w:r w:rsidR="00A10910" w:rsidRPr="007C1D82">
          <w:rPr>
            <w:b w:val="0"/>
            <w:bCs/>
            <w:webHidden/>
            <w:sz w:val="24"/>
            <w:szCs w:val="24"/>
          </w:rPr>
          <w:tab/>
        </w:r>
        <w:r w:rsidR="00A10910" w:rsidRPr="007C1D82">
          <w:rPr>
            <w:b w:val="0"/>
            <w:bCs/>
            <w:webHidden/>
            <w:sz w:val="24"/>
            <w:szCs w:val="24"/>
          </w:rPr>
          <w:fldChar w:fldCharType="begin"/>
        </w:r>
        <w:r w:rsidR="00A10910" w:rsidRPr="007C1D82">
          <w:rPr>
            <w:b w:val="0"/>
            <w:bCs/>
            <w:webHidden/>
            <w:sz w:val="24"/>
            <w:szCs w:val="24"/>
          </w:rPr>
          <w:instrText xml:space="preserve"> PAGEREF _Toc14870612 \h </w:instrText>
        </w:r>
        <w:r w:rsidR="00A10910" w:rsidRPr="007C1D82">
          <w:rPr>
            <w:b w:val="0"/>
            <w:bCs/>
            <w:webHidden/>
            <w:sz w:val="24"/>
            <w:szCs w:val="24"/>
          </w:rPr>
        </w:r>
        <w:r w:rsidR="00A10910" w:rsidRPr="007C1D82">
          <w:rPr>
            <w:b w:val="0"/>
            <w:bCs/>
            <w:webHidden/>
            <w:sz w:val="24"/>
            <w:szCs w:val="24"/>
          </w:rPr>
          <w:fldChar w:fldCharType="separate"/>
        </w:r>
        <w:r w:rsidR="00907795">
          <w:rPr>
            <w:b w:val="0"/>
            <w:bCs/>
            <w:webHidden/>
            <w:sz w:val="24"/>
            <w:szCs w:val="24"/>
          </w:rPr>
          <w:t>3</w:t>
        </w:r>
        <w:r w:rsidR="00A10910" w:rsidRPr="007C1D82">
          <w:rPr>
            <w:b w:val="0"/>
            <w:bCs/>
            <w:webHidden/>
            <w:sz w:val="24"/>
            <w:szCs w:val="24"/>
          </w:rPr>
          <w:fldChar w:fldCharType="end"/>
        </w:r>
      </w:hyperlink>
    </w:p>
    <w:p w14:paraId="1886A653" w14:textId="7B57878E" w:rsidR="00A10910" w:rsidRPr="007C1D82" w:rsidRDefault="00AB4454" w:rsidP="007C1D82">
      <w:pPr>
        <w:pStyle w:val="TOC2"/>
        <w:spacing w:line="360" w:lineRule="auto"/>
        <w:rPr>
          <w:rFonts w:ascii="Open Sans" w:eastAsiaTheme="minorEastAsia" w:hAnsi="Open Sans" w:cs="Open Sans"/>
          <w:b w:val="0"/>
          <w:bCs/>
        </w:rPr>
      </w:pPr>
      <w:hyperlink w:anchor="_Toc14870613" w:history="1">
        <w:r w:rsidR="00A10910" w:rsidRPr="007C1D82">
          <w:rPr>
            <w:rStyle w:val="Hyperlink"/>
            <w:rFonts w:ascii="Open Sans" w:hAnsi="Open Sans" w:cs="Open Sans"/>
            <w:b w:val="0"/>
            <w:bCs/>
          </w:rPr>
          <w:t>4.1</w:t>
        </w:r>
        <w:r w:rsidR="00A10910" w:rsidRPr="007C1D82">
          <w:rPr>
            <w:rFonts w:ascii="Open Sans" w:eastAsiaTheme="minorEastAsia" w:hAnsi="Open Sans" w:cs="Open Sans"/>
            <w:b w:val="0"/>
            <w:bCs/>
          </w:rPr>
          <w:tab/>
        </w:r>
        <w:r w:rsidR="00A10910" w:rsidRPr="007C1D82">
          <w:rPr>
            <w:rStyle w:val="Hyperlink"/>
            <w:rFonts w:ascii="Open Sans" w:hAnsi="Open Sans" w:cs="Open Sans"/>
            <w:b w:val="0"/>
            <w:bCs/>
          </w:rPr>
          <w:t>Junior public servants</w:t>
        </w:r>
        <w:r w:rsidR="00A10910" w:rsidRPr="007C1D82">
          <w:rPr>
            <w:rFonts w:ascii="Open Sans" w:hAnsi="Open Sans" w:cs="Open Sans"/>
            <w:b w:val="0"/>
            <w:bCs/>
            <w:webHidden/>
          </w:rPr>
          <w:tab/>
        </w:r>
        <w:r w:rsidR="00A10910" w:rsidRPr="007C1D82">
          <w:rPr>
            <w:rFonts w:ascii="Open Sans" w:hAnsi="Open Sans" w:cs="Open Sans"/>
            <w:b w:val="0"/>
            <w:bCs/>
            <w:webHidden/>
          </w:rPr>
          <w:fldChar w:fldCharType="begin"/>
        </w:r>
        <w:r w:rsidR="00A10910" w:rsidRPr="007C1D82">
          <w:rPr>
            <w:rFonts w:ascii="Open Sans" w:hAnsi="Open Sans" w:cs="Open Sans"/>
            <w:b w:val="0"/>
            <w:bCs/>
            <w:webHidden/>
          </w:rPr>
          <w:instrText xml:space="preserve"> PAGEREF _Toc14870613 \h </w:instrText>
        </w:r>
        <w:r w:rsidR="00A10910" w:rsidRPr="007C1D82">
          <w:rPr>
            <w:rFonts w:ascii="Open Sans" w:hAnsi="Open Sans" w:cs="Open Sans"/>
            <w:b w:val="0"/>
            <w:bCs/>
            <w:webHidden/>
          </w:rPr>
        </w:r>
        <w:r w:rsidR="00A10910" w:rsidRPr="007C1D82">
          <w:rPr>
            <w:rFonts w:ascii="Open Sans" w:hAnsi="Open Sans" w:cs="Open Sans"/>
            <w:b w:val="0"/>
            <w:bCs/>
            <w:webHidden/>
          </w:rPr>
          <w:fldChar w:fldCharType="separate"/>
        </w:r>
        <w:r w:rsidR="00907795">
          <w:rPr>
            <w:rFonts w:ascii="Open Sans" w:hAnsi="Open Sans" w:cs="Open Sans"/>
            <w:b w:val="0"/>
            <w:bCs/>
            <w:webHidden/>
          </w:rPr>
          <w:t>4</w:t>
        </w:r>
        <w:r w:rsidR="00A10910" w:rsidRPr="007C1D82">
          <w:rPr>
            <w:rFonts w:ascii="Open Sans" w:hAnsi="Open Sans" w:cs="Open Sans"/>
            <w:b w:val="0"/>
            <w:bCs/>
            <w:webHidden/>
          </w:rPr>
          <w:fldChar w:fldCharType="end"/>
        </w:r>
      </w:hyperlink>
    </w:p>
    <w:p w14:paraId="00A76EEF" w14:textId="3C42247E" w:rsidR="00A10910" w:rsidRPr="007C1D82" w:rsidRDefault="00AB4454" w:rsidP="007C1D82">
      <w:pPr>
        <w:pStyle w:val="TOC2"/>
        <w:spacing w:line="360" w:lineRule="auto"/>
        <w:rPr>
          <w:rFonts w:asciiTheme="minorHAnsi" w:eastAsiaTheme="minorEastAsia" w:hAnsiTheme="minorHAnsi" w:cstheme="minorBidi"/>
          <w:b w:val="0"/>
          <w:bCs/>
          <w:sz w:val="22"/>
          <w:szCs w:val="22"/>
        </w:rPr>
      </w:pPr>
      <w:hyperlink w:anchor="_Toc14870614" w:history="1">
        <w:r w:rsidR="00A10910" w:rsidRPr="007C1D82">
          <w:rPr>
            <w:rStyle w:val="Hyperlink"/>
            <w:rFonts w:ascii="Open Sans" w:hAnsi="Open Sans" w:cs="Open Sans"/>
            <w:b w:val="0"/>
            <w:bCs/>
          </w:rPr>
          <w:t>4.2</w:t>
        </w:r>
        <w:r w:rsidR="00A10910" w:rsidRPr="007C1D82">
          <w:rPr>
            <w:rFonts w:ascii="Open Sans" w:eastAsiaTheme="minorEastAsia" w:hAnsi="Open Sans" w:cs="Open Sans"/>
            <w:b w:val="0"/>
            <w:bCs/>
          </w:rPr>
          <w:tab/>
        </w:r>
        <w:r w:rsidR="00A10910" w:rsidRPr="007C1D82">
          <w:rPr>
            <w:rStyle w:val="Hyperlink"/>
            <w:rFonts w:ascii="Open Sans" w:hAnsi="Open Sans" w:cs="Open Sans"/>
            <w:b w:val="0"/>
            <w:bCs/>
          </w:rPr>
          <w:t>Applicants with a propensity to pursue matters obsessively</w:t>
        </w:r>
        <w:r w:rsidR="00A10910" w:rsidRPr="007C1D82">
          <w:rPr>
            <w:rFonts w:ascii="Open Sans" w:hAnsi="Open Sans" w:cs="Open Sans"/>
            <w:b w:val="0"/>
            <w:bCs/>
            <w:webHidden/>
          </w:rPr>
          <w:tab/>
        </w:r>
        <w:r w:rsidR="00A10910" w:rsidRPr="007C1D82">
          <w:rPr>
            <w:rFonts w:ascii="Open Sans" w:hAnsi="Open Sans" w:cs="Open Sans"/>
            <w:b w:val="0"/>
            <w:bCs/>
            <w:webHidden/>
          </w:rPr>
          <w:fldChar w:fldCharType="begin"/>
        </w:r>
        <w:r w:rsidR="00A10910" w:rsidRPr="007C1D82">
          <w:rPr>
            <w:rFonts w:ascii="Open Sans" w:hAnsi="Open Sans" w:cs="Open Sans"/>
            <w:b w:val="0"/>
            <w:bCs/>
            <w:webHidden/>
          </w:rPr>
          <w:instrText xml:space="preserve"> PAGEREF _Toc14870614 \h </w:instrText>
        </w:r>
        <w:r w:rsidR="00A10910" w:rsidRPr="007C1D82">
          <w:rPr>
            <w:rFonts w:ascii="Open Sans" w:hAnsi="Open Sans" w:cs="Open Sans"/>
            <w:b w:val="0"/>
            <w:bCs/>
            <w:webHidden/>
          </w:rPr>
        </w:r>
        <w:r w:rsidR="00A10910" w:rsidRPr="007C1D82">
          <w:rPr>
            <w:rFonts w:ascii="Open Sans" w:hAnsi="Open Sans" w:cs="Open Sans"/>
            <w:b w:val="0"/>
            <w:bCs/>
            <w:webHidden/>
          </w:rPr>
          <w:fldChar w:fldCharType="separate"/>
        </w:r>
        <w:r w:rsidR="00907795">
          <w:rPr>
            <w:rFonts w:ascii="Open Sans" w:hAnsi="Open Sans" w:cs="Open Sans"/>
            <w:b w:val="0"/>
            <w:bCs/>
            <w:webHidden/>
          </w:rPr>
          <w:t>8</w:t>
        </w:r>
        <w:r w:rsidR="00A10910" w:rsidRPr="007C1D82">
          <w:rPr>
            <w:rFonts w:ascii="Open Sans" w:hAnsi="Open Sans" w:cs="Open Sans"/>
            <w:b w:val="0"/>
            <w:bCs/>
            <w:webHidden/>
          </w:rPr>
          <w:fldChar w:fldCharType="end"/>
        </w:r>
      </w:hyperlink>
    </w:p>
    <w:p w14:paraId="1C8FC043" w14:textId="03B86D3F" w:rsidR="00B34946" w:rsidRPr="001A3CC6" w:rsidRDefault="00B63D24" w:rsidP="00B63D24">
      <w:pPr>
        <w:rPr>
          <w:rFonts w:ascii="Open Sans" w:hAnsi="Open Sans" w:cs="Open Sans"/>
        </w:rPr>
      </w:pPr>
      <w:r w:rsidRPr="007C1D82">
        <w:rPr>
          <w:rFonts w:ascii="Open Sans" w:hAnsi="Open Sans" w:cs="Open Sans"/>
          <w:bCs/>
          <w:sz w:val="36"/>
          <w:szCs w:val="36"/>
        </w:rPr>
        <w:fldChar w:fldCharType="end"/>
      </w:r>
    </w:p>
    <w:p w14:paraId="769C5C8F" w14:textId="77777777" w:rsidR="00A10910" w:rsidRDefault="00B34946" w:rsidP="004D0464">
      <w:pPr>
        <w:pStyle w:val="Heading1"/>
        <w:rPr>
          <w:rFonts w:ascii="Open Sans" w:hAnsi="Open Sans" w:cs="Open Sans"/>
        </w:rPr>
        <w:sectPr w:rsidR="00A10910" w:rsidSect="00B63D24">
          <w:headerReference w:type="even" r:id="rId13"/>
          <w:headerReference w:type="default" r:id="rId14"/>
          <w:footerReference w:type="default" r:id="rId15"/>
          <w:headerReference w:type="first" r:id="rId16"/>
          <w:endnotePr>
            <w:numFmt w:val="decimal"/>
          </w:endnotePr>
          <w:pgSz w:w="11906" w:h="16838" w:code="9"/>
          <w:pgMar w:top="1134" w:right="1418" w:bottom="1134" w:left="1418" w:header="709" w:footer="709" w:gutter="0"/>
          <w:pgNumType w:start="2"/>
          <w:cols w:space="708"/>
          <w:docGrid w:linePitch="360"/>
        </w:sectPr>
      </w:pPr>
      <w:r w:rsidRPr="001A3CC6">
        <w:rPr>
          <w:rFonts w:ascii="Open Sans" w:hAnsi="Open Sans" w:cs="Open Sans"/>
        </w:rPr>
        <w:br w:type="page"/>
      </w:r>
    </w:p>
    <w:p w14:paraId="1D4894ED" w14:textId="6DAF43BA" w:rsidR="00B34946" w:rsidRPr="007C1D82" w:rsidRDefault="00523540" w:rsidP="00185A1D">
      <w:pPr>
        <w:pStyle w:val="Heading1"/>
        <w:numPr>
          <w:ilvl w:val="0"/>
          <w:numId w:val="18"/>
        </w:numPr>
        <w:rPr>
          <w:rFonts w:ascii="Open Sans" w:hAnsi="Open Sans" w:cs="Open Sans"/>
          <w:sz w:val="36"/>
          <w:szCs w:val="36"/>
        </w:rPr>
      </w:pPr>
      <w:bookmarkStart w:id="4" w:name="_Toc14870608"/>
      <w:bookmarkStart w:id="5" w:name="_Toc14870609"/>
      <w:bookmarkStart w:id="6" w:name="_Toc207761830"/>
      <w:bookmarkStart w:id="7" w:name="_Toc209578266"/>
      <w:bookmarkEnd w:id="4"/>
      <w:r w:rsidRPr="007C1D82">
        <w:rPr>
          <w:rFonts w:ascii="Open Sans" w:hAnsi="Open Sans" w:cs="Open Sans"/>
          <w:sz w:val="36"/>
          <w:szCs w:val="36"/>
        </w:rPr>
        <w:lastRenderedPageBreak/>
        <w:t>Executive Summary</w:t>
      </w:r>
      <w:bookmarkEnd w:id="5"/>
      <w:r w:rsidRPr="007C1D82">
        <w:rPr>
          <w:rFonts w:ascii="Open Sans" w:hAnsi="Open Sans" w:cs="Open Sans"/>
          <w:sz w:val="36"/>
          <w:szCs w:val="36"/>
        </w:rPr>
        <w:t xml:space="preserve"> </w:t>
      </w:r>
      <w:bookmarkEnd w:id="6"/>
      <w:bookmarkEnd w:id="7"/>
    </w:p>
    <w:p w14:paraId="622D02C4" w14:textId="747A372C" w:rsidR="006E2232" w:rsidRPr="001A3CC6" w:rsidRDefault="00B34946" w:rsidP="00187607">
      <w:pPr>
        <w:pStyle w:val="SubmissionNormal"/>
        <w:tabs>
          <w:tab w:val="clear" w:pos="360"/>
          <w:tab w:val="num" w:pos="567"/>
        </w:tabs>
        <w:ind w:left="567" w:hanging="567"/>
        <w:rPr>
          <w:rFonts w:ascii="Open Sans" w:hAnsi="Open Sans" w:cs="Open Sans"/>
        </w:rPr>
      </w:pPr>
      <w:r w:rsidRPr="001A3CC6">
        <w:rPr>
          <w:rFonts w:ascii="Open Sans" w:hAnsi="Open Sans" w:cs="Open Sans"/>
        </w:rPr>
        <w:t>The Aust</w:t>
      </w:r>
      <w:r w:rsidR="00074319" w:rsidRPr="001A3CC6">
        <w:rPr>
          <w:rFonts w:ascii="Open Sans" w:hAnsi="Open Sans" w:cs="Open Sans"/>
        </w:rPr>
        <w:t>ralian Human Rights Commission</w:t>
      </w:r>
      <w:r w:rsidRPr="001A3CC6">
        <w:rPr>
          <w:rFonts w:ascii="Open Sans" w:hAnsi="Open Sans" w:cs="Open Sans"/>
        </w:rPr>
        <w:t xml:space="preserve"> </w:t>
      </w:r>
      <w:r w:rsidR="00B22139" w:rsidRPr="001A3CC6">
        <w:rPr>
          <w:rFonts w:ascii="Open Sans" w:hAnsi="Open Sans" w:cs="Open Sans"/>
        </w:rPr>
        <w:t xml:space="preserve">(Commission) </w:t>
      </w:r>
      <w:r w:rsidR="00880F22" w:rsidRPr="001A3CC6">
        <w:rPr>
          <w:rFonts w:ascii="Open Sans" w:hAnsi="Open Sans" w:cs="Open Sans"/>
        </w:rPr>
        <w:t xml:space="preserve">welcomes the opportunity to </w:t>
      </w:r>
      <w:r w:rsidRPr="001A3CC6">
        <w:rPr>
          <w:rFonts w:ascii="Open Sans" w:hAnsi="Open Sans" w:cs="Open Sans"/>
        </w:rPr>
        <w:t xml:space="preserve">make this submission to the </w:t>
      </w:r>
      <w:r w:rsidR="00B22139" w:rsidRPr="001A3CC6">
        <w:rPr>
          <w:rFonts w:ascii="Open Sans" w:hAnsi="Open Sans" w:cs="Open Sans"/>
        </w:rPr>
        <w:t xml:space="preserve">Office of the Australian Information Commissioner (OAIC) regarding the disclosure of public servants’ names and contact details in the context of Freedom of Information (FOI) requests. </w:t>
      </w:r>
    </w:p>
    <w:p w14:paraId="7DC8B015" w14:textId="2D9CF69E" w:rsidR="00B22139" w:rsidRPr="001A3CC6" w:rsidRDefault="00B22139" w:rsidP="00187607">
      <w:pPr>
        <w:pStyle w:val="SubmissionNormal"/>
        <w:tabs>
          <w:tab w:val="clear" w:pos="360"/>
          <w:tab w:val="num" w:pos="567"/>
        </w:tabs>
        <w:ind w:left="567" w:hanging="567"/>
        <w:rPr>
          <w:rFonts w:ascii="Open Sans" w:hAnsi="Open Sans" w:cs="Open Sans"/>
        </w:rPr>
      </w:pPr>
      <w:r w:rsidRPr="001A3CC6">
        <w:rPr>
          <w:rFonts w:ascii="Open Sans" w:hAnsi="Open Sans" w:cs="Open Sans"/>
        </w:rPr>
        <w:t xml:space="preserve">The Commission commends the OAIC for </w:t>
      </w:r>
      <w:r w:rsidR="009375CA" w:rsidRPr="001A3CC6">
        <w:rPr>
          <w:rFonts w:ascii="Open Sans" w:hAnsi="Open Sans" w:cs="Open Sans"/>
        </w:rPr>
        <w:t xml:space="preserve">acknowledging agency concerns and </w:t>
      </w:r>
      <w:r w:rsidRPr="001A3CC6">
        <w:rPr>
          <w:rFonts w:ascii="Open Sans" w:hAnsi="Open Sans" w:cs="Open Sans"/>
        </w:rPr>
        <w:t xml:space="preserve">undertaking this consultation into whether </w:t>
      </w:r>
      <w:r w:rsidR="009375CA" w:rsidRPr="001A3CC6">
        <w:rPr>
          <w:rFonts w:ascii="Open Sans" w:hAnsi="Open Sans" w:cs="Open Sans"/>
        </w:rPr>
        <w:t xml:space="preserve">the </w:t>
      </w:r>
      <w:r w:rsidR="009375CA" w:rsidRPr="001A3CC6">
        <w:rPr>
          <w:rFonts w:ascii="Open Sans" w:hAnsi="Open Sans" w:cs="Open Sans"/>
          <w:i/>
          <w:iCs/>
        </w:rPr>
        <w:t xml:space="preserve">Guidelines issued by the Australian Information Commissioner </w:t>
      </w:r>
      <w:r w:rsidR="00BA6125" w:rsidRPr="001A3CC6">
        <w:rPr>
          <w:rFonts w:ascii="Open Sans" w:hAnsi="Open Sans" w:cs="Open Sans"/>
          <w:i/>
          <w:iCs/>
        </w:rPr>
        <w:t>under section 93A of the Freedom of Information Act 1982 (Cth)</w:t>
      </w:r>
      <w:r w:rsidR="00BA6125" w:rsidRPr="001A3CC6">
        <w:rPr>
          <w:rFonts w:ascii="Open Sans" w:hAnsi="Open Sans" w:cs="Open Sans"/>
        </w:rPr>
        <w:t xml:space="preserve"> (</w:t>
      </w:r>
      <w:r w:rsidRPr="001A3CC6">
        <w:rPr>
          <w:rFonts w:ascii="Open Sans" w:hAnsi="Open Sans" w:cs="Open Sans"/>
        </w:rPr>
        <w:t>FOI Guidelines</w:t>
      </w:r>
      <w:r w:rsidR="00BA6125" w:rsidRPr="001A3CC6">
        <w:rPr>
          <w:rFonts w:ascii="Open Sans" w:hAnsi="Open Sans" w:cs="Open Sans"/>
        </w:rPr>
        <w:t>)</w:t>
      </w:r>
      <w:r w:rsidRPr="001A3CC6">
        <w:rPr>
          <w:rFonts w:ascii="Open Sans" w:hAnsi="Open Sans" w:cs="Open Sans"/>
        </w:rPr>
        <w:t xml:space="preserve"> provide sufficient and appropriate guidance in relation to the disclosure of the personal information of public servants in the current information access landscape. </w:t>
      </w:r>
    </w:p>
    <w:p w14:paraId="41E8F121" w14:textId="0A143856" w:rsidR="00FD7524" w:rsidRDefault="009375CA" w:rsidP="00FD7524">
      <w:pPr>
        <w:pStyle w:val="SubmissionNormal"/>
        <w:tabs>
          <w:tab w:val="clear" w:pos="360"/>
          <w:tab w:val="num" w:pos="567"/>
        </w:tabs>
        <w:ind w:left="567" w:hanging="567"/>
        <w:rPr>
          <w:rFonts w:ascii="Open Sans" w:hAnsi="Open Sans" w:cs="Open Sans"/>
        </w:rPr>
      </w:pPr>
      <w:r w:rsidRPr="001A3CC6">
        <w:rPr>
          <w:rFonts w:ascii="Open Sans" w:hAnsi="Open Sans" w:cs="Open Sans"/>
        </w:rPr>
        <w:t xml:space="preserve">The Commission </w:t>
      </w:r>
      <w:r w:rsidR="00BA6125" w:rsidRPr="001A3CC6">
        <w:rPr>
          <w:rFonts w:ascii="Open Sans" w:hAnsi="Open Sans" w:cs="Open Sans"/>
        </w:rPr>
        <w:t xml:space="preserve">recognises </w:t>
      </w:r>
      <w:r w:rsidRPr="001A3CC6">
        <w:rPr>
          <w:rFonts w:ascii="Open Sans" w:hAnsi="Open Sans" w:cs="Open Sans"/>
        </w:rPr>
        <w:t xml:space="preserve">the </w:t>
      </w:r>
      <w:r w:rsidR="00BA6125" w:rsidRPr="001A3CC6">
        <w:rPr>
          <w:rFonts w:ascii="Open Sans" w:hAnsi="Open Sans" w:cs="Open Sans"/>
        </w:rPr>
        <w:t xml:space="preserve">critical role that the </w:t>
      </w:r>
      <w:r w:rsidRPr="001A3CC6">
        <w:rPr>
          <w:rFonts w:ascii="Open Sans" w:hAnsi="Open Sans" w:cs="Open Sans"/>
          <w:i/>
          <w:iCs/>
        </w:rPr>
        <w:t>Freedom of Information Act 1982</w:t>
      </w:r>
      <w:r w:rsidRPr="001A3CC6">
        <w:rPr>
          <w:rFonts w:ascii="Open Sans" w:hAnsi="Open Sans" w:cs="Open Sans"/>
        </w:rPr>
        <w:t xml:space="preserve"> (Cth) (FOI Act) and the FOI Guidelines</w:t>
      </w:r>
      <w:r w:rsidR="00BA6125" w:rsidRPr="001A3CC6">
        <w:rPr>
          <w:rFonts w:ascii="Open Sans" w:hAnsi="Open Sans" w:cs="Open Sans"/>
        </w:rPr>
        <w:t xml:space="preserve"> play in </w:t>
      </w:r>
      <w:r w:rsidR="006B6EFB" w:rsidRPr="001A3CC6">
        <w:rPr>
          <w:rFonts w:ascii="Open Sans" w:hAnsi="Open Sans" w:cs="Open Sans"/>
        </w:rPr>
        <w:t xml:space="preserve">facilitating open government in Australia. </w:t>
      </w:r>
      <w:r w:rsidR="00FD7524" w:rsidRPr="001A3CC6">
        <w:rPr>
          <w:rFonts w:ascii="Open Sans" w:hAnsi="Open Sans" w:cs="Open Sans"/>
        </w:rPr>
        <w:t xml:space="preserve">The FOI Act </w:t>
      </w:r>
      <w:r w:rsidR="00234AB0" w:rsidRPr="001A3CC6">
        <w:rPr>
          <w:rFonts w:ascii="Open Sans" w:hAnsi="Open Sans" w:cs="Open Sans"/>
        </w:rPr>
        <w:t xml:space="preserve">is </w:t>
      </w:r>
      <w:r w:rsidR="00FD7524" w:rsidRPr="001A3CC6">
        <w:rPr>
          <w:rFonts w:ascii="Open Sans" w:hAnsi="Open Sans" w:cs="Open Sans"/>
        </w:rPr>
        <w:t xml:space="preserve">a powerful instrument of public sector accountability </w:t>
      </w:r>
      <w:r w:rsidR="00950C01" w:rsidRPr="001A3CC6">
        <w:rPr>
          <w:rFonts w:ascii="Open Sans" w:hAnsi="Open Sans" w:cs="Open Sans"/>
        </w:rPr>
        <w:t xml:space="preserve">by </w:t>
      </w:r>
      <w:r w:rsidR="00FD7524" w:rsidRPr="001A3CC6">
        <w:rPr>
          <w:rFonts w:ascii="Open Sans" w:hAnsi="Open Sans" w:cs="Open Sans"/>
        </w:rPr>
        <w:t>provid</w:t>
      </w:r>
      <w:r w:rsidR="00950C01" w:rsidRPr="001A3CC6">
        <w:rPr>
          <w:rFonts w:ascii="Open Sans" w:hAnsi="Open Sans" w:cs="Open Sans"/>
        </w:rPr>
        <w:t>ing</w:t>
      </w:r>
      <w:r w:rsidR="00FD7524" w:rsidRPr="001A3CC6">
        <w:rPr>
          <w:rFonts w:ascii="Open Sans" w:hAnsi="Open Sans" w:cs="Open Sans"/>
        </w:rPr>
        <w:t xml:space="preserve"> a right of access to </w:t>
      </w:r>
      <w:r w:rsidR="00155266" w:rsidRPr="001A3CC6">
        <w:rPr>
          <w:rFonts w:ascii="Open Sans" w:hAnsi="Open Sans" w:cs="Open Sans"/>
        </w:rPr>
        <w:t xml:space="preserve">Commonwealth </w:t>
      </w:r>
      <w:r w:rsidR="00FD7524" w:rsidRPr="001A3CC6">
        <w:rPr>
          <w:rFonts w:ascii="Open Sans" w:hAnsi="Open Sans" w:cs="Open Sans"/>
        </w:rPr>
        <w:t xml:space="preserve">government documents </w:t>
      </w:r>
      <w:r w:rsidR="000077A0" w:rsidRPr="001A3CC6">
        <w:rPr>
          <w:rFonts w:ascii="Open Sans" w:hAnsi="Open Sans" w:cs="Open Sans"/>
        </w:rPr>
        <w:t xml:space="preserve">and </w:t>
      </w:r>
      <w:r w:rsidR="00FD7524" w:rsidRPr="001A3CC6">
        <w:rPr>
          <w:rFonts w:ascii="Open Sans" w:hAnsi="Open Sans" w:cs="Open Sans"/>
        </w:rPr>
        <w:t>increas</w:t>
      </w:r>
      <w:r w:rsidR="00950C01" w:rsidRPr="001A3CC6">
        <w:rPr>
          <w:rFonts w:ascii="Open Sans" w:hAnsi="Open Sans" w:cs="Open Sans"/>
        </w:rPr>
        <w:t>ing</w:t>
      </w:r>
      <w:r w:rsidR="00FD7524" w:rsidRPr="001A3CC6">
        <w:rPr>
          <w:rFonts w:ascii="Open Sans" w:hAnsi="Open Sans" w:cs="Open Sans"/>
        </w:rPr>
        <w:t xml:space="preserve"> </w:t>
      </w:r>
      <w:r w:rsidR="005C5039" w:rsidRPr="001A3CC6">
        <w:rPr>
          <w:rFonts w:ascii="Open Sans" w:hAnsi="Open Sans" w:cs="Open Sans"/>
        </w:rPr>
        <w:t xml:space="preserve">the </w:t>
      </w:r>
      <w:r w:rsidR="00FD7524" w:rsidRPr="001A3CC6">
        <w:rPr>
          <w:rFonts w:ascii="Open Sans" w:hAnsi="Open Sans" w:cs="Open Sans"/>
        </w:rPr>
        <w:t xml:space="preserve">scrutiny </w:t>
      </w:r>
      <w:r w:rsidR="000077A0" w:rsidRPr="001A3CC6">
        <w:rPr>
          <w:rFonts w:ascii="Open Sans" w:hAnsi="Open Sans" w:cs="Open Sans"/>
        </w:rPr>
        <w:t xml:space="preserve">of </w:t>
      </w:r>
      <w:r w:rsidR="00950C01" w:rsidRPr="001A3CC6">
        <w:rPr>
          <w:rFonts w:ascii="Open Sans" w:hAnsi="Open Sans" w:cs="Open Sans"/>
        </w:rPr>
        <w:t>public decision-making</w:t>
      </w:r>
      <w:r w:rsidR="00FD7524" w:rsidRPr="001A3CC6">
        <w:rPr>
          <w:rFonts w:ascii="Open Sans" w:hAnsi="Open Sans" w:cs="Open Sans"/>
        </w:rPr>
        <w:t xml:space="preserve">. The FOI Guidelines provide </w:t>
      </w:r>
      <w:r w:rsidR="00950C01" w:rsidRPr="001A3CC6">
        <w:rPr>
          <w:rFonts w:ascii="Open Sans" w:hAnsi="Open Sans" w:cs="Open Sans"/>
        </w:rPr>
        <w:t xml:space="preserve">valuable </w:t>
      </w:r>
      <w:r w:rsidR="00FD7524" w:rsidRPr="001A3CC6">
        <w:rPr>
          <w:rFonts w:ascii="Open Sans" w:hAnsi="Open Sans" w:cs="Open Sans"/>
        </w:rPr>
        <w:t>assistance to FOI practitioners who must navigate a complex and technical area of law</w:t>
      </w:r>
      <w:r w:rsidR="00B06AEE" w:rsidRPr="001A3CC6">
        <w:rPr>
          <w:rFonts w:ascii="Open Sans" w:hAnsi="Open Sans" w:cs="Open Sans"/>
        </w:rPr>
        <w:t xml:space="preserve"> in the processing of FOI requests. </w:t>
      </w:r>
    </w:p>
    <w:p w14:paraId="3156914F" w14:textId="77777777" w:rsidR="00182E4B" w:rsidRPr="00182E4B" w:rsidRDefault="00182E4B" w:rsidP="00182E4B">
      <w:pPr>
        <w:pStyle w:val="SubmissionNormal"/>
        <w:tabs>
          <w:tab w:val="clear" w:pos="360"/>
          <w:tab w:val="num" w:pos="567"/>
        </w:tabs>
        <w:ind w:left="567" w:hanging="567"/>
        <w:rPr>
          <w:rFonts w:ascii="Open Sans" w:hAnsi="Open Sans" w:cs="Open Sans"/>
        </w:rPr>
      </w:pPr>
      <w:r w:rsidRPr="00182E4B">
        <w:rPr>
          <w:rFonts w:ascii="Open Sans" w:hAnsi="Open Sans" w:cs="Open Sans"/>
        </w:rPr>
        <w:t xml:space="preserve">In light of the available caselaw, the Commission considers that the FOI Guidelines generally provide appropriate guidance regarding the disclosure of public servants’ names and contact details in the context of FOI requests. </w:t>
      </w:r>
    </w:p>
    <w:p w14:paraId="6111560B" w14:textId="1885BC35" w:rsidR="00182E4B" w:rsidRPr="00182E4B" w:rsidRDefault="00182E4B" w:rsidP="00182E4B">
      <w:pPr>
        <w:pStyle w:val="SubmissionNormal"/>
        <w:tabs>
          <w:tab w:val="clear" w:pos="360"/>
          <w:tab w:val="num" w:pos="567"/>
        </w:tabs>
        <w:ind w:left="567" w:hanging="567"/>
        <w:rPr>
          <w:rFonts w:ascii="Open Sans" w:hAnsi="Open Sans" w:cs="Open Sans"/>
        </w:rPr>
      </w:pPr>
      <w:r w:rsidRPr="00182E4B">
        <w:rPr>
          <w:rFonts w:ascii="Open Sans" w:hAnsi="Open Sans" w:cs="Open Sans"/>
        </w:rPr>
        <w:t xml:space="preserve">However, the Commission </w:t>
      </w:r>
      <w:r w:rsidR="00534A6F">
        <w:rPr>
          <w:rFonts w:ascii="Open Sans" w:hAnsi="Open Sans" w:cs="Open Sans"/>
        </w:rPr>
        <w:t xml:space="preserve">would welcome further guidance from the OAIC about </w:t>
      </w:r>
      <w:r w:rsidRPr="00182E4B">
        <w:rPr>
          <w:rFonts w:ascii="Open Sans" w:hAnsi="Open Sans" w:cs="Open Sans"/>
        </w:rPr>
        <w:t xml:space="preserve">what might constitute ‘special circumstances’ for the purpose of the personal privacy exemption in the FOI Act. As discussed below, the Commission submits that — in certain situations — the privacy interests of junior public servants should be acknowledged in the FOI Guidelines as </w:t>
      </w:r>
      <w:r w:rsidR="00534A6F">
        <w:rPr>
          <w:rFonts w:ascii="Open Sans" w:hAnsi="Open Sans" w:cs="Open Sans"/>
        </w:rPr>
        <w:t xml:space="preserve">potentially </w:t>
      </w:r>
      <w:r w:rsidRPr="00182E4B">
        <w:rPr>
          <w:rFonts w:ascii="Open Sans" w:hAnsi="Open Sans" w:cs="Open Sans"/>
        </w:rPr>
        <w:t>constituting</w:t>
      </w:r>
      <w:r w:rsidR="00534A6F">
        <w:rPr>
          <w:rFonts w:ascii="Open Sans" w:hAnsi="Open Sans" w:cs="Open Sans"/>
        </w:rPr>
        <w:t xml:space="preserve"> </w:t>
      </w:r>
      <w:r w:rsidRPr="00182E4B">
        <w:rPr>
          <w:rFonts w:ascii="Open Sans" w:hAnsi="Open Sans" w:cs="Open Sans"/>
        </w:rPr>
        <w:t>‘special circumstance</w:t>
      </w:r>
      <w:r w:rsidR="00615439">
        <w:rPr>
          <w:rFonts w:ascii="Open Sans" w:hAnsi="Open Sans" w:cs="Open Sans"/>
        </w:rPr>
        <w:t>s</w:t>
      </w:r>
      <w:r w:rsidRPr="00182E4B">
        <w:rPr>
          <w:rFonts w:ascii="Open Sans" w:hAnsi="Open Sans" w:cs="Open Sans"/>
        </w:rPr>
        <w:t xml:space="preserve">’. </w:t>
      </w:r>
      <w:r w:rsidR="00EF3CFC">
        <w:rPr>
          <w:rFonts w:ascii="Open Sans" w:hAnsi="Open Sans" w:cs="Open Sans"/>
        </w:rPr>
        <w:t xml:space="preserve">This is particularly the case when an FOI request would identify a junior member of staff with limited decision-making authority, against their wishes, in circumstances where a matter is socially divisive and may attract public attention. </w:t>
      </w:r>
    </w:p>
    <w:p w14:paraId="12DA185F" w14:textId="77777777" w:rsidR="00182E4B" w:rsidRDefault="00182E4B" w:rsidP="00182E4B">
      <w:pPr>
        <w:pStyle w:val="SubmissionNormal"/>
        <w:tabs>
          <w:tab w:val="clear" w:pos="360"/>
          <w:tab w:val="num" w:pos="567"/>
        </w:tabs>
        <w:ind w:left="567" w:hanging="567"/>
        <w:rPr>
          <w:rFonts w:ascii="Open Sans" w:hAnsi="Open Sans" w:cs="Open Sans"/>
        </w:rPr>
      </w:pPr>
      <w:r w:rsidRPr="001A3CC6">
        <w:rPr>
          <w:rFonts w:ascii="Open Sans" w:hAnsi="Open Sans" w:cs="Open Sans"/>
        </w:rPr>
        <w:t>While the Commission has been guided by the consultation questions posed in the OAIC discussion paper, this submission does not seek to respond to each question individually.</w:t>
      </w:r>
    </w:p>
    <w:p w14:paraId="5408A426" w14:textId="3477D3F2" w:rsidR="001A3CC6" w:rsidRPr="007C1D82" w:rsidRDefault="001A3CC6" w:rsidP="001A3CC6">
      <w:pPr>
        <w:pStyle w:val="Heading1"/>
        <w:rPr>
          <w:rFonts w:ascii="Open Sans" w:hAnsi="Open Sans" w:cs="Open Sans"/>
          <w:sz w:val="36"/>
          <w:szCs w:val="36"/>
        </w:rPr>
      </w:pPr>
      <w:bookmarkStart w:id="8" w:name="_Toc14870610"/>
      <w:r w:rsidRPr="007C1D82">
        <w:rPr>
          <w:rFonts w:ascii="Open Sans" w:hAnsi="Open Sans" w:cs="Open Sans"/>
          <w:sz w:val="36"/>
          <w:szCs w:val="36"/>
        </w:rPr>
        <w:lastRenderedPageBreak/>
        <w:t>Human rights considerations</w:t>
      </w:r>
      <w:bookmarkEnd w:id="8"/>
    </w:p>
    <w:p w14:paraId="42DCA79E" w14:textId="3DD4B1CA" w:rsidR="00DB5341" w:rsidRPr="001A3CC6" w:rsidRDefault="00D63FE3" w:rsidP="00187607">
      <w:pPr>
        <w:pStyle w:val="SubmissionNormal"/>
        <w:tabs>
          <w:tab w:val="clear" w:pos="360"/>
          <w:tab w:val="num" w:pos="567"/>
        </w:tabs>
        <w:ind w:left="567" w:hanging="567"/>
        <w:rPr>
          <w:rFonts w:ascii="Open Sans" w:hAnsi="Open Sans" w:cs="Open Sans"/>
        </w:rPr>
      </w:pPr>
      <w:r w:rsidRPr="001A3CC6">
        <w:rPr>
          <w:rFonts w:ascii="Open Sans" w:hAnsi="Open Sans" w:cs="Open Sans"/>
        </w:rPr>
        <w:t>The right to access documents and information held by public institutions has been recognised as an integral part of the right to freedom of expression</w:t>
      </w:r>
      <w:r w:rsidR="004069BC" w:rsidRPr="001A3CC6">
        <w:rPr>
          <w:rFonts w:ascii="Open Sans" w:hAnsi="Open Sans" w:cs="Open Sans"/>
        </w:rPr>
        <w:t>.</w:t>
      </w:r>
      <w:r w:rsidR="00503116" w:rsidRPr="001A3CC6">
        <w:rPr>
          <w:rFonts w:ascii="Open Sans" w:hAnsi="Open Sans" w:cs="Open Sans"/>
        </w:rPr>
        <w:t xml:space="preserve"> This is reflected in </w:t>
      </w:r>
      <w:r w:rsidR="00A10910">
        <w:rPr>
          <w:rFonts w:ascii="Open Sans" w:hAnsi="Open Sans" w:cs="Open Sans"/>
        </w:rPr>
        <w:t>a</w:t>
      </w:r>
      <w:r w:rsidR="00A10910" w:rsidRPr="001A3CC6">
        <w:rPr>
          <w:rFonts w:ascii="Open Sans" w:hAnsi="Open Sans" w:cs="Open Sans"/>
        </w:rPr>
        <w:t xml:space="preserve">rticle </w:t>
      </w:r>
      <w:r w:rsidRPr="001A3CC6">
        <w:rPr>
          <w:rFonts w:ascii="Open Sans" w:hAnsi="Open Sans" w:cs="Open Sans"/>
        </w:rPr>
        <w:t xml:space="preserve">19 of the Universal </w:t>
      </w:r>
      <w:r w:rsidR="004069BC" w:rsidRPr="001A3CC6">
        <w:rPr>
          <w:rFonts w:ascii="Open Sans" w:hAnsi="Open Sans" w:cs="Open Sans"/>
        </w:rPr>
        <w:t>Declaration</w:t>
      </w:r>
      <w:r w:rsidRPr="001A3CC6">
        <w:rPr>
          <w:rFonts w:ascii="Open Sans" w:hAnsi="Open Sans" w:cs="Open Sans"/>
        </w:rPr>
        <w:t xml:space="preserve"> of Human Rights</w:t>
      </w:r>
      <w:r w:rsidR="004069BC" w:rsidRPr="001A3CC6">
        <w:rPr>
          <w:rFonts w:ascii="Open Sans" w:hAnsi="Open Sans" w:cs="Open Sans"/>
        </w:rPr>
        <w:t xml:space="preserve"> </w:t>
      </w:r>
      <w:r w:rsidR="00503116" w:rsidRPr="001A3CC6">
        <w:rPr>
          <w:rFonts w:ascii="Open Sans" w:hAnsi="Open Sans" w:cs="Open Sans"/>
        </w:rPr>
        <w:t xml:space="preserve">which </w:t>
      </w:r>
      <w:r w:rsidR="004069BC" w:rsidRPr="001A3CC6">
        <w:rPr>
          <w:rFonts w:ascii="Open Sans" w:hAnsi="Open Sans" w:cs="Open Sans"/>
        </w:rPr>
        <w:t xml:space="preserve">states that freedom of expression encompasses the freedom to ‘seek, receive and impart information and ideas through any media and regardless of frontiers’. </w:t>
      </w:r>
      <w:r w:rsidR="0065502B" w:rsidRPr="001A3CC6">
        <w:rPr>
          <w:rFonts w:ascii="Open Sans" w:hAnsi="Open Sans" w:cs="Open Sans"/>
        </w:rPr>
        <w:t>Right of access to government information</w:t>
      </w:r>
      <w:r w:rsidR="00AE08E6" w:rsidRPr="001A3CC6">
        <w:rPr>
          <w:rFonts w:ascii="Open Sans" w:hAnsi="Open Sans" w:cs="Open Sans"/>
        </w:rPr>
        <w:t xml:space="preserve"> has also been considered a corollary of freedom of expression in other major international treaties, including t</w:t>
      </w:r>
      <w:r w:rsidR="000B499C" w:rsidRPr="001A3CC6">
        <w:rPr>
          <w:rFonts w:ascii="Open Sans" w:hAnsi="Open Sans" w:cs="Open Sans"/>
        </w:rPr>
        <w:t>h</w:t>
      </w:r>
      <w:r w:rsidR="00AE08E6" w:rsidRPr="001A3CC6">
        <w:rPr>
          <w:rFonts w:ascii="Open Sans" w:hAnsi="Open Sans" w:cs="Open Sans"/>
        </w:rPr>
        <w:t xml:space="preserve">e </w:t>
      </w:r>
      <w:r w:rsidR="00AE08E6" w:rsidRPr="001A3CC6">
        <w:rPr>
          <w:rFonts w:ascii="Open Sans" w:hAnsi="Open Sans" w:cs="Open Sans"/>
          <w:i/>
          <w:iCs/>
        </w:rPr>
        <w:t>International Covenant on Civil and Political Rights</w:t>
      </w:r>
      <w:r w:rsidR="00615439">
        <w:rPr>
          <w:rFonts w:ascii="Open Sans" w:hAnsi="Open Sans" w:cs="Open Sans"/>
          <w:i/>
          <w:iCs/>
        </w:rPr>
        <w:t xml:space="preserve"> </w:t>
      </w:r>
      <w:r w:rsidR="00615439">
        <w:rPr>
          <w:rFonts w:ascii="Open Sans" w:hAnsi="Open Sans" w:cs="Open Sans"/>
        </w:rPr>
        <w:t>(ICCPR)</w:t>
      </w:r>
      <w:r w:rsidR="00AE08E6" w:rsidRPr="001A3CC6">
        <w:rPr>
          <w:rFonts w:ascii="Open Sans" w:hAnsi="Open Sans" w:cs="Open Sans"/>
        </w:rPr>
        <w:t>.</w:t>
      </w:r>
      <w:r w:rsidR="00DB5341" w:rsidRPr="001A3CC6">
        <w:rPr>
          <w:rStyle w:val="EndnoteReference"/>
          <w:rFonts w:ascii="Open Sans" w:hAnsi="Open Sans" w:cs="Open Sans"/>
          <w:sz w:val="24"/>
        </w:rPr>
        <w:endnoteReference w:id="1"/>
      </w:r>
      <w:r w:rsidR="00DB5341" w:rsidRPr="001A3CC6">
        <w:rPr>
          <w:rFonts w:ascii="Open Sans" w:hAnsi="Open Sans" w:cs="Open Sans"/>
        </w:rPr>
        <w:t xml:space="preserve"> </w:t>
      </w:r>
    </w:p>
    <w:p w14:paraId="7AF70436" w14:textId="51A8C6C2" w:rsidR="00DB5341" w:rsidRPr="001A3CC6" w:rsidRDefault="00DB5341" w:rsidP="000B499C">
      <w:pPr>
        <w:pStyle w:val="SubmissionNormal"/>
        <w:tabs>
          <w:tab w:val="clear" w:pos="360"/>
          <w:tab w:val="num" w:pos="567"/>
        </w:tabs>
        <w:ind w:left="567" w:hanging="567"/>
        <w:rPr>
          <w:rFonts w:ascii="Open Sans" w:hAnsi="Open Sans" w:cs="Open Sans"/>
        </w:rPr>
      </w:pPr>
      <w:r w:rsidRPr="001A3CC6">
        <w:rPr>
          <w:rFonts w:ascii="Open Sans" w:hAnsi="Open Sans" w:cs="Open Sans"/>
        </w:rPr>
        <w:t xml:space="preserve">The FOI Act reflects the premise that information held by Commonwealth government agencies is a national resource and should only be withheld if there are legitimate reasons to prevent its disclosure. This requires an assessment of the balance to be struck between the important objective of open government and other rights that might be engaged by the disclosure of government information — for example, the right to privacy. </w:t>
      </w:r>
    </w:p>
    <w:p w14:paraId="436BF4C1" w14:textId="7D4E4C6D" w:rsidR="00DB5341" w:rsidRPr="001A3CC6" w:rsidRDefault="00DB5341" w:rsidP="00D56490">
      <w:pPr>
        <w:pStyle w:val="SubmissionNormal"/>
        <w:rPr>
          <w:rFonts w:ascii="Open Sans" w:hAnsi="Open Sans" w:cs="Open Sans"/>
        </w:rPr>
      </w:pPr>
      <w:r w:rsidRPr="001A3CC6">
        <w:rPr>
          <w:rFonts w:ascii="Open Sans" w:hAnsi="Open Sans" w:cs="Open Sans"/>
        </w:rPr>
        <w:t xml:space="preserve"> Article 17 of the ICCPR protects the right to privacy. It provides:</w:t>
      </w:r>
    </w:p>
    <w:p w14:paraId="1F9966F5" w14:textId="05EF3B4D" w:rsidR="00DB5341" w:rsidRPr="001A3CC6" w:rsidRDefault="00DB5341" w:rsidP="006A1BCA">
      <w:pPr>
        <w:pStyle w:val="SubmissionNormal"/>
        <w:numPr>
          <w:ilvl w:val="0"/>
          <w:numId w:val="0"/>
        </w:numPr>
        <w:ind w:left="1440" w:hanging="360"/>
        <w:rPr>
          <w:rFonts w:ascii="Open Sans" w:hAnsi="Open Sans" w:cs="Open Sans"/>
          <w:sz w:val="22"/>
          <w:szCs w:val="22"/>
        </w:rPr>
      </w:pPr>
      <w:r w:rsidRPr="001A3CC6">
        <w:rPr>
          <w:rFonts w:ascii="Open Sans" w:hAnsi="Open Sans" w:cs="Open Sans"/>
          <w:sz w:val="22"/>
          <w:szCs w:val="22"/>
        </w:rPr>
        <w:t xml:space="preserve">1. </w:t>
      </w:r>
      <w:r>
        <w:rPr>
          <w:rFonts w:ascii="Open Sans" w:hAnsi="Open Sans" w:cs="Open Sans"/>
          <w:sz w:val="22"/>
          <w:szCs w:val="22"/>
        </w:rPr>
        <w:tab/>
      </w:r>
      <w:r w:rsidRPr="001A3CC6">
        <w:rPr>
          <w:rFonts w:ascii="Open Sans" w:hAnsi="Open Sans" w:cs="Open Sans"/>
          <w:sz w:val="22"/>
          <w:szCs w:val="22"/>
        </w:rPr>
        <w:t xml:space="preserve">No one shall be subjected to arbitrary or unlawful interference with his privacy, family, home or correspondence, nor to unlawful attacks on his honour and reputation. </w:t>
      </w:r>
    </w:p>
    <w:p w14:paraId="5B0F8C7C" w14:textId="45C2B6CA" w:rsidR="00DB5341" w:rsidRPr="001A3CC6" w:rsidRDefault="00DB5341" w:rsidP="006A1BCA">
      <w:pPr>
        <w:pStyle w:val="SubmissionNormal"/>
        <w:numPr>
          <w:ilvl w:val="0"/>
          <w:numId w:val="0"/>
        </w:numPr>
        <w:ind w:left="1440" w:hanging="360"/>
        <w:rPr>
          <w:rFonts w:ascii="Open Sans" w:hAnsi="Open Sans" w:cs="Open Sans"/>
          <w:sz w:val="22"/>
          <w:szCs w:val="22"/>
        </w:rPr>
      </w:pPr>
      <w:r w:rsidRPr="001A3CC6">
        <w:rPr>
          <w:rFonts w:ascii="Open Sans" w:hAnsi="Open Sans" w:cs="Open Sans"/>
          <w:sz w:val="22"/>
          <w:szCs w:val="22"/>
        </w:rPr>
        <w:t xml:space="preserve">2. </w:t>
      </w:r>
      <w:r>
        <w:rPr>
          <w:rFonts w:ascii="Open Sans" w:hAnsi="Open Sans" w:cs="Open Sans"/>
          <w:sz w:val="22"/>
          <w:szCs w:val="22"/>
        </w:rPr>
        <w:tab/>
      </w:r>
      <w:r w:rsidRPr="001A3CC6">
        <w:rPr>
          <w:rFonts w:ascii="Open Sans" w:hAnsi="Open Sans" w:cs="Open Sans"/>
          <w:sz w:val="22"/>
          <w:szCs w:val="22"/>
        </w:rPr>
        <w:t xml:space="preserve">Everyone has the right to the protection of the law against such interference or attacks. </w:t>
      </w:r>
    </w:p>
    <w:p w14:paraId="0C9ECBCD" w14:textId="7CE3F55B" w:rsidR="00DB5341" w:rsidRPr="001A3CC6" w:rsidRDefault="00DB5341" w:rsidP="006A1BCA">
      <w:pPr>
        <w:pStyle w:val="SubmissionNormal"/>
        <w:tabs>
          <w:tab w:val="clear" w:pos="360"/>
          <w:tab w:val="num" w:pos="567"/>
        </w:tabs>
        <w:ind w:left="567" w:hanging="567"/>
        <w:rPr>
          <w:rFonts w:ascii="Open Sans" w:hAnsi="Open Sans" w:cs="Open Sans"/>
        </w:rPr>
      </w:pPr>
      <w:r w:rsidRPr="001A3CC6">
        <w:rPr>
          <w:rFonts w:ascii="Open Sans" w:hAnsi="Open Sans" w:cs="Open Sans"/>
        </w:rPr>
        <w:t>As stated by the United Nations Office of the High Commissioner for Human Rights ‘non-arbitrary’ means that any interference with the right to privacy must be in accordance with the provisions, aims and objectives of the ICCPR and should be reasonable — that is, proportionate and necessary to achieve a legitimate objective — in the particular circumstances.</w:t>
      </w:r>
      <w:r w:rsidRPr="001A3CC6">
        <w:rPr>
          <w:rStyle w:val="EndnoteReference"/>
          <w:rFonts w:ascii="Open Sans" w:hAnsi="Open Sans" w:cs="Open Sans"/>
        </w:rPr>
        <w:endnoteReference w:id="2"/>
      </w:r>
      <w:r w:rsidRPr="001A3CC6">
        <w:rPr>
          <w:rFonts w:ascii="Open Sans" w:hAnsi="Open Sans" w:cs="Open Sans"/>
        </w:rPr>
        <w:t xml:space="preserve">  </w:t>
      </w:r>
    </w:p>
    <w:p w14:paraId="37A346D4" w14:textId="23EBA299" w:rsidR="00DB5341" w:rsidRDefault="00DB5341" w:rsidP="000B499C">
      <w:pPr>
        <w:pStyle w:val="SubmissionNormal"/>
        <w:tabs>
          <w:tab w:val="clear" w:pos="360"/>
          <w:tab w:val="num" w:pos="567"/>
        </w:tabs>
        <w:ind w:left="567" w:hanging="567"/>
        <w:rPr>
          <w:rFonts w:ascii="Open Sans" w:hAnsi="Open Sans" w:cs="Open Sans"/>
        </w:rPr>
      </w:pPr>
      <w:r w:rsidRPr="001A3CC6">
        <w:rPr>
          <w:rFonts w:ascii="Open Sans" w:hAnsi="Open Sans" w:cs="Open Sans"/>
        </w:rPr>
        <w:t xml:space="preserve">While the pursuit of open government is clearly a legitimate objective, the Commission considers that public servants — in particular, junior public servants with limited decision-making authority — have privacy interests that need to be appropriately weighed in any disclosure framework. This has become increasingly important with the advent of social media and digital technologies and the concomitant rise of cyberbullying, online stalking and harassment.  </w:t>
      </w:r>
    </w:p>
    <w:p w14:paraId="23A565AF" w14:textId="7268114C" w:rsidR="00DB5341" w:rsidRPr="007C1D82" w:rsidRDefault="00DB5341" w:rsidP="004D0464">
      <w:pPr>
        <w:pStyle w:val="Heading1"/>
        <w:rPr>
          <w:rFonts w:ascii="Open Sans" w:hAnsi="Open Sans" w:cs="Open Sans"/>
          <w:sz w:val="36"/>
          <w:szCs w:val="36"/>
        </w:rPr>
      </w:pPr>
      <w:bookmarkStart w:id="9" w:name="_Toc14870611"/>
      <w:r w:rsidRPr="007C1D82">
        <w:rPr>
          <w:rFonts w:ascii="Open Sans" w:hAnsi="Open Sans" w:cs="Open Sans"/>
          <w:sz w:val="36"/>
          <w:szCs w:val="36"/>
        </w:rPr>
        <w:lastRenderedPageBreak/>
        <w:t>The current position</w:t>
      </w:r>
      <w:bookmarkEnd w:id="9"/>
    </w:p>
    <w:p w14:paraId="23BBFF1B" w14:textId="6379A275" w:rsidR="00DB5341" w:rsidRPr="001A3CC6" w:rsidRDefault="00DB5341" w:rsidP="000B499C">
      <w:pPr>
        <w:pStyle w:val="SubmissionNormal"/>
        <w:tabs>
          <w:tab w:val="clear" w:pos="360"/>
          <w:tab w:val="num" w:pos="567"/>
        </w:tabs>
        <w:ind w:left="567" w:hanging="567"/>
        <w:rPr>
          <w:rFonts w:ascii="Open Sans" w:hAnsi="Open Sans" w:cs="Open Sans"/>
        </w:rPr>
      </w:pPr>
      <w:r w:rsidRPr="001A3CC6">
        <w:rPr>
          <w:rFonts w:ascii="Open Sans" w:hAnsi="Open Sans" w:cs="Open Sans"/>
        </w:rPr>
        <w:t xml:space="preserve">The Commission often processes FOI requests that include documents containing the personal information of its staff. This is usually because the relevant staff member was involved, to some degree or extent, with the work that is the subject of the documents and the FOI request. </w:t>
      </w:r>
    </w:p>
    <w:p w14:paraId="1FF96C3A" w14:textId="55BA37FC" w:rsidR="00DB5341" w:rsidRPr="001A3CC6" w:rsidRDefault="00DB5341" w:rsidP="00550040">
      <w:pPr>
        <w:pStyle w:val="SubmissionNormal"/>
        <w:tabs>
          <w:tab w:val="clear" w:pos="360"/>
          <w:tab w:val="num" w:pos="567"/>
        </w:tabs>
        <w:ind w:left="567" w:hanging="567"/>
        <w:rPr>
          <w:rFonts w:ascii="Open Sans" w:hAnsi="Open Sans" w:cs="Open Sans"/>
        </w:rPr>
      </w:pPr>
      <w:r w:rsidRPr="001A3CC6">
        <w:rPr>
          <w:rFonts w:ascii="Open Sans" w:hAnsi="Open Sans" w:cs="Open Sans"/>
        </w:rPr>
        <w:t>Section 47F of the FOI Act conditionally exempts documents (or parts of documents) where disclosure would involve the unreasonable disclosure of personal information of any person. This exemption is intended to protect the personal privacy of individuals, including public servants. As a conditional exemption, s 47F of the FOI Act is also subject to a further ‘contrary to the public interest’ test.</w:t>
      </w:r>
      <w:r w:rsidRPr="001A3CC6">
        <w:rPr>
          <w:rStyle w:val="EndnoteReference"/>
          <w:rFonts w:ascii="Open Sans" w:hAnsi="Open Sans" w:cs="Open Sans"/>
        </w:rPr>
        <w:endnoteReference w:id="3"/>
      </w:r>
      <w:r w:rsidRPr="001A3CC6">
        <w:rPr>
          <w:rFonts w:ascii="Open Sans" w:hAnsi="Open Sans" w:cs="Open Sans"/>
        </w:rPr>
        <w:t xml:space="preserve"> </w:t>
      </w:r>
    </w:p>
    <w:p w14:paraId="27898E11" w14:textId="18206878" w:rsidR="00DB5341" w:rsidRPr="001A3CC6" w:rsidRDefault="00DB5341" w:rsidP="00550040">
      <w:pPr>
        <w:pStyle w:val="SubmissionNormal"/>
        <w:tabs>
          <w:tab w:val="clear" w:pos="360"/>
          <w:tab w:val="num" w:pos="567"/>
        </w:tabs>
        <w:ind w:left="567" w:hanging="567"/>
        <w:rPr>
          <w:rFonts w:ascii="Open Sans" w:hAnsi="Open Sans" w:cs="Open Sans"/>
        </w:rPr>
      </w:pPr>
      <w:r w:rsidRPr="001A3CC6">
        <w:rPr>
          <w:rFonts w:ascii="Open Sans" w:hAnsi="Open Sans" w:cs="Open Sans"/>
        </w:rPr>
        <w:t>In its discussion paper, the OAIC states that ‘it has long been considered that in general, disclosure of public servants</w:t>
      </w:r>
      <w:r w:rsidR="003642D9">
        <w:rPr>
          <w:rFonts w:ascii="Open Sans" w:hAnsi="Open Sans" w:cs="Open Sans"/>
        </w:rPr>
        <w:t>’</w:t>
      </w:r>
      <w:r w:rsidRPr="001A3CC6">
        <w:rPr>
          <w:rFonts w:ascii="Open Sans" w:hAnsi="Open Sans" w:cs="Open Sans"/>
        </w:rPr>
        <w:t xml:space="preserve"> names in response to an FOI request would not be unreasonable’.</w:t>
      </w:r>
      <w:r w:rsidRPr="001A3CC6">
        <w:rPr>
          <w:rStyle w:val="EndnoteReference"/>
          <w:rFonts w:ascii="Open Sans" w:hAnsi="Open Sans" w:cs="Open Sans"/>
        </w:rPr>
        <w:endnoteReference w:id="4"/>
      </w:r>
      <w:r w:rsidRPr="001A3CC6">
        <w:rPr>
          <w:rFonts w:ascii="Open Sans" w:hAnsi="Open Sans" w:cs="Open Sans"/>
        </w:rPr>
        <w:t xml:space="preserve"> Attachment A of the discussion paper sets out a list of cases decided by the Administrative Appeals Tribunal and the Australian Information Commissioner where this principle is </w:t>
      </w:r>
      <w:r>
        <w:rPr>
          <w:rFonts w:ascii="Open Sans" w:hAnsi="Open Sans" w:cs="Open Sans"/>
        </w:rPr>
        <w:t xml:space="preserve">largely </w:t>
      </w:r>
      <w:r w:rsidRPr="001A3CC6">
        <w:rPr>
          <w:rFonts w:ascii="Open Sans" w:hAnsi="Open Sans" w:cs="Open Sans"/>
        </w:rPr>
        <w:t xml:space="preserve">affirmed.   </w:t>
      </w:r>
    </w:p>
    <w:p w14:paraId="5C60DC59" w14:textId="15C110AC" w:rsidR="00DB5341" w:rsidRPr="001A3CC6" w:rsidRDefault="00DB5341" w:rsidP="008C53B2">
      <w:pPr>
        <w:pStyle w:val="SubmissionNormal"/>
        <w:tabs>
          <w:tab w:val="clear" w:pos="360"/>
          <w:tab w:val="num" w:pos="567"/>
        </w:tabs>
        <w:ind w:left="567" w:hanging="567"/>
        <w:rPr>
          <w:rFonts w:ascii="Open Sans" w:hAnsi="Open Sans" w:cs="Open Sans"/>
        </w:rPr>
      </w:pPr>
      <w:r w:rsidRPr="001A3CC6">
        <w:rPr>
          <w:rFonts w:ascii="Open Sans" w:hAnsi="Open Sans" w:cs="Open Sans"/>
        </w:rPr>
        <w:t>The OAIC’s view, as expressed in the FOI Guidelines, is that:</w:t>
      </w:r>
    </w:p>
    <w:p w14:paraId="7A384059" w14:textId="7C847166" w:rsidR="00DB5341" w:rsidRPr="001A3CC6" w:rsidRDefault="00DB5341" w:rsidP="00301860">
      <w:pPr>
        <w:pStyle w:val="SubmissionNormal"/>
        <w:numPr>
          <w:ilvl w:val="0"/>
          <w:numId w:val="0"/>
        </w:numPr>
        <w:ind w:left="1287"/>
        <w:rPr>
          <w:rFonts w:ascii="Open Sans" w:hAnsi="Open Sans" w:cs="Open Sans"/>
          <w:sz w:val="22"/>
          <w:szCs w:val="22"/>
        </w:rPr>
      </w:pPr>
      <w:r w:rsidRPr="001A3CC6">
        <w:rPr>
          <w:rFonts w:ascii="Open Sans" w:hAnsi="Open Sans" w:cs="Open Sans"/>
          <w:sz w:val="22"/>
          <w:szCs w:val="22"/>
        </w:rPr>
        <w:t>Where public servants’ personal information is included in a document because of their usual duties or responsibilities, it would not be unreasonable to disclose unless special circumstances existed. This is because the information would reveal only that the public servant was performing their public duties. Such information may often also be publicly available, such as on an agency website.</w:t>
      </w:r>
      <w:r w:rsidRPr="001A3CC6">
        <w:rPr>
          <w:rStyle w:val="EndnoteReference"/>
          <w:rFonts w:ascii="Open Sans" w:hAnsi="Open Sans" w:cs="Open Sans"/>
          <w:sz w:val="22"/>
          <w:szCs w:val="22"/>
        </w:rPr>
        <w:endnoteReference w:id="5"/>
      </w:r>
    </w:p>
    <w:p w14:paraId="5CFEBBC8" w14:textId="77777777" w:rsidR="00DB5341" w:rsidRPr="007C1D82" w:rsidRDefault="00DB5341" w:rsidP="00182E4B">
      <w:pPr>
        <w:pStyle w:val="Heading1"/>
        <w:rPr>
          <w:rFonts w:ascii="Open Sans" w:hAnsi="Open Sans" w:cs="Open Sans"/>
          <w:sz w:val="36"/>
          <w:szCs w:val="36"/>
        </w:rPr>
      </w:pPr>
      <w:bookmarkStart w:id="10" w:name="_Toc14870612"/>
      <w:r w:rsidRPr="007C1D82">
        <w:rPr>
          <w:rFonts w:ascii="Open Sans" w:hAnsi="Open Sans" w:cs="Open Sans"/>
          <w:sz w:val="36"/>
          <w:szCs w:val="36"/>
        </w:rPr>
        <w:t>The Commission’s views and concerns</w:t>
      </w:r>
      <w:bookmarkEnd w:id="10"/>
    </w:p>
    <w:p w14:paraId="6532700B" w14:textId="3FA75121" w:rsidR="00DB5341" w:rsidRPr="001A3CC6" w:rsidRDefault="00DB5341" w:rsidP="000B499C">
      <w:pPr>
        <w:pStyle w:val="SubmissionNormal"/>
        <w:tabs>
          <w:tab w:val="clear" w:pos="360"/>
          <w:tab w:val="num" w:pos="567"/>
        </w:tabs>
        <w:ind w:left="567" w:hanging="567"/>
        <w:rPr>
          <w:rFonts w:ascii="Open Sans" w:hAnsi="Open Sans" w:cs="Open Sans"/>
        </w:rPr>
      </w:pPr>
      <w:r w:rsidRPr="001A3CC6">
        <w:rPr>
          <w:rFonts w:ascii="Open Sans" w:hAnsi="Open Sans" w:cs="Open Sans"/>
        </w:rPr>
        <w:t xml:space="preserve">The FOI Guidelines provide limited guidance about what might constitute ‘special circumstances’ for the purpose of the s 47F exemption. The </w:t>
      </w:r>
      <w:r>
        <w:rPr>
          <w:rFonts w:ascii="Open Sans" w:hAnsi="Open Sans" w:cs="Open Sans"/>
        </w:rPr>
        <w:t xml:space="preserve">FOI Guidelines </w:t>
      </w:r>
      <w:r w:rsidRPr="001A3CC6">
        <w:rPr>
          <w:rFonts w:ascii="Open Sans" w:hAnsi="Open Sans" w:cs="Open Sans"/>
        </w:rPr>
        <w:t>make the following points:</w:t>
      </w:r>
    </w:p>
    <w:p w14:paraId="4AFC6263" w14:textId="28E1D708" w:rsidR="00DB5341" w:rsidRPr="001A3CC6" w:rsidRDefault="00DB5341" w:rsidP="00185A1D">
      <w:pPr>
        <w:pStyle w:val="SubmissionNormal"/>
        <w:numPr>
          <w:ilvl w:val="0"/>
          <w:numId w:val="16"/>
        </w:numPr>
        <w:rPr>
          <w:rFonts w:ascii="Open Sans" w:hAnsi="Open Sans" w:cs="Open Sans"/>
          <w:sz w:val="22"/>
          <w:szCs w:val="22"/>
        </w:rPr>
      </w:pPr>
      <w:r w:rsidRPr="001A3CC6">
        <w:rPr>
          <w:rFonts w:ascii="Open Sans" w:hAnsi="Open Sans" w:cs="Open Sans"/>
          <w:sz w:val="22"/>
          <w:szCs w:val="22"/>
        </w:rPr>
        <w:t>there is no basis under the FOI Act for agencies to start from the position that the classification level of a departmental officer determines whether his or her name would be reasonable to disclose.</w:t>
      </w:r>
    </w:p>
    <w:p w14:paraId="230DF7E7" w14:textId="454A263D" w:rsidR="00DB5341" w:rsidRPr="001A3CC6" w:rsidRDefault="00DB5341" w:rsidP="00185A1D">
      <w:pPr>
        <w:pStyle w:val="SubmissionNormal"/>
        <w:numPr>
          <w:ilvl w:val="0"/>
          <w:numId w:val="16"/>
        </w:numPr>
        <w:rPr>
          <w:rFonts w:ascii="Open Sans" w:hAnsi="Open Sans" w:cs="Open Sans"/>
          <w:sz w:val="22"/>
          <w:szCs w:val="22"/>
        </w:rPr>
      </w:pPr>
      <w:r w:rsidRPr="001A3CC6">
        <w:rPr>
          <w:rFonts w:ascii="Open Sans" w:hAnsi="Open Sans" w:cs="Open Sans"/>
          <w:sz w:val="22"/>
          <w:szCs w:val="22"/>
        </w:rPr>
        <w:t xml:space="preserve">a document may be exempt ‘for another reason’, for example, where disclosure would, or could reasonably be expected to endanger the life or physical safety of any person (s 37(1)(c)). </w:t>
      </w:r>
    </w:p>
    <w:p w14:paraId="580FE1A7" w14:textId="3FC5C23D" w:rsidR="00DB5341" w:rsidRPr="001A3CC6" w:rsidRDefault="00DB5341" w:rsidP="00185A1D">
      <w:pPr>
        <w:pStyle w:val="SubmissionNormal"/>
        <w:numPr>
          <w:ilvl w:val="0"/>
          <w:numId w:val="16"/>
        </w:numPr>
        <w:rPr>
          <w:rFonts w:ascii="Open Sans" w:hAnsi="Open Sans" w:cs="Open Sans"/>
          <w:sz w:val="22"/>
          <w:szCs w:val="22"/>
        </w:rPr>
      </w:pPr>
      <w:r w:rsidRPr="001A3CC6">
        <w:rPr>
          <w:rFonts w:ascii="Open Sans" w:hAnsi="Open Sans" w:cs="Open Sans"/>
          <w:sz w:val="22"/>
          <w:szCs w:val="22"/>
        </w:rPr>
        <w:lastRenderedPageBreak/>
        <w:t>where an individual has a propensity to pursue matters obsessively and there is no need for them to contact a particular public servant in the future, disclosure of the public servant’s name may be unreasonable.</w:t>
      </w:r>
      <w:r w:rsidRPr="001A3CC6">
        <w:rPr>
          <w:rStyle w:val="EndnoteReference"/>
          <w:rFonts w:ascii="Open Sans" w:hAnsi="Open Sans" w:cs="Open Sans"/>
          <w:sz w:val="22"/>
          <w:szCs w:val="22"/>
        </w:rPr>
        <w:endnoteReference w:id="6"/>
      </w:r>
      <w:r w:rsidRPr="001A3CC6">
        <w:rPr>
          <w:rFonts w:ascii="Open Sans" w:hAnsi="Open Sans" w:cs="Open Sans"/>
          <w:sz w:val="22"/>
          <w:szCs w:val="22"/>
        </w:rPr>
        <w:t xml:space="preserve">   </w:t>
      </w:r>
    </w:p>
    <w:p w14:paraId="5BEF8116" w14:textId="30E8A433" w:rsidR="00DB5341" w:rsidRPr="001A3CC6" w:rsidRDefault="00DB5341" w:rsidP="00851E41">
      <w:pPr>
        <w:pStyle w:val="SubmissionNormal"/>
        <w:tabs>
          <w:tab w:val="clear" w:pos="360"/>
          <w:tab w:val="num" w:pos="567"/>
        </w:tabs>
        <w:ind w:left="567" w:hanging="567"/>
        <w:rPr>
          <w:rFonts w:ascii="Open Sans" w:hAnsi="Open Sans" w:cs="Open Sans"/>
        </w:rPr>
      </w:pPr>
      <w:r w:rsidRPr="001A3CC6">
        <w:rPr>
          <w:rFonts w:ascii="Open Sans" w:hAnsi="Open Sans" w:cs="Open Sans"/>
        </w:rPr>
        <w:t xml:space="preserve">Understandably, the term ‘special circumstances’ is not defined exhaustively in the FOI Guidelines. By its nature, ‘special circumstances’ cannot be a closed category — it will depend on a context-specific analysis of the individual situation. However, the Commission considers that there is an opportunity for the OAIC to provide further guidance to FOI practitioners about what might constitute ‘special circumstances’ for the purposes of ascertaining when the disclosure of personal information of public servants will be ‘unreasonable’ under the s 47F conditional exemption. </w:t>
      </w:r>
    </w:p>
    <w:p w14:paraId="53EF7215" w14:textId="77EC28A3" w:rsidR="00DB5341" w:rsidRPr="001A3CC6" w:rsidRDefault="00DB5341" w:rsidP="00851E41">
      <w:pPr>
        <w:pStyle w:val="SubmissionNormal"/>
        <w:tabs>
          <w:tab w:val="clear" w:pos="360"/>
          <w:tab w:val="num" w:pos="567"/>
        </w:tabs>
        <w:ind w:left="567" w:hanging="567"/>
        <w:rPr>
          <w:rFonts w:ascii="Open Sans" w:hAnsi="Open Sans" w:cs="Open Sans"/>
        </w:rPr>
      </w:pPr>
      <w:r w:rsidRPr="001A3CC6">
        <w:rPr>
          <w:rFonts w:ascii="Open Sans" w:hAnsi="Open Sans" w:cs="Open Sans"/>
        </w:rPr>
        <w:t xml:space="preserve">In the Commission’s view, the evolution of digital technologies and social media has significantly changed the information landscape that public servants operate within and that ‘special circumstances’ and the ‘contrary to the public interest’ test need to be considered and understood within this context. </w:t>
      </w:r>
    </w:p>
    <w:p w14:paraId="7E2C687B" w14:textId="5EA6352C" w:rsidR="00DB5341" w:rsidRPr="007C1D82" w:rsidRDefault="00DB5341" w:rsidP="00182E4B">
      <w:pPr>
        <w:pStyle w:val="Heading2"/>
        <w:rPr>
          <w:rFonts w:ascii="Open Sans" w:hAnsi="Open Sans" w:cs="Open Sans"/>
          <w:i w:val="0"/>
          <w:iCs/>
        </w:rPr>
      </w:pPr>
      <w:bookmarkStart w:id="11" w:name="_Toc14870613"/>
      <w:r w:rsidRPr="007C1D82">
        <w:rPr>
          <w:rFonts w:ascii="Open Sans" w:hAnsi="Open Sans" w:cs="Open Sans"/>
          <w:i w:val="0"/>
          <w:iCs/>
        </w:rPr>
        <w:t>Junior public servants</w:t>
      </w:r>
      <w:bookmarkEnd w:id="11"/>
    </w:p>
    <w:p w14:paraId="3DD73C9B" w14:textId="1210FD79" w:rsidR="00DB5341" w:rsidRPr="001A3CC6" w:rsidRDefault="00DB5341" w:rsidP="001A1378">
      <w:pPr>
        <w:pStyle w:val="SubmissionNormal"/>
        <w:tabs>
          <w:tab w:val="clear" w:pos="360"/>
          <w:tab w:val="num" w:pos="567"/>
        </w:tabs>
        <w:ind w:left="567" w:hanging="567"/>
        <w:rPr>
          <w:rFonts w:ascii="Open Sans" w:hAnsi="Open Sans" w:cs="Open Sans"/>
        </w:rPr>
      </w:pPr>
      <w:r w:rsidRPr="001A3CC6">
        <w:rPr>
          <w:rFonts w:ascii="Open Sans" w:hAnsi="Open Sans" w:cs="Open Sans"/>
        </w:rPr>
        <w:t xml:space="preserve">The Commission accepts that the public has a legitimate interest in being able to ascertain the identity of public servants who make decisions that affect their rights and interests. This is an important part of a system of accountable and transparent government decision-making. However, the Commission submits that there is much less of a public interest in identifying junior public servants who lack the relevant authority to make decisions that affect such rights and interests. </w:t>
      </w:r>
    </w:p>
    <w:p w14:paraId="0FA3AE51" w14:textId="1DBB89CB" w:rsidR="00DB5341" w:rsidRPr="001A3CC6" w:rsidRDefault="00DB5341" w:rsidP="00313023">
      <w:pPr>
        <w:pStyle w:val="SubmissionNormal"/>
        <w:tabs>
          <w:tab w:val="clear" w:pos="360"/>
          <w:tab w:val="num" w:pos="567"/>
        </w:tabs>
        <w:ind w:left="567" w:hanging="567"/>
        <w:rPr>
          <w:rFonts w:ascii="Open Sans" w:hAnsi="Open Sans" w:cs="Open Sans"/>
        </w:rPr>
      </w:pPr>
      <w:r w:rsidRPr="001A3CC6">
        <w:rPr>
          <w:rFonts w:ascii="Open Sans" w:hAnsi="Open Sans" w:cs="Open Sans"/>
        </w:rPr>
        <w:t xml:space="preserve">Under the </w:t>
      </w:r>
      <w:r w:rsidRPr="001A3CC6">
        <w:rPr>
          <w:rFonts w:ascii="Open Sans" w:hAnsi="Open Sans" w:cs="Open Sans"/>
          <w:i/>
          <w:iCs/>
        </w:rPr>
        <w:t>Australian Human Rights Commission Act 1986</w:t>
      </w:r>
      <w:r w:rsidRPr="001A3CC6">
        <w:rPr>
          <w:rFonts w:ascii="Open Sans" w:hAnsi="Open Sans" w:cs="Open Sans"/>
        </w:rPr>
        <w:t xml:space="preserve"> (Cth) (AHRC Act), the Commission has the statutory function of inquiring into and attempting to conciliate complaints of unlawful discrimination under Commonwealth anti-discrimination statutes.</w:t>
      </w:r>
      <w:r w:rsidRPr="001A3CC6">
        <w:rPr>
          <w:rStyle w:val="EndnoteReference"/>
          <w:rFonts w:ascii="Open Sans" w:hAnsi="Open Sans" w:cs="Open Sans"/>
        </w:rPr>
        <w:endnoteReference w:id="7"/>
      </w:r>
      <w:r w:rsidRPr="001A3CC6">
        <w:rPr>
          <w:rFonts w:ascii="Open Sans" w:hAnsi="Open Sans" w:cs="Open Sans"/>
        </w:rPr>
        <w:t xml:space="preserve"> The AHRC Act also empowers the Commission to investigate and attempt to conciliate acts and practices done ‘by or on behalf of the Commonwealth’ said to be inconsistent with human rights recognised in certain international instruments,</w:t>
      </w:r>
      <w:r w:rsidRPr="008357C3">
        <w:rPr>
          <w:rStyle w:val="EndnoteReference"/>
          <w:rFonts w:ascii="Open Sans" w:hAnsi="Open Sans" w:cs="Open Sans"/>
        </w:rPr>
        <w:t xml:space="preserve"> </w:t>
      </w:r>
      <w:r w:rsidRPr="001A3CC6">
        <w:rPr>
          <w:rStyle w:val="EndnoteReference"/>
          <w:rFonts w:ascii="Open Sans" w:hAnsi="Open Sans" w:cs="Open Sans"/>
        </w:rPr>
        <w:endnoteReference w:id="8"/>
      </w:r>
      <w:r w:rsidRPr="001A3CC6">
        <w:rPr>
          <w:rFonts w:ascii="Open Sans" w:hAnsi="Open Sans" w:cs="Open Sans"/>
        </w:rPr>
        <w:t xml:space="preserve"> as well as complaints of discrimination in employment on a broad range of grounds, including social origin, nationality, religion, political opinion, trade union activity, criminal record and sexual orientation.</w:t>
      </w:r>
      <w:r w:rsidRPr="001A3CC6">
        <w:rPr>
          <w:rStyle w:val="EndnoteReference"/>
          <w:rFonts w:ascii="Open Sans" w:hAnsi="Open Sans" w:cs="Open Sans"/>
        </w:rPr>
        <w:endnoteReference w:id="9"/>
      </w:r>
      <w:r w:rsidRPr="001A3CC6">
        <w:rPr>
          <w:rFonts w:ascii="Open Sans" w:hAnsi="Open Sans" w:cs="Open Sans"/>
        </w:rPr>
        <w:t xml:space="preserve"> </w:t>
      </w:r>
    </w:p>
    <w:p w14:paraId="6F2FE93C" w14:textId="3826C887" w:rsidR="00DB5341" w:rsidRPr="001A3CC6" w:rsidRDefault="00DB5341" w:rsidP="00313023">
      <w:pPr>
        <w:pStyle w:val="SubmissionNormal"/>
        <w:tabs>
          <w:tab w:val="clear" w:pos="360"/>
          <w:tab w:val="num" w:pos="567"/>
        </w:tabs>
        <w:ind w:left="567" w:hanging="567"/>
        <w:rPr>
          <w:rFonts w:ascii="Open Sans" w:hAnsi="Open Sans" w:cs="Open Sans"/>
        </w:rPr>
      </w:pPr>
      <w:r w:rsidRPr="001A3CC6">
        <w:rPr>
          <w:rFonts w:ascii="Open Sans" w:hAnsi="Open Sans" w:cs="Open Sans"/>
        </w:rPr>
        <w:t xml:space="preserve">Under the AHRC Act, responsibility for the investigation and conciliation of complaints is vested in the President of the Australian Human Rights Commission. As permitted by the AHRC Act, the President has delegated the administration of the Investigation and Conciliation Service (ICS) to the Director and Deputy Director of the ICS — both senior public service roles. Consequently, it is usually these delegates of the President who make the significant decisions regarding the acceptance, handling, investigation, conciliation and termination of complaints by the Commission. </w:t>
      </w:r>
    </w:p>
    <w:p w14:paraId="142F345E" w14:textId="382820D2" w:rsidR="00DB5341" w:rsidRPr="001A3CC6" w:rsidRDefault="00DB5341" w:rsidP="00313023">
      <w:pPr>
        <w:pStyle w:val="SubmissionNormal"/>
        <w:tabs>
          <w:tab w:val="clear" w:pos="360"/>
          <w:tab w:val="num" w:pos="567"/>
        </w:tabs>
        <w:ind w:left="567" w:hanging="567"/>
        <w:rPr>
          <w:rFonts w:ascii="Open Sans" w:hAnsi="Open Sans" w:cs="Open Sans"/>
        </w:rPr>
      </w:pPr>
      <w:r w:rsidRPr="001A3CC6">
        <w:rPr>
          <w:rFonts w:ascii="Open Sans" w:hAnsi="Open Sans" w:cs="Open Sans"/>
        </w:rPr>
        <w:t>While delegates of the President make the decisions, the decisions are usually communicated by conciliators —</w:t>
      </w:r>
      <w:r>
        <w:rPr>
          <w:rFonts w:ascii="Open Sans" w:hAnsi="Open Sans" w:cs="Open Sans"/>
        </w:rPr>
        <w:t xml:space="preserve"> </w:t>
      </w:r>
      <w:r w:rsidRPr="001A3CC6">
        <w:rPr>
          <w:rFonts w:ascii="Open Sans" w:hAnsi="Open Sans" w:cs="Open Sans"/>
        </w:rPr>
        <w:t xml:space="preserve">typically more junior staff members who are responsible for the everyday carriage of complaints, including liaising directly with the parties. </w:t>
      </w:r>
    </w:p>
    <w:p w14:paraId="3B15609B" w14:textId="17433F6E" w:rsidR="00DB5341" w:rsidRPr="001A3CC6" w:rsidRDefault="00DB5341" w:rsidP="00313023">
      <w:pPr>
        <w:pStyle w:val="SubmissionNormal"/>
        <w:tabs>
          <w:tab w:val="clear" w:pos="360"/>
          <w:tab w:val="num" w:pos="567"/>
        </w:tabs>
        <w:ind w:left="567" w:hanging="567"/>
        <w:rPr>
          <w:rFonts w:ascii="Open Sans" w:hAnsi="Open Sans" w:cs="Open Sans"/>
        </w:rPr>
      </w:pPr>
      <w:r w:rsidRPr="001A3CC6">
        <w:rPr>
          <w:rFonts w:ascii="Open Sans" w:hAnsi="Open Sans" w:cs="Open Sans"/>
        </w:rPr>
        <w:t xml:space="preserve">Junior staff members are also often involved in implementing projects in the Policy section of the Commission which works closely with the Commission’s seven special-purpose Commissioners — the Race Discrimination Commissioner, the Human Rights Commissioner, the National Children’s Commissioner, the Sex Discrimination Commissioner, the Aboriginal and Torres Strait Islander Social Justice Commissioner, the Age Discrimination Commissioner and the Disability Discrimination Commissioner. </w:t>
      </w:r>
    </w:p>
    <w:p w14:paraId="6C034625" w14:textId="0E904460" w:rsidR="00DB5341" w:rsidRPr="001A3CC6" w:rsidRDefault="00DB5341" w:rsidP="00313023">
      <w:pPr>
        <w:pStyle w:val="SubmissionNormal"/>
        <w:tabs>
          <w:tab w:val="clear" w:pos="360"/>
          <w:tab w:val="num" w:pos="567"/>
        </w:tabs>
        <w:ind w:left="567" w:hanging="567"/>
        <w:rPr>
          <w:rFonts w:ascii="Open Sans" w:hAnsi="Open Sans" w:cs="Open Sans"/>
        </w:rPr>
      </w:pPr>
      <w:r w:rsidRPr="001A3CC6">
        <w:rPr>
          <w:rFonts w:ascii="Open Sans" w:hAnsi="Open Sans" w:cs="Open Sans"/>
        </w:rPr>
        <w:t xml:space="preserve">The Commission is often called upon to make finely balanced decisions about issues that are the subject of impassioned societal debate. Recent discussions about racial vilification, freedom of speech, freedom of religion and LGBTI equality rights are good cases in point. </w:t>
      </w:r>
    </w:p>
    <w:p w14:paraId="086101FD" w14:textId="767FDC65" w:rsidR="00DB5341" w:rsidRDefault="00DB5341" w:rsidP="00313023">
      <w:pPr>
        <w:pStyle w:val="SubmissionNormal"/>
        <w:tabs>
          <w:tab w:val="clear" w:pos="360"/>
          <w:tab w:val="num" w:pos="567"/>
        </w:tabs>
        <w:ind w:left="567" w:hanging="567"/>
        <w:rPr>
          <w:rFonts w:ascii="Open Sans" w:hAnsi="Open Sans" w:cs="Open Sans"/>
        </w:rPr>
      </w:pPr>
      <w:r w:rsidRPr="001A3CC6">
        <w:rPr>
          <w:rFonts w:ascii="Open Sans" w:hAnsi="Open Sans" w:cs="Open Sans"/>
        </w:rPr>
        <w:t xml:space="preserve">Decisions of the Commission are rightly scrutinised by the media and the general public and can involve — or attract comment from — high-profile figures within the Australian community. While most commentary about the Commission is responsible, some is not. In some cases, anger about a Commission decision, a complaint, or its outcome, is translated into aggressive and abusive behaviour towards the agency and its staff. The effect of this abuse is often magnified by digital technologies and social media. </w:t>
      </w:r>
    </w:p>
    <w:p w14:paraId="2237132B" w14:textId="3184CFD1" w:rsidR="00DB5341" w:rsidRPr="001A3CC6" w:rsidRDefault="00DB5341" w:rsidP="00313023">
      <w:pPr>
        <w:pStyle w:val="SubmissionNormal"/>
        <w:tabs>
          <w:tab w:val="clear" w:pos="360"/>
          <w:tab w:val="num" w:pos="567"/>
        </w:tabs>
        <w:ind w:left="567" w:hanging="567"/>
        <w:rPr>
          <w:rFonts w:ascii="Open Sans" w:hAnsi="Open Sans" w:cs="Open Sans"/>
        </w:rPr>
      </w:pPr>
      <w:r>
        <w:rPr>
          <w:rFonts w:ascii="Open Sans" w:hAnsi="Open Sans" w:cs="Open Sans"/>
        </w:rPr>
        <w:t>In the Commission’s view, the range of risks faced by public servants in the online environment are not adequately captured by the reference in the FOI Guidelines to risks to the ‘life or physical safety’ of a person.</w:t>
      </w:r>
      <w:r>
        <w:rPr>
          <w:rStyle w:val="EndnoteReference"/>
          <w:rFonts w:cs="Open Sans"/>
        </w:rPr>
        <w:endnoteReference w:id="10"/>
      </w:r>
      <w:r>
        <w:rPr>
          <w:rFonts w:ascii="Open Sans" w:hAnsi="Open Sans" w:cs="Open Sans"/>
        </w:rPr>
        <w:t xml:space="preserve"> </w:t>
      </w:r>
    </w:p>
    <w:p w14:paraId="137D5354" w14:textId="740EE85E" w:rsidR="00DB5341" w:rsidRPr="001A3CC6" w:rsidRDefault="00DB5341" w:rsidP="00B57BD5">
      <w:pPr>
        <w:pStyle w:val="SubmissionNormal"/>
        <w:tabs>
          <w:tab w:val="clear" w:pos="360"/>
          <w:tab w:val="num" w:pos="567"/>
        </w:tabs>
        <w:ind w:left="567" w:hanging="567"/>
        <w:rPr>
          <w:rFonts w:ascii="Open Sans" w:hAnsi="Open Sans" w:cs="Open Sans"/>
        </w:rPr>
      </w:pPr>
      <w:r w:rsidRPr="001A3CC6">
        <w:rPr>
          <w:rFonts w:ascii="Open Sans" w:hAnsi="Open Sans" w:cs="Open Sans"/>
        </w:rPr>
        <w:t xml:space="preserve">In 2018, the Australian Public Service Commission produced a policy framework for managing the </w:t>
      </w:r>
      <w:r w:rsidRPr="001A3CC6">
        <w:rPr>
          <w:rFonts w:ascii="Open Sans" w:hAnsi="Open Sans" w:cs="Open Sans"/>
          <w:spacing w:val="4"/>
          <w:lang w:val="en"/>
        </w:rPr>
        <w:t>cyber-bullying of APS employees by members of the public.</w:t>
      </w:r>
      <w:r w:rsidRPr="001A3CC6">
        <w:rPr>
          <w:rStyle w:val="EndnoteReference"/>
          <w:rFonts w:ascii="Open Sans" w:hAnsi="Open Sans" w:cs="Open Sans"/>
          <w:spacing w:val="4"/>
          <w:lang w:val="en"/>
        </w:rPr>
        <w:endnoteReference w:id="11"/>
      </w:r>
      <w:r w:rsidRPr="001A3CC6">
        <w:rPr>
          <w:rFonts w:ascii="Open Sans" w:hAnsi="Open Sans" w:cs="Open Sans"/>
          <w:spacing w:val="4"/>
          <w:lang w:val="en"/>
        </w:rPr>
        <w:t xml:space="preserve"> This framework recognises that cyber-bullying can be difficult to deal with </w:t>
      </w:r>
      <w:r w:rsidRPr="001A3CC6">
        <w:rPr>
          <w:rFonts w:ascii="Open Sans" w:hAnsi="Open Sans" w:cs="Open Sans"/>
        </w:rPr>
        <w:t>because it is distinct from other kinds of bullying in several key ways. In particular:</w:t>
      </w:r>
    </w:p>
    <w:p w14:paraId="49F26E72" w14:textId="77777777" w:rsidR="00DB5341" w:rsidRPr="001A3CC6" w:rsidRDefault="00DB5341" w:rsidP="00185A1D">
      <w:pPr>
        <w:pStyle w:val="SubmissionNormal"/>
        <w:numPr>
          <w:ilvl w:val="0"/>
          <w:numId w:val="17"/>
        </w:numPr>
        <w:rPr>
          <w:rFonts w:ascii="Open Sans" w:hAnsi="Open Sans" w:cs="Open Sans"/>
          <w:sz w:val="22"/>
          <w:szCs w:val="22"/>
        </w:rPr>
      </w:pPr>
      <w:r w:rsidRPr="001A3CC6">
        <w:rPr>
          <w:rFonts w:ascii="Open Sans" w:hAnsi="Open Sans" w:cs="Open Sans"/>
          <w:sz w:val="22"/>
          <w:szCs w:val="22"/>
        </w:rPr>
        <w:t>it allows a potentially global audience to view or participate</w:t>
      </w:r>
    </w:p>
    <w:p w14:paraId="7483D657" w14:textId="77777777" w:rsidR="00DB5341" w:rsidRPr="001A3CC6" w:rsidRDefault="00DB5341" w:rsidP="00185A1D">
      <w:pPr>
        <w:pStyle w:val="SubmissionNormal"/>
        <w:numPr>
          <w:ilvl w:val="0"/>
          <w:numId w:val="17"/>
        </w:numPr>
        <w:rPr>
          <w:rFonts w:ascii="Open Sans" w:hAnsi="Open Sans" w:cs="Open Sans"/>
          <w:sz w:val="22"/>
          <w:szCs w:val="22"/>
        </w:rPr>
      </w:pPr>
      <w:r w:rsidRPr="001A3CC6">
        <w:rPr>
          <w:rFonts w:ascii="Open Sans" w:hAnsi="Open Sans" w:cs="Open Sans"/>
          <w:sz w:val="22"/>
          <w:szCs w:val="22"/>
        </w:rPr>
        <w:t>it is often anonymous, making it hard to hold perpetrators to account</w:t>
      </w:r>
    </w:p>
    <w:p w14:paraId="00C2BA06" w14:textId="77777777" w:rsidR="00DB5341" w:rsidRPr="001A3CC6" w:rsidRDefault="00DB5341" w:rsidP="00185A1D">
      <w:pPr>
        <w:pStyle w:val="SubmissionNormal"/>
        <w:numPr>
          <w:ilvl w:val="0"/>
          <w:numId w:val="17"/>
        </w:numPr>
        <w:rPr>
          <w:rFonts w:ascii="Open Sans" w:hAnsi="Open Sans" w:cs="Open Sans"/>
          <w:sz w:val="22"/>
          <w:szCs w:val="22"/>
        </w:rPr>
      </w:pPr>
      <w:r w:rsidRPr="001A3CC6">
        <w:rPr>
          <w:rFonts w:ascii="Open Sans" w:hAnsi="Open Sans" w:cs="Open Sans"/>
          <w:sz w:val="22"/>
          <w:szCs w:val="22"/>
        </w:rPr>
        <w:t>it can take place at any time of the day, seven days a week</w:t>
      </w:r>
    </w:p>
    <w:p w14:paraId="496739BE" w14:textId="77777777" w:rsidR="00DB5341" w:rsidRPr="00FA13D2" w:rsidRDefault="00DB5341" w:rsidP="00185A1D">
      <w:pPr>
        <w:pStyle w:val="SubmissionNormal"/>
        <w:numPr>
          <w:ilvl w:val="0"/>
          <w:numId w:val="17"/>
        </w:numPr>
        <w:rPr>
          <w:rFonts w:ascii="Open Sans" w:hAnsi="Open Sans" w:cs="Open Sans"/>
          <w:sz w:val="22"/>
          <w:szCs w:val="22"/>
        </w:rPr>
      </w:pPr>
      <w:r w:rsidRPr="001A3CC6">
        <w:rPr>
          <w:rFonts w:ascii="Open Sans" w:hAnsi="Open Sans" w:cs="Open Sans"/>
          <w:sz w:val="22"/>
          <w:szCs w:val="22"/>
        </w:rPr>
        <w:t xml:space="preserve">it has a degree of permanence, as information put online can be difficult to </w:t>
      </w:r>
      <w:r w:rsidRPr="00FA13D2">
        <w:rPr>
          <w:rFonts w:ascii="Open Sans" w:hAnsi="Open Sans" w:cs="Open Sans"/>
          <w:sz w:val="22"/>
          <w:szCs w:val="22"/>
        </w:rPr>
        <w:t>remove and may be recorded and archived</w:t>
      </w:r>
    </w:p>
    <w:p w14:paraId="181F0565" w14:textId="77777777" w:rsidR="00DB5341" w:rsidRPr="00FA13D2" w:rsidRDefault="00DB5341" w:rsidP="00185A1D">
      <w:pPr>
        <w:pStyle w:val="SubmissionNormal"/>
        <w:numPr>
          <w:ilvl w:val="0"/>
          <w:numId w:val="17"/>
        </w:numPr>
        <w:rPr>
          <w:rFonts w:ascii="Open Sans" w:hAnsi="Open Sans" w:cs="Open Sans"/>
          <w:sz w:val="22"/>
          <w:szCs w:val="22"/>
        </w:rPr>
      </w:pPr>
      <w:r w:rsidRPr="00FA13D2">
        <w:rPr>
          <w:rFonts w:ascii="Open Sans" w:hAnsi="Open Sans" w:cs="Open Sans"/>
          <w:sz w:val="22"/>
          <w:szCs w:val="22"/>
        </w:rPr>
        <w:t>it may be difficult to escape from, given the pervasiveness of the need to be always 'connected'</w:t>
      </w:r>
    </w:p>
    <w:p w14:paraId="11CC3E6C" w14:textId="4F9BDFB4" w:rsidR="00DB5341" w:rsidRPr="00FA13D2" w:rsidRDefault="00DB5341" w:rsidP="00185A1D">
      <w:pPr>
        <w:pStyle w:val="SubmissionNormal"/>
        <w:numPr>
          <w:ilvl w:val="0"/>
          <w:numId w:val="17"/>
        </w:numPr>
        <w:rPr>
          <w:rFonts w:ascii="Open Sans" w:hAnsi="Open Sans" w:cs="Open Sans"/>
          <w:sz w:val="22"/>
          <w:szCs w:val="22"/>
        </w:rPr>
      </w:pPr>
      <w:r w:rsidRPr="00FA13D2">
        <w:rPr>
          <w:rFonts w:ascii="Open Sans" w:hAnsi="Open Sans" w:cs="Open Sans"/>
          <w:sz w:val="22"/>
          <w:szCs w:val="22"/>
        </w:rPr>
        <w:t>content can be duplicated easily and is often searchable.</w:t>
      </w:r>
      <w:r w:rsidRPr="00FA13D2">
        <w:rPr>
          <w:rStyle w:val="EndnoteReference"/>
          <w:rFonts w:ascii="Open Sans" w:hAnsi="Open Sans" w:cs="Open Sans"/>
          <w:szCs w:val="22"/>
        </w:rPr>
        <w:endnoteReference w:id="12"/>
      </w:r>
    </w:p>
    <w:p w14:paraId="3A814FE6" w14:textId="3D1F91A9" w:rsidR="00DB5341" w:rsidRPr="00C1689F" w:rsidRDefault="00DB5341" w:rsidP="00C1689F">
      <w:pPr>
        <w:pStyle w:val="SubmissionNormal"/>
        <w:tabs>
          <w:tab w:val="clear" w:pos="360"/>
          <w:tab w:val="num" w:pos="567"/>
        </w:tabs>
        <w:ind w:left="567" w:hanging="567"/>
        <w:rPr>
          <w:rFonts w:ascii="Open Sans" w:hAnsi="Open Sans" w:cs="Open Sans"/>
        </w:rPr>
      </w:pPr>
      <w:r w:rsidRPr="00C1689F">
        <w:rPr>
          <w:rFonts w:ascii="Open Sans" w:hAnsi="Open Sans" w:cs="Open Sans"/>
        </w:rPr>
        <w:t xml:space="preserve">Frontline Commission staff </w:t>
      </w:r>
      <w:r>
        <w:rPr>
          <w:rFonts w:ascii="Open Sans" w:hAnsi="Open Sans" w:cs="Open Sans"/>
        </w:rPr>
        <w:t xml:space="preserve">can experience </w:t>
      </w:r>
      <w:r w:rsidRPr="00C1689F">
        <w:rPr>
          <w:rFonts w:ascii="Open Sans" w:hAnsi="Open Sans" w:cs="Open Sans"/>
        </w:rPr>
        <w:t xml:space="preserve">bullying and harassment by aggrieved members of the public in the course of their work. This includes junior staff who answer telephone, email or in-person inquiries </w:t>
      </w:r>
      <w:r>
        <w:rPr>
          <w:rFonts w:ascii="Open Sans" w:hAnsi="Open Sans" w:cs="Open Sans"/>
        </w:rPr>
        <w:t xml:space="preserve">from the public </w:t>
      </w:r>
      <w:r w:rsidRPr="00C1689F">
        <w:rPr>
          <w:rFonts w:ascii="Open Sans" w:hAnsi="Open Sans" w:cs="Open Sans"/>
        </w:rPr>
        <w:t>through the Commission’s National Information Service (NIS), or who have otherwise received inappropriate email or other communications. Further public dissemination of the contact details of junior staff may increase this risk.</w:t>
      </w:r>
      <w:r>
        <w:rPr>
          <w:rFonts w:ascii="Open Sans" w:hAnsi="Open Sans" w:cs="Open Sans"/>
        </w:rPr>
        <w:t xml:space="preserve"> </w:t>
      </w:r>
      <w:r w:rsidRPr="00C1689F">
        <w:rPr>
          <w:rFonts w:ascii="Open Sans" w:hAnsi="Open Sans" w:cs="Open Sans"/>
        </w:rPr>
        <w:t xml:space="preserve">The potential impact of </w:t>
      </w:r>
      <w:r>
        <w:rPr>
          <w:rFonts w:ascii="Open Sans" w:hAnsi="Open Sans" w:cs="Open Sans"/>
        </w:rPr>
        <w:t xml:space="preserve">harassment, </w:t>
      </w:r>
      <w:r w:rsidRPr="00C1689F">
        <w:rPr>
          <w:rFonts w:ascii="Open Sans" w:hAnsi="Open Sans" w:cs="Open Sans"/>
        </w:rPr>
        <w:t xml:space="preserve">cyber-bullying and inappropriate online conduct on the health of its employees is something that the Commission takes very seriously — as it is required to do under </w:t>
      </w:r>
      <w:r w:rsidRPr="00C1689F">
        <w:rPr>
          <w:rFonts w:ascii="Open Sans" w:hAnsi="Open Sans" w:cs="Open Sans"/>
          <w:i/>
          <w:iCs/>
        </w:rPr>
        <w:t>Work Heath and Safety Act 2011</w:t>
      </w:r>
      <w:r w:rsidRPr="00C1689F">
        <w:rPr>
          <w:rFonts w:ascii="Open Sans" w:hAnsi="Open Sans" w:cs="Open Sans"/>
        </w:rPr>
        <w:t xml:space="preserve"> (Cth).</w:t>
      </w:r>
    </w:p>
    <w:p w14:paraId="7745ABE2" w14:textId="4A40FEF1" w:rsidR="00DB5341" w:rsidRPr="001A3CC6" w:rsidRDefault="00DB5341" w:rsidP="00094DE8">
      <w:pPr>
        <w:pStyle w:val="SubmissionNormal"/>
        <w:tabs>
          <w:tab w:val="clear" w:pos="360"/>
          <w:tab w:val="num" w:pos="567"/>
        </w:tabs>
        <w:ind w:left="567" w:hanging="567"/>
        <w:rPr>
          <w:rFonts w:ascii="Open Sans" w:hAnsi="Open Sans" w:cs="Open Sans"/>
        </w:rPr>
      </w:pPr>
      <w:r w:rsidRPr="001A3CC6">
        <w:rPr>
          <w:rFonts w:ascii="Open Sans" w:hAnsi="Open Sans" w:cs="Open Sans"/>
        </w:rPr>
        <w:t xml:space="preserve">The advent and ubiquity of social media can </w:t>
      </w:r>
      <w:r>
        <w:rPr>
          <w:rFonts w:ascii="Open Sans" w:hAnsi="Open Sans" w:cs="Open Sans"/>
        </w:rPr>
        <w:t xml:space="preserve">also </w:t>
      </w:r>
      <w:r w:rsidRPr="001A3CC6">
        <w:rPr>
          <w:rFonts w:ascii="Open Sans" w:hAnsi="Open Sans" w:cs="Open Sans"/>
        </w:rPr>
        <w:t xml:space="preserve">blur the boundaries between employees ‘performing their public duties’ and their private lives. For example, the identity of a public servant associated with a particular matter may become known by way of an FOI request, reported </w:t>
      </w:r>
      <w:r>
        <w:rPr>
          <w:rFonts w:ascii="Open Sans" w:hAnsi="Open Sans" w:cs="Open Sans"/>
        </w:rPr>
        <w:t xml:space="preserve">in the media, </w:t>
      </w:r>
      <w:r w:rsidRPr="001A3CC6">
        <w:rPr>
          <w:rFonts w:ascii="Open Sans" w:hAnsi="Open Sans" w:cs="Open Sans"/>
        </w:rPr>
        <w:t>and then that employee may be inappropriately targeted and harassed on their p</w:t>
      </w:r>
      <w:r>
        <w:rPr>
          <w:rFonts w:ascii="Open Sans" w:hAnsi="Open Sans" w:cs="Open Sans"/>
        </w:rPr>
        <w:t>ersonal</w:t>
      </w:r>
      <w:r w:rsidRPr="001A3CC6">
        <w:rPr>
          <w:rFonts w:ascii="Open Sans" w:hAnsi="Open Sans" w:cs="Open Sans"/>
        </w:rPr>
        <w:t xml:space="preserve"> social media accounts</w:t>
      </w:r>
      <w:r>
        <w:rPr>
          <w:rFonts w:ascii="Open Sans" w:hAnsi="Open Sans" w:cs="Open Sans"/>
        </w:rPr>
        <w:t xml:space="preserve"> where they are identified by their real name. </w:t>
      </w:r>
    </w:p>
    <w:p w14:paraId="550E8A95" w14:textId="267E8947" w:rsidR="00DB5341" w:rsidRPr="001A3CC6" w:rsidRDefault="00DB5341" w:rsidP="00094DE8">
      <w:pPr>
        <w:pStyle w:val="SubmissionNormal"/>
        <w:tabs>
          <w:tab w:val="clear" w:pos="360"/>
          <w:tab w:val="num" w:pos="567"/>
        </w:tabs>
        <w:ind w:left="567" w:hanging="567"/>
        <w:rPr>
          <w:rFonts w:ascii="Open Sans" w:hAnsi="Open Sans" w:cs="Open Sans"/>
        </w:rPr>
      </w:pPr>
      <w:r w:rsidRPr="001A3CC6">
        <w:rPr>
          <w:rFonts w:ascii="Open Sans" w:hAnsi="Open Sans" w:cs="Open Sans"/>
        </w:rPr>
        <w:t xml:space="preserve">Social media is now a principal way in which many people engage with the world. It plays an important and valuable role in the lives of numerous Australians — particularly the younger cohort of ‘digital natives’ (now adults) who have never known a world without social media. For some of these people, requiring them to change decades-old social media profiles or interact under a pseudonym, is a considerable imposition. </w:t>
      </w:r>
    </w:p>
    <w:p w14:paraId="3A32DF61" w14:textId="4CECEFC0" w:rsidR="00DB5341" w:rsidRPr="001A3CC6" w:rsidRDefault="00DB5341" w:rsidP="00313023">
      <w:pPr>
        <w:pStyle w:val="SubmissionNormal"/>
        <w:tabs>
          <w:tab w:val="clear" w:pos="360"/>
          <w:tab w:val="num" w:pos="567"/>
        </w:tabs>
        <w:ind w:left="567" w:hanging="567"/>
        <w:rPr>
          <w:rFonts w:ascii="Open Sans" w:hAnsi="Open Sans" w:cs="Open Sans"/>
        </w:rPr>
      </w:pPr>
      <w:r w:rsidRPr="001A3CC6">
        <w:rPr>
          <w:rFonts w:ascii="Open Sans" w:hAnsi="Open Sans" w:cs="Open Sans"/>
        </w:rPr>
        <w:t xml:space="preserve">Statutory officeholders and senior public servants occupy </w:t>
      </w:r>
      <w:r>
        <w:rPr>
          <w:rFonts w:ascii="Open Sans" w:hAnsi="Open Sans" w:cs="Open Sans"/>
        </w:rPr>
        <w:t xml:space="preserve">significant </w:t>
      </w:r>
      <w:r w:rsidRPr="001A3CC6">
        <w:rPr>
          <w:rFonts w:ascii="Open Sans" w:hAnsi="Open Sans" w:cs="Open Sans"/>
        </w:rPr>
        <w:t xml:space="preserve">positions of trust and privilege within the Australian community. Their roles often </w:t>
      </w:r>
      <w:r>
        <w:rPr>
          <w:rFonts w:ascii="Open Sans" w:hAnsi="Open Sans" w:cs="Open Sans"/>
        </w:rPr>
        <w:t xml:space="preserve">include </w:t>
      </w:r>
      <w:r w:rsidRPr="001A3CC6">
        <w:rPr>
          <w:rFonts w:ascii="Open Sans" w:hAnsi="Open Sans" w:cs="Open Sans"/>
        </w:rPr>
        <w:t>the legal authority to make decisions that directly affect the rights and interests of other members of the community. These roles carry significant responsibilities, as well as influence</w:t>
      </w:r>
      <w:r>
        <w:rPr>
          <w:rFonts w:ascii="Open Sans" w:hAnsi="Open Sans" w:cs="Open Sans"/>
        </w:rPr>
        <w:t xml:space="preserve">. The </w:t>
      </w:r>
      <w:r w:rsidRPr="001A3CC6">
        <w:rPr>
          <w:rFonts w:ascii="Open Sans" w:hAnsi="Open Sans" w:cs="Open Sans"/>
        </w:rPr>
        <w:t xml:space="preserve">Commission considers that it is appropriate for senior members of the Australian Public Service </w:t>
      </w:r>
      <w:r>
        <w:rPr>
          <w:rFonts w:ascii="Open Sans" w:hAnsi="Open Sans" w:cs="Open Sans"/>
        </w:rPr>
        <w:t xml:space="preserve">(APS) </w:t>
      </w:r>
      <w:r w:rsidRPr="001A3CC6">
        <w:rPr>
          <w:rFonts w:ascii="Open Sans" w:hAnsi="Open Sans" w:cs="Open Sans"/>
        </w:rPr>
        <w:t xml:space="preserve">to bear public scrutiny for their decisions or the decisions of an agency in which they occupy a senior role. </w:t>
      </w:r>
    </w:p>
    <w:p w14:paraId="18085959" w14:textId="56F83080" w:rsidR="00DB5341" w:rsidRPr="00770298" w:rsidRDefault="00DB5341" w:rsidP="00770298">
      <w:pPr>
        <w:pStyle w:val="SubmissionNormal"/>
        <w:tabs>
          <w:tab w:val="clear" w:pos="360"/>
          <w:tab w:val="num" w:pos="567"/>
        </w:tabs>
        <w:ind w:left="567" w:hanging="567"/>
        <w:rPr>
          <w:rFonts w:ascii="Open Sans" w:hAnsi="Open Sans" w:cs="Open Sans"/>
        </w:rPr>
      </w:pPr>
      <w:r w:rsidRPr="001A3CC6">
        <w:rPr>
          <w:rFonts w:ascii="Open Sans" w:hAnsi="Open Sans" w:cs="Open Sans"/>
        </w:rPr>
        <w:t>Junior public servants, however, are often required to implement directions and communicate, or give effect to, decisions that are not their own. Their behaviour, both inside and outside of work, is regulated by the APS Code of Conduct.</w:t>
      </w:r>
      <w:r w:rsidRPr="001A3CC6">
        <w:rPr>
          <w:rStyle w:val="EndnoteReference"/>
          <w:rFonts w:ascii="Open Sans" w:hAnsi="Open Sans" w:cs="Open Sans"/>
        </w:rPr>
        <w:endnoteReference w:id="13"/>
      </w:r>
      <w:r w:rsidRPr="001A3CC6">
        <w:rPr>
          <w:rFonts w:ascii="Open Sans" w:hAnsi="Open Sans" w:cs="Open Sans"/>
        </w:rPr>
        <w:t xml:space="preserve"> The APS Code of Conduct requires an APS employee to comply with ‘any lawful and reasonable direction given by someone in the employee's Agency who has authority to give the direction’.</w:t>
      </w:r>
      <w:r w:rsidRPr="001A3CC6">
        <w:rPr>
          <w:rStyle w:val="EndnoteReference"/>
          <w:rFonts w:ascii="Open Sans" w:hAnsi="Open Sans" w:cs="Open Sans"/>
        </w:rPr>
        <w:endnoteReference w:id="14"/>
      </w:r>
      <w:r w:rsidRPr="001A3CC6">
        <w:rPr>
          <w:rFonts w:ascii="Open Sans" w:hAnsi="Open Sans" w:cs="Open Sans"/>
        </w:rPr>
        <w:t xml:space="preserve"> This would often include a more senior member of the agency. </w:t>
      </w:r>
      <w:r>
        <w:rPr>
          <w:rFonts w:ascii="Open Sans" w:hAnsi="Open Sans" w:cs="Open Sans"/>
        </w:rPr>
        <w:t xml:space="preserve">There is significantly less public interest in disclosing the identity of a public servant who communicates a decision in respect of which they were not the decision-maker. </w:t>
      </w:r>
    </w:p>
    <w:p w14:paraId="3312B55D" w14:textId="33C8E9AC" w:rsidR="00DB5341" w:rsidRPr="001A3CC6" w:rsidRDefault="00DB5341" w:rsidP="006C6E60">
      <w:pPr>
        <w:pStyle w:val="SubmissionNormal"/>
        <w:tabs>
          <w:tab w:val="clear" w:pos="360"/>
          <w:tab w:val="num" w:pos="567"/>
        </w:tabs>
        <w:ind w:left="567" w:hanging="567"/>
        <w:rPr>
          <w:rFonts w:ascii="Open Sans" w:hAnsi="Open Sans" w:cs="Open Sans"/>
        </w:rPr>
      </w:pPr>
      <w:r w:rsidRPr="001A3CC6">
        <w:rPr>
          <w:rFonts w:ascii="Open Sans" w:hAnsi="Open Sans" w:cs="Open Sans"/>
        </w:rPr>
        <w:t>Junior APS employees are also more likely to be younger, at the earlier stages of their careers, on temporary work contracts and without the experience and social capital of older colleagues. They may be limited in their ability to respond publicly to personal attacks made in relation to their following of directions because of public service regulations relating to the disclosure of information,</w:t>
      </w:r>
      <w:r w:rsidRPr="00770298">
        <w:rPr>
          <w:rStyle w:val="EndnoteReference"/>
          <w:rFonts w:ascii="Open Sans" w:hAnsi="Open Sans" w:cs="Open Sans"/>
        </w:rPr>
        <w:t xml:space="preserve"> </w:t>
      </w:r>
      <w:r w:rsidRPr="001A3CC6">
        <w:rPr>
          <w:rStyle w:val="EndnoteReference"/>
          <w:rFonts w:ascii="Open Sans" w:hAnsi="Open Sans" w:cs="Open Sans"/>
        </w:rPr>
        <w:endnoteReference w:id="15"/>
      </w:r>
      <w:r w:rsidRPr="001A3CC6">
        <w:rPr>
          <w:rFonts w:ascii="Open Sans" w:hAnsi="Open Sans" w:cs="Open Sans"/>
        </w:rPr>
        <w:t xml:space="preserve"> as well as limitations in the APS Code of Conduct. The APS Code of Conduct requires public servants to adhere to high standards of conduct in their dealings with the public — including in circumstances where members of the general public behave badly.</w:t>
      </w:r>
      <w:r w:rsidRPr="001A3CC6">
        <w:rPr>
          <w:rStyle w:val="EndnoteReference"/>
          <w:rFonts w:ascii="Open Sans" w:hAnsi="Open Sans" w:cs="Open Sans"/>
        </w:rPr>
        <w:endnoteReference w:id="16"/>
      </w:r>
      <w:r w:rsidRPr="001A3CC6">
        <w:rPr>
          <w:rFonts w:ascii="Open Sans" w:hAnsi="Open Sans" w:cs="Open Sans"/>
        </w:rPr>
        <w:t xml:space="preserve"> Dealing with members of the public who are aggressive, critical and abusive can be stressful for APS employees, in particular for less experienced workers. </w:t>
      </w:r>
    </w:p>
    <w:p w14:paraId="348D5468" w14:textId="4CC98C71" w:rsidR="00DB5341" w:rsidRPr="001A3CC6" w:rsidRDefault="00DB5341" w:rsidP="00755B09">
      <w:pPr>
        <w:pStyle w:val="SubmissionNormal"/>
        <w:tabs>
          <w:tab w:val="clear" w:pos="360"/>
          <w:tab w:val="num" w:pos="567"/>
        </w:tabs>
        <w:ind w:left="567" w:hanging="567"/>
        <w:rPr>
          <w:rFonts w:ascii="Open Sans" w:hAnsi="Open Sans" w:cs="Open Sans"/>
        </w:rPr>
      </w:pPr>
      <w:r w:rsidRPr="001A3CC6">
        <w:rPr>
          <w:rFonts w:ascii="Open Sans" w:hAnsi="Open Sans" w:cs="Open Sans"/>
        </w:rPr>
        <w:t>The Commission does not consider that it will always be unreasonable to disclose the names of junior staff in FOI requests. Within the Commission, there is a variety of attitudes among staff about the disclosure of their names through FOI. Nor does the Commission consider that there is, or should be, a blanket level at which all junior public servants names and contact details will be exempt from disclosure. This will need to be decided on a</w:t>
      </w:r>
      <w:r w:rsidR="00961D67">
        <w:rPr>
          <w:rFonts w:ascii="Open Sans" w:hAnsi="Open Sans" w:cs="Open Sans"/>
        </w:rPr>
        <w:t xml:space="preserve">n individual </w:t>
      </w:r>
      <w:r w:rsidRPr="001A3CC6">
        <w:rPr>
          <w:rFonts w:ascii="Open Sans" w:hAnsi="Open Sans" w:cs="Open Sans"/>
        </w:rPr>
        <w:t>basis through consideration of the role and</w:t>
      </w:r>
      <w:r w:rsidR="00961D67">
        <w:rPr>
          <w:rFonts w:ascii="Open Sans" w:hAnsi="Open Sans" w:cs="Open Sans"/>
        </w:rPr>
        <w:t xml:space="preserve"> its</w:t>
      </w:r>
      <w:r w:rsidRPr="001A3CC6">
        <w:rPr>
          <w:rFonts w:ascii="Open Sans" w:hAnsi="Open Sans" w:cs="Open Sans"/>
        </w:rPr>
        <w:t xml:space="preserve"> responsibilities</w:t>
      </w:r>
      <w:r w:rsidR="00961D67">
        <w:rPr>
          <w:rFonts w:ascii="Open Sans" w:hAnsi="Open Sans" w:cs="Open Sans"/>
        </w:rPr>
        <w:t xml:space="preserve">, as well as </w:t>
      </w:r>
      <w:r w:rsidRPr="001A3CC6">
        <w:rPr>
          <w:rFonts w:ascii="Open Sans" w:hAnsi="Open Sans" w:cs="Open Sans"/>
        </w:rPr>
        <w:t xml:space="preserve">the nature of the information itself. </w:t>
      </w:r>
    </w:p>
    <w:p w14:paraId="67F317EA" w14:textId="0168C374" w:rsidR="00DB5341" w:rsidRDefault="00DB5341" w:rsidP="00C872DE">
      <w:pPr>
        <w:pStyle w:val="SubmissionNormal"/>
        <w:tabs>
          <w:tab w:val="clear" w:pos="360"/>
          <w:tab w:val="num" w:pos="567"/>
        </w:tabs>
        <w:ind w:left="567" w:hanging="567"/>
        <w:rPr>
          <w:rFonts w:ascii="Open Sans" w:hAnsi="Open Sans" w:cs="Open Sans"/>
        </w:rPr>
      </w:pPr>
      <w:r w:rsidRPr="001A3CC6">
        <w:rPr>
          <w:rFonts w:ascii="Open Sans" w:hAnsi="Open Sans" w:cs="Open Sans"/>
        </w:rPr>
        <w:t>However, when an FOI request would identify a junior member of staff with limited decision-making authority — in circumstances where it is reasonably foreseeable that a matter may attract public attention and the particular staff member o</w:t>
      </w:r>
      <w:r>
        <w:rPr>
          <w:rFonts w:ascii="Open Sans" w:hAnsi="Open Sans" w:cs="Open Sans"/>
        </w:rPr>
        <w:t xml:space="preserve">pposes the disclosure of their </w:t>
      </w:r>
      <w:r w:rsidR="00DE10DF">
        <w:rPr>
          <w:rFonts w:ascii="Open Sans" w:hAnsi="Open Sans" w:cs="Open Sans"/>
        </w:rPr>
        <w:t xml:space="preserve">personal </w:t>
      </w:r>
      <w:r>
        <w:rPr>
          <w:rFonts w:ascii="Open Sans" w:hAnsi="Open Sans" w:cs="Open Sans"/>
        </w:rPr>
        <w:t xml:space="preserve">information </w:t>
      </w:r>
      <w:r w:rsidRPr="001A3CC6">
        <w:rPr>
          <w:rFonts w:ascii="Open Sans" w:hAnsi="Open Sans" w:cs="Open Sans"/>
        </w:rPr>
        <w:t xml:space="preserve">— the Commission considers that this should be acknowledged in the FOI Guidelines as potentially constituting a ‘special circumstance’ for the purpose of s 47F of the FOI Act. </w:t>
      </w:r>
    </w:p>
    <w:p w14:paraId="60771478" w14:textId="1245EBCA" w:rsidR="00DB5341" w:rsidRPr="001A3CC6" w:rsidRDefault="00DB5341" w:rsidP="009A2EFA">
      <w:pPr>
        <w:pStyle w:val="SubmissionNormal"/>
        <w:tabs>
          <w:tab w:val="clear" w:pos="360"/>
          <w:tab w:val="num" w:pos="567"/>
        </w:tabs>
        <w:ind w:left="567" w:hanging="567"/>
        <w:rPr>
          <w:rFonts w:ascii="Open Sans" w:hAnsi="Open Sans" w:cs="Open Sans"/>
        </w:rPr>
      </w:pPr>
      <w:r w:rsidRPr="001A3CC6">
        <w:rPr>
          <w:rFonts w:ascii="Open Sans" w:hAnsi="Open Sans" w:cs="Open Sans"/>
        </w:rPr>
        <w:t xml:space="preserve">The Commission embraces the reasoning of the Victorian Civil and Administrative Tribunal in </w:t>
      </w:r>
      <w:r w:rsidRPr="001A3CC6">
        <w:rPr>
          <w:rFonts w:ascii="Open Sans" w:hAnsi="Open Sans" w:cs="Open Sans"/>
          <w:i/>
          <w:iCs/>
        </w:rPr>
        <w:t xml:space="preserve">Coulson v Department of Premier and Cabinet </w:t>
      </w:r>
      <w:r w:rsidRPr="001A3CC6">
        <w:rPr>
          <w:rFonts w:ascii="Open Sans" w:hAnsi="Open Sans" w:cs="Open Sans"/>
        </w:rPr>
        <w:t xml:space="preserve">when it decided that it would be unreasonable to disclose the personal information of non-executive Victorian Public Service officers for </w:t>
      </w:r>
      <w:r>
        <w:rPr>
          <w:rFonts w:ascii="Open Sans" w:hAnsi="Open Sans" w:cs="Open Sans"/>
        </w:rPr>
        <w:t xml:space="preserve">reasons </w:t>
      </w:r>
      <w:r w:rsidRPr="001A3CC6">
        <w:rPr>
          <w:rFonts w:ascii="Open Sans" w:hAnsi="Open Sans" w:cs="Open Sans"/>
        </w:rPr>
        <w:t xml:space="preserve">similar </w:t>
      </w:r>
      <w:r>
        <w:rPr>
          <w:rFonts w:ascii="Open Sans" w:hAnsi="Open Sans" w:cs="Open Sans"/>
        </w:rPr>
        <w:t xml:space="preserve">to the </w:t>
      </w:r>
      <w:r w:rsidRPr="001A3CC6">
        <w:rPr>
          <w:rFonts w:ascii="Open Sans" w:hAnsi="Open Sans" w:cs="Open Sans"/>
        </w:rPr>
        <w:t>ones discussed above.</w:t>
      </w:r>
      <w:r w:rsidRPr="001A3CC6">
        <w:rPr>
          <w:rStyle w:val="EndnoteReference"/>
          <w:rFonts w:ascii="Open Sans" w:hAnsi="Open Sans" w:cs="Open Sans"/>
        </w:rPr>
        <w:endnoteReference w:id="17"/>
      </w:r>
      <w:r w:rsidRPr="001A3CC6">
        <w:rPr>
          <w:rFonts w:ascii="Open Sans" w:hAnsi="Open Sans" w:cs="Open Sans"/>
        </w:rPr>
        <w:t xml:space="preserve"> </w:t>
      </w:r>
    </w:p>
    <w:p w14:paraId="15099F0C" w14:textId="49B719A4" w:rsidR="00DB5341" w:rsidRPr="007C1D82" w:rsidRDefault="00DB5341" w:rsidP="001B2B94">
      <w:pPr>
        <w:pStyle w:val="Heading2"/>
        <w:rPr>
          <w:rFonts w:ascii="Open Sans" w:hAnsi="Open Sans" w:cs="Open Sans"/>
          <w:i w:val="0"/>
          <w:iCs/>
        </w:rPr>
      </w:pPr>
      <w:bookmarkStart w:id="12" w:name="_Toc14870614"/>
      <w:r w:rsidRPr="007C1D82">
        <w:rPr>
          <w:rFonts w:ascii="Open Sans" w:hAnsi="Open Sans" w:cs="Open Sans"/>
          <w:i w:val="0"/>
          <w:iCs/>
        </w:rPr>
        <w:t>Applicants with a propensity to pursue matters obsessively</w:t>
      </w:r>
      <w:bookmarkEnd w:id="12"/>
    </w:p>
    <w:p w14:paraId="05FF4CF7" w14:textId="77777777" w:rsidR="00DB5341" w:rsidRDefault="00DB5341" w:rsidP="00AE1E07">
      <w:pPr>
        <w:pStyle w:val="SubmissionNormal"/>
        <w:tabs>
          <w:tab w:val="clear" w:pos="360"/>
          <w:tab w:val="num" w:pos="567"/>
        </w:tabs>
        <w:ind w:left="567" w:hanging="567"/>
        <w:rPr>
          <w:rFonts w:ascii="Open Sans" w:hAnsi="Open Sans" w:cs="Open Sans"/>
        </w:rPr>
      </w:pPr>
      <w:r w:rsidRPr="001A3CC6">
        <w:rPr>
          <w:rFonts w:ascii="Open Sans" w:hAnsi="Open Sans" w:cs="Open Sans"/>
        </w:rPr>
        <w:t>The FOI Guidelines state that ‘where an individual has a propensity to pursue matters obsessively and there is no need for them to contact a particular public servant in the future, disclosure of the public servant’s name may be unreasonable</w:t>
      </w:r>
      <w:r>
        <w:rPr>
          <w:rFonts w:ascii="Open Sans" w:hAnsi="Open Sans" w:cs="Open Sans"/>
        </w:rPr>
        <w:t>’</w:t>
      </w:r>
      <w:r w:rsidRPr="001A3CC6">
        <w:rPr>
          <w:rFonts w:ascii="Open Sans" w:hAnsi="Open Sans" w:cs="Open Sans"/>
        </w:rPr>
        <w:t>.</w:t>
      </w:r>
      <w:r w:rsidRPr="001A3CC6">
        <w:rPr>
          <w:rStyle w:val="EndnoteReference"/>
          <w:rFonts w:ascii="Open Sans" w:hAnsi="Open Sans" w:cs="Open Sans"/>
          <w:sz w:val="24"/>
        </w:rPr>
        <w:endnoteReference w:id="18"/>
      </w:r>
    </w:p>
    <w:p w14:paraId="475F4975" w14:textId="29185405" w:rsidR="00AE1E07" w:rsidRPr="001A3CC6" w:rsidRDefault="007B136A" w:rsidP="00AE1E07">
      <w:pPr>
        <w:pStyle w:val="SubmissionNormal"/>
        <w:tabs>
          <w:tab w:val="clear" w:pos="360"/>
          <w:tab w:val="num" w:pos="567"/>
        </w:tabs>
        <w:ind w:left="567" w:hanging="567"/>
        <w:rPr>
          <w:rFonts w:ascii="Open Sans" w:hAnsi="Open Sans" w:cs="Open Sans"/>
        </w:rPr>
      </w:pPr>
      <w:r>
        <w:rPr>
          <w:rFonts w:ascii="Open Sans" w:hAnsi="Open Sans" w:cs="Open Sans"/>
        </w:rPr>
        <w:t xml:space="preserve">For the reasons set out above, the Commission considers that, in the case of junior employees, it should not be necessary to demonstrate that a particular applicant has a propensity to pursue matters obsessively before a decision can be made not to disclose their names. Rather, FOI practitioners should be able to act on the basis of reasonably </w:t>
      </w:r>
      <w:r w:rsidR="00D90A8A">
        <w:rPr>
          <w:rFonts w:ascii="Open Sans" w:hAnsi="Open Sans" w:cs="Open Sans"/>
        </w:rPr>
        <w:t>foreseeable</w:t>
      </w:r>
      <w:r>
        <w:rPr>
          <w:rFonts w:ascii="Open Sans" w:hAnsi="Open Sans" w:cs="Open Sans"/>
        </w:rPr>
        <w:t xml:space="preserve"> </w:t>
      </w:r>
      <w:r w:rsidR="00D90A8A">
        <w:rPr>
          <w:rFonts w:ascii="Open Sans" w:hAnsi="Open Sans" w:cs="Open Sans"/>
        </w:rPr>
        <w:t xml:space="preserve">risks to staff. </w:t>
      </w:r>
      <w:r w:rsidR="00AE1E07" w:rsidRPr="001A3CC6">
        <w:rPr>
          <w:rFonts w:ascii="Open Sans" w:hAnsi="Open Sans" w:cs="Open Sans"/>
        </w:rPr>
        <w:t xml:space="preserve">   </w:t>
      </w:r>
    </w:p>
    <w:p w14:paraId="2BBB42AE" w14:textId="2E5470C7" w:rsidR="000221B5" w:rsidRPr="001A3CC6" w:rsidRDefault="00770298" w:rsidP="00E64484">
      <w:pPr>
        <w:pStyle w:val="SubmissionNormal"/>
        <w:tabs>
          <w:tab w:val="clear" w:pos="360"/>
          <w:tab w:val="num" w:pos="567"/>
        </w:tabs>
        <w:ind w:left="567" w:hanging="567"/>
        <w:rPr>
          <w:rFonts w:ascii="Open Sans" w:hAnsi="Open Sans" w:cs="Open Sans"/>
        </w:rPr>
      </w:pPr>
      <w:r>
        <w:rPr>
          <w:rFonts w:ascii="Open Sans" w:hAnsi="Open Sans" w:cs="Open Sans"/>
        </w:rPr>
        <w:t>More generally, t</w:t>
      </w:r>
      <w:r w:rsidR="00AE1E07" w:rsidRPr="001A3CC6">
        <w:rPr>
          <w:rFonts w:ascii="Open Sans" w:hAnsi="Open Sans" w:cs="Open Sans"/>
        </w:rPr>
        <w:t xml:space="preserve">he Commission would </w:t>
      </w:r>
      <w:r w:rsidR="00A943DB">
        <w:rPr>
          <w:rFonts w:ascii="Open Sans" w:hAnsi="Open Sans" w:cs="Open Sans"/>
        </w:rPr>
        <w:t xml:space="preserve">welcome </w:t>
      </w:r>
      <w:r w:rsidR="000221B5" w:rsidRPr="001A3CC6">
        <w:rPr>
          <w:rFonts w:ascii="Open Sans" w:hAnsi="Open Sans" w:cs="Open Sans"/>
        </w:rPr>
        <w:t xml:space="preserve">further </w:t>
      </w:r>
      <w:r w:rsidR="00AE1E07" w:rsidRPr="001A3CC6">
        <w:rPr>
          <w:rFonts w:ascii="Open Sans" w:hAnsi="Open Sans" w:cs="Open Sans"/>
        </w:rPr>
        <w:t xml:space="preserve">guidance from the OAIC </w:t>
      </w:r>
      <w:r w:rsidR="000221B5" w:rsidRPr="001A3CC6">
        <w:rPr>
          <w:rFonts w:ascii="Open Sans" w:hAnsi="Open Sans" w:cs="Open Sans"/>
        </w:rPr>
        <w:t xml:space="preserve">about </w:t>
      </w:r>
      <w:r w:rsidR="00AE1E07" w:rsidRPr="001A3CC6">
        <w:rPr>
          <w:rFonts w:ascii="Open Sans" w:hAnsi="Open Sans" w:cs="Open Sans"/>
        </w:rPr>
        <w:t>when a</w:t>
      </w:r>
      <w:r w:rsidR="003642D9">
        <w:rPr>
          <w:rFonts w:ascii="Open Sans" w:hAnsi="Open Sans" w:cs="Open Sans"/>
        </w:rPr>
        <w:t>n</w:t>
      </w:r>
      <w:r w:rsidR="00AE1E07" w:rsidRPr="001A3CC6">
        <w:rPr>
          <w:rFonts w:ascii="Open Sans" w:hAnsi="Open Sans" w:cs="Open Sans"/>
        </w:rPr>
        <w:t xml:space="preserve"> FOI practitioner might be satisfied that there are reasonable to </w:t>
      </w:r>
      <w:r w:rsidR="000221B5" w:rsidRPr="001A3CC6">
        <w:rPr>
          <w:rFonts w:ascii="Open Sans" w:hAnsi="Open Sans" w:cs="Open Sans"/>
        </w:rPr>
        <w:t>grounds for considering that an individual has a ‘propensity to pursue matters obsessively’</w:t>
      </w:r>
      <w:r w:rsidR="007B136A">
        <w:rPr>
          <w:rFonts w:ascii="Open Sans" w:hAnsi="Open Sans" w:cs="Open Sans"/>
        </w:rPr>
        <w:t xml:space="preserve"> and how that decision should be communicated to an applicant. </w:t>
      </w:r>
    </w:p>
    <w:p w14:paraId="262318B8" w14:textId="59DA5F0E" w:rsidR="00E64484" w:rsidRPr="001A3CC6" w:rsidRDefault="000221B5" w:rsidP="005E4958">
      <w:pPr>
        <w:pStyle w:val="SubmissionNormal"/>
        <w:tabs>
          <w:tab w:val="clear" w:pos="360"/>
          <w:tab w:val="num" w:pos="567"/>
        </w:tabs>
        <w:ind w:left="567" w:hanging="567"/>
        <w:rPr>
          <w:rFonts w:ascii="Open Sans" w:hAnsi="Open Sans" w:cs="Open Sans"/>
        </w:rPr>
      </w:pPr>
      <w:r w:rsidRPr="001A3CC6">
        <w:rPr>
          <w:rFonts w:ascii="Open Sans" w:hAnsi="Open Sans" w:cs="Open Sans"/>
        </w:rPr>
        <w:t xml:space="preserve">While acknowledging that this will be a contextual decision that </w:t>
      </w:r>
      <w:r w:rsidR="006C1E72" w:rsidRPr="001A3CC6">
        <w:rPr>
          <w:rFonts w:ascii="Open Sans" w:hAnsi="Open Sans" w:cs="Open Sans"/>
        </w:rPr>
        <w:t xml:space="preserve">may </w:t>
      </w:r>
      <w:r w:rsidRPr="001A3CC6">
        <w:rPr>
          <w:rFonts w:ascii="Open Sans" w:hAnsi="Open Sans" w:cs="Open Sans"/>
        </w:rPr>
        <w:t xml:space="preserve">depend, in part, on an agency’s knowledge of an applicant’s past behaviour, it would be useful to know </w:t>
      </w:r>
      <w:r w:rsidR="006C1E72" w:rsidRPr="001A3CC6">
        <w:rPr>
          <w:rFonts w:ascii="Open Sans" w:hAnsi="Open Sans" w:cs="Open Sans"/>
        </w:rPr>
        <w:t xml:space="preserve">if there are </w:t>
      </w:r>
      <w:r w:rsidRPr="001A3CC6">
        <w:rPr>
          <w:rFonts w:ascii="Open Sans" w:hAnsi="Open Sans" w:cs="Open Sans"/>
        </w:rPr>
        <w:t xml:space="preserve">any considerations that the OAIC considers </w:t>
      </w:r>
      <w:r w:rsidR="006C1E72" w:rsidRPr="001A3CC6">
        <w:rPr>
          <w:rFonts w:ascii="Open Sans" w:hAnsi="Open Sans" w:cs="Open Sans"/>
        </w:rPr>
        <w:t xml:space="preserve">particularly </w:t>
      </w:r>
      <w:r w:rsidRPr="001A3CC6">
        <w:rPr>
          <w:rFonts w:ascii="Open Sans" w:hAnsi="Open Sans" w:cs="Open Sans"/>
        </w:rPr>
        <w:t>relevant</w:t>
      </w:r>
      <w:r w:rsidR="006C1E72" w:rsidRPr="001A3CC6">
        <w:rPr>
          <w:rFonts w:ascii="Open Sans" w:hAnsi="Open Sans" w:cs="Open Sans"/>
        </w:rPr>
        <w:t xml:space="preserve"> in making this assessment</w:t>
      </w:r>
      <w:r w:rsidRPr="001A3CC6">
        <w:rPr>
          <w:rFonts w:ascii="Open Sans" w:hAnsi="Open Sans" w:cs="Open Sans"/>
        </w:rPr>
        <w:t xml:space="preserve">. </w:t>
      </w:r>
    </w:p>
    <w:p w14:paraId="606CB437" w14:textId="799C6BD3" w:rsidR="007C6F33" w:rsidRPr="001A3CC6" w:rsidRDefault="007C6F33" w:rsidP="007C6F33">
      <w:pPr>
        <w:pStyle w:val="SubmissionNormal"/>
        <w:numPr>
          <w:ilvl w:val="0"/>
          <w:numId w:val="0"/>
        </w:numPr>
        <w:ind w:left="360" w:hanging="360"/>
        <w:rPr>
          <w:rFonts w:ascii="Open Sans" w:hAnsi="Open Sans" w:cs="Open Sans"/>
        </w:rPr>
      </w:pPr>
    </w:p>
    <w:sectPr w:rsidR="007C6F33" w:rsidRPr="001A3CC6" w:rsidSect="007C1D82">
      <w:footerReference w:type="default" r:id="rId17"/>
      <w:endnotePr>
        <w:numFmt w:val="decimal"/>
      </w:endnotePr>
      <w:type w:val="continuous"/>
      <w:pgSz w:w="11906" w:h="16838" w:code="9"/>
      <w:pgMar w:top="1134" w:right="1418" w:bottom="1134"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FEAD3F" w14:textId="77777777" w:rsidR="00522D78" w:rsidRDefault="00522D78" w:rsidP="00F14C6D">
      <w:r>
        <w:separator/>
      </w:r>
    </w:p>
  </w:endnote>
  <w:endnote w:type="continuationSeparator" w:id="0">
    <w:p w14:paraId="28C11EAC" w14:textId="77777777" w:rsidR="00522D78" w:rsidRDefault="00522D78" w:rsidP="00F14C6D">
      <w:r>
        <w:continuationSeparator/>
      </w:r>
    </w:p>
  </w:endnote>
  <w:endnote w:id="1">
    <w:p w14:paraId="6068EC12" w14:textId="605FFE0D" w:rsidR="00DB5341" w:rsidRPr="000329E2" w:rsidRDefault="00DB5341" w:rsidP="000329E2">
      <w:pPr>
        <w:pStyle w:val="EndnoteText"/>
        <w:ind w:left="284" w:hanging="284"/>
        <w:rPr>
          <w:rFonts w:ascii="Open Sans" w:hAnsi="Open Sans" w:cs="Open Sans"/>
        </w:rPr>
      </w:pPr>
      <w:r w:rsidRPr="000329E2">
        <w:rPr>
          <w:rStyle w:val="EndnoteReference"/>
          <w:rFonts w:ascii="Open Sans" w:hAnsi="Open Sans" w:cs="Open Sans"/>
        </w:rPr>
        <w:endnoteRef/>
      </w:r>
      <w:r w:rsidRPr="000329E2">
        <w:rPr>
          <w:rFonts w:ascii="Open Sans" w:hAnsi="Open Sans" w:cs="Open Sans"/>
        </w:rPr>
        <w:t xml:space="preserve"> </w:t>
      </w:r>
      <w:r>
        <w:rPr>
          <w:rFonts w:ascii="Open Sans" w:hAnsi="Open Sans" w:cs="Open Sans"/>
        </w:rPr>
        <w:tab/>
      </w:r>
      <w:r w:rsidR="00907795">
        <w:rPr>
          <w:rFonts w:ascii="Open Sans" w:hAnsi="Open Sans" w:cs="Open Sans"/>
        </w:rPr>
        <w:t xml:space="preserve">United Nations </w:t>
      </w:r>
      <w:r w:rsidRPr="000329E2">
        <w:rPr>
          <w:rFonts w:ascii="Open Sans" w:hAnsi="Open Sans" w:cs="Open Sans"/>
        </w:rPr>
        <w:t xml:space="preserve">Human Rights Committee, </w:t>
      </w:r>
      <w:r w:rsidRPr="000329E2">
        <w:rPr>
          <w:rFonts w:ascii="Open Sans" w:hAnsi="Open Sans" w:cs="Open Sans"/>
          <w:i/>
          <w:iCs/>
        </w:rPr>
        <w:t>General Comment No 34, Article 19: Freedoms of opinion and expression</w:t>
      </w:r>
      <w:r w:rsidRPr="000329E2">
        <w:rPr>
          <w:rFonts w:ascii="Open Sans" w:hAnsi="Open Sans" w:cs="Open Sans"/>
        </w:rPr>
        <w:t>, 102</w:t>
      </w:r>
      <w:r w:rsidRPr="000329E2">
        <w:rPr>
          <w:rFonts w:ascii="Open Sans" w:hAnsi="Open Sans" w:cs="Open Sans"/>
          <w:vertAlign w:val="superscript"/>
        </w:rPr>
        <w:t>nd</w:t>
      </w:r>
      <w:r w:rsidRPr="000329E2">
        <w:rPr>
          <w:rFonts w:ascii="Open Sans" w:hAnsi="Open Sans" w:cs="Open Sans"/>
        </w:rPr>
        <w:t xml:space="preserve"> sess, UN Doc CCPR/C/GC/34 (12 September 2011).</w:t>
      </w:r>
    </w:p>
  </w:endnote>
  <w:endnote w:id="2">
    <w:p w14:paraId="0CC99477" w14:textId="23B56CC0" w:rsidR="00DB5341" w:rsidRDefault="00DB5341" w:rsidP="00DB5341">
      <w:pPr>
        <w:pStyle w:val="EndnoteText"/>
        <w:widowControl w:val="0"/>
        <w:suppressLineNumbers/>
        <w:ind w:left="284" w:right="57" w:hanging="284"/>
        <w:contextualSpacing/>
      </w:pPr>
      <w:r w:rsidRPr="000329E2">
        <w:rPr>
          <w:rStyle w:val="EndnoteReference"/>
          <w:rFonts w:ascii="Open Sans" w:hAnsi="Open Sans" w:cs="Open Sans"/>
        </w:rPr>
        <w:endnoteRef/>
      </w:r>
      <w:r w:rsidRPr="000329E2">
        <w:rPr>
          <w:rFonts w:ascii="Open Sans" w:hAnsi="Open Sans" w:cs="Open Sans"/>
        </w:rPr>
        <w:t xml:space="preserve"> </w:t>
      </w:r>
      <w:r>
        <w:rPr>
          <w:rFonts w:ascii="Open Sans" w:hAnsi="Open Sans" w:cs="Open Sans"/>
        </w:rPr>
        <w:tab/>
      </w:r>
      <w:r w:rsidRPr="000329E2">
        <w:rPr>
          <w:rFonts w:ascii="Open Sans" w:hAnsi="Open Sans" w:cs="Open Sans"/>
          <w:lang w:val="en"/>
        </w:rPr>
        <w:t xml:space="preserve">Office of the United Nations High Commissioner for Human Rights, </w:t>
      </w:r>
      <w:r w:rsidRPr="000329E2">
        <w:rPr>
          <w:rFonts w:ascii="Open Sans" w:hAnsi="Open Sans" w:cs="Open Sans"/>
          <w:i/>
          <w:iCs/>
          <w:lang w:val="en"/>
        </w:rPr>
        <w:t>The Right to Privacy in the Digital Age</w:t>
      </w:r>
      <w:r w:rsidRPr="000329E2">
        <w:rPr>
          <w:rFonts w:ascii="Open Sans" w:hAnsi="Open Sans" w:cs="Open Sans"/>
          <w:iCs/>
          <w:lang w:val="en"/>
        </w:rPr>
        <w:t>,</w:t>
      </w:r>
      <w:r w:rsidRPr="000329E2">
        <w:rPr>
          <w:rFonts w:ascii="Open Sans" w:hAnsi="Open Sans" w:cs="Open Sans"/>
          <w:i/>
          <w:iCs/>
          <w:lang w:val="en"/>
        </w:rPr>
        <w:t xml:space="preserve"> </w:t>
      </w:r>
      <w:r w:rsidRPr="000329E2">
        <w:rPr>
          <w:rFonts w:ascii="Open Sans" w:hAnsi="Open Sans" w:cs="Open Sans"/>
          <w:lang w:val="en"/>
        </w:rPr>
        <w:t>27</w:t>
      </w:r>
      <w:r w:rsidRPr="000329E2">
        <w:rPr>
          <w:rFonts w:ascii="Open Sans" w:hAnsi="Open Sans" w:cs="Open Sans"/>
          <w:vertAlign w:val="superscript"/>
          <w:lang w:val="en"/>
        </w:rPr>
        <w:t>th</w:t>
      </w:r>
      <w:r w:rsidRPr="000329E2">
        <w:rPr>
          <w:rFonts w:ascii="Open Sans" w:hAnsi="Open Sans" w:cs="Open Sans"/>
          <w:lang w:val="en"/>
        </w:rPr>
        <w:t xml:space="preserve"> sess, Agenda Items 2 and 3, UN Doc A/HRC/27/37 (30 June 2014) 7 [21]. </w:t>
      </w:r>
    </w:p>
  </w:endnote>
  <w:endnote w:id="3">
    <w:p w14:paraId="6402A8DE" w14:textId="01C1801B" w:rsidR="00DB5341" w:rsidRPr="00145275" w:rsidRDefault="00DB5341" w:rsidP="007C1D82">
      <w:pPr>
        <w:pStyle w:val="EndnoteText"/>
        <w:ind w:left="284" w:hanging="284"/>
        <w:rPr>
          <w:rFonts w:ascii="Open Sans" w:hAnsi="Open Sans" w:cs="Open Sans"/>
        </w:rPr>
      </w:pPr>
      <w:r w:rsidRPr="00145275">
        <w:rPr>
          <w:rStyle w:val="EndnoteReference"/>
          <w:rFonts w:ascii="Open Sans" w:hAnsi="Open Sans" w:cs="Open Sans"/>
        </w:rPr>
        <w:endnoteRef/>
      </w:r>
      <w:r w:rsidRPr="00145275">
        <w:rPr>
          <w:rFonts w:ascii="Open Sans" w:hAnsi="Open Sans" w:cs="Open Sans"/>
        </w:rPr>
        <w:t xml:space="preserve"> </w:t>
      </w:r>
      <w:r>
        <w:rPr>
          <w:rFonts w:ascii="Open Sans" w:hAnsi="Open Sans" w:cs="Open Sans"/>
        </w:rPr>
        <w:tab/>
      </w:r>
      <w:r w:rsidRPr="00145275">
        <w:rPr>
          <w:rFonts w:ascii="Open Sans" w:hAnsi="Open Sans" w:cs="Open Sans"/>
          <w:i/>
          <w:iCs/>
        </w:rPr>
        <w:t>Freedom of Information Act 1982</w:t>
      </w:r>
      <w:r w:rsidRPr="00145275">
        <w:rPr>
          <w:rFonts w:ascii="Open Sans" w:hAnsi="Open Sans" w:cs="Open Sans"/>
        </w:rPr>
        <w:t xml:space="preserve"> (Cth) s 11</w:t>
      </w:r>
      <w:r>
        <w:rPr>
          <w:rFonts w:ascii="Open Sans" w:hAnsi="Open Sans" w:cs="Open Sans"/>
        </w:rPr>
        <w:t>A(5)</w:t>
      </w:r>
      <w:r w:rsidRPr="00145275">
        <w:rPr>
          <w:rFonts w:ascii="Open Sans" w:hAnsi="Open Sans" w:cs="Open Sans"/>
        </w:rPr>
        <w:t xml:space="preserve">. </w:t>
      </w:r>
    </w:p>
  </w:endnote>
  <w:endnote w:id="4">
    <w:p w14:paraId="55A6D7E5" w14:textId="775C36BD" w:rsidR="00DB5341" w:rsidRPr="00145275" w:rsidRDefault="00DB5341" w:rsidP="007C1D82">
      <w:pPr>
        <w:pStyle w:val="EndnoteText"/>
        <w:ind w:left="284" w:hanging="284"/>
        <w:rPr>
          <w:rFonts w:ascii="Open Sans" w:hAnsi="Open Sans" w:cs="Open Sans"/>
        </w:rPr>
      </w:pPr>
      <w:r w:rsidRPr="00145275">
        <w:rPr>
          <w:rStyle w:val="EndnoteReference"/>
          <w:rFonts w:ascii="Open Sans" w:hAnsi="Open Sans" w:cs="Open Sans"/>
        </w:rPr>
        <w:endnoteRef/>
      </w:r>
      <w:r w:rsidRPr="00145275">
        <w:rPr>
          <w:rFonts w:ascii="Open Sans" w:hAnsi="Open Sans" w:cs="Open Sans"/>
        </w:rPr>
        <w:t xml:space="preserve"> </w:t>
      </w:r>
      <w:r>
        <w:rPr>
          <w:rFonts w:ascii="Open Sans" w:hAnsi="Open Sans" w:cs="Open Sans"/>
        </w:rPr>
        <w:tab/>
      </w:r>
      <w:r w:rsidRPr="00145275">
        <w:rPr>
          <w:rFonts w:ascii="Open Sans" w:hAnsi="Open Sans" w:cs="Open Sans"/>
        </w:rPr>
        <w:t xml:space="preserve">Office of the Australian Information Commissioner, </w:t>
      </w:r>
      <w:r w:rsidRPr="00145275">
        <w:rPr>
          <w:rFonts w:ascii="Open Sans" w:hAnsi="Open Sans" w:cs="Open Sans"/>
          <w:i/>
          <w:iCs/>
        </w:rPr>
        <w:t>Disclosure of public servants’ names and contact details</w:t>
      </w:r>
      <w:r w:rsidRPr="00145275">
        <w:rPr>
          <w:rFonts w:ascii="Open Sans" w:hAnsi="Open Sans" w:cs="Open Sans"/>
        </w:rPr>
        <w:t xml:space="preserve"> (Discussion paper, July 2019) 2. </w:t>
      </w:r>
    </w:p>
  </w:endnote>
  <w:endnote w:id="5">
    <w:p w14:paraId="77BABBD4" w14:textId="0219B77A" w:rsidR="00DB5341" w:rsidRDefault="00DB5341" w:rsidP="00DB5341">
      <w:pPr>
        <w:pStyle w:val="EndnoteText"/>
        <w:ind w:left="284" w:hanging="284"/>
      </w:pPr>
      <w:r w:rsidRPr="00145275">
        <w:rPr>
          <w:rStyle w:val="EndnoteReference"/>
          <w:rFonts w:ascii="Open Sans" w:hAnsi="Open Sans" w:cs="Open Sans"/>
        </w:rPr>
        <w:endnoteRef/>
      </w:r>
      <w:r w:rsidRPr="00145275">
        <w:rPr>
          <w:rFonts w:ascii="Open Sans" w:hAnsi="Open Sans" w:cs="Open Sans"/>
        </w:rPr>
        <w:t xml:space="preserve"> </w:t>
      </w:r>
      <w:r>
        <w:rPr>
          <w:rFonts w:ascii="Open Sans" w:hAnsi="Open Sans" w:cs="Open Sans"/>
        </w:rPr>
        <w:tab/>
      </w:r>
      <w:r w:rsidRPr="00145275">
        <w:rPr>
          <w:rFonts w:ascii="Open Sans" w:hAnsi="Open Sans" w:cs="Open Sans"/>
          <w:spacing w:val="-1"/>
        </w:rPr>
        <w:t>Office of the Australian Information Commissioner,</w:t>
      </w:r>
      <w:r w:rsidRPr="00145275">
        <w:rPr>
          <w:rFonts w:ascii="Open Sans" w:hAnsi="Open Sans" w:cs="Open Sans"/>
        </w:rPr>
        <w:t xml:space="preserve"> </w:t>
      </w:r>
      <w:r w:rsidRPr="00145275">
        <w:rPr>
          <w:rFonts w:ascii="Open Sans" w:hAnsi="Open Sans" w:cs="Open Sans"/>
          <w:i/>
          <w:spacing w:val="-1"/>
        </w:rPr>
        <w:t>Guidelines</w:t>
      </w:r>
      <w:r w:rsidRPr="00145275">
        <w:rPr>
          <w:rFonts w:ascii="Open Sans" w:hAnsi="Open Sans" w:cs="Open Sans"/>
          <w:i/>
        </w:rPr>
        <w:t xml:space="preserve"> </w:t>
      </w:r>
      <w:r w:rsidRPr="00145275">
        <w:rPr>
          <w:rFonts w:ascii="Open Sans" w:hAnsi="Open Sans" w:cs="Open Sans"/>
          <w:i/>
          <w:spacing w:val="-1"/>
        </w:rPr>
        <w:t xml:space="preserve">issued </w:t>
      </w:r>
      <w:r w:rsidRPr="00145275">
        <w:rPr>
          <w:rFonts w:ascii="Open Sans" w:hAnsi="Open Sans" w:cs="Open Sans"/>
          <w:i/>
        </w:rPr>
        <w:t>by</w:t>
      </w:r>
      <w:r w:rsidRPr="00145275">
        <w:rPr>
          <w:rFonts w:ascii="Open Sans" w:hAnsi="Open Sans" w:cs="Open Sans"/>
          <w:i/>
          <w:spacing w:val="-1"/>
        </w:rPr>
        <w:t xml:space="preserve"> </w:t>
      </w:r>
      <w:r w:rsidRPr="00145275">
        <w:rPr>
          <w:rFonts w:ascii="Open Sans" w:hAnsi="Open Sans" w:cs="Open Sans"/>
          <w:i/>
        </w:rPr>
        <w:t>the</w:t>
      </w:r>
      <w:r w:rsidRPr="00145275">
        <w:rPr>
          <w:rFonts w:ascii="Open Sans" w:hAnsi="Open Sans" w:cs="Open Sans"/>
          <w:i/>
          <w:spacing w:val="-1"/>
        </w:rPr>
        <w:t xml:space="preserve"> Australian</w:t>
      </w:r>
      <w:r w:rsidRPr="00145275">
        <w:rPr>
          <w:rFonts w:ascii="Open Sans" w:hAnsi="Open Sans" w:cs="Open Sans"/>
          <w:i/>
          <w:spacing w:val="39"/>
        </w:rPr>
        <w:t xml:space="preserve"> </w:t>
      </w:r>
      <w:r w:rsidRPr="00145275">
        <w:rPr>
          <w:rFonts w:ascii="Open Sans" w:hAnsi="Open Sans" w:cs="Open Sans"/>
          <w:i/>
          <w:spacing w:val="-1"/>
        </w:rPr>
        <w:t>Information Commissioner</w:t>
      </w:r>
      <w:r w:rsidRPr="00145275">
        <w:rPr>
          <w:rFonts w:ascii="Open Sans" w:hAnsi="Open Sans" w:cs="Open Sans"/>
          <w:i/>
          <w:spacing w:val="-2"/>
        </w:rPr>
        <w:t xml:space="preserve"> </w:t>
      </w:r>
      <w:r w:rsidRPr="00145275">
        <w:rPr>
          <w:rFonts w:ascii="Open Sans" w:hAnsi="Open Sans" w:cs="Open Sans"/>
          <w:i/>
          <w:spacing w:val="-1"/>
        </w:rPr>
        <w:t xml:space="preserve">under </w:t>
      </w:r>
      <w:r w:rsidRPr="00145275">
        <w:rPr>
          <w:rFonts w:ascii="Open Sans" w:hAnsi="Open Sans" w:cs="Open Sans"/>
          <w:i/>
          <w:u w:color="0044BB"/>
        </w:rPr>
        <w:t>s</w:t>
      </w:r>
      <w:r w:rsidRPr="00145275">
        <w:rPr>
          <w:rFonts w:ascii="Open Sans" w:hAnsi="Open Sans" w:cs="Open Sans"/>
          <w:i/>
          <w:spacing w:val="-1"/>
          <w:u w:color="0044BB"/>
        </w:rPr>
        <w:t xml:space="preserve"> </w:t>
      </w:r>
      <w:r w:rsidRPr="00145275">
        <w:rPr>
          <w:rFonts w:ascii="Open Sans" w:hAnsi="Open Sans" w:cs="Open Sans"/>
          <w:i/>
          <w:u w:color="0044BB"/>
        </w:rPr>
        <w:t>93A</w:t>
      </w:r>
      <w:r w:rsidRPr="00145275">
        <w:rPr>
          <w:rFonts w:ascii="Open Sans" w:hAnsi="Open Sans" w:cs="Open Sans"/>
          <w:i/>
          <w:spacing w:val="-3"/>
          <w:u w:color="0044BB"/>
        </w:rPr>
        <w:t xml:space="preserve"> </w:t>
      </w:r>
      <w:r w:rsidRPr="00145275">
        <w:rPr>
          <w:rFonts w:ascii="Open Sans" w:hAnsi="Open Sans" w:cs="Open Sans"/>
          <w:i/>
          <w:spacing w:val="-1"/>
        </w:rPr>
        <w:t xml:space="preserve">of the </w:t>
      </w:r>
      <w:r w:rsidRPr="00145275">
        <w:rPr>
          <w:rFonts w:ascii="Open Sans" w:hAnsi="Open Sans" w:cs="Open Sans"/>
          <w:i/>
          <w:spacing w:val="-1"/>
          <w:u w:color="0044BB"/>
        </w:rPr>
        <w:t>Freedom</w:t>
      </w:r>
      <w:r w:rsidRPr="00145275">
        <w:rPr>
          <w:rFonts w:ascii="Open Sans" w:hAnsi="Open Sans" w:cs="Open Sans"/>
          <w:i/>
          <w:spacing w:val="-2"/>
          <w:u w:color="0044BB"/>
        </w:rPr>
        <w:t xml:space="preserve"> </w:t>
      </w:r>
      <w:r w:rsidRPr="00145275">
        <w:rPr>
          <w:rFonts w:ascii="Open Sans" w:hAnsi="Open Sans" w:cs="Open Sans"/>
          <w:i/>
          <w:u w:color="0044BB"/>
        </w:rPr>
        <w:t xml:space="preserve">of </w:t>
      </w:r>
      <w:r w:rsidRPr="00145275">
        <w:rPr>
          <w:rFonts w:ascii="Open Sans" w:hAnsi="Open Sans" w:cs="Open Sans"/>
          <w:i/>
          <w:spacing w:val="-1"/>
          <w:u w:color="0044BB"/>
        </w:rPr>
        <w:t xml:space="preserve">Information </w:t>
      </w:r>
      <w:r w:rsidRPr="00145275">
        <w:rPr>
          <w:rFonts w:ascii="Open Sans" w:hAnsi="Open Sans" w:cs="Open Sans"/>
          <w:i/>
          <w:u w:color="0044BB"/>
        </w:rPr>
        <w:t>Act</w:t>
      </w:r>
      <w:r w:rsidRPr="00145275">
        <w:rPr>
          <w:rFonts w:ascii="Open Sans" w:hAnsi="Open Sans" w:cs="Open Sans"/>
          <w:i/>
          <w:spacing w:val="-1"/>
          <w:u w:color="0044BB"/>
        </w:rPr>
        <w:t xml:space="preserve"> </w:t>
      </w:r>
      <w:r w:rsidRPr="00145275">
        <w:rPr>
          <w:rFonts w:ascii="Open Sans" w:hAnsi="Open Sans" w:cs="Open Sans"/>
          <w:i/>
          <w:u w:color="0044BB"/>
        </w:rPr>
        <w:t>1982</w:t>
      </w:r>
      <w:r w:rsidRPr="00145275">
        <w:rPr>
          <w:rFonts w:ascii="Open Sans" w:hAnsi="Open Sans" w:cs="Open Sans"/>
        </w:rPr>
        <w:t xml:space="preserve"> (Combined 2019), [6.153]. </w:t>
      </w:r>
    </w:p>
  </w:endnote>
  <w:endnote w:id="6">
    <w:p w14:paraId="34DBAF7C" w14:textId="04F91DF0" w:rsidR="00DB5341" w:rsidRPr="007C5BC4" w:rsidRDefault="00DB5341" w:rsidP="007C1D82">
      <w:pPr>
        <w:pStyle w:val="EndnoteText"/>
        <w:ind w:left="284" w:hanging="284"/>
        <w:rPr>
          <w:rFonts w:ascii="Open Sans" w:hAnsi="Open Sans" w:cs="Open Sans"/>
        </w:rPr>
      </w:pPr>
      <w:r w:rsidRPr="007C5BC4">
        <w:rPr>
          <w:rStyle w:val="EndnoteReference"/>
          <w:rFonts w:ascii="Open Sans" w:hAnsi="Open Sans" w:cs="Open Sans"/>
        </w:rPr>
        <w:endnoteRef/>
      </w:r>
      <w:r w:rsidRPr="007C5BC4">
        <w:rPr>
          <w:rFonts w:ascii="Open Sans" w:hAnsi="Open Sans" w:cs="Open Sans"/>
        </w:rPr>
        <w:t xml:space="preserve"> </w:t>
      </w:r>
      <w:r>
        <w:rPr>
          <w:rFonts w:ascii="Open Sans" w:hAnsi="Open Sans" w:cs="Open Sans"/>
        </w:rPr>
        <w:tab/>
      </w:r>
      <w:r w:rsidRPr="007C5BC4">
        <w:rPr>
          <w:rFonts w:ascii="Open Sans" w:hAnsi="Open Sans" w:cs="Open Sans"/>
          <w:spacing w:val="-1"/>
        </w:rPr>
        <w:t>Office of the Australian Information Commissioner,</w:t>
      </w:r>
      <w:r w:rsidRPr="007C5BC4">
        <w:rPr>
          <w:rFonts w:ascii="Open Sans" w:hAnsi="Open Sans" w:cs="Open Sans"/>
        </w:rPr>
        <w:t xml:space="preserve"> </w:t>
      </w:r>
      <w:r w:rsidRPr="007C5BC4">
        <w:rPr>
          <w:rFonts w:ascii="Open Sans" w:hAnsi="Open Sans" w:cs="Open Sans"/>
          <w:i/>
          <w:spacing w:val="-1"/>
        </w:rPr>
        <w:t>Guidelines</w:t>
      </w:r>
      <w:r w:rsidRPr="007C5BC4">
        <w:rPr>
          <w:rFonts w:ascii="Open Sans" w:hAnsi="Open Sans" w:cs="Open Sans"/>
          <w:i/>
        </w:rPr>
        <w:t xml:space="preserve"> </w:t>
      </w:r>
      <w:r w:rsidRPr="007C5BC4">
        <w:rPr>
          <w:rFonts w:ascii="Open Sans" w:hAnsi="Open Sans" w:cs="Open Sans"/>
          <w:i/>
          <w:spacing w:val="-1"/>
        </w:rPr>
        <w:t xml:space="preserve">issued </w:t>
      </w:r>
      <w:r w:rsidRPr="007C5BC4">
        <w:rPr>
          <w:rFonts w:ascii="Open Sans" w:hAnsi="Open Sans" w:cs="Open Sans"/>
          <w:i/>
        </w:rPr>
        <w:t>by</w:t>
      </w:r>
      <w:r w:rsidRPr="007C5BC4">
        <w:rPr>
          <w:rFonts w:ascii="Open Sans" w:hAnsi="Open Sans" w:cs="Open Sans"/>
          <w:i/>
          <w:spacing w:val="-1"/>
        </w:rPr>
        <w:t xml:space="preserve"> </w:t>
      </w:r>
      <w:r w:rsidRPr="007C5BC4">
        <w:rPr>
          <w:rFonts w:ascii="Open Sans" w:hAnsi="Open Sans" w:cs="Open Sans"/>
          <w:i/>
        </w:rPr>
        <w:t>the</w:t>
      </w:r>
      <w:r w:rsidRPr="007C5BC4">
        <w:rPr>
          <w:rFonts w:ascii="Open Sans" w:hAnsi="Open Sans" w:cs="Open Sans"/>
          <w:i/>
          <w:spacing w:val="-1"/>
        </w:rPr>
        <w:t xml:space="preserve"> Australian</w:t>
      </w:r>
      <w:r w:rsidRPr="007C5BC4">
        <w:rPr>
          <w:rFonts w:ascii="Open Sans" w:hAnsi="Open Sans" w:cs="Open Sans"/>
          <w:i/>
          <w:spacing w:val="39"/>
        </w:rPr>
        <w:t xml:space="preserve"> </w:t>
      </w:r>
      <w:r w:rsidRPr="007C5BC4">
        <w:rPr>
          <w:rFonts w:ascii="Open Sans" w:hAnsi="Open Sans" w:cs="Open Sans"/>
          <w:i/>
          <w:spacing w:val="-1"/>
        </w:rPr>
        <w:t>Information Commissioner</w:t>
      </w:r>
      <w:r w:rsidRPr="007C5BC4">
        <w:rPr>
          <w:rFonts w:ascii="Open Sans" w:hAnsi="Open Sans" w:cs="Open Sans"/>
          <w:i/>
          <w:spacing w:val="-2"/>
        </w:rPr>
        <w:t xml:space="preserve"> </w:t>
      </w:r>
      <w:r w:rsidRPr="007C5BC4">
        <w:rPr>
          <w:rFonts w:ascii="Open Sans" w:hAnsi="Open Sans" w:cs="Open Sans"/>
          <w:i/>
          <w:spacing w:val="-1"/>
        </w:rPr>
        <w:t xml:space="preserve">under </w:t>
      </w:r>
      <w:r w:rsidRPr="007C5BC4">
        <w:rPr>
          <w:rFonts w:ascii="Open Sans" w:hAnsi="Open Sans" w:cs="Open Sans"/>
          <w:i/>
          <w:u w:color="0044BB"/>
        </w:rPr>
        <w:t>s</w:t>
      </w:r>
      <w:r w:rsidRPr="007C5BC4">
        <w:rPr>
          <w:rFonts w:ascii="Open Sans" w:hAnsi="Open Sans" w:cs="Open Sans"/>
          <w:i/>
          <w:spacing w:val="-1"/>
          <w:u w:color="0044BB"/>
        </w:rPr>
        <w:t xml:space="preserve"> </w:t>
      </w:r>
      <w:r w:rsidRPr="007C5BC4">
        <w:rPr>
          <w:rFonts w:ascii="Open Sans" w:hAnsi="Open Sans" w:cs="Open Sans"/>
          <w:i/>
          <w:u w:color="0044BB"/>
        </w:rPr>
        <w:t>93A</w:t>
      </w:r>
      <w:r w:rsidRPr="007C5BC4">
        <w:rPr>
          <w:rFonts w:ascii="Open Sans" w:hAnsi="Open Sans" w:cs="Open Sans"/>
          <w:i/>
          <w:spacing w:val="-3"/>
          <w:u w:color="0044BB"/>
        </w:rPr>
        <w:t xml:space="preserve"> </w:t>
      </w:r>
      <w:r w:rsidRPr="007C5BC4">
        <w:rPr>
          <w:rFonts w:ascii="Open Sans" w:hAnsi="Open Sans" w:cs="Open Sans"/>
          <w:i/>
          <w:spacing w:val="-1"/>
        </w:rPr>
        <w:t xml:space="preserve">of the </w:t>
      </w:r>
      <w:r w:rsidRPr="007C5BC4">
        <w:rPr>
          <w:rFonts w:ascii="Open Sans" w:hAnsi="Open Sans" w:cs="Open Sans"/>
          <w:i/>
          <w:spacing w:val="-1"/>
          <w:u w:color="0044BB"/>
        </w:rPr>
        <w:t>Freedom</w:t>
      </w:r>
      <w:r w:rsidRPr="007C5BC4">
        <w:rPr>
          <w:rFonts w:ascii="Open Sans" w:hAnsi="Open Sans" w:cs="Open Sans"/>
          <w:i/>
          <w:spacing w:val="-2"/>
          <w:u w:color="0044BB"/>
        </w:rPr>
        <w:t xml:space="preserve"> </w:t>
      </w:r>
      <w:r w:rsidRPr="007C5BC4">
        <w:rPr>
          <w:rFonts w:ascii="Open Sans" w:hAnsi="Open Sans" w:cs="Open Sans"/>
          <w:i/>
          <w:u w:color="0044BB"/>
        </w:rPr>
        <w:t xml:space="preserve">of </w:t>
      </w:r>
      <w:r w:rsidRPr="007C5BC4">
        <w:rPr>
          <w:rFonts w:ascii="Open Sans" w:hAnsi="Open Sans" w:cs="Open Sans"/>
          <w:i/>
          <w:spacing w:val="-1"/>
          <w:u w:color="0044BB"/>
        </w:rPr>
        <w:t xml:space="preserve">Information </w:t>
      </w:r>
      <w:r w:rsidRPr="007C5BC4">
        <w:rPr>
          <w:rFonts w:ascii="Open Sans" w:hAnsi="Open Sans" w:cs="Open Sans"/>
          <w:i/>
          <w:u w:color="0044BB"/>
        </w:rPr>
        <w:t>Act</w:t>
      </w:r>
      <w:r w:rsidRPr="007C5BC4">
        <w:rPr>
          <w:rFonts w:ascii="Open Sans" w:hAnsi="Open Sans" w:cs="Open Sans"/>
          <w:i/>
          <w:spacing w:val="-1"/>
          <w:u w:color="0044BB"/>
        </w:rPr>
        <w:t xml:space="preserve"> </w:t>
      </w:r>
      <w:r w:rsidRPr="007C5BC4">
        <w:rPr>
          <w:rFonts w:ascii="Open Sans" w:hAnsi="Open Sans" w:cs="Open Sans"/>
          <w:i/>
          <w:u w:color="0044BB"/>
        </w:rPr>
        <w:t>1982</w:t>
      </w:r>
      <w:r w:rsidRPr="007C5BC4">
        <w:rPr>
          <w:rFonts w:ascii="Open Sans" w:hAnsi="Open Sans" w:cs="Open Sans"/>
        </w:rPr>
        <w:t xml:space="preserve"> (Combined 2019), [6.153]–[6.156].</w:t>
      </w:r>
    </w:p>
  </w:endnote>
  <w:endnote w:id="7">
    <w:p w14:paraId="1C649ACB" w14:textId="311711BC" w:rsidR="00DB5341" w:rsidRDefault="00DB5341" w:rsidP="007C1D82">
      <w:pPr>
        <w:pStyle w:val="EndnoteText"/>
        <w:ind w:left="284" w:hanging="284"/>
      </w:pPr>
      <w:r w:rsidRPr="007C5BC4">
        <w:rPr>
          <w:rStyle w:val="EndnoteReference"/>
          <w:rFonts w:ascii="Open Sans" w:hAnsi="Open Sans" w:cs="Open Sans"/>
        </w:rPr>
        <w:endnoteRef/>
      </w:r>
      <w:r w:rsidRPr="007C5BC4">
        <w:rPr>
          <w:rFonts w:ascii="Open Sans" w:hAnsi="Open Sans" w:cs="Open Sans"/>
        </w:rPr>
        <w:t xml:space="preserve"> </w:t>
      </w:r>
      <w:r>
        <w:rPr>
          <w:rFonts w:ascii="Open Sans" w:hAnsi="Open Sans" w:cs="Open Sans"/>
        </w:rPr>
        <w:tab/>
      </w:r>
      <w:r w:rsidRPr="007C5BC4">
        <w:rPr>
          <w:rFonts w:ascii="Open Sans" w:hAnsi="Open Sans" w:cs="Open Sans"/>
          <w:i/>
          <w:iCs/>
        </w:rPr>
        <w:t>Australian Human Rights Commission Act 1986</w:t>
      </w:r>
      <w:r w:rsidRPr="007C5BC4">
        <w:rPr>
          <w:rFonts w:ascii="Open Sans" w:hAnsi="Open Sans" w:cs="Open Sans"/>
        </w:rPr>
        <w:t xml:space="preserve"> (Cth) </w:t>
      </w:r>
      <w:r>
        <w:rPr>
          <w:rFonts w:ascii="Open Sans" w:hAnsi="Open Sans" w:cs="Open Sans"/>
        </w:rPr>
        <w:t>p</w:t>
      </w:r>
      <w:r w:rsidRPr="007C5BC4">
        <w:rPr>
          <w:rFonts w:ascii="Open Sans" w:hAnsi="Open Sans" w:cs="Open Sans"/>
        </w:rPr>
        <w:t>t IIB – Redress for unlawful discrimination.</w:t>
      </w:r>
      <w:r>
        <w:rPr>
          <w:rFonts w:ascii="Open Sans" w:hAnsi="Open Sans" w:cs="Open Sans"/>
        </w:rPr>
        <w:t xml:space="preserve"> </w:t>
      </w:r>
    </w:p>
  </w:endnote>
  <w:endnote w:id="8">
    <w:p w14:paraId="1F15ADDC" w14:textId="7E73126A" w:rsidR="00DB5341" w:rsidRPr="00E27B58" w:rsidRDefault="00DB5341" w:rsidP="007C1D82">
      <w:pPr>
        <w:pStyle w:val="EndnoteText"/>
        <w:ind w:left="284" w:hanging="284"/>
        <w:rPr>
          <w:rFonts w:ascii="Open Sans" w:hAnsi="Open Sans" w:cs="Open Sans"/>
        </w:rPr>
      </w:pPr>
      <w:r w:rsidRPr="00E27B58">
        <w:rPr>
          <w:rStyle w:val="EndnoteReference"/>
          <w:rFonts w:ascii="Open Sans" w:hAnsi="Open Sans" w:cs="Open Sans"/>
        </w:rPr>
        <w:endnoteRef/>
      </w:r>
      <w:r w:rsidRPr="00E27B58">
        <w:rPr>
          <w:rFonts w:ascii="Open Sans" w:hAnsi="Open Sans" w:cs="Open Sans"/>
        </w:rPr>
        <w:t xml:space="preserve"> </w:t>
      </w:r>
      <w:r>
        <w:rPr>
          <w:rFonts w:ascii="Open Sans" w:hAnsi="Open Sans" w:cs="Open Sans"/>
        </w:rPr>
        <w:tab/>
      </w:r>
      <w:r w:rsidRPr="00E27B58">
        <w:rPr>
          <w:rFonts w:ascii="Open Sans" w:hAnsi="Open Sans" w:cs="Open Sans"/>
          <w:i/>
          <w:iCs/>
        </w:rPr>
        <w:t>Australian Human Rights Commission Act 1986</w:t>
      </w:r>
      <w:r w:rsidRPr="00E27B58">
        <w:rPr>
          <w:rFonts w:ascii="Open Sans" w:hAnsi="Open Sans" w:cs="Open Sans"/>
        </w:rPr>
        <w:t xml:space="preserve"> (Cth) </w:t>
      </w:r>
      <w:r>
        <w:rPr>
          <w:rFonts w:ascii="Open Sans" w:hAnsi="Open Sans" w:cs="Open Sans"/>
        </w:rPr>
        <w:t>p</w:t>
      </w:r>
      <w:r w:rsidRPr="00E27B58">
        <w:rPr>
          <w:rFonts w:ascii="Open Sans" w:hAnsi="Open Sans" w:cs="Open Sans"/>
        </w:rPr>
        <w:t xml:space="preserve">t II </w:t>
      </w:r>
      <w:r>
        <w:rPr>
          <w:rFonts w:ascii="Open Sans" w:hAnsi="Open Sans" w:cs="Open Sans"/>
        </w:rPr>
        <w:t>d</w:t>
      </w:r>
      <w:r w:rsidRPr="00E27B58">
        <w:rPr>
          <w:rFonts w:ascii="Open Sans" w:hAnsi="Open Sans" w:cs="Open Sans"/>
        </w:rPr>
        <w:t xml:space="preserve">iv 3 – Functions relating to human rights. </w:t>
      </w:r>
    </w:p>
  </w:endnote>
  <w:endnote w:id="9">
    <w:p w14:paraId="169477DB" w14:textId="5B573597" w:rsidR="00DB5341" w:rsidRPr="00E27B58" w:rsidRDefault="00DB5341" w:rsidP="007C1D82">
      <w:pPr>
        <w:pStyle w:val="EndnoteText"/>
        <w:ind w:left="284" w:hanging="284"/>
        <w:rPr>
          <w:rFonts w:ascii="Open Sans" w:hAnsi="Open Sans" w:cs="Open Sans"/>
        </w:rPr>
      </w:pPr>
      <w:r w:rsidRPr="00E27B58">
        <w:rPr>
          <w:rStyle w:val="EndnoteReference"/>
          <w:rFonts w:ascii="Open Sans" w:hAnsi="Open Sans" w:cs="Open Sans"/>
        </w:rPr>
        <w:endnoteRef/>
      </w:r>
      <w:r w:rsidRPr="00E27B58">
        <w:rPr>
          <w:rFonts w:ascii="Open Sans" w:hAnsi="Open Sans" w:cs="Open Sans"/>
        </w:rPr>
        <w:t xml:space="preserve"> </w:t>
      </w:r>
      <w:r>
        <w:rPr>
          <w:rFonts w:ascii="Open Sans" w:hAnsi="Open Sans" w:cs="Open Sans"/>
        </w:rPr>
        <w:tab/>
      </w:r>
      <w:r w:rsidRPr="00E27B58">
        <w:rPr>
          <w:rFonts w:ascii="Open Sans" w:hAnsi="Open Sans" w:cs="Open Sans"/>
          <w:i/>
          <w:iCs/>
        </w:rPr>
        <w:t>Australian Human Rights Commission Act 1986</w:t>
      </w:r>
      <w:r w:rsidRPr="00E27B58">
        <w:rPr>
          <w:rFonts w:ascii="Open Sans" w:hAnsi="Open Sans" w:cs="Open Sans"/>
        </w:rPr>
        <w:t xml:space="preserve"> (Cth) </w:t>
      </w:r>
      <w:r>
        <w:rPr>
          <w:rFonts w:ascii="Open Sans" w:hAnsi="Open Sans" w:cs="Open Sans"/>
        </w:rPr>
        <w:t>p</w:t>
      </w:r>
      <w:r w:rsidRPr="00E27B58">
        <w:rPr>
          <w:rFonts w:ascii="Open Sans" w:hAnsi="Open Sans" w:cs="Open Sans"/>
        </w:rPr>
        <w:t xml:space="preserve">t II </w:t>
      </w:r>
      <w:r>
        <w:rPr>
          <w:rFonts w:ascii="Open Sans" w:hAnsi="Open Sans" w:cs="Open Sans"/>
        </w:rPr>
        <w:t>d</w:t>
      </w:r>
      <w:r w:rsidRPr="00E27B58">
        <w:rPr>
          <w:rFonts w:ascii="Open Sans" w:hAnsi="Open Sans" w:cs="Open Sans"/>
        </w:rPr>
        <w:t xml:space="preserve">iv 4 – Functions relating to equal opportunity in employment. </w:t>
      </w:r>
    </w:p>
  </w:endnote>
  <w:endnote w:id="10">
    <w:p w14:paraId="4F2559E5" w14:textId="3BAFC091" w:rsidR="00DB5341" w:rsidRDefault="00DB5341" w:rsidP="007C1D82">
      <w:pPr>
        <w:pStyle w:val="EndnoteText"/>
        <w:ind w:left="284" w:hanging="284"/>
      </w:pPr>
      <w:r>
        <w:rPr>
          <w:rStyle w:val="EndnoteReference"/>
        </w:rPr>
        <w:endnoteRef/>
      </w:r>
      <w:r>
        <w:t xml:space="preserve"> </w:t>
      </w:r>
      <w:r>
        <w:tab/>
      </w:r>
      <w:r w:rsidRPr="00145275">
        <w:rPr>
          <w:rFonts w:ascii="Open Sans" w:hAnsi="Open Sans" w:cs="Open Sans"/>
          <w:i/>
          <w:iCs/>
        </w:rPr>
        <w:t>Freedom of Information Act 1982</w:t>
      </w:r>
      <w:r w:rsidRPr="00145275">
        <w:rPr>
          <w:rFonts w:ascii="Open Sans" w:hAnsi="Open Sans" w:cs="Open Sans"/>
        </w:rPr>
        <w:t xml:space="preserve"> (Cth),</w:t>
      </w:r>
      <w:r>
        <w:rPr>
          <w:rFonts w:ascii="Open Sans" w:hAnsi="Open Sans" w:cs="Open Sans"/>
        </w:rPr>
        <w:t xml:space="preserve"> s 37(1)(c). </w:t>
      </w:r>
    </w:p>
  </w:endnote>
  <w:endnote w:id="11">
    <w:p w14:paraId="7AF54984" w14:textId="5411021D" w:rsidR="00DB5341" w:rsidRDefault="00DB5341" w:rsidP="007C1D82">
      <w:pPr>
        <w:pStyle w:val="EndnoteText"/>
        <w:ind w:left="284" w:hanging="284"/>
      </w:pPr>
      <w:r w:rsidRPr="00E27B58">
        <w:rPr>
          <w:rStyle w:val="EndnoteReference"/>
          <w:rFonts w:ascii="Open Sans" w:hAnsi="Open Sans" w:cs="Open Sans"/>
        </w:rPr>
        <w:endnoteRef/>
      </w:r>
      <w:r w:rsidRPr="00E27B58">
        <w:rPr>
          <w:rFonts w:ascii="Open Sans" w:hAnsi="Open Sans" w:cs="Open Sans"/>
        </w:rPr>
        <w:t xml:space="preserve"> </w:t>
      </w:r>
      <w:r>
        <w:rPr>
          <w:rFonts w:ascii="Open Sans" w:hAnsi="Open Sans" w:cs="Open Sans"/>
        </w:rPr>
        <w:tab/>
      </w:r>
      <w:r w:rsidRPr="00E27B58">
        <w:rPr>
          <w:rFonts w:ascii="Open Sans" w:hAnsi="Open Sans" w:cs="Open Sans"/>
        </w:rPr>
        <w:t xml:space="preserve">Australian Public Service Commission, </w:t>
      </w:r>
      <w:r w:rsidRPr="00E27B58">
        <w:rPr>
          <w:rFonts w:ascii="Open Sans" w:hAnsi="Open Sans" w:cs="Open Sans"/>
          <w:i/>
          <w:iCs/>
        </w:rPr>
        <w:t>Cyber-bullying of APS employees by members of the public</w:t>
      </w:r>
      <w:r>
        <w:rPr>
          <w:rFonts w:ascii="Open Sans" w:hAnsi="Open Sans" w:cs="Open Sans"/>
        </w:rPr>
        <w:t xml:space="preserve"> (2018). </w:t>
      </w:r>
    </w:p>
  </w:endnote>
  <w:endnote w:id="12">
    <w:p w14:paraId="29E1EB83" w14:textId="2B8B018B" w:rsidR="00DB5341" w:rsidRDefault="00DB5341" w:rsidP="007C1D82">
      <w:pPr>
        <w:pStyle w:val="EndnoteText"/>
        <w:ind w:left="284" w:hanging="284"/>
      </w:pPr>
      <w:r>
        <w:rPr>
          <w:rStyle w:val="EndnoteReference"/>
        </w:rPr>
        <w:endnoteRef/>
      </w:r>
      <w:r>
        <w:t xml:space="preserve"> </w:t>
      </w:r>
      <w:r>
        <w:tab/>
      </w:r>
      <w:r w:rsidRPr="00E27B58">
        <w:rPr>
          <w:rFonts w:ascii="Open Sans" w:hAnsi="Open Sans" w:cs="Open Sans"/>
        </w:rPr>
        <w:t xml:space="preserve">Australian Public Service Commission, </w:t>
      </w:r>
      <w:r w:rsidRPr="00E27B58">
        <w:rPr>
          <w:rFonts w:ascii="Open Sans" w:hAnsi="Open Sans" w:cs="Open Sans"/>
          <w:i/>
          <w:iCs/>
        </w:rPr>
        <w:t>Cyber-bullying of APS employees by members of the public</w:t>
      </w:r>
      <w:r>
        <w:rPr>
          <w:rFonts w:ascii="Open Sans" w:hAnsi="Open Sans" w:cs="Open Sans"/>
        </w:rPr>
        <w:t xml:space="preserve"> (2018), 1. </w:t>
      </w:r>
    </w:p>
  </w:endnote>
  <w:endnote w:id="13">
    <w:p w14:paraId="4839E26F" w14:textId="607B5BEE" w:rsidR="00DB5341" w:rsidRPr="004D3628" w:rsidRDefault="00DB5341" w:rsidP="007C1D82">
      <w:pPr>
        <w:pStyle w:val="EndnoteText"/>
        <w:ind w:left="284" w:hanging="284"/>
        <w:rPr>
          <w:rFonts w:ascii="Open Sans" w:hAnsi="Open Sans" w:cs="Open Sans"/>
        </w:rPr>
      </w:pPr>
      <w:r w:rsidRPr="004D3628">
        <w:rPr>
          <w:rStyle w:val="EndnoteReference"/>
          <w:rFonts w:ascii="Open Sans" w:hAnsi="Open Sans" w:cs="Open Sans"/>
        </w:rPr>
        <w:endnoteRef/>
      </w:r>
      <w:r w:rsidRPr="004D3628">
        <w:rPr>
          <w:rFonts w:ascii="Open Sans" w:hAnsi="Open Sans" w:cs="Open Sans"/>
        </w:rPr>
        <w:t xml:space="preserve"> </w:t>
      </w:r>
      <w:r>
        <w:rPr>
          <w:rFonts w:ascii="Open Sans" w:hAnsi="Open Sans" w:cs="Open Sans"/>
        </w:rPr>
        <w:tab/>
      </w:r>
      <w:r w:rsidRPr="004D3628">
        <w:rPr>
          <w:rFonts w:ascii="Open Sans" w:hAnsi="Open Sans" w:cs="Open Sans"/>
          <w:i/>
          <w:iCs/>
        </w:rPr>
        <w:t>Public Service Act 1999</w:t>
      </w:r>
      <w:r>
        <w:rPr>
          <w:rFonts w:ascii="Open Sans" w:hAnsi="Open Sans" w:cs="Open Sans"/>
        </w:rPr>
        <w:t xml:space="preserve"> (Cth) s 13. </w:t>
      </w:r>
    </w:p>
  </w:endnote>
  <w:endnote w:id="14">
    <w:p w14:paraId="6252686A" w14:textId="6BC64FB0" w:rsidR="00DB5341" w:rsidRPr="004D3628" w:rsidRDefault="00DB5341" w:rsidP="007C1D82">
      <w:pPr>
        <w:pStyle w:val="EndnoteText"/>
        <w:ind w:left="284" w:hanging="284"/>
        <w:rPr>
          <w:rFonts w:ascii="Open Sans" w:hAnsi="Open Sans" w:cs="Open Sans"/>
        </w:rPr>
      </w:pPr>
      <w:r w:rsidRPr="004D3628">
        <w:rPr>
          <w:rStyle w:val="EndnoteReference"/>
          <w:rFonts w:ascii="Open Sans" w:hAnsi="Open Sans" w:cs="Open Sans"/>
        </w:rPr>
        <w:endnoteRef/>
      </w:r>
      <w:r w:rsidRPr="004D3628">
        <w:rPr>
          <w:rFonts w:ascii="Open Sans" w:hAnsi="Open Sans" w:cs="Open Sans"/>
        </w:rPr>
        <w:t xml:space="preserve"> </w:t>
      </w:r>
      <w:r>
        <w:rPr>
          <w:rFonts w:ascii="Open Sans" w:hAnsi="Open Sans" w:cs="Open Sans"/>
        </w:rPr>
        <w:tab/>
      </w:r>
      <w:r w:rsidRPr="004D3628">
        <w:rPr>
          <w:rFonts w:ascii="Open Sans" w:hAnsi="Open Sans" w:cs="Open Sans"/>
          <w:i/>
          <w:iCs/>
        </w:rPr>
        <w:t>Public Service Act 1999</w:t>
      </w:r>
      <w:r>
        <w:rPr>
          <w:rFonts w:ascii="Open Sans" w:hAnsi="Open Sans" w:cs="Open Sans"/>
        </w:rPr>
        <w:t xml:space="preserve"> (Cth) s 13(5). </w:t>
      </w:r>
    </w:p>
  </w:endnote>
  <w:endnote w:id="15">
    <w:p w14:paraId="1F8CF4EC" w14:textId="31EC0641" w:rsidR="00DB5341" w:rsidRPr="00800F06" w:rsidRDefault="00DB5341" w:rsidP="007C1D82">
      <w:pPr>
        <w:pStyle w:val="EndnoteText"/>
        <w:ind w:left="284" w:hanging="284"/>
        <w:rPr>
          <w:rFonts w:ascii="Open Sans" w:hAnsi="Open Sans" w:cs="Open Sans"/>
        </w:rPr>
      </w:pPr>
      <w:r w:rsidRPr="00800F06">
        <w:rPr>
          <w:rStyle w:val="EndnoteReference"/>
          <w:rFonts w:ascii="Open Sans" w:hAnsi="Open Sans" w:cs="Open Sans"/>
        </w:rPr>
        <w:endnoteRef/>
      </w:r>
      <w:r w:rsidRPr="00800F06">
        <w:rPr>
          <w:rFonts w:ascii="Open Sans" w:hAnsi="Open Sans" w:cs="Open Sans"/>
        </w:rPr>
        <w:t xml:space="preserve"> </w:t>
      </w:r>
      <w:r>
        <w:rPr>
          <w:rFonts w:ascii="Open Sans" w:hAnsi="Open Sans" w:cs="Open Sans"/>
        </w:rPr>
        <w:tab/>
      </w:r>
      <w:r w:rsidRPr="00800F06">
        <w:rPr>
          <w:rFonts w:ascii="Open Sans" w:hAnsi="Open Sans" w:cs="Open Sans"/>
          <w:i/>
          <w:iCs/>
        </w:rPr>
        <w:t>Public Service Regulations 1999</w:t>
      </w:r>
      <w:r w:rsidRPr="00800F06">
        <w:rPr>
          <w:rFonts w:ascii="Open Sans" w:hAnsi="Open Sans" w:cs="Open Sans"/>
        </w:rPr>
        <w:t xml:space="preserve"> (Cth) reg 2.1. </w:t>
      </w:r>
    </w:p>
  </w:endnote>
  <w:endnote w:id="16">
    <w:p w14:paraId="2366BA7D" w14:textId="4A2ADA48" w:rsidR="00DB5341" w:rsidRPr="00800F06" w:rsidRDefault="00DB5341" w:rsidP="007C1D82">
      <w:pPr>
        <w:pStyle w:val="EndnoteText"/>
        <w:ind w:left="284" w:hanging="284"/>
        <w:rPr>
          <w:rFonts w:ascii="Open Sans" w:hAnsi="Open Sans" w:cs="Open Sans"/>
        </w:rPr>
      </w:pPr>
      <w:r w:rsidRPr="00800F06">
        <w:rPr>
          <w:rStyle w:val="EndnoteReference"/>
          <w:rFonts w:ascii="Open Sans" w:hAnsi="Open Sans" w:cs="Open Sans"/>
        </w:rPr>
        <w:endnoteRef/>
      </w:r>
      <w:r w:rsidRPr="00800F06">
        <w:rPr>
          <w:rFonts w:ascii="Open Sans" w:hAnsi="Open Sans" w:cs="Open Sans"/>
        </w:rPr>
        <w:t xml:space="preserve"> </w:t>
      </w:r>
      <w:r>
        <w:rPr>
          <w:rFonts w:ascii="Open Sans" w:hAnsi="Open Sans" w:cs="Open Sans"/>
        </w:rPr>
        <w:tab/>
      </w:r>
      <w:r w:rsidRPr="00800F06">
        <w:rPr>
          <w:rFonts w:ascii="Open Sans" w:hAnsi="Open Sans" w:cs="Open Sans"/>
        </w:rPr>
        <w:t xml:space="preserve">Australian Public Service Commission, </w:t>
      </w:r>
      <w:r w:rsidRPr="00800F06">
        <w:rPr>
          <w:rFonts w:ascii="Open Sans" w:hAnsi="Open Sans" w:cs="Open Sans"/>
          <w:i/>
          <w:iCs/>
        </w:rPr>
        <w:t>Cyber-bullying of APS employees by members of the public</w:t>
      </w:r>
      <w:r w:rsidRPr="00800F06">
        <w:rPr>
          <w:rFonts w:ascii="Open Sans" w:hAnsi="Open Sans" w:cs="Open Sans"/>
        </w:rPr>
        <w:t xml:space="preserve"> (2018), 2. </w:t>
      </w:r>
    </w:p>
  </w:endnote>
  <w:endnote w:id="17">
    <w:p w14:paraId="53591829" w14:textId="22246F20" w:rsidR="00DB5341" w:rsidRPr="00800F06" w:rsidRDefault="00DB5341" w:rsidP="007C1D82">
      <w:pPr>
        <w:pStyle w:val="EndnoteText"/>
        <w:ind w:left="284" w:hanging="284"/>
      </w:pPr>
      <w:r w:rsidRPr="00800F06">
        <w:rPr>
          <w:rStyle w:val="EndnoteReference"/>
          <w:rFonts w:ascii="Open Sans" w:hAnsi="Open Sans" w:cs="Open Sans"/>
        </w:rPr>
        <w:endnoteRef/>
      </w:r>
      <w:r w:rsidRPr="00800F06">
        <w:rPr>
          <w:rFonts w:ascii="Open Sans" w:hAnsi="Open Sans" w:cs="Open Sans"/>
        </w:rPr>
        <w:t xml:space="preserve"> </w:t>
      </w:r>
      <w:r>
        <w:rPr>
          <w:rFonts w:ascii="Open Sans" w:hAnsi="Open Sans" w:cs="Open Sans"/>
        </w:rPr>
        <w:tab/>
      </w:r>
      <w:r w:rsidRPr="00800F06">
        <w:rPr>
          <w:rFonts w:ascii="Open Sans" w:hAnsi="Open Sans" w:cs="Open Sans"/>
          <w:i/>
          <w:iCs/>
        </w:rPr>
        <w:t>Coulson v Department of Premier and Cabinet</w:t>
      </w:r>
      <w:r w:rsidRPr="00800F06">
        <w:rPr>
          <w:rFonts w:ascii="Open Sans" w:hAnsi="Open Sans" w:cs="Open Sans"/>
        </w:rPr>
        <w:t xml:space="preserve"> </w:t>
      </w:r>
      <w:r w:rsidRPr="00800F06">
        <w:rPr>
          <w:rFonts w:ascii="Open Sans" w:hAnsi="Open Sans" w:cs="Open Sans"/>
          <w:i/>
          <w:iCs/>
        </w:rPr>
        <w:t>(Review and Regulation)</w:t>
      </w:r>
      <w:r w:rsidRPr="00800F06">
        <w:rPr>
          <w:rFonts w:ascii="Open Sans" w:hAnsi="Open Sans" w:cs="Open Sans"/>
        </w:rPr>
        <w:t xml:space="preserve"> [2018] VCAT 229 (20 February 2018), [110]–[119].</w:t>
      </w:r>
    </w:p>
  </w:endnote>
  <w:endnote w:id="18">
    <w:p w14:paraId="2D91E240" w14:textId="6AC7D7CB" w:rsidR="00DB5341" w:rsidRDefault="00DB5341" w:rsidP="007C1D82">
      <w:pPr>
        <w:pStyle w:val="EndnoteText"/>
        <w:ind w:left="284" w:hanging="284"/>
      </w:pPr>
      <w:r>
        <w:rPr>
          <w:rStyle w:val="EndnoteReference"/>
        </w:rPr>
        <w:endnoteRef/>
      </w:r>
      <w:r>
        <w:t xml:space="preserve"> </w:t>
      </w:r>
      <w:r>
        <w:tab/>
      </w:r>
      <w:r w:rsidRPr="00145275">
        <w:rPr>
          <w:rFonts w:ascii="Open Sans" w:hAnsi="Open Sans" w:cs="Open Sans"/>
          <w:spacing w:val="-1"/>
        </w:rPr>
        <w:t>Office of the Australian Information Commissioner,</w:t>
      </w:r>
      <w:r w:rsidRPr="00145275">
        <w:rPr>
          <w:rFonts w:ascii="Open Sans" w:hAnsi="Open Sans" w:cs="Open Sans"/>
        </w:rPr>
        <w:t xml:space="preserve"> </w:t>
      </w:r>
      <w:r w:rsidRPr="00145275">
        <w:rPr>
          <w:rFonts w:ascii="Open Sans" w:hAnsi="Open Sans" w:cs="Open Sans"/>
          <w:i/>
          <w:spacing w:val="-1"/>
        </w:rPr>
        <w:t>Guidelines</w:t>
      </w:r>
      <w:r w:rsidRPr="00145275">
        <w:rPr>
          <w:rFonts w:ascii="Open Sans" w:hAnsi="Open Sans" w:cs="Open Sans"/>
          <w:i/>
        </w:rPr>
        <w:t xml:space="preserve"> </w:t>
      </w:r>
      <w:r w:rsidRPr="00145275">
        <w:rPr>
          <w:rFonts w:ascii="Open Sans" w:hAnsi="Open Sans" w:cs="Open Sans"/>
          <w:i/>
          <w:spacing w:val="-1"/>
        </w:rPr>
        <w:t xml:space="preserve">issued </w:t>
      </w:r>
      <w:r w:rsidRPr="00145275">
        <w:rPr>
          <w:rFonts w:ascii="Open Sans" w:hAnsi="Open Sans" w:cs="Open Sans"/>
          <w:i/>
        </w:rPr>
        <w:t>by</w:t>
      </w:r>
      <w:r w:rsidRPr="00145275">
        <w:rPr>
          <w:rFonts w:ascii="Open Sans" w:hAnsi="Open Sans" w:cs="Open Sans"/>
          <w:i/>
          <w:spacing w:val="-1"/>
        </w:rPr>
        <w:t xml:space="preserve"> </w:t>
      </w:r>
      <w:r w:rsidRPr="00145275">
        <w:rPr>
          <w:rFonts w:ascii="Open Sans" w:hAnsi="Open Sans" w:cs="Open Sans"/>
          <w:i/>
        </w:rPr>
        <w:t>the</w:t>
      </w:r>
      <w:r w:rsidRPr="00145275">
        <w:rPr>
          <w:rFonts w:ascii="Open Sans" w:hAnsi="Open Sans" w:cs="Open Sans"/>
          <w:i/>
          <w:spacing w:val="-1"/>
        </w:rPr>
        <w:t xml:space="preserve"> Australian</w:t>
      </w:r>
      <w:r w:rsidRPr="00145275">
        <w:rPr>
          <w:rFonts w:ascii="Open Sans" w:hAnsi="Open Sans" w:cs="Open Sans"/>
          <w:i/>
          <w:spacing w:val="39"/>
        </w:rPr>
        <w:t xml:space="preserve"> </w:t>
      </w:r>
      <w:r w:rsidRPr="00145275">
        <w:rPr>
          <w:rFonts w:ascii="Open Sans" w:hAnsi="Open Sans" w:cs="Open Sans"/>
          <w:i/>
          <w:spacing w:val="-1"/>
        </w:rPr>
        <w:t>Information Commissioner</w:t>
      </w:r>
      <w:r w:rsidRPr="00145275">
        <w:rPr>
          <w:rFonts w:ascii="Open Sans" w:hAnsi="Open Sans" w:cs="Open Sans"/>
          <w:i/>
          <w:spacing w:val="-2"/>
        </w:rPr>
        <w:t xml:space="preserve"> </w:t>
      </w:r>
      <w:r w:rsidRPr="00145275">
        <w:rPr>
          <w:rFonts w:ascii="Open Sans" w:hAnsi="Open Sans" w:cs="Open Sans"/>
          <w:i/>
          <w:spacing w:val="-1"/>
        </w:rPr>
        <w:t xml:space="preserve">under </w:t>
      </w:r>
      <w:r w:rsidRPr="00145275">
        <w:rPr>
          <w:rFonts w:ascii="Open Sans" w:hAnsi="Open Sans" w:cs="Open Sans"/>
          <w:i/>
          <w:u w:color="0044BB"/>
        </w:rPr>
        <w:t>s</w:t>
      </w:r>
      <w:r w:rsidRPr="00145275">
        <w:rPr>
          <w:rFonts w:ascii="Open Sans" w:hAnsi="Open Sans" w:cs="Open Sans"/>
          <w:i/>
          <w:spacing w:val="-1"/>
          <w:u w:color="0044BB"/>
        </w:rPr>
        <w:t xml:space="preserve"> </w:t>
      </w:r>
      <w:r w:rsidRPr="00145275">
        <w:rPr>
          <w:rFonts w:ascii="Open Sans" w:hAnsi="Open Sans" w:cs="Open Sans"/>
          <w:i/>
          <w:u w:color="0044BB"/>
        </w:rPr>
        <w:t>93A</w:t>
      </w:r>
      <w:r w:rsidRPr="00145275">
        <w:rPr>
          <w:rFonts w:ascii="Open Sans" w:hAnsi="Open Sans" w:cs="Open Sans"/>
          <w:i/>
          <w:spacing w:val="-3"/>
          <w:u w:color="0044BB"/>
        </w:rPr>
        <w:t xml:space="preserve"> </w:t>
      </w:r>
      <w:r w:rsidRPr="00145275">
        <w:rPr>
          <w:rFonts w:ascii="Open Sans" w:hAnsi="Open Sans" w:cs="Open Sans"/>
          <w:i/>
          <w:spacing w:val="-1"/>
        </w:rPr>
        <w:t xml:space="preserve">of the </w:t>
      </w:r>
      <w:r w:rsidRPr="00145275">
        <w:rPr>
          <w:rFonts w:ascii="Open Sans" w:hAnsi="Open Sans" w:cs="Open Sans"/>
          <w:i/>
          <w:spacing w:val="-1"/>
          <w:u w:color="0044BB"/>
        </w:rPr>
        <w:t>Freedom</w:t>
      </w:r>
      <w:r w:rsidRPr="00145275">
        <w:rPr>
          <w:rFonts w:ascii="Open Sans" w:hAnsi="Open Sans" w:cs="Open Sans"/>
          <w:i/>
          <w:spacing w:val="-2"/>
          <w:u w:color="0044BB"/>
        </w:rPr>
        <w:t xml:space="preserve"> </w:t>
      </w:r>
      <w:r w:rsidRPr="00145275">
        <w:rPr>
          <w:rFonts w:ascii="Open Sans" w:hAnsi="Open Sans" w:cs="Open Sans"/>
          <w:i/>
          <w:u w:color="0044BB"/>
        </w:rPr>
        <w:t xml:space="preserve">of </w:t>
      </w:r>
      <w:r w:rsidRPr="00145275">
        <w:rPr>
          <w:rFonts w:ascii="Open Sans" w:hAnsi="Open Sans" w:cs="Open Sans"/>
          <w:i/>
          <w:spacing w:val="-1"/>
          <w:u w:color="0044BB"/>
        </w:rPr>
        <w:t xml:space="preserve">Information </w:t>
      </w:r>
      <w:r w:rsidRPr="00145275">
        <w:rPr>
          <w:rFonts w:ascii="Open Sans" w:hAnsi="Open Sans" w:cs="Open Sans"/>
          <w:i/>
          <w:u w:color="0044BB"/>
        </w:rPr>
        <w:t>Act</w:t>
      </w:r>
      <w:r w:rsidRPr="00145275">
        <w:rPr>
          <w:rFonts w:ascii="Open Sans" w:hAnsi="Open Sans" w:cs="Open Sans"/>
          <w:i/>
          <w:spacing w:val="-1"/>
          <w:u w:color="0044BB"/>
        </w:rPr>
        <w:t xml:space="preserve"> </w:t>
      </w:r>
      <w:r w:rsidRPr="00145275">
        <w:rPr>
          <w:rFonts w:ascii="Open Sans" w:hAnsi="Open Sans" w:cs="Open Sans"/>
          <w:i/>
          <w:u w:color="0044BB"/>
        </w:rPr>
        <w:t>1982</w:t>
      </w:r>
      <w:r w:rsidRPr="00145275">
        <w:rPr>
          <w:rFonts w:ascii="Open Sans" w:hAnsi="Open Sans" w:cs="Open Sans"/>
        </w:rPr>
        <w:t xml:space="preserve"> (Combined 2019), [6.15</w:t>
      </w:r>
      <w:r>
        <w:rPr>
          <w:rFonts w:ascii="Open Sans" w:hAnsi="Open Sans" w:cs="Open Sans"/>
        </w:rPr>
        <w:t>6</w:t>
      </w:r>
      <w:r w:rsidRPr="00145275">
        <w:rPr>
          <w:rFonts w:ascii="Open Sans" w:hAnsi="Open Sans" w:cs="Open Sans"/>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Open Sans">
    <w:panose1 w:val="020B0606030504020204"/>
    <w:charset w:val="00"/>
    <w:family w:val="swiss"/>
    <w:pitch w:val="variable"/>
    <w:sig w:usb0="E00002EF" w:usb1="4000205B" w:usb2="00000028" w:usb3="00000000" w:csb0="0000019F" w:csb1="00000000"/>
  </w:font>
  <w:font w:name="ArialMT">
    <w:altName w:val="Arial"/>
    <w:charset w:val="00"/>
    <w:family w:val="auto"/>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BE2F0" w14:textId="77777777" w:rsidR="00522D78" w:rsidRPr="0090165F" w:rsidRDefault="00522D78" w:rsidP="00162A8D">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B8877" w14:textId="77777777" w:rsidR="00522D78" w:rsidRPr="004A187B" w:rsidRDefault="00522D78" w:rsidP="008B23BC">
    <w:pPr>
      <w:pStyle w:val="Footer"/>
    </w:pPr>
    <w:r>
      <w:rPr>
        <w:noProof/>
        <w:lang w:val="en-US" w:eastAsia="en-US"/>
      </w:rPr>
      <mc:AlternateContent>
        <mc:Choice Requires="wps">
          <w:drawing>
            <wp:anchor distT="0" distB="0" distL="114300" distR="114300" simplePos="0" relativeHeight="251655168" behindDoc="0" locked="0" layoutInCell="1" allowOverlap="1" wp14:anchorId="5E808C06" wp14:editId="5C6F9E4B">
              <wp:simplePos x="0" y="0"/>
              <wp:positionH relativeFrom="column">
                <wp:posOffset>-548005</wp:posOffset>
              </wp:positionH>
              <wp:positionV relativeFrom="paragraph">
                <wp:posOffset>-1305560</wp:posOffset>
              </wp:positionV>
              <wp:extent cx="6071235" cy="854075"/>
              <wp:effectExtent l="0" t="0" r="5715" b="317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71235" cy="854075"/>
                      </a:xfrm>
                      <a:prstGeom prst="rect">
                        <a:avLst/>
                      </a:prstGeom>
                      <a:noFill/>
                      <a:ln w="6350">
                        <a:noFill/>
                      </a:ln>
                      <a:effectLst/>
                    </wps:spPr>
                    <wps:txbx>
                      <w:txbxContent>
                        <w:p w14:paraId="0A5FF884" w14:textId="77777777" w:rsidR="00522D78" w:rsidRPr="0003606D" w:rsidRDefault="00522D78" w:rsidP="0003606D">
                          <w:pPr>
                            <w:pStyle w:val="coveraddresses"/>
                          </w:pPr>
                          <w:r w:rsidRPr="0003606D">
                            <w:t>ABN 47 996 232 602</w:t>
                          </w:r>
                        </w:p>
                        <w:p w14:paraId="1ECD850C" w14:textId="77777777" w:rsidR="00522D78" w:rsidRPr="0003606D" w:rsidRDefault="00522D78" w:rsidP="0003606D">
                          <w:pPr>
                            <w:pStyle w:val="coveraddresses"/>
                          </w:pPr>
                          <w:r w:rsidRPr="0003606D">
                            <w:t>Level 3, 175 Pitt Street, Sydney NSW 2000</w:t>
                          </w:r>
                        </w:p>
                        <w:p w14:paraId="4D75CD76" w14:textId="77777777" w:rsidR="00522D78" w:rsidRPr="0003606D" w:rsidRDefault="00522D78" w:rsidP="0003606D">
                          <w:pPr>
                            <w:pStyle w:val="coveraddresses"/>
                          </w:pPr>
                          <w:r w:rsidRPr="0003606D">
                            <w:t>GPO Box 5218, Sydney NSW 2001</w:t>
                          </w:r>
                        </w:p>
                        <w:p w14:paraId="3B58193C" w14:textId="77777777" w:rsidR="00522D78" w:rsidRPr="0003606D" w:rsidRDefault="00522D78" w:rsidP="0003606D">
                          <w:pPr>
                            <w:pStyle w:val="coveraddresses"/>
                          </w:pPr>
                          <w:r w:rsidRPr="0003606D">
                            <w:t>General enquiries 1300 369 711</w:t>
                          </w:r>
                        </w:p>
                        <w:p w14:paraId="3DCCE5D1" w14:textId="77777777" w:rsidR="00522D78" w:rsidRPr="0003606D" w:rsidRDefault="00522D78" w:rsidP="0003606D">
                          <w:pPr>
                            <w:pStyle w:val="coveraddresses"/>
                          </w:pPr>
                          <w:r w:rsidRPr="0003606D">
                            <w:t>Complaints info line 1300 656 419</w:t>
                          </w:r>
                        </w:p>
                        <w:p w14:paraId="789966A7" w14:textId="77777777" w:rsidR="00522D78" w:rsidRPr="0003606D" w:rsidRDefault="00522D78" w:rsidP="0003606D">
                          <w:pPr>
                            <w:pStyle w:val="coveraddresses"/>
                          </w:pPr>
                          <w:r w:rsidRPr="0003606D">
                            <w:t>TTY 1800 620 241</w:t>
                          </w:r>
                        </w:p>
                        <w:p w14:paraId="30040BCE" w14:textId="77777777" w:rsidR="00522D78" w:rsidRPr="00B63D24" w:rsidRDefault="00522D78" w:rsidP="00B63D24">
                          <w:pPr>
                            <w:pStyle w:val="Footer"/>
                          </w:pPr>
                          <w:r w:rsidRPr="00B63D24">
                            <w:tab/>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808C06" id="_x0000_t202" coordsize="21600,21600" o:spt="202" path="m,l,21600r21600,l21600,xe">
              <v:stroke joinstyle="miter"/>
              <v:path gradientshapeok="t" o:connecttype="rect"/>
            </v:shapetype>
            <v:shape id="Text Box 9" o:spid="_x0000_s1029" type="#_x0000_t202" style="position:absolute;margin-left:-43.15pt;margin-top:-102.8pt;width:478.05pt;height:67.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" filled="f" stroked="f" strokeweight=".5pt">
              <v:textbox inset="0,0,0,0">
                <w:txbxContent>
                  <w:p w14:paraId="0A5FF884" w14:textId="77777777" w:rsidR="00522D78" w:rsidRPr="0003606D" w:rsidRDefault="00522D78" w:rsidP="0003606D">
                    <w:pPr>
                      <w:pStyle w:val="coveraddresses"/>
                    </w:pPr>
                    <w:r w:rsidRPr="0003606D">
                      <w:t>ABN 47 996 232 602</w:t>
                    </w:r>
                  </w:p>
                  <w:p w14:paraId="1ECD850C" w14:textId="77777777" w:rsidR="00522D78" w:rsidRPr="0003606D" w:rsidRDefault="00522D78" w:rsidP="0003606D">
                    <w:pPr>
                      <w:pStyle w:val="coveraddresses"/>
                    </w:pPr>
                    <w:r w:rsidRPr="0003606D">
                      <w:t>Level 3, 175 Pitt Street, Sydney NSW 2000</w:t>
                    </w:r>
                  </w:p>
                  <w:p w14:paraId="4D75CD76" w14:textId="77777777" w:rsidR="00522D78" w:rsidRPr="0003606D" w:rsidRDefault="00522D78" w:rsidP="0003606D">
                    <w:pPr>
                      <w:pStyle w:val="coveraddresses"/>
                    </w:pPr>
                    <w:r w:rsidRPr="0003606D">
                      <w:t>GPO Box 5218, Sydney NSW 2001</w:t>
                    </w:r>
                  </w:p>
                  <w:p w14:paraId="3B58193C" w14:textId="77777777" w:rsidR="00522D78" w:rsidRPr="0003606D" w:rsidRDefault="00522D78" w:rsidP="0003606D">
                    <w:pPr>
                      <w:pStyle w:val="coveraddresses"/>
                    </w:pPr>
                    <w:r w:rsidRPr="0003606D">
                      <w:t>General enquiries 1300 369 711</w:t>
                    </w:r>
                  </w:p>
                  <w:p w14:paraId="3DCCE5D1" w14:textId="77777777" w:rsidR="00522D78" w:rsidRPr="0003606D" w:rsidRDefault="00522D78" w:rsidP="0003606D">
                    <w:pPr>
                      <w:pStyle w:val="coveraddresses"/>
                    </w:pPr>
                    <w:r w:rsidRPr="0003606D">
                      <w:t>Complaints info line 1300 656 419</w:t>
                    </w:r>
                  </w:p>
                  <w:p w14:paraId="789966A7" w14:textId="77777777" w:rsidR="00522D78" w:rsidRPr="0003606D" w:rsidRDefault="00522D78" w:rsidP="0003606D">
                    <w:pPr>
                      <w:pStyle w:val="coveraddresses"/>
                    </w:pPr>
                    <w:r w:rsidRPr="0003606D">
                      <w:t>TTY 1800 620 241</w:t>
                    </w:r>
                  </w:p>
                  <w:p w14:paraId="30040BCE" w14:textId="77777777" w:rsidR="00522D78" w:rsidRPr="00B63D24" w:rsidRDefault="00522D78" w:rsidP="00B63D24">
                    <w:pPr>
                      <w:pStyle w:val="Footer"/>
                    </w:pPr>
                    <w:r w:rsidRPr="00B63D24">
                      <w:tab/>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4B74C" w14:textId="650E1659" w:rsidR="00522D78" w:rsidRPr="0090165F" w:rsidRDefault="00522D78" w:rsidP="00162A8D">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8DE1D" w14:textId="77777777" w:rsidR="00A10910" w:rsidRPr="0090165F" w:rsidRDefault="00A10910" w:rsidP="00162A8D">
    <w:pPr>
      <w:pStyle w:val="Footer"/>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10</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2D925E" w14:textId="77777777" w:rsidR="00522D78" w:rsidRDefault="00522D78" w:rsidP="00F14C6D">
      <w:r>
        <w:separator/>
      </w:r>
    </w:p>
  </w:footnote>
  <w:footnote w:type="continuationSeparator" w:id="0">
    <w:p w14:paraId="56746BAB" w14:textId="77777777" w:rsidR="00522D78" w:rsidRDefault="00522D78" w:rsidP="00F14C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A770C" w14:textId="77777777" w:rsidR="00522D78" w:rsidRDefault="00AB4454">
    <w:pPr>
      <w:pStyle w:val="Header"/>
    </w:pPr>
    <w:r>
      <w:rPr>
        <w:noProof/>
      </w:rPr>
      <w:pict w14:anchorId="0265DF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18" o:spid="_x0000_s2053" type="#_x0000_t75" style="position:absolute;margin-left:0;margin-top:0;width:595.65pt;height:870.15pt;z-index:-251656192;mso-position-horizontal:center;mso-position-horizontal-relative:margin;mso-position-vertical:center;mso-position-vertical-relative:margin" o:allowincell="f">
          <v:imagedata r:id="rId1" o:title="MS word cover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67AB4" w14:textId="77777777" w:rsidR="00522D78" w:rsidRPr="00D27262" w:rsidRDefault="00AB4454" w:rsidP="002B1B65">
    <w:pPr>
      <w:spacing w:before="0" w:after="0"/>
      <w:jc w:val="right"/>
      <w:rPr>
        <w:sz w:val="22"/>
        <w:szCs w:val="22"/>
      </w:rPr>
    </w:pPr>
    <w:r>
      <w:rPr>
        <w:noProof/>
        <w:sz w:val="22"/>
        <w:szCs w:val="22"/>
      </w:rPr>
      <w:pict w14:anchorId="193C04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19" o:spid="_x0000_s2052" type="#_x0000_t75" style="position:absolute;left:0;text-align:left;margin-left:0;margin-top:0;width:595.65pt;height:870.15pt;z-index:-251655168;mso-position-horizontal:center;mso-position-horizontal-relative:margin;mso-position-vertical:center;mso-position-vertical-relative:margin" o:allowincell="f">
          <v:imagedata r:id="rId1" o:title="MS word cover1"/>
          <w10:wrap anchorx="margin" anchory="margin"/>
        </v:shape>
      </w:pict>
    </w:r>
    <w:r w:rsidR="00522D78" w:rsidRPr="00D27262">
      <w:rPr>
        <w:sz w:val="22"/>
        <w:szCs w:val="22"/>
      </w:rPr>
      <w:t>Au</w:t>
    </w:r>
    <w:r w:rsidR="00522D78">
      <w:rPr>
        <w:sz w:val="22"/>
        <w:szCs w:val="22"/>
      </w:rPr>
      <w:t>stralian Human Rights Commission</w:t>
    </w:r>
  </w:p>
  <w:p w14:paraId="546E0742" w14:textId="77777777" w:rsidR="00522D78" w:rsidRDefault="00522D78" w:rsidP="002B1B65">
    <w:pPr>
      <w:pStyle w:val="Footer"/>
      <w:jc w:val="right"/>
      <w:rPr>
        <w:i/>
        <w:szCs w:val="22"/>
      </w:rPr>
    </w:pPr>
    <w:r w:rsidRPr="00D27262">
      <w:rPr>
        <w:b/>
        <w:i/>
        <w:szCs w:val="22"/>
      </w:rPr>
      <w:t>Short document title</w:t>
    </w:r>
    <w:r w:rsidRPr="00D27262">
      <w:rPr>
        <w:i/>
        <w:szCs w:val="22"/>
      </w:rPr>
      <w:t xml:space="preserve">, </w:t>
    </w:r>
    <w:r>
      <w:rPr>
        <w:i/>
        <w:szCs w:val="22"/>
      </w:rPr>
      <w:t>Short description – Date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49" w:type="dxa"/>
      <w:tblInd w:w="108" w:type="dxa"/>
      <w:tblLayout w:type="fixed"/>
      <w:tblLook w:val="00A0" w:firstRow="1" w:lastRow="0" w:firstColumn="1" w:lastColumn="0" w:noHBand="0" w:noVBand="0"/>
    </w:tblPr>
    <w:tblGrid>
      <w:gridCol w:w="1508"/>
      <w:gridCol w:w="2688"/>
      <w:gridCol w:w="2302"/>
      <w:gridCol w:w="2130"/>
      <w:gridCol w:w="1721"/>
    </w:tblGrid>
    <w:tr w:rsidR="00522D78" w:rsidRPr="00B85DD4" w14:paraId="6F5B0C51" w14:textId="77777777" w:rsidTr="00165E3C">
      <w:trPr>
        <w:trHeight w:val="1276"/>
      </w:trPr>
      <w:tc>
        <w:tcPr>
          <w:tcW w:w="1508" w:type="dxa"/>
        </w:tcPr>
        <w:p w14:paraId="50CAED44" w14:textId="77777777" w:rsidR="00522D78" w:rsidRPr="00B85DD4" w:rsidRDefault="00522D78" w:rsidP="00B520BC">
          <w:pPr>
            <w:pStyle w:val="Header"/>
            <w:tabs>
              <w:tab w:val="left" w:pos="4686"/>
              <w:tab w:val="left" w:pos="7088"/>
              <w:tab w:val="left" w:pos="7242"/>
            </w:tabs>
            <w:ind w:left="-108"/>
            <w:rPr>
              <w:rFonts w:cs="ArialMT"/>
              <w:b/>
              <w:spacing w:val="-20"/>
            </w:rPr>
          </w:pPr>
        </w:p>
      </w:tc>
      <w:tc>
        <w:tcPr>
          <w:tcW w:w="2688" w:type="dxa"/>
          <w:vAlign w:val="center"/>
        </w:tcPr>
        <w:p w14:paraId="13FD360D" w14:textId="77777777" w:rsidR="00522D78" w:rsidRPr="00B85DD4" w:rsidRDefault="00522D78" w:rsidP="002B1B65">
          <w:pPr>
            <w:spacing w:before="0" w:after="0"/>
            <w:rPr>
              <w:rFonts w:cs="ArialMT"/>
              <w:i/>
              <w:color w:val="808080"/>
              <w:sz w:val="17"/>
            </w:rPr>
          </w:pPr>
        </w:p>
      </w:tc>
      <w:tc>
        <w:tcPr>
          <w:tcW w:w="2302" w:type="dxa"/>
        </w:tcPr>
        <w:p w14:paraId="740F5D39" w14:textId="77777777" w:rsidR="00522D78" w:rsidRPr="00B85DD4" w:rsidRDefault="00522D78" w:rsidP="00B520BC">
          <w:pPr>
            <w:pStyle w:val="HeaderFooter"/>
            <w:rPr>
              <w:b/>
              <w:spacing w:val="-20"/>
              <w:sz w:val="40"/>
            </w:rPr>
          </w:pPr>
        </w:p>
      </w:tc>
      <w:tc>
        <w:tcPr>
          <w:tcW w:w="2130" w:type="dxa"/>
        </w:tcPr>
        <w:p w14:paraId="0C783F02" w14:textId="77777777" w:rsidR="00522D78" w:rsidRPr="00B85DD4" w:rsidRDefault="00522D78" w:rsidP="00B520BC">
          <w:pPr>
            <w:pStyle w:val="HeaderFooter"/>
            <w:rPr>
              <w:b/>
              <w:spacing w:val="-20"/>
              <w:sz w:val="40"/>
            </w:rPr>
          </w:pPr>
        </w:p>
      </w:tc>
      <w:tc>
        <w:tcPr>
          <w:tcW w:w="1721" w:type="dxa"/>
        </w:tcPr>
        <w:p w14:paraId="7C15E765" w14:textId="77777777" w:rsidR="00522D78" w:rsidRPr="00B85DD4" w:rsidRDefault="00522D78" w:rsidP="00B520BC">
          <w:pPr>
            <w:pStyle w:val="HeaderFooter"/>
            <w:spacing w:before="227" w:after="340"/>
            <w:rPr>
              <w:b/>
              <w:spacing w:val="-20"/>
              <w:sz w:val="40"/>
            </w:rPr>
          </w:pPr>
        </w:p>
      </w:tc>
    </w:tr>
  </w:tbl>
  <w:p w14:paraId="12F47EBB" w14:textId="77777777" w:rsidR="00522D78" w:rsidRDefault="00AB4454">
    <w:pPr>
      <w:pStyle w:val="Header"/>
    </w:pPr>
    <w:r>
      <w:rPr>
        <w:rFonts w:cs="ArialMT"/>
        <w:b/>
        <w:noProof/>
        <w:spacing w:val="-20"/>
      </w:rPr>
      <w:pict w14:anchorId="2E8925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17" o:spid="_x0000_s2051" type="#_x0000_t75" style="position:absolute;margin-left:-71.05pt;margin-top:-116pt;width:595.65pt;height:870.15pt;z-index:-251654144;mso-position-horizontal-relative:margin;mso-position-vertical-relative:margin" o:allowincell="f">
          <v:imagedata r:id="rId1" o:title="MS word cover1"/>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C7FFE" w14:textId="77777777" w:rsidR="00522D78" w:rsidRDefault="00AB4454">
    <w:pPr>
      <w:pStyle w:val="Header"/>
    </w:pPr>
    <w:r>
      <w:rPr>
        <w:noProof/>
      </w:rPr>
      <w:pict w14:anchorId="0B2ED6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21" o:spid="_x0000_s2050" type="#_x0000_t75" style="position:absolute;margin-left:0;margin-top:0;width:595.65pt;height:870.15pt;z-index:-251653120;mso-position-horizontal:center;mso-position-horizontal-relative:margin;mso-position-vertical:center;mso-position-vertical-relative:margin" o:allowincell="f">
          <v:imagedata r:id="rId1" o:title="MS word cover1"/>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EF9EA" w14:textId="2DE977F8" w:rsidR="00522D78" w:rsidRPr="00D27262" w:rsidRDefault="00522D78" w:rsidP="00B34946">
    <w:pPr>
      <w:spacing w:before="0" w:after="60"/>
      <w:jc w:val="right"/>
      <w:rPr>
        <w:sz w:val="22"/>
        <w:szCs w:val="22"/>
      </w:rPr>
    </w:pPr>
    <w:r w:rsidRPr="00D27262">
      <w:rPr>
        <w:sz w:val="22"/>
        <w:szCs w:val="22"/>
      </w:rPr>
      <w:t>Au</w:t>
    </w:r>
    <w:r>
      <w:rPr>
        <w:sz w:val="22"/>
        <w:szCs w:val="22"/>
      </w:rPr>
      <w:t>stralian Human Rights Commission</w:t>
    </w:r>
  </w:p>
  <w:p w14:paraId="30CD9F66" w14:textId="1325096E" w:rsidR="00522D78" w:rsidRPr="00D729AD" w:rsidRDefault="00DA6E28" w:rsidP="002F4CE1">
    <w:pPr>
      <w:pStyle w:val="Footer"/>
      <w:spacing w:after="240"/>
      <w:jc w:val="right"/>
      <w:rPr>
        <w:i/>
        <w:szCs w:val="18"/>
      </w:rPr>
    </w:pPr>
    <w:r>
      <w:rPr>
        <w:i/>
        <w:szCs w:val="18"/>
      </w:rPr>
      <w:t>OAIC c</w:t>
    </w:r>
    <w:r w:rsidRPr="00DA6E28">
      <w:rPr>
        <w:i/>
        <w:szCs w:val="18"/>
      </w:rPr>
      <w:t xml:space="preserve">onsultation regarding the disclosure of public servants’ names and contact details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49" w:type="dxa"/>
      <w:tblInd w:w="108" w:type="dxa"/>
      <w:tblLayout w:type="fixed"/>
      <w:tblLook w:val="00A0" w:firstRow="1" w:lastRow="0" w:firstColumn="1" w:lastColumn="0" w:noHBand="0" w:noVBand="0"/>
    </w:tblPr>
    <w:tblGrid>
      <w:gridCol w:w="1508"/>
      <w:gridCol w:w="2688"/>
      <w:gridCol w:w="2302"/>
      <w:gridCol w:w="2130"/>
      <w:gridCol w:w="1721"/>
    </w:tblGrid>
    <w:tr w:rsidR="00522D78" w:rsidRPr="00B85DD4" w14:paraId="2AC43025" w14:textId="77777777" w:rsidTr="002B1B65">
      <w:trPr>
        <w:trHeight w:val="1603"/>
      </w:trPr>
      <w:tc>
        <w:tcPr>
          <w:tcW w:w="1508" w:type="dxa"/>
        </w:tcPr>
        <w:p w14:paraId="42E5C984" w14:textId="77777777" w:rsidR="00522D78" w:rsidRPr="00B85DD4" w:rsidRDefault="00522D78" w:rsidP="00B520BC">
          <w:pPr>
            <w:pStyle w:val="Header"/>
            <w:tabs>
              <w:tab w:val="left" w:pos="4686"/>
              <w:tab w:val="left" w:pos="7088"/>
              <w:tab w:val="left" w:pos="7242"/>
            </w:tabs>
            <w:ind w:left="-108"/>
            <w:rPr>
              <w:rFonts w:cs="ArialMT"/>
              <w:b/>
              <w:spacing w:val="-20"/>
            </w:rPr>
          </w:pPr>
          <w:r>
            <w:rPr>
              <w:rFonts w:cs="ArialMT"/>
              <w:b/>
              <w:noProof/>
              <w:spacing w:val="-20"/>
              <w:lang w:val="en-US" w:eastAsia="en-US"/>
            </w:rPr>
            <w:drawing>
              <wp:inline distT="0" distB="0" distL="0" distR="0" wp14:anchorId="1EF90138" wp14:editId="41189822">
                <wp:extent cx="819150" cy="819150"/>
                <wp:effectExtent l="0" t="0" r="0" b="0"/>
                <wp:docPr id="1" name="Picture 2" descr="Description: Description: HREOC-Globe_PMS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HREOC-Globe_PMS_P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inline>
            </w:drawing>
          </w:r>
        </w:p>
      </w:tc>
      <w:tc>
        <w:tcPr>
          <w:tcW w:w="2688" w:type="dxa"/>
          <w:vAlign w:val="center"/>
        </w:tcPr>
        <w:p w14:paraId="04709E8E" w14:textId="77777777" w:rsidR="00522D78" w:rsidRPr="00D36BB2" w:rsidRDefault="00522D78" w:rsidP="002B1B65">
          <w:pPr>
            <w:pStyle w:val="LogoType"/>
            <w:pBdr>
              <w:bottom w:val="single" w:sz="4" w:space="1" w:color="808080"/>
            </w:pBdr>
            <w:spacing w:line="240" w:lineRule="auto"/>
          </w:pPr>
          <w:r w:rsidRPr="00D36BB2">
            <w:t>Australian</w:t>
          </w:r>
        </w:p>
        <w:p w14:paraId="6F7F59A4" w14:textId="77777777" w:rsidR="00522D78" w:rsidRPr="00D36BB2" w:rsidRDefault="00522D78" w:rsidP="002B1B65">
          <w:pPr>
            <w:pStyle w:val="LogoType"/>
            <w:pBdr>
              <w:bottom w:val="single" w:sz="4" w:space="1" w:color="808080"/>
            </w:pBdr>
            <w:spacing w:line="240" w:lineRule="auto"/>
          </w:pPr>
          <w:r w:rsidRPr="00D36BB2">
            <w:t>Human Rights</w:t>
          </w:r>
        </w:p>
        <w:p w14:paraId="039EE14B" w14:textId="77777777" w:rsidR="00522D78" w:rsidRPr="00D36BB2" w:rsidRDefault="00522D78" w:rsidP="002B1B65">
          <w:pPr>
            <w:pStyle w:val="LogoType"/>
            <w:pBdr>
              <w:bottom w:val="single" w:sz="4" w:space="1" w:color="808080"/>
            </w:pBdr>
            <w:spacing w:line="240" w:lineRule="auto"/>
          </w:pPr>
          <w:r w:rsidRPr="00D36BB2">
            <w:t>Commission</w:t>
          </w:r>
        </w:p>
        <w:p w14:paraId="01359F57" w14:textId="77777777" w:rsidR="00522D78" w:rsidRPr="00B85DD4" w:rsidRDefault="00522D78" w:rsidP="002B1B65">
          <w:pPr>
            <w:spacing w:before="0" w:after="0"/>
            <w:rPr>
              <w:rFonts w:cs="ArialMT"/>
              <w:i/>
              <w:color w:val="808080"/>
              <w:sz w:val="17"/>
            </w:rPr>
          </w:pPr>
          <w:r w:rsidRPr="00B85DD4">
            <w:rPr>
              <w:rFonts w:cs="ArialMT"/>
              <w:i/>
              <w:color w:val="808080"/>
              <w:sz w:val="17"/>
            </w:rPr>
            <w:t>everyone, everywhere, everyday</w:t>
          </w:r>
        </w:p>
      </w:tc>
      <w:tc>
        <w:tcPr>
          <w:tcW w:w="2302" w:type="dxa"/>
        </w:tcPr>
        <w:p w14:paraId="012E7CB7" w14:textId="77777777" w:rsidR="00522D78" w:rsidRPr="00B85DD4" w:rsidRDefault="00522D78" w:rsidP="00B520BC">
          <w:pPr>
            <w:pStyle w:val="HeaderFooter"/>
            <w:rPr>
              <w:b/>
              <w:spacing w:val="-20"/>
              <w:sz w:val="40"/>
            </w:rPr>
          </w:pPr>
        </w:p>
      </w:tc>
      <w:tc>
        <w:tcPr>
          <w:tcW w:w="2130" w:type="dxa"/>
        </w:tcPr>
        <w:p w14:paraId="6F731D1E" w14:textId="77777777" w:rsidR="00522D78" w:rsidRPr="00B85DD4" w:rsidRDefault="00522D78" w:rsidP="00B520BC">
          <w:pPr>
            <w:pStyle w:val="HeaderFooter"/>
            <w:rPr>
              <w:b/>
              <w:spacing w:val="-20"/>
              <w:sz w:val="40"/>
            </w:rPr>
          </w:pPr>
        </w:p>
      </w:tc>
      <w:tc>
        <w:tcPr>
          <w:tcW w:w="1721" w:type="dxa"/>
        </w:tcPr>
        <w:p w14:paraId="2E310CC8" w14:textId="77777777" w:rsidR="00522D78" w:rsidRPr="00B85DD4" w:rsidRDefault="00522D78" w:rsidP="00B520BC">
          <w:pPr>
            <w:pStyle w:val="HeaderFooter"/>
            <w:spacing w:before="227" w:after="340"/>
            <w:rPr>
              <w:b/>
              <w:spacing w:val="-20"/>
              <w:sz w:val="40"/>
            </w:rPr>
          </w:pPr>
        </w:p>
      </w:tc>
    </w:tr>
  </w:tbl>
  <w:p w14:paraId="4377CCF7" w14:textId="77777777" w:rsidR="00522D78" w:rsidRDefault="00AB4454">
    <w:pPr>
      <w:pStyle w:val="Header"/>
    </w:pPr>
    <w:r>
      <w:rPr>
        <w:rFonts w:cs="ArialMT"/>
        <w:b/>
        <w:noProof/>
        <w:spacing w:val="-20"/>
      </w:rPr>
      <w:pict w14:anchorId="7CFC65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20" o:spid="_x0000_s2049" type="#_x0000_t75" style="position:absolute;margin-left:0;margin-top:0;width:595.65pt;height:870.15pt;z-index:-251652096;mso-position-horizontal:center;mso-position-horizontal-relative:margin;mso-position-vertical:center;mso-position-vertical-relative:margin" o:allowincell="f">
          <v:imagedata r:id="rId2" o:title="MS word cover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3FEF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D00DF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DCB237C"/>
    <w:multiLevelType w:val="hybridMultilevel"/>
    <w:tmpl w:val="886AAE66"/>
    <w:lvl w:ilvl="0" w:tplc="A32EC982">
      <w:start w:val="1"/>
      <w:numFmt w:val="decimal"/>
      <w:pStyle w:val="SubmissionNormal"/>
      <w:lvlText w:val="%1."/>
      <w:lvlJc w:val="left"/>
      <w:pPr>
        <w:tabs>
          <w:tab w:val="num" w:pos="360"/>
        </w:tabs>
        <w:ind w:left="360" w:hanging="360"/>
      </w:pPr>
      <w:rPr>
        <w:rFonts w:hint="default"/>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49FF7A73"/>
    <w:multiLevelType w:val="multilevel"/>
    <w:tmpl w:val="D5CC79B0"/>
    <w:lvl w:ilvl="0">
      <w:start w:val="5"/>
      <w:numFmt w:val="decimal"/>
      <w:pStyle w:val="Heading1"/>
      <w:lvlText w:val="%1"/>
      <w:lvlJc w:val="left"/>
      <w:pPr>
        <w:tabs>
          <w:tab w:val="num" w:pos="851"/>
        </w:tabs>
        <w:ind w:left="851" w:hanging="851"/>
      </w:pPr>
      <w:rPr>
        <w:rFonts w:hint="default"/>
        <w:i w:val="0"/>
        <w:iCs w:val="0"/>
      </w:rPr>
    </w:lvl>
    <w:lvl w:ilvl="1">
      <w:start w:val="1"/>
      <w:numFmt w:val="decimal"/>
      <w:pStyle w:val="Heading2"/>
      <w:lvlText w:val="%1.%2"/>
      <w:lvlJc w:val="left"/>
      <w:pPr>
        <w:tabs>
          <w:tab w:val="num" w:pos="851"/>
        </w:tabs>
        <w:ind w:left="851" w:hanging="851"/>
      </w:pPr>
      <w:rPr>
        <w:rFonts w:hint="default"/>
      </w:rPr>
    </w:lvl>
    <w:lvl w:ilvl="2">
      <w:start w:val="1"/>
      <w:numFmt w:val="lowerLetter"/>
      <w:pStyle w:val="Heading3"/>
      <w:lvlText w:val="(%3)"/>
      <w:lvlJc w:val="left"/>
      <w:pPr>
        <w:tabs>
          <w:tab w:val="num" w:pos="851"/>
        </w:tabs>
        <w:ind w:left="851" w:hanging="851"/>
      </w:pPr>
      <w:rPr>
        <w:rFonts w:hint="default"/>
      </w:rPr>
    </w:lvl>
    <w:lvl w:ilvl="3">
      <w:start w:val="1"/>
      <w:numFmt w:val="lowerRoman"/>
      <w:pStyle w:val="Heading4"/>
      <w:lvlText w:val="(%4)"/>
      <w:lvlJc w:val="left"/>
      <w:pPr>
        <w:tabs>
          <w:tab w:val="num" w:pos="851"/>
        </w:tabs>
        <w:ind w:left="851" w:hanging="851"/>
      </w:pPr>
      <w:rPr>
        <w:rFonts w:hint="default"/>
      </w:rPr>
    </w:lvl>
    <w:lvl w:ilvl="4">
      <w:start w:val="1"/>
      <w:numFmt w:val="decimal"/>
      <w:pStyle w:val="Heading5"/>
      <w:lvlText w:val="%1.%2.%3.%4.%5"/>
      <w:lvlJc w:val="left"/>
      <w:pPr>
        <w:tabs>
          <w:tab w:val="num" w:pos="0"/>
        </w:tabs>
        <w:ind w:left="1008" w:hanging="1008"/>
      </w:pPr>
      <w:rPr>
        <w:rFonts w:hint="default"/>
      </w:rPr>
    </w:lvl>
    <w:lvl w:ilvl="5">
      <w:start w:val="1"/>
      <w:numFmt w:val="decimal"/>
      <w:pStyle w:val="Heading6"/>
      <w:lvlText w:val="%1.%2.%3.%4.%5.%6"/>
      <w:lvlJc w:val="left"/>
      <w:pPr>
        <w:tabs>
          <w:tab w:val="num" w:pos="0"/>
        </w:tabs>
        <w:ind w:left="1152" w:hanging="1152"/>
      </w:pPr>
      <w:rPr>
        <w:rFonts w:hint="default"/>
      </w:rPr>
    </w:lvl>
    <w:lvl w:ilvl="6">
      <w:start w:val="1"/>
      <w:numFmt w:val="decimal"/>
      <w:pStyle w:val="Heading7"/>
      <w:lvlText w:val="%1.%2.%3.%4.%5.%6.%7"/>
      <w:lvlJc w:val="left"/>
      <w:pPr>
        <w:tabs>
          <w:tab w:val="num" w:pos="0"/>
        </w:tabs>
        <w:ind w:left="1296" w:hanging="1296"/>
      </w:pPr>
      <w:rPr>
        <w:rFonts w:hint="default"/>
      </w:rPr>
    </w:lvl>
    <w:lvl w:ilvl="7">
      <w:start w:val="1"/>
      <w:numFmt w:val="decimal"/>
      <w:pStyle w:val="Heading8"/>
      <w:lvlText w:val="%1.%2.%3.%4.%5.%6.%7.%8"/>
      <w:lvlJc w:val="left"/>
      <w:pPr>
        <w:tabs>
          <w:tab w:val="num" w:pos="0"/>
        </w:tabs>
        <w:ind w:left="1440" w:hanging="1440"/>
      </w:pPr>
      <w:rPr>
        <w:rFonts w:hint="default"/>
      </w:rPr>
    </w:lvl>
    <w:lvl w:ilvl="8">
      <w:start w:val="1"/>
      <w:numFmt w:val="decimal"/>
      <w:pStyle w:val="Heading9"/>
      <w:lvlText w:val="%1.%2.%3.%4.%5.%6.%7.%8.%9"/>
      <w:lvlJc w:val="left"/>
      <w:pPr>
        <w:tabs>
          <w:tab w:val="num" w:pos="0"/>
        </w:tabs>
        <w:ind w:left="1584" w:hanging="1584"/>
      </w:pPr>
      <w:rPr>
        <w:rFonts w:hint="default"/>
      </w:rPr>
    </w:lvl>
  </w:abstractNum>
  <w:abstractNum w:abstractNumId="14" w15:restartNumberingAfterBreak="0">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5" w15:restartNumberingAfterBreak="0">
    <w:nsid w:val="529D282E"/>
    <w:multiLevelType w:val="hybridMultilevel"/>
    <w:tmpl w:val="31D415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2E31025"/>
    <w:multiLevelType w:val="hybridMultilevel"/>
    <w:tmpl w:val="FAAA167C"/>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abstractNumId w:val="13"/>
  </w:num>
  <w:num w:numId="2">
    <w:abstractNumId w:val="9"/>
  </w:num>
  <w:num w:numId="3">
    <w:abstractNumId w:val="7"/>
  </w:num>
  <w:num w:numId="4">
    <w:abstractNumId w:val="6"/>
  </w:num>
  <w:num w:numId="5">
    <w:abstractNumId w:val="5"/>
  </w:num>
  <w:num w:numId="6">
    <w:abstractNumId w:val="4"/>
  </w:num>
  <w:num w:numId="7">
    <w:abstractNumId w:val="8"/>
  </w:num>
  <w:num w:numId="8">
    <w:abstractNumId w:val="1"/>
  </w:num>
  <w:num w:numId="9">
    <w:abstractNumId w:val="0"/>
  </w:num>
  <w:num w:numId="10">
    <w:abstractNumId w:val="3"/>
  </w:num>
  <w:num w:numId="11">
    <w:abstractNumId w:val="2"/>
  </w:num>
  <w:num w:numId="12">
    <w:abstractNumId w:val="14"/>
  </w:num>
  <w:num w:numId="13">
    <w:abstractNumId w:val="12"/>
  </w:num>
  <w:num w:numId="14">
    <w:abstractNumId w:val="11"/>
  </w:num>
  <w:num w:numId="15">
    <w:abstractNumId w:val="10"/>
  </w:num>
  <w:num w:numId="16">
    <w:abstractNumId w:val="16"/>
  </w:num>
  <w:num w:numId="17">
    <w:abstractNumId w:val="15"/>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enforcement="1" w:cryptProviderType="rsaAES" w:cryptAlgorithmClass="hash" w:cryptAlgorithmType="typeAny" w:cryptAlgorithmSid="14" w:cryptSpinCount="100000" w:hash="oemCcKDR7qgly4LMeDtEjLRzykIAHFm94rrIVymj8HnVXeKi+npJ3ERiVcQcQS6GBER5ZoqWWre/gu9iFSHsPg==" w:salt="hFO8A1z/Xm6jJguNJoVCww=="/>
  <w:defaultTabStop w:val="720"/>
  <w:drawingGridHorizontalSpacing w:val="120"/>
  <w:displayHorizont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410"/>
    <w:rsid w:val="00002F18"/>
    <w:rsid w:val="00003DEE"/>
    <w:rsid w:val="00005049"/>
    <w:rsid w:val="000058D3"/>
    <w:rsid w:val="000077A0"/>
    <w:rsid w:val="00011379"/>
    <w:rsid w:val="00011586"/>
    <w:rsid w:val="00012BCC"/>
    <w:rsid w:val="000131A8"/>
    <w:rsid w:val="00016E37"/>
    <w:rsid w:val="0001701B"/>
    <w:rsid w:val="00020F93"/>
    <w:rsid w:val="000221B5"/>
    <w:rsid w:val="000237F3"/>
    <w:rsid w:val="000245B8"/>
    <w:rsid w:val="00025675"/>
    <w:rsid w:val="00025D42"/>
    <w:rsid w:val="0002683C"/>
    <w:rsid w:val="000272C7"/>
    <w:rsid w:val="0003077C"/>
    <w:rsid w:val="000329E2"/>
    <w:rsid w:val="00032D00"/>
    <w:rsid w:val="0003349B"/>
    <w:rsid w:val="00034856"/>
    <w:rsid w:val="0003606D"/>
    <w:rsid w:val="00037626"/>
    <w:rsid w:val="00041609"/>
    <w:rsid w:val="00041D8C"/>
    <w:rsid w:val="000420AA"/>
    <w:rsid w:val="000425BE"/>
    <w:rsid w:val="00046883"/>
    <w:rsid w:val="00046EB7"/>
    <w:rsid w:val="00047F0D"/>
    <w:rsid w:val="000509CD"/>
    <w:rsid w:val="00055BF3"/>
    <w:rsid w:val="00056484"/>
    <w:rsid w:val="00057862"/>
    <w:rsid w:val="000579B1"/>
    <w:rsid w:val="00057B15"/>
    <w:rsid w:val="000603C6"/>
    <w:rsid w:val="000620A2"/>
    <w:rsid w:val="00062A13"/>
    <w:rsid w:val="000639A9"/>
    <w:rsid w:val="00064C26"/>
    <w:rsid w:val="000665CF"/>
    <w:rsid w:val="00072D2F"/>
    <w:rsid w:val="00074319"/>
    <w:rsid w:val="00074517"/>
    <w:rsid w:val="00075010"/>
    <w:rsid w:val="00075B71"/>
    <w:rsid w:val="00077074"/>
    <w:rsid w:val="00081F70"/>
    <w:rsid w:val="00082141"/>
    <w:rsid w:val="00083E59"/>
    <w:rsid w:val="0008636A"/>
    <w:rsid w:val="000864E6"/>
    <w:rsid w:val="00090350"/>
    <w:rsid w:val="00090CC0"/>
    <w:rsid w:val="00091328"/>
    <w:rsid w:val="000925EE"/>
    <w:rsid w:val="00092F47"/>
    <w:rsid w:val="00094400"/>
    <w:rsid w:val="000948D8"/>
    <w:rsid w:val="00094DE8"/>
    <w:rsid w:val="0009651D"/>
    <w:rsid w:val="000967D7"/>
    <w:rsid w:val="0009771A"/>
    <w:rsid w:val="000977EF"/>
    <w:rsid w:val="000A08C6"/>
    <w:rsid w:val="000A12C0"/>
    <w:rsid w:val="000A1DB8"/>
    <w:rsid w:val="000A1F8E"/>
    <w:rsid w:val="000A2C25"/>
    <w:rsid w:val="000A48AC"/>
    <w:rsid w:val="000A62A1"/>
    <w:rsid w:val="000A6826"/>
    <w:rsid w:val="000A6D97"/>
    <w:rsid w:val="000A7EF3"/>
    <w:rsid w:val="000B0A5D"/>
    <w:rsid w:val="000B0CA8"/>
    <w:rsid w:val="000B499C"/>
    <w:rsid w:val="000B51B3"/>
    <w:rsid w:val="000C05BC"/>
    <w:rsid w:val="000C5BEE"/>
    <w:rsid w:val="000D2D9C"/>
    <w:rsid w:val="000D3BBD"/>
    <w:rsid w:val="000D4056"/>
    <w:rsid w:val="000D56A6"/>
    <w:rsid w:val="000D6701"/>
    <w:rsid w:val="000D6B21"/>
    <w:rsid w:val="000D6BA5"/>
    <w:rsid w:val="000D7870"/>
    <w:rsid w:val="000D7BF5"/>
    <w:rsid w:val="000E130A"/>
    <w:rsid w:val="000E3A7F"/>
    <w:rsid w:val="000E3E57"/>
    <w:rsid w:val="000E4537"/>
    <w:rsid w:val="000E71E7"/>
    <w:rsid w:val="000F7F59"/>
    <w:rsid w:val="000F7FBB"/>
    <w:rsid w:val="001007E0"/>
    <w:rsid w:val="00101C1B"/>
    <w:rsid w:val="0010360F"/>
    <w:rsid w:val="00104E02"/>
    <w:rsid w:val="00105075"/>
    <w:rsid w:val="00107699"/>
    <w:rsid w:val="001079C2"/>
    <w:rsid w:val="00111553"/>
    <w:rsid w:val="0011511F"/>
    <w:rsid w:val="001156F3"/>
    <w:rsid w:val="00115DF3"/>
    <w:rsid w:val="00117510"/>
    <w:rsid w:val="00117657"/>
    <w:rsid w:val="00123425"/>
    <w:rsid w:val="00123D46"/>
    <w:rsid w:val="00124640"/>
    <w:rsid w:val="001246F1"/>
    <w:rsid w:val="00124E9D"/>
    <w:rsid w:val="0012587D"/>
    <w:rsid w:val="00131311"/>
    <w:rsid w:val="00131AD4"/>
    <w:rsid w:val="00131C32"/>
    <w:rsid w:val="00133724"/>
    <w:rsid w:val="00134774"/>
    <w:rsid w:val="00140274"/>
    <w:rsid w:val="001409B6"/>
    <w:rsid w:val="001418DB"/>
    <w:rsid w:val="001422FA"/>
    <w:rsid w:val="00142322"/>
    <w:rsid w:val="00142F38"/>
    <w:rsid w:val="00145275"/>
    <w:rsid w:val="001462DE"/>
    <w:rsid w:val="00150298"/>
    <w:rsid w:val="00150987"/>
    <w:rsid w:val="00151263"/>
    <w:rsid w:val="0015145E"/>
    <w:rsid w:val="00155266"/>
    <w:rsid w:val="001558D9"/>
    <w:rsid w:val="0016266B"/>
    <w:rsid w:val="00162A8D"/>
    <w:rsid w:val="00165E3C"/>
    <w:rsid w:val="00166818"/>
    <w:rsid w:val="00171E2D"/>
    <w:rsid w:val="0017252F"/>
    <w:rsid w:val="00173FB5"/>
    <w:rsid w:val="001741A1"/>
    <w:rsid w:val="00174EA2"/>
    <w:rsid w:val="001753DE"/>
    <w:rsid w:val="001770C4"/>
    <w:rsid w:val="00182E4B"/>
    <w:rsid w:val="00184630"/>
    <w:rsid w:val="00185A1D"/>
    <w:rsid w:val="00185D8E"/>
    <w:rsid w:val="00187607"/>
    <w:rsid w:val="0019038C"/>
    <w:rsid w:val="00190631"/>
    <w:rsid w:val="001938F8"/>
    <w:rsid w:val="001947AE"/>
    <w:rsid w:val="0019563A"/>
    <w:rsid w:val="0019769A"/>
    <w:rsid w:val="001A1378"/>
    <w:rsid w:val="001A3CC6"/>
    <w:rsid w:val="001A60C3"/>
    <w:rsid w:val="001A62D5"/>
    <w:rsid w:val="001B0353"/>
    <w:rsid w:val="001B24F2"/>
    <w:rsid w:val="001B2B94"/>
    <w:rsid w:val="001B314F"/>
    <w:rsid w:val="001B6D13"/>
    <w:rsid w:val="001C0031"/>
    <w:rsid w:val="001C1F8B"/>
    <w:rsid w:val="001C20B9"/>
    <w:rsid w:val="001C2204"/>
    <w:rsid w:val="001C37C4"/>
    <w:rsid w:val="001C3877"/>
    <w:rsid w:val="001D0607"/>
    <w:rsid w:val="001D11AA"/>
    <w:rsid w:val="001D274A"/>
    <w:rsid w:val="001D5594"/>
    <w:rsid w:val="001F2BBB"/>
    <w:rsid w:val="001F38E7"/>
    <w:rsid w:val="001F39D3"/>
    <w:rsid w:val="001F3E75"/>
    <w:rsid w:val="001F42D9"/>
    <w:rsid w:val="001F4345"/>
    <w:rsid w:val="001F50D7"/>
    <w:rsid w:val="001F55AA"/>
    <w:rsid w:val="001F62B8"/>
    <w:rsid w:val="001F6736"/>
    <w:rsid w:val="001F6DC9"/>
    <w:rsid w:val="001F7930"/>
    <w:rsid w:val="0020043D"/>
    <w:rsid w:val="00200677"/>
    <w:rsid w:val="002023D9"/>
    <w:rsid w:val="00202645"/>
    <w:rsid w:val="00203E69"/>
    <w:rsid w:val="00210A0C"/>
    <w:rsid w:val="002111D3"/>
    <w:rsid w:val="0021166F"/>
    <w:rsid w:val="00216D2F"/>
    <w:rsid w:val="00217AA0"/>
    <w:rsid w:val="002217D3"/>
    <w:rsid w:val="002225DD"/>
    <w:rsid w:val="002243CE"/>
    <w:rsid w:val="0022457C"/>
    <w:rsid w:val="002246E8"/>
    <w:rsid w:val="00224AA3"/>
    <w:rsid w:val="0022548F"/>
    <w:rsid w:val="00225A0C"/>
    <w:rsid w:val="00226D71"/>
    <w:rsid w:val="00231742"/>
    <w:rsid w:val="00231ED1"/>
    <w:rsid w:val="002325EF"/>
    <w:rsid w:val="00233EFA"/>
    <w:rsid w:val="00234AB0"/>
    <w:rsid w:val="00236DDB"/>
    <w:rsid w:val="00237BF4"/>
    <w:rsid w:val="00241DED"/>
    <w:rsid w:val="00242624"/>
    <w:rsid w:val="002427BB"/>
    <w:rsid w:val="00244730"/>
    <w:rsid w:val="0024557E"/>
    <w:rsid w:val="00246D28"/>
    <w:rsid w:val="00251611"/>
    <w:rsid w:val="00251901"/>
    <w:rsid w:val="00251DAF"/>
    <w:rsid w:val="00254664"/>
    <w:rsid w:val="00254FB8"/>
    <w:rsid w:val="002553CB"/>
    <w:rsid w:val="00256226"/>
    <w:rsid w:val="0025684D"/>
    <w:rsid w:val="002579BF"/>
    <w:rsid w:val="00257C0C"/>
    <w:rsid w:val="002602EB"/>
    <w:rsid w:val="00260445"/>
    <w:rsid w:val="0026198E"/>
    <w:rsid w:val="00262D93"/>
    <w:rsid w:val="00266100"/>
    <w:rsid w:val="00270832"/>
    <w:rsid w:val="0027129E"/>
    <w:rsid w:val="00272CFE"/>
    <w:rsid w:val="0027310E"/>
    <w:rsid w:val="002735F4"/>
    <w:rsid w:val="00281EAA"/>
    <w:rsid w:val="00284137"/>
    <w:rsid w:val="00285309"/>
    <w:rsid w:val="002863D7"/>
    <w:rsid w:val="0029018E"/>
    <w:rsid w:val="002916A9"/>
    <w:rsid w:val="00291CCF"/>
    <w:rsid w:val="002970C5"/>
    <w:rsid w:val="002A7B92"/>
    <w:rsid w:val="002B01A3"/>
    <w:rsid w:val="002B0C79"/>
    <w:rsid w:val="002B1B65"/>
    <w:rsid w:val="002B3C69"/>
    <w:rsid w:val="002B3EEC"/>
    <w:rsid w:val="002C1866"/>
    <w:rsid w:val="002C3C17"/>
    <w:rsid w:val="002C53CD"/>
    <w:rsid w:val="002C5CEE"/>
    <w:rsid w:val="002D12AB"/>
    <w:rsid w:val="002D1F8A"/>
    <w:rsid w:val="002D21B7"/>
    <w:rsid w:val="002D2DB2"/>
    <w:rsid w:val="002D582A"/>
    <w:rsid w:val="002D71AA"/>
    <w:rsid w:val="002D7FF1"/>
    <w:rsid w:val="002E1B0A"/>
    <w:rsid w:val="002E48A6"/>
    <w:rsid w:val="002E68B9"/>
    <w:rsid w:val="002E6AB9"/>
    <w:rsid w:val="002F0CAB"/>
    <w:rsid w:val="002F123D"/>
    <w:rsid w:val="002F3385"/>
    <w:rsid w:val="002F411F"/>
    <w:rsid w:val="002F498A"/>
    <w:rsid w:val="002F4CE1"/>
    <w:rsid w:val="002F4DF0"/>
    <w:rsid w:val="00300F22"/>
    <w:rsid w:val="00301860"/>
    <w:rsid w:val="00302C47"/>
    <w:rsid w:val="00302E85"/>
    <w:rsid w:val="00304A37"/>
    <w:rsid w:val="00304EFF"/>
    <w:rsid w:val="00307EA6"/>
    <w:rsid w:val="00310E59"/>
    <w:rsid w:val="00310ED4"/>
    <w:rsid w:val="00312301"/>
    <w:rsid w:val="00313144"/>
    <w:rsid w:val="0031492A"/>
    <w:rsid w:val="00316C1A"/>
    <w:rsid w:val="00316DAE"/>
    <w:rsid w:val="00316F66"/>
    <w:rsid w:val="003175F7"/>
    <w:rsid w:val="003221C7"/>
    <w:rsid w:val="00323C73"/>
    <w:rsid w:val="00324243"/>
    <w:rsid w:val="0032436F"/>
    <w:rsid w:val="003262E0"/>
    <w:rsid w:val="003266A9"/>
    <w:rsid w:val="00326EFB"/>
    <w:rsid w:val="00327172"/>
    <w:rsid w:val="00327A29"/>
    <w:rsid w:val="00330EF1"/>
    <w:rsid w:val="00331141"/>
    <w:rsid w:val="00331D9B"/>
    <w:rsid w:val="00332827"/>
    <w:rsid w:val="00333896"/>
    <w:rsid w:val="0033476F"/>
    <w:rsid w:val="00342C81"/>
    <w:rsid w:val="00344758"/>
    <w:rsid w:val="003467BF"/>
    <w:rsid w:val="00347142"/>
    <w:rsid w:val="0035087A"/>
    <w:rsid w:val="00350DB6"/>
    <w:rsid w:val="00352260"/>
    <w:rsid w:val="003525CA"/>
    <w:rsid w:val="00354D2F"/>
    <w:rsid w:val="00356390"/>
    <w:rsid w:val="003565A8"/>
    <w:rsid w:val="003566EA"/>
    <w:rsid w:val="003614D1"/>
    <w:rsid w:val="00362E40"/>
    <w:rsid w:val="003642D9"/>
    <w:rsid w:val="003648CB"/>
    <w:rsid w:val="00366295"/>
    <w:rsid w:val="00367957"/>
    <w:rsid w:val="00372C79"/>
    <w:rsid w:val="003737DA"/>
    <w:rsid w:val="00374B06"/>
    <w:rsid w:val="00375EFE"/>
    <w:rsid w:val="00377B9A"/>
    <w:rsid w:val="00380F0D"/>
    <w:rsid w:val="00382227"/>
    <w:rsid w:val="00384903"/>
    <w:rsid w:val="00384B26"/>
    <w:rsid w:val="00385A2D"/>
    <w:rsid w:val="00386694"/>
    <w:rsid w:val="00386958"/>
    <w:rsid w:val="00390988"/>
    <w:rsid w:val="003948A4"/>
    <w:rsid w:val="0039590B"/>
    <w:rsid w:val="00396CE3"/>
    <w:rsid w:val="00396EC2"/>
    <w:rsid w:val="003A00F7"/>
    <w:rsid w:val="003A08F6"/>
    <w:rsid w:val="003A1376"/>
    <w:rsid w:val="003A5DB2"/>
    <w:rsid w:val="003A75CF"/>
    <w:rsid w:val="003B3196"/>
    <w:rsid w:val="003B34BA"/>
    <w:rsid w:val="003B6D46"/>
    <w:rsid w:val="003C1255"/>
    <w:rsid w:val="003C227D"/>
    <w:rsid w:val="003D0F11"/>
    <w:rsid w:val="003D3E7C"/>
    <w:rsid w:val="003D5B9F"/>
    <w:rsid w:val="003E0681"/>
    <w:rsid w:val="003E1DA9"/>
    <w:rsid w:val="003E4BA8"/>
    <w:rsid w:val="003F097F"/>
    <w:rsid w:val="003F1CD1"/>
    <w:rsid w:val="003F59E9"/>
    <w:rsid w:val="003F61D0"/>
    <w:rsid w:val="003F6DD3"/>
    <w:rsid w:val="003F6F6F"/>
    <w:rsid w:val="004001F3"/>
    <w:rsid w:val="004017F4"/>
    <w:rsid w:val="00405261"/>
    <w:rsid w:val="004069BC"/>
    <w:rsid w:val="004076C6"/>
    <w:rsid w:val="004114A6"/>
    <w:rsid w:val="00411534"/>
    <w:rsid w:val="004132A6"/>
    <w:rsid w:val="00414A87"/>
    <w:rsid w:val="00415B10"/>
    <w:rsid w:val="00417774"/>
    <w:rsid w:val="004208C1"/>
    <w:rsid w:val="00422417"/>
    <w:rsid w:val="00424233"/>
    <w:rsid w:val="00424DF5"/>
    <w:rsid w:val="00425462"/>
    <w:rsid w:val="0043042B"/>
    <w:rsid w:val="00430ADF"/>
    <w:rsid w:val="0043243E"/>
    <w:rsid w:val="00433149"/>
    <w:rsid w:val="004334C6"/>
    <w:rsid w:val="00435526"/>
    <w:rsid w:val="00436891"/>
    <w:rsid w:val="00436F7F"/>
    <w:rsid w:val="004453D0"/>
    <w:rsid w:val="00453BE4"/>
    <w:rsid w:val="0046024F"/>
    <w:rsid w:val="00462053"/>
    <w:rsid w:val="00463E87"/>
    <w:rsid w:val="00464658"/>
    <w:rsid w:val="00464730"/>
    <w:rsid w:val="00471410"/>
    <w:rsid w:val="00472EFF"/>
    <w:rsid w:val="0047323D"/>
    <w:rsid w:val="00474063"/>
    <w:rsid w:val="0047441D"/>
    <w:rsid w:val="00474840"/>
    <w:rsid w:val="00474A87"/>
    <w:rsid w:val="00475CA6"/>
    <w:rsid w:val="00476793"/>
    <w:rsid w:val="004768CF"/>
    <w:rsid w:val="004773DE"/>
    <w:rsid w:val="00482561"/>
    <w:rsid w:val="004839F4"/>
    <w:rsid w:val="00484DEB"/>
    <w:rsid w:val="004902BF"/>
    <w:rsid w:val="004924BA"/>
    <w:rsid w:val="004929E1"/>
    <w:rsid w:val="00493917"/>
    <w:rsid w:val="004975D6"/>
    <w:rsid w:val="004A08C5"/>
    <w:rsid w:val="004A187B"/>
    <w:rsid w:val="004A27A3"/>
    <w:rsid w:val="004A2D3C"/>
    <w:rsid w:val="004A539A"/>
    <w:rsid w:val="004A59F4"/>
    <w:rsid w:val="004A70EF"/>
    <w:rsid w:val="004B2B3B"/>
    <w:rsid w:val="004B42E0"/>
    <w:rsid w:val="004C0344"/>
    <w:rsid w:val="004C0AF5"/>
    <w:rsid w:val="004C1C2A"/>
    <w:rsid w:val="004C670F"/>
    <w:rsid w:val="004C7412"/>
    <w:rsid w:val="004D0464"/>
    <w:rsid w:val="004D04BF"/>
    <w:rsid w:val="004D1799"/>
    <w:rsid w:val="004D3628"/>
    <w:rsid w:val="004D4D94"/>
    <w:rsid w:val="004D4D9B"/>
    <w:rsid w:val="004D53E7"/>
    <w:rsid w:val="004D6E55"/>
    <w:rsid w:val="004E0DFF"/>
    <w:rsid w:val="004E2861"/>
    <w:rsid w:val="004E7C5A"/>
    <w:rsid w:val="004E7E03"/>
    <w:rsid w:val="004E7F74"/>
    <w:rsid w:val="004F1C7C"/>
    <w:rsid w:val="004F3275"/>
    <w:rsid w:val="005007A2"/>
    <w:rsid w:val="005015CF"/>
    <w:rsid w:val="00503116"/>
    <w:rsid w:val="0050361B"/>
    <w:rsid w:val="00503B00"/>
    <w:rsid w:val="00503DAC"/>
    <w:rsid w:val="005059FE"/>
    <w:rsid w:val="0051067F"/>
    <w:rsid w:val="00511569"/>
    <w:rsid w:val="005120E7"/>
    <w:rsid w:val="005123F0"/>
    <w:rsid w:val="00512E17"/>
    <w:rsid w:val="005132FF"/>
    <w:rsid w:val="00513485"/>
    <w:rsid w:val="00513531"/>
    <w:rsid w:val="00513540"/>
    <w:rsid w:val="00513941"/>
    <w:rsid w:val="00515E26"/>
    <w:rsid w:val="0052204C"/>
    <w:rsid w:val="00522D78"/>
    <w:rsid w:val="00522D97"/>
    <w:rsid w:val="00523540"/>
    <w:rsid w:val="00523E95"/>
    <w:rsid w:val="0052637B"/>
    <w:rsid w:val="00527B0E"/>
    <w:rsid w:val="0053051D"/>
    <w:rsid w:val="00530D1D"/>
    <w:rsid w:val="005341D9"/>
    <w:rsid w:val="00534A6F"/>
    <w:rsid w:val="00536185"/>
    <w:rsid w:val="005364A8"/>
    <w:rsid w:val="00540243"/>
    <w:rsid w:val="00550040"/>
    <w:rsid w:val="005501AC"/>
    <w:rsid w:val="005510CC"/>
    <w:rsid w:val="005531F4"/>
    <w:rsid w:val="00553DAD"/>
    <w:rsid w:val="00555A8B"/>
    <w:rsid w:val="005567FA"/>
    <w:rsid w:val="005616BF"/>
    <w:rsid w:val="0056284A"/>
    <w:rsid w:val="00562987"/>
    <w:rsid w:val="00563C24"/>
    <w:rsid w:val="00563E47"/>
    <w:rsid w:val="00564208"/>
    <w:rsid w:val="00564BCD"/>
    <w:rsid w:val="005651C8"/>
    <w:rsid w:val="00565474"/>
    <w:rsid w:val="005703C7"/>
    <w:rsid w:val="0057078C"/>
    <w:rsid w:val="0057083D"/>
    <w:rsid w:val="0057092F"/>
    <w:rsid w:val="005711E3"/>
    <w:rsid w:val="00571B21"/>
    <w:rsid w:val="00571CEB"/>
    <w:rsid w:val="005726D0"/>
    <w:rsid w:val="00572E07"/>
    <w:rsid w:val="00575D80"/>
    <w:rsid w:val="005778E8"/>
    <w:rsid w:val="00580DD9"/>
    <w:rsid w:val="00581231"/>
    <w:rsid w:val="005812E5"/>
    <w:rsid w:val="005823AD"/>
    <w:rsid w:val="00590C6E"/>
    <w:rsid w:val="00591951"/>
    <w:rsid w:val="00591B4D"/>
    <w:rsid w:val="005941DC"/>
    <w:rsid w:val="00594520"/>
    <w:rsid w:val="00595783"/>
    <w:rsid w:val="005979AB"/>
    <w:rsid w:val="005A30AE"/>
    <w:rsid w:val="005A39BE"/>
    <w:rsid w:val="005A49A0"/>
    <w:rsid w:val="005A4A72"/>
    <w:rsid w:val="005A602D"/>
    <w:rsid w:val="005A70A7"/>
    <w:rsid w:val="005B0108"/>
    <w:rsid w:val="005B51CB"/>
    <w:rsid w:val="005B59C6"/>
    <w:rsid w:val="005B7AF1"/>
    <w:rsid w:val="005C40EF"/>
    <w:rsid w:val="005C47FC"/>
    <w:rsid w:val="005C5039"/>
    <w:rsid w:val="005C5D41"/>
    <w:rsid w:val="005D09A0"/>
    <w:rsid w:val="005D103B"/>
    <w:rsid w:val="005D1F34"/>
    <w:rsid w:val="005D383D"/>
    <w:rsid w:val="005E12B0"/>
    <w:rsid w:val="005E53F4"/>
    <w:rsid w:val="005F02CB"/>
    <w:rsid w:val="005F3B88"/>
    <w:rsid w:val="005F4956"/>
    <w:rsid w:val="00601DE4"/>
    <w:rsid w:val="00605166"/>
    <w:rsid w:val="0061109D"/>
    <w:rsid w:val="00611370"/>
    <w:rsid w:val="00615439"/>
    <w:rsid w:val="00616336"/>
    <w:rsid w:val="0061712C"/>
    <w:rsid w:val="00617E8C"/>
    <w:rsid w:val="006201BE"/>
    <w:rsid w:val="006231EE"/>
    <w:rsid w:val="00625599"/>
    <w:rsid w:val="006256D4"/>
    <w:rsid w:val="006257E3"/>
    <w:rsid w:val="0062798E"/>
    <w:rsid w:val="00630A76"/>
    <w:rsid w:val="006316E1"/>
    <w:rsid w:val="00637992"/>
    <w:rsid w:val="00641247"/>
    <w:rsid w:val="00643129"/>
    <w:rsid w:val="00643D22"/>
    <w:rsid w:val="0064732F"/>
    <w:rsid w:val="00650560"/>
    <w:rsid w:val="00654793"/>
    <w:rsid w:val="00654B1C"/>
    <w:rsid w:val="0065502B"/>
    <w:rsid w:val="00655BDF"/>
    <w:rsid w:val="00656509"/>
    <w:rsid w:val="00660A13"/>
    <w:rsid w:val="00660B00"/>
    <w:rsid w:val="00661E42"/>
    <w:rsid w:val="00663E4C"/>
    <w:rsid w:val="0066792D"/>
    <w:rsid w:val="006711D2"/>
    <w:rsid w:val="006717FF"/>
    <w:rsid w:val="006722C0"/>
    <w:rsid w:val="006730B6"/>
    <w:rsid w:val="006732C5"/>
    <w:rsid w:val="006735E0"/>
    <w:rsid w:val="0067749C"/>
    <w:rsid w:val="006776A9"/>
    <w:rsid w:val="00681BBE"/>
    <w:rsid w:val="006855A5"/>
    <w:rsid w:val="00685865"/>
    <w:rsid w:val="006868D2"/>
    <w:rsid w:val="006872C9"/>
    <w:rsid w:val="006875E8"/>
    <w:rsid w:val="006908F9"/>
    <w:rsid w:val="006914B3"/>
    <w:rsid w:val="00692B1F"/>
    <w:rsid w:val="00694DBD"/>
    <w:rsid w:val="00695CD6"/>
    <w:rsid w:val="00695E7A"/>
    <w:rsid w:val="006A0047"/>
    <w:rsid w:val="006A1113"/>
    <w:rsid w:val="006A1BCA"/>
    <w:rsid w:val="006A3580"/>
    <w:rsid w:val="006A39C7"/>
    <w:rsid w:val="006A4D0F"/>
    <w:rsid w:val="006A6BB3"/>
    <w:rsid w:val="006A6BD9"/>
    <w:rsid w:val="006A727A"/>
    <w:rsid w:val="006B0E0B"/>
    <w:rsid w:val="006B2011"/>
    <w:rsid w:val="006B29DC"/>
    <w:rsid w:val="006B4971"/>
    <w:rsid w:val="006B4BB3"/>
    <w:rsid w:val="006B6EFB"/>
    <w:rsid w:val="006C1E72"/>
    <w:rsid w:val="006C5F8A"/>
    <w:rsid w:val="006C6297"/>
    <w:rsid w:val="006C65F6"/>
    <w:rsid w:val="006C6E60"/>
    <w:rsid w:val="006D0AAA"/>
    <w:rsid w:val="006D0CC1"/>
    <w:rsid w:val="006D559A"/>
    <w:rsid w:val="006D5C59"/>
    <w:rsid w:val="006D5EE5"/>
    <w:rsid w:val="006D6ED1"/>
    <w:rsid w:val="006E037B"/>
    <w:rsid w:val="006E0B31"/>
    <w:rsid w:val="006E14DE"/>
    <w:rsid w:val="006E1B8E"/>
    <w:rsid w:val="006E2232"/>
    <w:rsid w:val="006E2F0B"/>
    <w:rsid w:val="006E380B"/>
    <w:rsid w:val="006E5A0C"/>
    <w:rsid w:val="006E6722"/>
    <w:rsid w:val="006F00B0"/>
    <w:rsid w:val="006F016D"/>
    <w:rsid w:val="006F12E2"/>
    <w:rsid w:val="006F55D7"/>
    <w:rsid w:val="006F5913"/>
    <w:rsid w:val="006F6E1A"/>
    <w:rsid w:val="006F7704"/>
    <w:rsid w:val="006F790C"/>
    <w:rsid w:val="007003DD"/>
    <w:rsid w:val="007032CC"/>
    <w:rsid w:val="0070455F"/>
    <w:rsid w:val="00713DF7"/>
    <w:rsid w:val="007164E2"/>
    <w:rsid w:val="00727583"/>
    <w:rsid w:val="0073101C"/>
    <w:rsid w:val="00733858"/>
    <w:rsid w:val="00734035"/>
    <w:rsid w:val="00734691"/>
    <w:rsid w:val="00734903"/>
    <w:rsid w:val="0073568E"/>
    <w:rsid w:val="00736028"/>
    <w:rsid w:val="00743251"/>
    <w:rsid w:val="00743727"/>
    <w:rsid w:val="00743C7F"/>
    <w:rsid w:val="00744567"/>
    <w:rsid w:val="00746D26"/>
    <w:rsid w:val="00747289"/>
    <w:rsid w:val="00747CBA"/>
    <w:rsid w:val="00753752"/>
    <w:rsid w:val="007540BF"/>
    <w:rsid w:val="00755B09"/>
    <w:rsid w:val="0075711D"/>
    <w:rsid w:val="00761778"/>
    <w:rsid w:val="00765F80"/>
    <w:rsid w:val="00770298"/>
    <w:rsid w:val="00770DCB"/>
    <w:rsid w:val="00771496"/>
    <w:rsid w:val="00771703"/>
    <w:rsid w:val="00772B60"/>
    <w:rsid w:val="00775485"/>
    <w:rsid w:val="00780C49"/>
    <w:rsid w:val="00782A5F"/>
    <w:rsid w:val="00783FE9"/>
    <w:rsid w:val="007875D4"/>
    <w:rsid w:val="00791602"/>
    <w:rsid w:val="0079288A"/>
    <w:rsid w:val="007943D2"/>
    <w:rsid w:val="00794EF4"/>
    <w:rsid w:val="007A1C77"/>
    <w:rsid w:val="007A1F42"/>
    <w:rsid w:val="007A2EFA"/>
    <w:rsid w:val="007A4ED4"/>
    <w:rsid w:val="007B136A"/>
    <w:rsid w:val="007B2EFF"/>
    <w:rsid w:val="007B3A0E"/>
    <w:rsid w:val="007B3EE6"/>
    <w:rsid w:val="007B57C1"/>
    <w:rsid w:val="007B581B"/>
    <w:rsid w:val="007C15EA"/>
    <w:rsid w:val="007C1D82"/>
    <w:rsid w:val="007C4894"/>
    <w:rsid w:val="007C5BC4"/>
    <w:rsid w:val="007C6F33"/>
    <w:rsid w:val="007D4F60"/>
    <w:rsid w:val="007E0330"/>
    <w:rsid w:val="007E0C5C"/>
    <w:rsid w:val="007E169B"/>
    <w:rsid w:val="007E2181"/>
    <w:rsid w:val="007E3364"/>
    <w:rsid w:val="007E5B88"/>
    <w:rsid w:val="007E6D1B"/>
    <w:rsid w:val="007F0D0B"/>
    <w:rsid w:val="007F13DD"/>
    <w:rsid w:val="007F2598"/>
    <w:rsid w:val="007F2931"/>
    <w:rsid w:val="007F2A54"/>
    <w:rsid w:val="007F31E1"/>
    <w:rsid w:val="0080055E"/>
    <w:rsid w:val="008007A8"/>
    <w:rsid w:val="00800F06"/>
    <w:rsid w:val="0080314D"/>
    <w:rsid w:val="008042D9"/>
    <w:rsid w:val="00806E26"/>
    <w:rsid w:val="00807B98"/>
    <w:rsid w:val="00814FC0"/>
    <w:rsid w:val="008154CD"/>
    <w:rsid w:val="00816463"/>
    <w:rsid w:val="00817EF8"/>
    <w:rsid w:val="0082324F"/>
    <w:rsid w:val="00825CE7"/>
    <w:rsid w:val="00826CF8"/>
    <w:rsid w:val="0083114B"/>
    <w:rsid w:val="00833968"/>
    <w:rsid w:val="008357C3"/>
    <w:rsid w:val="00840F41"/>
    <w:rsid w:val="00841760"/>
    <w:rsid w:val="00842FAC"/>
    <w:rsid w:val="00842FD6"/>
    <w:rsid w:val="00844AB7"/>
    <w:rsid w:val="008548AE"/>
    <w:rsid w:val="00856A4F"/>
    <w:rsid w:val="00860CB1"/>
    <w:rsid w:val="00860F1D"/>
    <w:rsid w:val="008610A2"/>
    <w:rsid w:val="008615F4"/>
    <w:rsid w:val="00861BCA"/>
    <w:rsid w:val="00861C5B"/>
    <w:rsid w:val="00862302"/>
    <w:rsid w:val="00862377"/>
    <w:rsid w:val="00864FA8"/>
    <w:rsid w:val="008709E2"/>
    <w:rsid w:val="0087115E"/>
    <w:rsid w:val="00872114"/>
    <w:rsid w:val="008724DE"/>
    <w:rsid w:val="00872F40"/>
    <w:rsid w:val="008752EB"/>
    <w:rsid w:val="008758A3"/>
    <w:rsid w:val="00877A8A"/>
    <w:rsid w:val="00880F22"/>
    <w:rsid w:val="00881BC7"/>
    <w:rsid w:val="00883E54"/>
    <w:rsid w:val="00886372"/>
    <w:rsid w:val="00886729"/>
    <w:rsid w:val="008878DF"/>
    <w:rsid w:val="00890B5F"/>
    <w:rsid w:val="00891B0C"/>
    <w:rsid w:val="00891D1B"/>
    <w:rsid w:val="008927E0"/>
    <w:rsid w:val="008960E0"/>
    <w:rsid w:val="00897914"/>
    <w:rsid w:val="008A347C"/>
    <w:rsid w:val="008A37B7"/>
    <w:rsid w:val="008A398A"/>
    <w:rsid w:val="008A3B75"/>
    <w:rsid w:val="008A3D57"/>
    <w:rsid w:val="008A4229"/>
    <w:rsid w:val="008A45EC"/>
    <w:rsid w:val="008A709C"/>
    <w:rsid w:val="008A7FA3"/>
    <w:rsid w:val="008B1344"/>
    <w:rsid w:val="008B23BC"/>
    <w:rsid w:val="008B2523"/>
    <w:rsid w:val="008B2D0F"/>
    <w:rsid w:val="008B3FA7"/>
    <w:rsid w:val="008B5461"/>
    <w:rsid w:val="008B741F"/>
    <w:rsid w:val="008C2ECF"/>
    <w:rsid w:val="008C4AA4"/>
    <w:rsid w:val="008C53B2"/>
    <w:rsid w:val="008C55A8"/>
    <w:rsid w:val="008D0B86"/>
    <w:rsid w:val="008D15B0"/>
    <w:rsid w:val="008D2AAC"/>
    <w:rsid w:val="008D5D0D"/>
    <w:rsid w:val="008D5F95"/>
    <w:rsid w:val="008E37EA"/>
    <w:rsid w:val="008E3D60"/>
    <w:rsid w:val="008E3F4C"/>
    <w:rsid w:val="008E5405"/>
    <w:rsid w:val="008F0B6B"/>
    <w:rsid w:val="008F1E8C"/>
    <w:rsid w:val="008F2CC9"/>
    <w:rsid w:val="008F6B7B"/>
    <w:rsid w:val="008F71E5"/>
    <w:rsid w:val="0090165F"/>
    <w:rsid w:val="00901B82"/>
    <w:rsid w:val="00904B3D"/>
    <w:rsid w:val="00907795"/>
    <w:rsid w:val="00907897"/>
    <w:rsid w:val="00907EA7"/>
    <w:rsid w:val="009100D9"/>
    <w:rsid w:val="009104FB"/>
    <w:rsid w:val="00912B09"/>
    <w:rsid w:val="0091402F"/>
    <w:rsid w:val="00920E7F"/>
    <w:rsid w:val="009215F7"/>
    <w:rsid w:val="00921E2A"/>
    <w:rsid w:val="00930008"/>
    <w:rsid w:val="00935408"/>
    <w:rsid w:val="00935D84"/>
    <w:rsid w:val="0093612E"/>
    <w:rsid w:val="009375CA"/>
    <w:rsid w:val="009418C0"/>
    <w:rsid w:val="0094199D"/>
    <w:rsid w:val="00944528"/>
    <w:rsid w:val="00950C01"/>
    <w:rsid w:val="0095322D"/>
    <w:rsid w:val="0095555C"/>
    <w:rsid w:val="0095617A"/>
    <w:rsid w:val="00961D67"/>
    <w:rsid w:val="00962F45"/>
    <w:rsid w:val="00965C9C"/>
    <w:rsid w:val="00966C2F"/>
    <w:rsid w:val="00967573"/>
    <w:rsid w:val="00967BC7"/>
    <w:rsid w:val="009722EA"/>
    <w:rsid w:val="00973F1E"/>
    <w:rsid w:val="0097512B"/>
    <w:rsid w:val="00977164"/>
    <w:rsid w:val="00977410"/>
    <w:rsid w:val="00984DE7"/>
    <w:rsid w:val="00986740"/>
    <w:rsid w:val="00986829"/>
    <w:rsid w:val="009874EF"/>
    <w:rsid w:val="009917D6"/>
    <w:rsid w:val="00992C01"/>
    <w:rsid w:val="00992DF1"/>
    <w:rsid w:val="0099567B"/>
    <w:rsid w:val="00995B2E"/>
    <w:rsid w:val="009A2EFA"/>
    <w:rsid w:val="009A617E"/>
    <w:rsid w:val="009A73E1"/>
    <w:rsid w:val="009A7563"/>
    <w:rsid w:val="009B1369"/>
    <w:rsid w:val="009B2EA7"/>
    <w:rsid w:val="009B3FB2"/>
    <w:rsid w:val="009B58C7"/>
    <w:rsid w:val="009B5B98"/>
    <w:rsid w:val="009B63E2"/>
    <w:rsid w:val="009B6785"/>
    <w:rsid w:val="009B706F"/>
    <w:rsid w:val="009B7E3A"/>
    <w:rsid w:val="009C0512"/>
    <w:rsid w:val="009C532A"/>
    <w:rsid w:val="009C6110"/>
    <w:rsid w:val="009C62E0"/>
    <w:rsid w:val="009C682D"/>
    <w:rsid w:val="009C6BD2"/>
    <w:rsid w:val="009D04A0"/>
    <w:rsid w:val="009D1E4E"/>
    <w:rsid w:val="009D67F6"/>
    <w:rsid w:val="009D70C2"/>
    <w:rsid w:val="009E0FE1"/>
    <w:rsid w:val="009E1346"/>
    <w:rsid w:val="009F2667"/>
    <w:rsid w:val="009F38AD"/>
    <w:rsid w:val="009F42C0"/>
    <w:rsid w:val="00A000DB"/>
    <w:rsid w:val="00A0148F"/>
    <w:rsid w:val="00A0406E"/>
    <w:rsid w:val="00A04C12"/>
    <w:rsid w:val="00A061BA"/>
    <w:rsid w:val="00A1044D"/>
    <w:rsid w:val="00A10910"/>
    <w:rsid w:val="00A11307"/>
    <w:rsid w:val="00A1275A"/>
    <w:rsid w:val="00A12BD2"/>
    <w:rsid w:val="00A12E1B"/>
    <w:rsid w:val="00A13081"/>
    <w:rsid w:val="00A13AF3"/>
    <w:rsid w:val="00A16D38"/>
    <w:rsid w:val="00A202C7"/>
    <w:rsid w:val="00A207CC"/>
    <w:rsid w:val="00A21388"/>
    <w:rsid w:val="00A2227E"/>
    <w:rsid w:val="00A26EEC"/>
    <w:rsid w:val="00A27791"/>
    <w:rsid w:val="00A330D8"/>
    <w:rsid w:val="00A339F9"/>
    <w:rsid w:val="00A34EDE"/>
    <w:rsid w:val="00A360EB"/>
    <w:rsid w:val="00A36E73"/>
    <w:rsid w:val="00A37F65"/>
    <w:rsid w:val="00A4046E"/>
    <w:rsid w:val="00A404BB"/>
    <w:rsid w:val="00A41355"/>
    <w:rsid w:val="00A43B92"/>
    <w:rsid w:val="00A43C21"/>
    <w:rsid w:val="00A4586F"/>
    <w:rsid w:val="00A4711E"/>
    <w:rsid w:val="00A52CF6"/>
    <w:rsid w:val="00A5396D"/>
    <w:rsid w:val="00A54251"/>
    <w:rsid w:val="00A560F1"/>
    <w:rsid w:val="00A5683B"/>
    <w:rsid w:val="00A56D91"/>
    <w:rsid w:val="00A577F4"/>
    <w:rsid w:val="00A57FE5"/>
    <w:rsid w:val="00A61083"/>
    <w:rsid w:val="00A6179E"/>
    <w:rsid w:val="00A62DBB"/>
    <w:rsid w:val="00A63488"/>
    <w:rsid w:val="00A64316"/>
    <w:rsid w:val="00A64A5D"/>
    <w:rsid w:val="00A670A1"/>
    <w:rsid w:val="00A712CF"/>
    <w:rsid w:val="00A74406"/>
    <w:rsid w:val="00A75A07"/>
    <w:rsid w:val="00A75B4B"/>
    <w:rsid w:val="00A804D9"/>
    <w:rsid w:val="00A80C75"/>
    <w:rsid w:val="00A85C6E"/>
    <w:rsid w:val="00A87232"/>
    <w:rsid w:val="00A92F92"/>
    <w:rsid w:val="00A937F9"/>
    <w:rsid w:val="00A943DB"/>
    <w:rsid w:val="00A9609E"/>
    <w:rsid w:val="00A966CC"/>
    <w:rsid w:val="00A96892"/>
    <w:rsid w:val="00A9739B"/>
    <w:rsid w:val="00A979C1"/>
    <w:rsid w:val="00AA2051"/>
    <w:rsid w:val="00AA20F7"/>
    <w:rsid w:val="00AA7B02"/>
    <w:rsid w:val="00AB4454"/>
    <w:rsid w:val="00AB6D6C"/>
    <w:rsid w:val="00AB7A7A"/>
    <w:rsid w:val="00AC101D"/>
    <w:rsid w:val="00AC1A4B"/>
    <w:rsid w:val="00AC1F80"/>
    <w:rsid w:val="00AD2273"/>
    <w:rsid w:val="00AD34FF"/>
    <w:rsid w:val="00AD3DFD"/>
    <w:rsid w:val="00AD4509"/>
    <w:rsid w:val="00AD7222"/>
    <w:rsid w:val="00AD73E9"/>
    <w:rsid w:val="00AE08E6"/>
    <w:rsid w:val="00AE19DC"/>
    <w:rsid w:val="00AE1E07"/>
    <w:rsid w:val="00AE24B8"/>
    <w:rsid w:val="00AE3CF5"/>
    <w:rsid w:val="00AE590D"/>
    <w:rsid w:val="00AE7412"/>
    <w:rsid w:val="00AE7465"/>
    <w:rsid w:val="00AF1DF1"/>
    <w:rsid w:val="00AF36EA"/>
    <w:rsid w:val="00AF744C"/>
    <w:rsid w:val="00B02892"/>
    <w:rsid w:val="00B04BFF"/>
    <w:rsid w:val="00B057B3"/>
    <w:rsid w:val="00B06AEE"/>
    <w:rsid w:val="00B07131"/>
    <w:rsid w:val="00B12C6C"/>
    <w:rsid w:val="00B13007"/>
    <w:rsid w:val="00B13988"/>
    <w:rsid w:val="00B20C4A"/>
    <w:rsid w:val="00B22139"/>
    <w:rsid w:val="00B24B1D"/>
    <w:rsid w:val="00B26557"/>
    <w:rsid w:val="00B2760B"/>
    <w:rsid w:val="00B277E0"/>
    <w:rsid w:val="00B32BA6"/>
    <w:rsid w:val="00B33824"/>
    <w:rsid w:val="00B348DC"/>
    <w:rsid w:val="00B34946"/>
    <w:rsid w:val="00B35BCC"/>
    <w:rsid w:val="00B360B3"/>
    <w:rsid w:val="00B364FD"/>
    <w:rsid w:val="00B376C8"/>
    <w:rsid w:val="00B40D11"/>
    <w:rsid w:val="00B43A83"/>
    <w:rsid w:val="00B45F0A"/>
    <w:rsid w:val="00B50FD4"/>
    <w:rsid w:val="00B519FD"/>
    <w:rsid w:val="00B520BC"/>
    <w:rsid w:val="00B52F7E"/>
    <w:rsid w:val="00B57BD5"/>
    <w:rsid w:val="00B618E4"/>
    <w:rsid w:val="00B61BF8"/>
    <w:rsid w:val="00B63621"/>
    <w:rsid w:val="00B63D24"/>
    <w:rsid w:val="00B67539"/>
    <w:rsid w:val="00B701BD"/>
    <w:rsid w:val="00B70CEE"/>
    <w:rsid w:val="00B72332"/>
    <w:rsid w:val="00B77C82"/>
    <w:rsid w:val="00B8009D"/>
    <w:rsid w:val="00B82037"/>
    <w:rsid w:val="00B906C1"/>
    <w:rsid w:val="00B924E6"/>
    <w:rsid w:val="00B92BAB"/>
    <w:rsid w:val="00B971DE"/>
    <w:rsid w:val="00BA0994"/>
    <w:rsid w:val="00BA158D"/>
    <w:rsid w:val="00BA1768"/>
    <w:rsid w:val="00BA191C"/>
    <w:rsid w:val="00BA262D"/>
    <w:rsid w:val="00BA351F"/>
    <w:rsid w:val="00BA4F1F"/>
    <w:rsid w:val="00BA5698"/>
    <w:rsid w:val="00BA591D"/>
    <w:rsid w:val="00BA6125"/>
    <w:rsid w:val="00BA7687"/>
    <w:rsid w:val="00BA7BD5"/>
    <w:rsid w:val="00BB01C5"/>
    <w:rsid w:val="00BB0383"/>
    <w:rsid w:val="00BB0A34"/>
    <w:rsid w:val="00BB2521"/>
    <w:rsid w:val="00BB7D17"/>
    <w:rsid w:val="00BC0D42"/>
    <w:rsid w:val="00BC2095"/>
    <w:rsid w:val="00BC6480"/>
    <w:rsid w:val="00BC79EB"/>
    <w:rsid w:val="00BD406A"/>
    <w:rsid w:val="00BD42C8"/>
    <w:rsid w:val="00BD4CC8"/>
    <w:rsid w:val="00BD77E1"/>
    <w:rsid w:val="00BD7FCF"/>
    <w:rsid w:val="00BE11C2"/>
    <w:rsid w:val="00BE1609"/>
    <w:rsid w:val="00BE5EC1"/>
    <w:rsid w:val="00BE677D"/>
    <w:rsid w:val="00BE77F8"/>
    <w:rsid w:val="00BF379D"/>
    <w:rsid w:val="00BF4B5E"/>
    <w:rsid w:val="00BF54CE"/>
    <w:rsid w:val="00BF58C2"/>
    <w:rsid w:val="00BF7F5E"/>
    <w:rsid w:val="00C01667"/>
    <w:rsid w:val="00C03C13"/>
    <w:rsid w:val="00C04B7C"/>
    <w:rsid w:val="00C04FAC"/>
    <w:rsid w:val="00C054C4"/>
    <w:rsid w:val="00C05BF7"/>
    <w:rsid w:val="00C05E95"/>
    <w:rsid w:val="00C0680A"/>
    <w:rsid w:val="00C07855"/>
    <w:rsid w:val="00C10DEA"/>
    <w:rsid w:val="00C14C3D"/>
    <w:rsid w:val="00C1525C"/>
    <w:rsid w:val="00C154C4"/>
    <w:rsid w:val="00C163F3"/>
    <w:rsid w:val="00C1689F"/>
    <w:rsid w:val="00C17B61"/>
    <w:rsid w:val="00C22E57"/>
    <w:rsid w:val="00C24B96"/>
    <w:rsid w:val="00C25BDA"/>
    <w:rsid w:val="00C33104"/>
    <w:rsid w:val="00C33E00"/>
    <w:rsid w:val="00C3443D"/>
    <w:rsid w:val="00C35D4F"/>
    <w:rsid w:val="00C3743A"/>
    <w:rsid w:val="00C41375"/>
    <w:rsid w:val="00C41C99"/>
    <w:rsid w:val="00C4407E"/>
    <w:rsid w:val="00C46314"/>
    <w:rsid w:val="00C46D9D"/>
    <w:rsid w:val="00C52ADA"/>
    <w:rsid w:val="00C52E2D"/>
    <w:rsid w:val="00C545CD"/>
    <w:rsid w:val="00C54E49"/>
    <w:rsid w:val="00C6025E"/>
    <w:rsid w:val="00C65D09"/>
    <w:rsid w:val="00C67E76"/>
    <w:rsid w:val="00C706D9"/>
    <w:rsid w:val="00C75B01"/>
    <w:rsid w:val="00C7633D"/>
    <w:rsid w:val="00C8172B"/>
    <w:rsid w:val="00C839D0"/>
    <w:rsid w:val="00C854D4"/>
    <w:rsid w:val="00C872DE"/>
    <w:rsid w:val="00C8796D"/>
    <w:rsid w:val="00C90556"/>
    <w:rsid w:val="00C92424"/>
    <w:rsid w:val="00C93D38"/>
    <w:rsid w:val="00C95203"/>
    <w:rsid w:val="00C96ECB"/>
    <w:rsid w:val="00CA0D78"/>
    <w:rsid w:val="00CA3220"/>
    <w:rsid w:val="00CA36FF"/>
    <w:rsid w:val="00CA4855"/>
    <w:rsid w:val="00CA688B"/>
    <w:rsid w:val="00CA776B"/>
    <w:rsid w:val="00CB16EA"/>
    <w:rsid w:val="00CB24FE"/>
    <w:rsid w:val="00CB316D"/>
    <w:rsid w:val="00CB429D"/>
    <w:rsid w:val="00CB4A0F"/>
    <w:rsid w:val="00CB74EA"/>
    <w:rsid w:val="00CC2B70"/>
    <w:rsid w:val="00CC39B4"/>
    <w:rsid w:val="00CC464D"/>
    <w:rsid w:val="00CC502E"/>
    <w:rsid w:val="00CD225A"/>
    <w:rsid w:val="00CD245B"/>
    <w:rsid w:val="00CD58FD"/>
    <w:rsid w:val="00CD65DA"/>
    <w:rsid w:val="00CD6D1D"/>
    <w:rsid w:val="00CD7C83"/>
    <w:rsid w:val="00CE16FA"/>
    <w:rsid w:val="00CE1D78"/>
    <w:rsid w:val="00CE2788"/>
    <w:rsid w:val="00CE2A3E"/>
    <w:rsid w:val="00CE2BC6"/>
    <w:rsid w:val="00CE3404"/>
    <w:rsid w:val="00CE4643"/>
    <w:rsid w:val="00CE58D7"/>
    <w:rsid w:val="00CE790E"/>
    <w:rsid w:val="00CF0AA5"/>
    <w:rsid w:val="00CF1979"/>
    <w:rsid w:val="00CF356A"/>
    <w:rsid w:val="00CF4D69"/>
    <w:rsid w:val="00CF57A6"/>
    <w:rsid w:val="00CF580B"/>
    <w:rsid w:val="00CF6E63"/>
    <w:rsid w:val="00D00573"/>
    <w:rsid w:val="00D01664"/>
    <w:rsid w:val="00D01FF3"/>
    <w:rsid w:val="00D03D64"/>
    <w:rsid w:val="00D05FF6"/>
    <w:rsid w:val="00D06EAA"/>
    <w:rsid w:val="00D121DF"/>
    <w:rsid w:val="00D129D4"/>
    <w:rsid w:val="00D140A0"/>
    <w:rsid w:val="00D205F9"/>
    <w:rsid w:val="00D2397B"/>
    <w:rsid w:val="00D241BF"/>
    <w:rsid w:val="00D2607F"/>
    <w:rsid w:val="00D30A61"/>
    <w:rsid w:val="00D319F4"/>
    <w:rsid w:val="00D32C35"/>
    <w:rsid w:val="00D32DCF"/>
    <w:rsid w:val="00D343FA"/>
    <w:rsid w:val="00D3584B"/>
    <w:rsid w:val="00D36E50"/>
    <w:rsid w:val="00D4012D"/>
    <w:rsid w:val="00D40C3C"/>
    <w:rsid w:val="00D418FF"/>
    <w:rsid w:val="00D41B67"/>
    <w:rsid w:val="00D42709"/>
    <w:rsid w:val="00D4390C"/>
    <w:rsid w:val="00D4649F"/>
    <w:rsid w:val="00D469F6"/>
    <w:rsid w:val="00D475B3"/>
    <w:rsid w:val="00D47F11"/>
    <w:rsid w:val="00D52048"/>
    <w:rsid w:val="00D52C9B"/>
    <w:rsid w:val="00D546F8"/>
    <w:rsid w:val="00D54A02"/>
    <w:rsid w:val="00D5618C"/>
    <w:rsid w:val="00D56490"/>
    <w:rsid w:val="00D60BCC"/>
    <w:rsid w:val="00D60D94"/>
    <w:rsid w:val="00D62961"/>
    <w:rsid w:val="00D62A5E"/>
    <w:rsid w:val="00D63FE3"/>
    <w:rsid w:val="00D65C76"/>
    <w:rsid w:val="00D67081"/>
    <w:rsid w:val="00D672F4"/>
    <w:rsid w:val="00D729AD"/>
    <w:rsid w:val="00D734C7"/>
    <w:rsid w:val="00D742E1"/>
    <w:rsid w:val="00D777C8"/>
    <w:rsid w:val="00D81BE7"/>
    <w:rsid w:val="00D828BE"/>
    <w:rsid w:val="00D82FFD"/>
    <w:rsid w:val="00D84F6D"/>
    <w:rsid w:val="00D84F97"/>
    <w:rsid w:val="00D90A8A"/>
    <w:rsid w:val="00D913FF"/>
    <w:rsid w:val="00D91D27"/>
    <w:rsid w:val="00D93C55"/>
    <w:rsid w:val="00D94F28"/>
    <w:rsid w:val="00D965D3"/>
    <w:rsid w:val="00D96CA9"/>
    <w:rsid w:val="00D9731F"/>
    <w:rsid w:val="00DA2F73"/>
    <w:rsid w:val="00DA6E28"/>
    <w:rsid w:val="00DB1C75"/>
    <w:rsid w:val="00DB202A"/>
    <w:rsid w:val="00DB3231"/>
    <w:rsid w:val="00DB444F"/>
    <w:rsid w:val="00DB5341"/>
    <w:rsid w:val="00DB61BC"/>
    <w:rsid w:val="00DB6462"/>
    <w:rsid w:val="00DB7766"/>
    <w:rsid w:val="00DB7FEE"/>
    <w:rsid w:val="00DC29CF"/>
    <w:rsid w:val="00DC31C1"/>
    <w:rsid w:val="00DC39F3"/>
    <w:rsid w:val="00DC462F"/>
    <w:rsid w:val="00DC73DE"/>
    <w:rsid w:val="00DC75EB"/>
    <w:rsid w:val="00DD3E7F"/>
    <w:rsid w:val="00DD6423"/>
    <w:rsid w:val="00DD6A21"/>
    <w:rsid w:val="00DE0F6E"/>
    <w:rsid w:val="00DE10DF"/>
    <w:rsid w:val="00DE3571"/>
    <w:rsid w:val="00DE60CA"/>
    <w:rsid w:val="00DE75C3"/>
    <w:rsid w:val="00DF0007"/>
    <w:rsid w:val="00DF022F"/>
    <w:rsid w:val="00DF1B9B"/>
    <w:rsid w:val="00DF6480"/>
    <w:rsid w:val="00DF667E"/>
    <w:rsid w:val="00DF72E7"/>
    <w:rsid w:val="00E014EA"/>
    <w:rsid w:val="00E03D2A"/>
    <w:rsid w:val="00E04212"/>
    <w:rsid w:val="00E04E14"/>
    <w:rsid w:val="00E07B80"/>
    <w:rsid w:val="00E1024D"/>
    <w:rsid w:val="00E111AD"/>
    <w:rsid w:val="00E14CBD"/>
    <w:rsid w:val="00E1571B"/>
    <w:rsid w:val="00E20A7F"/>
    <w:rsid w:val="00E22360"/>
    <w:rsid w:val="00E22673"/>
    <w:rsid w:val="00E2302A"/>
    <w:rsid w:val="00E24FA3"/>
    <w:rsid w:val="00E252B3"/>
    <w:rsid w:val="00E26B28"/>
    <w:rsid w:val="00E27B58"/>
    <w:rsid w:val="00E301DA"/>
    <w:rsid w:val="00E31465"/>
    <w:rsid w:val="00E315AE"/>
    <w:rsid w:val="00E328CD"/>
    <w:rsid w:val="00E36A8B"/>
    <w:rsid w:val="00E36B95"/>
    <w:rsid w:val="00E3743D"/>
    <w:rsid w:val="00E37D4A"/>
    <w:rsid w:val="00E4003F"/>
    <w:rsid w:val="00E4049C"/>
    <w:rsid w:val="00E40818"/>
    <w:rsid w:val="00E4163F"/>
    <w:rsid w:val="00E42805"/>
    <w:rsid w:val="00E42BD3"/>
    <w:rsid w:val="00E44D7B"/>
    <w:rsid w:val="00E4548C"/>
    <w:rsid w:val="00E458F6"/>
    <w:rsid w:val="00E45954"/>
    <w:rsid w:val="00E46A23"/>
    <w:rsid w:val="00E506BC"/>
    <w:rsid w:val="00E51D7A"/>
    <w:rsid w:val="00E579AA"/>
    <w:rsid w:val="00E60FA1"/>
    <w:rsid w:val="00E61E4C"/>
    <w:rsid w:val="00E64294"/>
    <w:rsid w:val="00E64484"/>
    <w:rsid w:val="00E66F8D"/>
    <w:rsid w:val="00E67A83"/>
    <w:rsid w:val="00E71633"/>
    <w:rsid w:val="00E72D91"/>
    <w:rsid w:val="00E734E7"/>
    <w:rsid w:val="00E836E5"/>
    <w:rsid w:val="00E87191"/>
    <w:rsid w:val="00E873F3"/>
    <w:rsid w:val="00E93093"/>
    <w:rsid w:val="00E9331F"/>
    <w:rsid w:val="00E96809"/>
    <w:rsid w:val="00EA44D9"/>
    <w:rsid w:val="00EA5847"/>
    <w:rsid w:val="00EA66C4"/>
    <w:rsid w:val="00EA7A5D"/>
    <w:rsid w:val="00EB37F8"/>
    <w:rsid w:val="00EB4C9F"/>
    <w:rsid w:val="00EB6A76"/>
    <w:rsid w:val="00EB72F6"/>
    <w:rsid w:val="00EB74B7"/>
    <w:rsid w:val="00EC0C3B"/>
    <w:rsid w:val="00EC37B9"/>
    <w:rsid w:val="00EC7DD2"/>
    <w:rsid w:val="00ED07C7"/>
    <w:rsid w:val="00ED0E86"/>
    <w:rsid w:val="00ED2F06"/>
    <w:rsid w:val="00ED472B"/>
    <w:rsid w:val="00ED609A"/>
    <w:rsid w:val="00EE0425"/>
    <w:rsid w:val="00EE0EEF"/>
    <w:rsid w:val="00EE1224"/>
    <w:rsid w:val="00EE3996"/>
    <w:rsid w:val="00EE531F"/>
    <w:rsid w:val="00EF3CFC"/>
    <w:rsid w:val="00EF4F36"/>
    <w:rsid w:val="00EF74C7"/>
    <w:rsid w:val="00F000E8"/>
    <w:rsid w:val="00F002FD"/>
    <w:rsid w:val="00F02DB4"/>
    <w:rsid w:val="00F05CE2"/>
    <w:rsid w:val="00F062FF"/>
    <w:rsid w:val="00F074C0"/>
    <w:rsid w:val="00F10E78"/>
    <w:rsid w:val="00F12E43"/>
    <w:rsid w:val="00F14C6D"/>
    <w:rsid w:val="00F15B75"/>
    <w:rsid w:val="00F1646E"/>
    <w:rsid w:val="00F17366"/>
    <w:rsid w:val="00F17A8E"/>
    <w:rsid w:val="00F227B7"/>
    <w:rsid w:val="00F24A17"/>
    <w:rsid w:val="00F25B78"/>
    <w:rsid w:val="00F2692D"/>
    <w:rsid w:val="00F26F29"/>
    <w:rsid w:val="00F27597"/>
    <w:rsid w:val="00F27A20"/>
    <w:rsid w:val="00F3015B"/>
    <w:rsid w:val="00F33006"/>
    <w:rsid w:val="00F363D0"/>
    <w:rsid w:val="00F37BF9"/>
    <w:rsid w:val="00F4411C"/>
    <w:rsid w:val="00F471F4"/>
    <w:rsid w:val="00F47E36"/>
    <w:rsid w:val="00F51705"/>
    <w:rsid w:val="00F543DC"/>
    <w:rsid w:val="00F558F9"/>
    <w:rsid w:val="00F55963"/>
    <w:rsid w:val="00F562F1"/>
    <w:rsid w:val="00F61E67"/>
    <w:rsid w:val="00F64213"/>
    <w:rsid w:val="00F65B24"/>
    <w:rsid w:val="00F67AA2"/>
    <w:rsid w:val="00F70CD6"/>
    <w:rsid w:val="00F72088"/>
    <w:rsid w:val="00F72B99"/>
    <w:rsid w:val="00F73DCF"/>
    <w:rsid w:val="00F765A3"/>
    <w:rsid w:val="00F7701D"/>
    <w:rsid w:val="00F803BF"/>
    <w:rsid w:val="00F80E1C"/>
    <w:rsid w:val="00F8109E"/>
    <w:rsid w:val="00F8178A"/>
    <w:rsid w:val="00F8659F"/>
    <w:rsid w:val="00F9112F"/>
    <w:rsid w:val="00F937EE"/>
    <w:rsid w:val="00F95C7B"/>
    <w:rsid w:val="00FA13D2"/>
    <w:rsid w:val="00FA1E3E"/>
    <w:rsid w:val="00FA40D4"/>
    <w:rsid w:val="00FA4916"/>
    <w:rsid w:val="00FA492B"/>
    <w:rsid w:val="00FA56DB"/>
    <w:rsid w:val="00FB2C7B"/>
    <w:rsid w:val="00FB4183"/>
    <w:rsid w:val="00FB44F5"/>
    <w:rsid w:val="00FB5D4F"/>
    <w:rsid w:val="00FC0FF0"/>
    <w:rsid w:val="00FC14E7"/>
    <w:rsid w:val="00FC23A6"/>
    <w:rsid w:val="00FC2471"/>
    <w:rsid w:val="00FC5D43"/>
    <w:rsid w:val="00FC60DC"/>
    <w:rsid w:val="00FC6858"/>
    <w:rsid w:val="00FC73D6"/>
    <w:rsid w:val="00FD01B5"/>
    <w:rsid w:val="00FD02A4"/>
    <w:rsid w:val="00FD17AE"/>
    <w:rsid w:val="00FD2C10"/>
    <w:rsid w:val="00FD3837"/>
    <w:rsid w:val="00FD4839"/>
    <w:rsid w:val="00FD59B3"/>
    <w:rsid w:val="00FD7524"/>
    <w:rsid w:val="00FD7FAA"/>
    <w:rsid w:val="00FE0C61"/>
    <w:rsid w:val="00FE1C5B"/>
    <w:rsid w:val="00FE3CFF"/>
    <w:rsid w:val="00FF41C5"/>
    <w:rsid w:val="00FF4239"/>
    <w:rsid w:val="00FF4D89"/>
    <w:rsid w:val="00FF5C7B"/>
    <w:rsid w:val="00FF5EA2"/>
    <w:rsid w:val="00FF658A"/>
    <w:rsid w:val="00FF7D4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4"/>
    <o:shapelayout v:ext="edit">
      <o:idmap v:ext="edit" data="1"/>
    </o:shapelayout>
  </w:shapeDefaults>
  <w:decimalSymbol w:val="."/>
  <w:listSeparator w:val=","/>
  <w14:docId w14:val="5001E683"/>
  <w15:docId w15:val="{EF5EA01C-1C34-4BCD-8F00-9D2752434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semiHidden="1" w:unhideWhenUsed="1"/>
    <w:lsdException w:name="annotation text" w:locked="1" w:semiHidden="1" w:unhideWhenUsed="1"/>
    <w:lsdException w:name="header" w:semiHidden="1" w:unhideWhenUsed="1"/>
    <w:lsdException w:name="footer"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semiHidden="1" w:unhideWhenUsed="1"/>
    <w:lsdException w:name="endnote text"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iPriority="99" w:unhideWhenUsed="1"/>
    <w:lsdException w:name="FollowedHyperlink" w:locked="1" w:semiHidden="1" w:unhideWhenUsed="1"/>
    <w:lsdException w:name="Strong"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1B65"/>
    <w:pPr>
      <w:spacing w:before="240" w:after="240"/>
    </w:pPr>
    <w:rPr>
      <w:rFonts w:ascii="Arial" w:eastAsia="MS Mincho" w:hAnsi="Arial"/>
      <w:sz w:val="24"/>
      <w:szCs w:val="24"/>
    </w:rPr>
  </w:style>
  <w:style w:type="paragraph" w:styleId="Heading1">
    <w:name w:val="heading 1"/>
    <w:basedOn w:val="Normal"/>
    <w:next w:val="Normal"/>
    <w:link w:val="Heading1Char"/>
    <w:qFormat/>
    <w:rsid w:val="008007A8"/>
    <w:pPr>
      <w:keepNext/>
      <w:keepLines/>
      <w:numPr>
        <w:numId w:val="1"/>
      </w:numPr>
      <w:spacing w:before="360"/>
      <w:outlineLvl w:val="0"/>
    </w:pPr>
    <w:rPr>
      <w:b/>
      <w:bCs/>
      <w:sz w:val="28"/>
      <w:szCs w:val="28"/>
    </w:rPr>
  </w:style>
  <w:style w:type="paragraph" w:styleId="Heading2">
    <w:name w:val="heading 2"/>
    <w:basedOn w:val="Heading1"/>
    <w:next w:val="Normal"/>
    <w:link w:val="Heading2Char"/>
    <w:qFormat/>
    <w:rsid w:val="008007A8"/>
    <w:pPr>
      <w:numPr>
        <w:ilvl w:val="1"/>
      </w:numPr>
      <w:outlineLvl w:val="1"/>
    </w:pPr>
    <w:rPr>
      <w:bCs w:val="0"/>
      <w:i/>
      <w:color w:val="000000"/>
      <w:szCs w:val="26"/>
    </w:rPr>
  </w:style>
  <w:style w:type="paragraph" w:styleId="Heading3">
    <w:name w:val="heading 3"/>
    <w:basedOn w:val="Heading2"/>
    <w:next w:val="Normal"/>
    <w:link w:val="Heading3Char"/>
    <w:qFormat/>
    <w:rsid w:val="008007A8"/>
    <w:pPr>
      <w:numPr>
        <w:ilvl w:val="2"/>
      </w:numPr>
      <w:outlineLvl w:val="2"/>
    </w:pPr>
    <w:rPr>
      <w:b w:val="0"/>
      <w:bCs/>
      <w:color w:val="auto"/>
      <w:sz w:val="24"/>
    </w:rPr>
  </w:style>
  <w:style w:type="paragraph" w:styleId="Heading4">
    <w:name w:val="heading 4"/>
    <w:basedOn w:val="Heading3"/>
    <w:next w:val="Normal"/>
    <w:link w:val="Heading4Char"/>
    <w:qFormat/>
    <w:rsid w:val="008007A8"/>
    <w:pPr>
      <w:numPr>
        <w:ilvl w:val="3"/>
      </w:numPr>
      <w:outlineLvl w:val="3"/>
    </w:pPr>
    <w:rPr>
      <w:bCs w:val="0"/>
      <w:i w:val="0"/>
      <w:iCs/>
    </w:rPr>
  </w:style>
  <w:style w:type="paragraph" w:styleId="Heading5">
    <w:name w:val="heading 5"/>
    <w:basedOn w:val="Normal"/>
    <w:next w:val="Normal"/>
    <w:link w:val="Heading5Char"/>
    <w:qFormat/>
    <w:locked/>
    <w:rsid w:val="008007A8"/>
    <w:pPr>
      <w:keepNext/>
      <w:keepLines/>
      <w:numPr>
        <w:ilvl w:val="4"/>
        <w:numId w:val="1"/>
      </w:numPr>
      <w:spacing w:before="200"/>
      <w:outlineLvl w:val="4"/>
    </w:pPr>
    <w:rPr>
      <w:rFonts w:ascii="Cambria" w:hAnsi="Cambria"/>
      <w:color w:val="243F60"/>
    </w:rPr>
  </w:style>
  <w:style w:type="paragraph" w:styleId="Heading6">
    <w:name w:val="heading 6"/>
    <w:basedOn w:val="Normal"/>
    <w:next w:val="Normal"/>
    <w:link w:val="Heading6Char"/>
    <w:qFormat/>
    <w:locked/>
    <w:rsid w:val="008007A8"/>
    <w:pPr>
      <w:keepNext/>
      <w:keepLines/>
      <w:numPr>
        <w:ilvl w:val="5"/>
        <w:numId w:val="1"/>
      </w:numPr>
      <w:spacing w:before="200"/>
      <w:outlineLvl w:val="5"/>
    </w:pPr>
    <w:rPr>
      <w:rFonts w:ascii="Cambria" w:hAnsi="Cambria"/>
      <w:i/>
      <w:iCs/>
      <w:color w:val="243F60"/>
    </w:rPr>
  </w:style>
  <w:style w:type="paragraph" w:styleId="Heading7">
    <w:name w:val="heading 7"/>
    <w:basedOn w:val="Normal"/>
    <w:next w:val="Normal"/>
    <w:link w:val="Heading7Char"/>
    <w:qFormat/>
    <w:locked/>
    <w:rsid w:val="008007A8"/>
    <w:pPr>
      <w:keepNext/>
      <w:keepLines/>
      <w:numPr>
        <w:ilvl w:val="6"/>
        <w:numId w:val="1"/>
      </w:numPr>
      <w:spacing w:before="200"/>
      <w:outlineLvl w:val="6"/>
    </w:pPr>
    <w:rPr>
      <w:rFonts w:ascii="Cambria" w:hAnsi="Cambria"/>
      <w:i/>
      <w:iCs/>
      <w:color w:val="404040"/>
    </w:rPr>
  </w:style>
  <w:style w:type="paragraph" w:styleId="Heading8">
    <w:name w:val="heading 8"/>
    <w:basedOn w:val="Normal"/>
    <w:next w:val="Normal"/>
    <w:link w:val="Heading8Char"/>
    <w:qFormat/>
    <w:locked/>
    <w:rsid w:val="008007A8"/>
    <w:pPr>
      <w:keepNext/>
      <w:keepLines/>
      <w:numPr>
        <w:ilvl w:val="7"/>
        <w:numId w:val="1"/>
      </w:numPr>
      <w:spacing w:before="200"/>
      <w:outlineLvl w:val="7"/>
    </w:pPr>
    <w:rPr>
      <w:rFonts w:ascii="Cambria" w:hAnsi="Cambria"/>
      <w:color w:val="404040"/>
      <w:sz w:val="20"/>
      <w:szCs w:val="20"/>
    </w:rPr>
  </w:style>
  <w:style w:type="paragraph" w:styleId="Heading9">
    <w:name w:val="heading 9"/>
    <w:basedOn w:val="Normal"/>
    <w:next w:val="Normal"/>
    <w:link w:val="Heading9Char"/>
    <w:qFormat/>
    <w:locked/>
    <w:rsid w:val="008007A8"/>
    <w:pPr>
      <w:keepNext/>
      <w:keepLines/>
      <w:numPr>
        <w:ilvl w:val="8"/>
        <w:numId w:val="1"/>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007A8"/>
    <w:rPr>
      <w:rFonts w:ascii="Arial" w:eastAsia="MS Mincho" w:hAnsi="Arial"/>
      <w:b/>
      <w:bCs/>
      <w:sz w:val="28"/>
      <w:szCs w:val="28"/>
    </w:rPr>
  </w:style>
  <w:style w:type="character" w:customStyle="1" w:styleId="Heading2Char">
    <w:name w:val="Heading 2 Char"/>
    <w:link w:val="Heading2"/>
    <w:rsid w:val="008007A8"/>
    <w:rPr>
      <w:rFonts w:ascii="Arial" w:eastAsia="MS Mincho" w:hAnsi="Arial"/>
      <w:b/>
      <w:i/>
      <w:color w:val="000000"/>
      <w:sz w:val="28"/>
      <w:szCs w:val="26"/>
    </w:rPr>
  </w:style>
  <w:style w:type="character" w:customStyle="1" w:styleId="Heading3Char">
    <w:name w:val="Heading 3 Char"/>
    <w:link w:val="Heading3"/>
    <w:rsid w:val="008007A8"/>
    <w:rPr>
      <w:rFonts w:ascii="Arial" w:eastAsia="MS Mincho" w:hAnsi="Arial"/>
      <w:bCs/>
      <w:i/>
      <w:sz w:val="24"/>
      <w:szCs w:val="26"/>
    </w:rPr>
  </w:style>
  <w:style w:type="character" w:customStyle="1" w:styleId="Heading4Char">
    <w:name w:val="Heading 4 Char"/>
    <w:link w:val="Heading4"/>
    <w:rsid w:val="008007A8"/>
    <w:rPr>
      <w:rFonts w:ascii="Arial" w:eastAsia="MS Mincho" w:hAnsi="Arial"/>
      <w:iCs/>
      <w:sz w:val="24"/>
      <w:szCs w:val="26"/>
    </w:rPr>
  </w:style>
  <w:style w:type="character" w:styleId="Strong">
    <w:name w:val="Strong"/>
    <w:qFormat/>
    <w:locked/>
    <w:rsid w:val="000B0A5D"/>
    <w:rPr>
      <w:b/>
      <w:bCs/>
    </w:rPr>
  </w:style>
  <w:style w:type="character" w:customStyle="1" w:styleId="Heading5Char">
    <w:name w:val="Heading 5 Char"/>
    <w:link w:val="Heading5"/>
    <w:rsid w:val="008007A8"/>
    <w:rPr>
      <w:rFonts w:ascii="Cambria" w:eastAsia="MS Mincho" w:hAnsi="Cambria"/>
      <w:color w:val="243F60"/>
      <w:sz w:val="24"/>
      <w:szCs w:val="24"/>
    </w:rPr>
  </w:style>
  <w:style w:type="character" w:customStyle="1" w:styleId="Heading6Char">
    <w:name w:val="Heading 6 Char"/>
    <w:link w:val="Heading6"/>
    <w:rsid w:val="008007A8"/>
    <w:rPr>
      <w:rFonts w:ascii="Cambria" w:eastAsia="MS Mincho" w:hAnsi="Cambria"/>
      <w:i/>
      <w:iCs/>
      <w:color w:val="243F60"/>
      <w:sz w:val="24"/>
      <w:szCs w:val="24"/>
    </w:rPr>
  </w:style>
  <w:style w:type="character" w:customStyle="1" w:styleId="Heading7Char">
    <w:name w:val="Heading 7 Char"/>
    <w:link w:val="Heading7"/>
    <w:rsid w:val="008007A8"/>
    <w:rPr>
      <w:rFonts w:ascii="Cambria" w:eastAsia="MS Mincho" w:hAnsi="Cambria"/>
      <w:i/>
      <w:iCs/>
      <w:color w:val="404040"/>
      <w:sz w:val="24"/>
      <w:szCs w:val="24"/>
    </w:rPr>
  </w:style>
  <w:style w:type="character" w:customStyle="1" w:styleId="Heading8Char">
    <w:name w:val="Heading 8 Char"/>
    <w:link w:val="Heading8"/>
    <w:rsid w:val="008007A8"/>
    <w:rPr>
      <w:rFonts w:ascii="Cambria" w:eastAsia="MS Mincho" w:hAnsi="Cambria"/>
      <w:color w:val="404040"/>
    </w:rPr>
  </w:style>
  <w:style w:type="character" w:customStyle="1" w:styleId="Heading9Char">
    <w:name w:val="Heading 9 Char"/>
    <w:link w:val="Heading9"/>
    <w:rsid w:val="008007A8"/>
    <w:rPr>
      <w:rFonts w:ascii="Cambria" w:eastAsia="MS Mincho" w:hAnsi="Cambria"/>
      <w:i/>
      <w:iCs/>
      <w:color w:val="404040"/>
    </w:rPr>
  </w:style>
  <w:style w:type="paragraph" w:styleId="Header">
    <w:name w:val="header"/>
    <w:basedOn w:val="Normal"/>
    <w:link w:val="HeaderChar"/>
    <w:semiHidden/>
    <w:rsid w:val="0090165F"/>
    <w:pPr>
      <w:tabs>
        <w:tab w:val="center" w:pos="4513"/>
        <w:tab w:val="right" w:pos="9026"/>
      </w:tabs>
      <w:spacing w:after="0"/>
    </w:pPr>
    <w:rPr>
      <w:sz w:val="22"/>
    </w:rPr>
  </w:style>
  <w:style w:type="character" w:customStyle="1" w:styleId="HeaderChar">
    <w:name w:val="Header Char"/>
    <w:link w:val="Header"/>
    <w:rsid w:val="0090165F"/>
    <w:rPr>
      <w:rFonts w:ascii="Arial" w:hAnsi="Arial"/>
      <w:sz w:val="22"/>
      <w:szCs w:val="24"/>
      <w:lang w:val="en-AU" w:eastAsia="en-AU" w:bidi="ar-SA"/>
    </w:rPr>
  </w:style>
  <w:style w:type="paragraph" w:styleId="Footer">
    <w:name w:val="footer"/>
    <w:basedOn w:val="Normal"/>
    <w:link w:val="FooterChar"/>
    <w:uiPriority w:val="99"/>
    <w:semiHidden/>
    <w:rsid w:val="0003606D"/>
    <w:pPr>
      <w:tabs>
        <w:tab w:val="right" w:pos="2835"/>
        <w:tab w:val="right" w:pos="5670"/>
      </w:tabs>
      <w:spacing w:before="0" w:after="60"/>
    </w:pPr>
    <w:rPr>
      <w:color w:val="404040"/>
      <w:sz w:val="18"/>
    </w:rPr>
  </w:style>
  <w:style w:type="character" w:customStyle="1" w:styleId="FooterChar">
    <w:name w:val="Footer Char"/>
    <w:link w:val="Footer"/>
    <w:uiPriority w:val="99"/>
    <w:semiHidden/>
    <w:rsid w:val="0003606D"/>
    <w:rPr>
      <w:rFonts w:ascii="Arial" w:eastAsia="MS Mincho" w:hAnsi="Arial"/>
      <w:color w:val="404040"/>
      <w:sz w:val="18"/>
      <w:szCs w:val="24"/>
    </w:rPr>
  </w:style>
  <w:style w:type="paragraph" w:styleId="TOC3">
    <w:name w:val="toc 3"/>
    <w:basedOn w:val="Normal"/>
    <w:next w:val="Normal"/>
    <w:autoRedefine/>
    <w:uiPriority w:val="39"/>
    <w:semiHidden/>
    <w:qFormat/>
    <w:locked/>
    <w:rsid w:val="00A92F92"/>
    <w:pPr>
      <w:tabs>
        <w:tab w:val="left" w:pos="1202"/>
        <w:tab w:val="right" w:leader="dot" w:pos="9060"/>
      </w:tabs>
      <w:spacing w:before="0" w:after="0"/>
      <w:ind w:left="1202" w:hanging="720"/>
    </w:pPr>
    <w:rPr>
      <w:rFonts w:cs="Arial"/>
      <w:i/>
      <w:noProof/>
    </w:rPr>
  </w:style>
  <w:style w:type="character" w:styleId="PlaceholderText">
    <w:name w:val="Placeholder Tex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2"/>
      </w:numPr>
    </w:pPr>
  </w:style>
  <w:style w:type="paragraph" w:styleId="TOC1">
    <w:name w:val="toc 1"/>
    <w:basedOn w:val="Normal"/>
    <w:next w:val="Normal"/>
    <w:autoRedefine/>
    <w:uiPriority w:val="39"/>
    <w:qFormat/>
    <w:locked/>
    <w:rsid w:val="00844AB7"/>
    <w:pPr>
      <w:tabs>
        <w:tab w:val="right" w:leader="dot" w:pos="9060"/>
      </w:tabs>
      <w:spacing w:after="0"/>
      <w:ind w:left="720" w:hanging="720"/>
    </w:pPr>
    <w:rPr>
      <w:rFonts w:ascii="Open Sans" w:hAnsi="Open Sans" w:cs="Open Sans"/>
      <w:b/>
      <w:noProof/>
      <w:sz w:val="36"/>
      <w:szCs w:val="36"/>
    </w:rPr>
  </w:style>
  <w:style w:type="paragraph" w:styleId="TOC2">
    <w:name w:val="toc 2"/>
    <w:basedOn w:val="Normal"/>
    <w:next w:val="Normal"/>
    <w:autoRedefine/>
    <w:uiPriority w:val="39"/>
    <w:qFormat/>
    <w:locked/>
    <w:rsid w:val="00A92F92"/>
    <w:pPr>
      <w:tabs>
        <w:tab w:val="right" w:leader="dot" w:pos="9060"/>
      </w:tabs>
      <w:spacing w:before="0" w:after="0"/>
      <w:ind w:left="958" w:hanging="720"/>
    </w:pPr>
    <w:rPr>
      <w:b/>
      <w:i/>
      <w:noProof/>
    </w:rPr>
  </w:style>
  <w:style w:type="paragraph" w:styleId="TOC4">
    <w:name w:val="toc 4"/>
    <w:basedOn w:val="Normal"/>
    <w:next w:val="Normal"/>
    <w:autoRedefine/>
    <w:uiPriority w:val="39"/>
    <w:semiHidden/>
    <w:locked/>
    <w:rsid w:val="00814FC0"/>
    <w:pPr>
      <w:tabs>
        <w:tab w:val="left" w:pos="1440"/>
        <w:tab w:val="right" w:leader="dot" w:pos="9060"/>
      </w:tabs>
      <w:spacing w:before="0" w:after="0"/>
      <w:ind w:left="1440" w:hanging="720"/>
    </w:pPr>
    <w:rPr>
      <w:noProof/>
    </w:rPr>
  </w:style>
  <w:style w:type="character" w:styleId="Hyperlink">
    <w:name w:val="Hyperlink"/>
    <w:uiPriority w:val="99"/>
    <w:unhideWhenUsed/>
    <w:locked/>
    <w:rsid w:val="0024557E"/>
    <w:rPr>
      <w:color w:val="0000FF"/>
      <w:u w:val="single"/>
    </w:rPr>
  </w:style>
  <w:style w:type="paragraph" w:styleId="TOCHeading">
    <w:name w:val="TOC Heading"/>
    <w:basedOn w:val="Normal"/>
    <w:next w:val="Normal"/>
    <w:uiPriority w:val="39"/>
    <w:qFormat/>
    <w:locked/>
    <w:rsid w:val="007540BF"/>
    <w:pPr>
      <w:spacing w:before="0" w:after="360"/>
    </w:pPr>
    <w:rPr>
      <w:b/>
      <w:color w:val="000000"/>
      <w:lang w:val="en-US" w:eastAsia="en-US"/>
    </w:rPr>
  </w:style>
  <w:style w:type="paragraph" w:styleId="EndnoteText">
    <w:name w:val="endnote text"/>
    <w:basedOn w:val="Normal"/>
    <w:link w:val="EndnoteTextChar1"/>
    <w:semiHidden/>
    <w:rsid w:val="000E130A"/>
    <w:pPr>
      <w:spacing w:before="0" w:after="0"/>
    </w:pPr>
    <w:rPr>
      <w:sz w:val="20"/>
      <w:szCs w:val="20"/>
    </w:rPr>
  </w:style>
  <w:style w:type="character" w:customStyle="1" w:styleId="EndnoteTextChar1">
    <w:name w:val="Endnote Text Char1"/>
    <w:link w:val="EndnoteText"/>
    <w:rsid w:val="000E130A"/>
    <w:rPr>
      <w:rFonts w:ascii="Arial" w:eastAsia="MS Mincho" w:hAnsi="Arial"/>
      <w:lang w:val="en-AU" w:eastAsia="en-AU" w:bidi="ar-SA"/>
    </w:rPr>
  </w:style>
  <w:style w:type="character" w:styleId="EndnoteReference">
    <w:name w:val="endnote reference"/>
    <w:semiHidden/>
    <w:rsid w:val="000A1DB8"/>
    <w:rPr>
      <w:rFonts w:ascii="Arial" w:hAnsi="Arial"/>
      <w:sz w:val="20"/>
      <w:vertAlign w:val="superscript"/>
    </w:rPr>
  </w:style>
  <w:style w:type="numbering" w:styleId="1ai">
    <w:name w:val="Outline List 1"/>
    <w:basedOn w:val="NoList"/>
    <w:semiHidden/>
    <w:locked/>
    <w:rsid w:val="00E45954"/>
    <w:pPr>
      <w:numPr>
        <w:numId w:val="13"/>
      </w:numPr>
    </w:pPr>
  </w:style>
  <w:style w:type="numbering" w:styleId="ArticleSection">
    <w:name w:val="Outline List 3"/>
    <w:basedOn w:val="NoList"/>
    <w:semiHidden/>
    <w:locked/>
    <w:rsid w:val="00E45954"/>
    <w:pPr>
      <w:numPr>
        <w:numId w:val="14"/>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C33104"/>
    <w:pPr>
      <w:spacing w:before="120" w:after="120"/>
      <w:jc w:val="right"/>
    </w:pPr>
    <w:rPr>
      <w:color w:val="595959"/>
      <w:sz w:val="26"/>
    </w:rPr>
  </w:style>
  <w:style w:type="paragraph" w:styleId="E-mailSignature">
    <w:name w:val="E-mail Signature"/>
    <w:basedOn w:val="Normal"/>
    <w:semiHidden/>
    <w:locked/>
    <w:rsid w:val="00E45954"/>
  </w:style>
  <w:style w:type="character" w:styleId="Emphasis">
    <w:name w:val="Emphasis"/>
    <w:qFormat/>
    <w:locked/>
    <w:rsid w:val="00E45954"/>
    <w:rPr>
      <w:i/>
      <w:iCs/>
    </w:rPr>
  </w:style>
  <w:style w:type="paragraph" w:styleId="EnvelopeAddress">
    <w:name w:val="envelope address"/>
    <w:basedOn w:val="Normal"/>
    <w:semiHidden/>
    <w:locked/>
    <w:rsid w:val="000A1DB8"/>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semiHidden/>
    <w:rsid w:val="000A1DB8"/>
    <w:rPr>
      <w:rFonts w:ascii="Arial" w:hAnsi="Arial"/>
      <w:sz w:val="20"/>
      <w:vertAlign w:val="superscript"/>
    </w:rPr>
  </w:style>
  <w:style w:type="paragraph" w:styleId="FootnoteText">
    <w:name w:val="footnote text"/>
    <w:aliases w:val="Footnote Text Char1 Char,Footnote Text Char Char Char,Footnote Text Char Char Char Char Char Char Char Char Char Char Char,Footnote Text Char Char Char Char Char Char Char Char,Footnote Text Char2 Char, Char,Char,FA Fu"/>
    <w:basedOn w:val="Normal"/>
    <w:link w:val="FootnoteTextChar"/>
    <w:rsid w:val="000E130A"/>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semiHidden/>
    <w:locked/>
    <w:rsid w:val="00E45954"/>
    <w:rPr>
      <w:i/>
      <w:iCs/>
    </w:rPr>
  </w:style>
  <w:style w:type="character" w:styleId="HTMLCode">
    <w:name w:val="HTML Code"/>
    <w:semiHidden/>
    <w:locked/>
    <w:rsid w:val="00E45954"/>
    <w:rPr>
      <w:rFonts w:ascii="Courier New" w:hAnsi="Courier New" w:cs="Courier New"/>
      <w:sz w:val="20"/>
      <w:szCs w:val="20"/>
    </w:rPr>
  </w:style>
  <w:style w:type="character" w:styleId="HTMLDefinition">
    <w:name w:val="HTML Definition"/>
    <w:semiHidden/>
    <w:locked/>
    <w:rsid w:val="00E45954"/>
    <w:rPr>
      <w:i/>
      <w:iCs/>
    </w:rPr>
  </w:style>
  <w:style w:type="character" w:styleId="HTMLKeyboard">
    <w:name w:val="HTML Keyboard"/>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semiHidden/>
    <w:locked/>
    <w:rsid w:val="00E45954"/>
    <w:rPr>
      <w:rFonts w:ascii="Courier New" w:hAnsi="Courier New" w:cs="Courier New"/>
    </w:rPr>
  </w:style>
  <w:style w:type="character" w:styleId="HTMLTypewriter">
    <w:name w:val="HTML Typewriter"/>
    <w:semiHidden/>
    <w:locked/>
    <w:rsid w:val="00E45954"/>
    <w:rPr>
      <w:rFonts w:ascii="Courier New" w:hAnsi="Courier New" w:cs="Courier New"/>
      <w:sz w:val="20"/>
      <w:szCs w:val="20"/>
    </w:rPr>
  </w:style>
  <w:style w:type="character" w:styleId="HTMLVariable">
    <w:name w:val="HTML Variable"/>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paragraph" w:styleId="ListBullet">
    <w:name w:val="List Bullet"/>
    <w:basedOn w:val="Normal"/>
    <w:semiHidden/>
    <w:locked/>
    <w:rsid w:val="00E45954"/>
    <w:pPr>
      <w:numPr>
        <w:numId w:val="2"/>
      </w:numPr>
    </w:pPr>
  </w:style>
  <w:style w:type="paragraph" w:styleId="ListBullet2">
    <w:name w:val="List Bullet 2"/>
    <w:basedOn w:val="Normal"/>
    <w:semiHidden/>
    <w:locked/>
    <w:rsid w:val="00E45954"/>
    <w:pPr>
      <w:numPr>
        <w:numId w:val="3"/>
      </w:numPr>
    </w:pPr>
  </w:style>
  <w:style w:type="paragraph" w:styleId="ListBullet3">
    <w:name w:val="List Bullet 3"/>
    <w:basedOn w:val="Normal"/>
    <w:semiHidden/>
    <w:locked/>
    <w:rsid w:val="00E45954"/>
    <w:pPr>
      <w:numPr>
        <w:numId w:val="4"/>
      </w:numPr>
    </w:pPr>
  </w:style>
  <w:style w:type="paragraph" w:styleId="ListBullet4">
    <w:name w:val="List Bullet 4"/>
    <w:basedOn w:val="Normal"/>
    <w:semiHidden/>
    <w:locked/>
    <w:rsid w:val="00E45954"/>
    <w:pPr>
      <w:numPr>
        <w:numId w:val="5"/>
      </w:numPr>
    </w:pPr>
  </w:style>
  <w:style w:type="paragraph" w:styleId="ListBullet5">
    <w:name w:val="List Bullet 5"/>
    <w:basedOn w:val="Normal"/>
    <w:semiHidden/>
    <w:locked/>
    <w:rsid w:val="00E45954"/>
    <w:pPr>
      <w:numPr>
        <w:numId w:val="6"/>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7"/>
      </w:numPr>
    </w:pPr>
  </w:style>
  <w:style w:type="paragraph" w:styleId="ListNumber2">
    <w:name w:val="List Number 2"/>
    <w:basedOn w:val="Normal"/>
    <w:semiHidden/>
    <w:locked/>
    <w:rsid w:val="00E45954"/>
    <w:pPr>
      <w:numPr>
        <w:numId w:val="10"/>
      </w:numPr>
    </w:pPr>
  </w:style>
  <w:style w:type="paragraph" w:styleId="ListNumber3">
    <w:name w:val="List Number 3"/>
    <w:basedOn w:val="Normal"/>
    <w:semiHidden/>
    <w:locked/>
    <w:rsid w:val="00E45954"/>
    <w:pPr>
      <w:numPr>
        <w:numId w:val="11"/>
      </w:numPr>
    </w:pPr>
  </w:style>
  <w:style w:type="paragraph" w:styleId="ListNumber4">
    <w:name w:val="List Number 4"/>
    <w:basedOn w:val="Normal"/>
    <w:semiHidden/>
    <w:locked/>
    <w:rsid w:val="00E45954"/>
    <w:pPr>
      <w:numPr>
        <w:numId w:val="8"/>
      </w:numPr>
    </w:pPr>
  </w:style>
  <w:style w:type="paragraph" w:styleId="ListNumber5">
    <w:name w:val="List Number 5"/>
    <w:basedOn w:val="Normal"/>
    <w:semiHidden/>
    <w:locked/>
    <w:rsid w:val="00E45954"/>
    <w:pPr>
      <w:numPr>
        <w:numId w:val="9"/>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locked/>
    <w:rsid w:val="00E45954"/>
    <w:rPr>
      <w:rFonts w:ascii="Times New Roman" w:hAnsi="Times New Roman"/>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basedOn w:val="Normal"/>
    <w:link w:val="SubtitleChar"/>
    <w:qFormat/>
    <w:locked/>
    <w:rsid w:val="00323C73"/>
    <w:pPr>
      <w:spacing w:before="40" w:after="0"/>
      <w:jc w:val="right"/>
      <w:outlineLvl w:val="1"/>
    </w:pPr>
    <w:rPr>
      <w:rFonts w:cs="Arial"/>
      <w:b/>
      <w:caps/>
      <w:sz w:val="26"/>
    </w:rPr>
  </w:style>
  <w:style w:type="table" w:styleId="Table3Deffects1">
    <w:name w:val="Table 3D effects 1"/>
    <w:basedOn w:val="TableNormal"/>
    <w:semiHidden/>
    <w:locked/>
    <w:rsid w:val="00E45954"/>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E45954"/>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locked/>
    <w:rsid w:val="00E45954"/>
    <w:pPr>
      <w:spacing w:after="60"/>
      <w:jc w:val="center"/>
      <w:outlineLvl w:val="0"/>
    </w:pPr>
    <w:rPr>
      <w:rFonts w:cs="Arial"/>
      <w:b/>
      <w:bCs/>
      <w:kern w:val="28"/>
      <w:sz w:val="32"/>
      <w:szCs w:val="32"/>
    </w:rPr>
  </w:style>
  <w:style w:type="character" w:styleId="FollowedHyperlink">
    <w:name w:val="FollowedHyperlink"/>
    <w:semiHidden/>
    <w:locked/>
    <w:rsid w:val="00E45954"/>
    <w:rPr>
      <w:color w:val="800080"/>
      <w:u w:val="single"/>
    </w:rPr>
  </w:style>
  <w:style w:type="paragraph" w:customStyle="1" w:styleId="MainTitle">
    <w:name w:val="Main Title"/>
    <w:semiHidden/>
    <w:qFormat/>
    <w:rsid w:val="00FD01B5"/>
    <w:pPr>
      <w:spacing w:line="740" w:lineRule="exact"/>
      <w:contextualSpacing/>
      <w:jc w:val="right"/>
    </w:pPr>
    <w:rPr>
      <w:rFonts w:ascii="Arial" w:hAnsi="Arial"/>
      <w:bCs/>
      <w:color w:val="237BBC"/>
      <w:kern w:val="32"/>
      <w:sz w:val="56"/>
      <w:szCs w:val="32"/>
    </w:rPr>
  </w:style>
  <w:style w:type="paragraph" w:customStyle="1" w:styleId="HeaderFooter">
    <w:name w:val="Header &amp; Footer"/>
    <w:basedOn w:val="Normal"/>
    <w:semiHidden/>
    <w:rsid w:val="00591951"/>
    <w:pPr>
      <w:spacing w:line="200" w:lineRule="exact"/>
      <w:jc w:val="both"/>
    </w:pPr>
    <w:rPr>
      <w:rFonts w:eastAsia="Times New Roman" w:cs="ArialMT"/>
      <w:color w:val="000000"/>
      <w:sz w:val="16"/>
      <w:lang w:eastAsia="en-US"/>
    </w:rPr>
  </w:style>
  <w:style w:type="paragraph" w:customStyle="1" w:styleId="LogoType">
    <w:name w:val="Logo Type"/>
    <w:basedOn w:val="Header"/>
    <w:semiHidden/>
    <w:rsid w:val="00591951"/>
    <w:pPr>
      <w:pBdr>
        <w:bottom w:val="single" w:sz="4" w:space="4" w:color="auto"/>
      </w:pBdr>
      <w:tabs>
        <w:tab w:val="clear" w:pos="4513"/>
        <w:tab w:val="clear" w:pos="9026"/>
        <w:tab w:val="left" w:pos="4686"/>
        <w:tab w:val="left" w:pos="7088"/>
        <w:tab w:val="left" w:pos="7242"/>
      </w:tabs>
      <w:spacing w:before="0" w:line="320" w:lineRule="exact"/>
    </w:pPr>
    <w:rPr>
      <w:rFonts w:cs="ArialMT"/>
      <w:b/>
      <w:color w:val="808080"/>
      <w:spacing w:val="-20"/>
      <w:sz w:val="32"/>
      <w:lang w:eastAsia="en-US"/>
    </w:rPr>
  </w:style>
  <w:style w:type="paragraph" w:styleId="BalloonText">
    <w:name w:val="Balloon Text"/>
    <w:basedOn w:val="Normal"/>
    <w:link w:val="BalloonTextChar"/>
    <w:locked/>
    <w:rsid w:val="00A96892"/>
    <w:pPr>
      <w:spacing w:before="0" w:after="0"/>
    </w:pPr>
    <w:rPr>
      <w:rFonts w:ascii="Tahoma" w:hAnsi="Tahoma" w:cs="Tahoma"/>
      <w:sz w:val="16"/>
      <w:szCs w:val="16"/>
    </w:rPr>
  </w:style>
  <w:style w:type="character" w:customStyle="1" w:styleId="BalloonTextChar">
    <w:name w:val="Balloon Text Char"/>
    <w:link w:val="BalloonText"/>
    <w:rsid w:val="00A96892"/>
    <w:rPr>
      <w:rFonts w:ascii="Tahoma" w:eastAsia="MS Mincho" w:hAnsi="Tahoma" w:cs="Tahoma"/>
      <w:sz w:val="16"/>
      <w:szCs w:val="16"/>
    </w:rPr>
  </w:style>
  <w:style w:type="character" w:customStyle="1" w:styleId="CharChar">
    <w:name w:val="Char Char"/>
    <w:semiHidden/>
    <w:locked/>
    <w:rsid w:val="000A48AC"/>
    <w:rPr>
      <w:rFonts w:ascii="Arial" w:hAnsi="Arial" w:cs="Arial"/>
      <w:lang w:val="en-AU" w:eastAsia="en-AU" w:bidi="ar-SA"/>
    </w:rPr>
  </w:style>
  <w:style w:type="character" w:customStyle="1" w:styleId="EndnoteTextChar">
    <w:name w:val="Endnote Text Char"/>
    <w:semiHidden/>
    <w:locked/>
    <w:rsid w:val="00EB6A76"/>
    <w:rPr>
      <w:rFonts w:ascii="Arial" w:hAnsi="Arial"/>
      <w:lang w:bidi="ar-SA"/>
    </w:rPr>
  </w:style>
  <w:style w:type="character" w:customStyle="1" w:styleId="SubtitleChar">
    <w:name w:val="Subtitle Char"/>
    <w:link w:val="Subtitle"/>
    <w:rsid w:val="00323C73"/>
    <w:rPr>
      <w:rFonts w:ascii="Arial" w:eastAsia="MS Mincho" w:hAnsi="Arial" w:cs="Arial"/>
      <w:b/>
      <w:caps/>
      <w:sz w:val="26"/>
      <w:szCs w:val="24"/>
    </w:rPr>
  </w:style>
  <w:style w:type="paragraph" w:customStyle="1" w:styleId="SubmissionNormal">
    <w:name w:val="Submission Normal"/>
    <w:basedOn w:val="Normal"/>
    <w:link w:val="SubmissionNormalChar"/>
    <w:rsid w:val="00B34946"/>
    <w:pPr>
      <w:numPr>
        <w:numId w:val="15"/>
      </w:numPr>
    </w:pPr>
    <w:rPr>
      <w:rFonts w:eastAsia="Times New Roman"/>
    </w:rPr>
  </w:style>
  <w:style w:type="character" w:customStyle="1" w:styleId="SubmissionNormalChar">
    <w:name w:val="Submission Normal Char"/>
    <w:link w:val="SubmissionNormal"/>
    <w:rsid w:val="00B34946"/>
    <w:rPr>
      <w:rFonts w:ascii="Arial" w:hAnsi="Arial"/>
      <w:sz w:val="24"/>
      <w:szCs w:val="24"/>
    </w:rPr>
  </w:style>
  <w:style w:type="paragraph" w:customStyle="1" w:styleId="coveraddresses">
    <w:name w:val="cover addresses"/>
    <w:basedOn w:val="Footer"/>
    <w:qFormat/>
    <w:rsid w:val="0003606D"/>
    <w:pPr>
      <w:spacing w:after="40"/>
    </w:pPr>
    <w:rPr>
      <w:sz w:val="16"/>
      <w:szCs w:val="16"/>
    </w:rPr>
  </w:style>
  <w:style w:type="character" w:customStyle="1" w:styleId="FootnoteTextChar">
    <w:name w:val="Footnote Text Char"/>
    <w:aliases w:val="Footnote Text Char1 Char Char,Footnote Text Char Char Char Char,Footnote Text Char Char Char Char Char Char Char Char Char Char Char Char,Footnote Text Char Char Char Char Char Char Char Char Char,Footnote Text Char2 Char Char"/>
    <w:basedOn w:val="DefaultParagraphFont"/>
    <w:link w:val="FootnoteText"/>
    <w:rsid w:val="007F13DD"/>
    <w:rPr>
      <w:rFonts w:ascii="Arial" w:eastAsia="MS Mincho" w:hAnsi="Arial"/>
    </w:rPr>
  </w:style>
  <w:style w:type="paragraph" w:styleId="ListParagraph">
    <w:name w:val="List Paragraph"/>
    <w:basedOn w:val="Normal"/>
    <w:uiPriority w:val="34"/>
    <w:qFormat/>
    <w:rsid w:val="00411534"/>
    <w:pPr>
      <w:ind w:left="720"/>
      <w:contextualSpacing/>
    </w:pPr>
  </w:style>
  <w:style w:type="character" w:styleId="CommentReference">
    <w:name w:val="annotation reference"/>
    <w:basedOn w:val="DefaultParagraphFont"/>
    <w:locked/>
    <w:rsid w:val="006E2F0B"/>
    <w:rPr>
      <w:sz w:val="16"/>
      <w:szCs w:val="16"/>
    </w:rPr>
  </w:style>
  <w:style w:type="paragraph" w:styleId="CommentText">
    <w:name w:val="annotation text"/>
    <w:basedOn w:val="Normal"/>
    <w:link w:val="CommentTextChar"/>
    <w:locked/>
    <w:rsid w:val="006E2F0B"/>
    <w:rPr>
      <w:sz w:val="20"/>
      <w:szCs w:val="20"/>
    </w:rPr>
  </w:style>
  <w:style w:type="character" w:customStyle="1" w:styleId="CommentTextChar">
    <w:name w:val="Comment Text Char"/>
    <w:basedOn w:val="DefaultParagraphFont"/>
    <w:link w:val="CommentText"/>
    <w:rsid w:val="006E2F0B"/>
    <w:rPr>
      <w:rFonts w:ascii="Arial" w:eastAsia="MS Mincho" w:hAnsi="Arial"/>
    </w:rPr>
  </w:style>
  <w:style w:type="paragraph" w:styleId="CommentSubject">
    <w:name w:val="annotation subject"/>
    <w:basedOn w:val="CommentText"/>
    <w:next w:val="CommentText"/>
    <w:link w:val="CommentSubjectChar"/>
    <w:locked/>
    <w:rsid w:val="006E2F0B"/>
    <w:rPr>
      <w:b/>
      <w:bCs/>
    </w:rPr>
  </w:style>
  <w:style w:type="character" w:customStyle="1" w:styleId="CommentSubjectChar">
    <w:name w:val="Comment Subject Char"/>
    <w:basedOn w:val="CommentTextChar"/>
    <w:link w:val="CommentSubject"/>
    <w:rsid w:val="006E2F0B"/>
    <w:rPr>
      <w:rFonts w:ascii="Arial" w:eastAsia="MS Mincho" w:hAnsi="Arial"/>
      <w:b/>
      <w:bCs/>
    </w:rPr>
  </w:style>
  <w:style w:type="character" w:styleId="UnresolvedMention">
    <w:name w:val="Unresolved Mention"/>
    <w:basedOn w:val="DefaultParagraphFont"/>
    <w:uiPriority w:val="99"/>
    <w:semiHidden/>
    <w:unhideWhenUsed/>
    <w:rsid w:val="00BE5EC1"/>
    <w:rPr>
      <w:color w:val="605E5C"/>
      <w:shd w:val="clear" w:color="auto" w:fill="E1DFDD"/>
    </w:rPr>
  </w:style>
  <w:style w:type="paragraph" w:customStyle="1" w:styleId="xmsonormal">
    <w:name w:val="x_msonormal"/>
    <w:basedOn w:val="Normal"/>
    <w:rsid w:val="00DB3231"/>
    <w:pPr>
      <w:spacing w:before="0" w:after="0"/>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832657">
      <w:bodyDiv w:val="1"/>
      <w:marLeft w:val="0"/>
      <w:marRight w:val="0"/>
      <w:marTop w:val="0"/>
      <w:marBottom w:val="0"/>
      <w:divBdr>
        <w:top w:val="none" w:sz="0" w:space="0" w:color="auto"/>
        <w:left w:val="none" w:sz="0" w:space="0" w:color="auto"/>
        <w:bottom w:val="none" w:sz="0" w:space="0" w:color="auto"/>
        <w:right w:val="none" w:sz="0" w:space="0" w:color="auto"/>
      </w:divBdr>
    </w:div>
    <w:div w:id="150803335">
      <w:bodyDiv w:val="1"/>
      <w:marLeft w:val="0"/>
      <w:marRight w:val="0"/>
      <w:marTop w:val="0"/>
      <w:marBottom w:val="0"/>
      <w:divBdr>
        <w:top w:val="none" w:sz="0" w:space="0" w:color="auto"/>
        <w:left w:val="none" w:sz="0" w:space="0" w:color="auto"/>
        <w:bottom w:val="none" w:sz="0" w:space="0" w:color="auto"/>
        <w:right w:val="none" w:sz="0" w:space="0" w:color="auto"/>
      </w:divBdr>
    </w:div>
    <w:div w:id="307906828">
      <w:bodyDiv w:val="1"/>
      <w:marLeft w:val="0"/>
      <w:marRight w:val="0"/>
      <w:marTop w:val="0"/>
      <w:marBottom w:val="0"/>
      <w:divBdr>
        <w:top w:val="none" w:sz="0" w:space="0" w:color="auto"/>
        <w:left w:val="none" w:sz="0" w:space="0" w:color="auto"/>
        <w:bottom w:val="none" w:sz="0" w:space="0" w:color="auto"/>
        <w:right w:val="none" w:sz="0" w:space="0" w:color="auto"/>
      </w:divBdr>
    </w:div>
    <w:div w:id="737367260">
      <w:bodyDiv w:val="1"/>
      <w:marLeft w:val="0"/>
      <w:marRight w:val="0"/>
      <w:marTop w:val="0"/>
      <w:marBottom w:val="0"/>
      <w:divBdr>
        <w:top w:val="none" w:sz="0" w:space="0" w:color="auto"/>
        <w:left w:val="none" w:sz="0" w:space="0" w:color="auto"/>
        <w:bottom w:val="none" w:sz="0" w:space="0" w:color="auto"/>
        <w:right w:val="none" w:sz="0" w:space="0" w:color="auto"/>
      </w:divBdr>
    </w:div>
    <w:div w:id="740562226">
      <w:bodyDiv w:val="1"/>
      <w:marLeft w:val="0"/>
      <w:marRight w:val="0"/>
      <w:marTop w:val="0"/>
      <w:marBottom w:val="0"/>
      <w:divBdr>
        <w:top w:val="none" w:sz="0" w:space="0" w:color="auto"/>
        <w:left w:val="none" w:sz="0" w:space="0" w:color="auto"/>
        <w:bottom w:val="none" w:sz="0" w:space="0" w:color="auto"/>
        <w:right w:val="none" w:sz="0" w:space="0" w:color="auto"/>
      </w:divBdr>
    </w:div>
    <w:div w:id="779758380">
      <w:bodyDiv w:val="1"/>
      <w:marLeft w:val="0"/>
      <w:marRight w:val="0"/>
      <w:marTop w:val="0"/>
      <w:marBottom w:val="0"/>
      <w:divBdr>
        <w:top w:val="none" w:sz="0" w:space="0" w:color="auto"/>
        <w:left w:val="none" w:sz="0" w:space="0" w:color="auto"/>
        <w:bottom w:val="none" w:sz="0" w:space="0" w:color="auto"/>
        <w:right w:val="none" w:sz="0" w:space="0" w:color="auto"/>
      </w:divBdr>
    </w:div>
    <w:div w:id="977101536">
      <w:bodyDiv w:val="1"/>
      <w:marLeft w:val="0"/>
      <w:marRight w:val="0"/>
      <w:marTop w:val="0"/>
      <w:marBottom w:val="0"/>
      <w:divBdr>
        <w:top w:val="none" w:sz="0" w:space="0" w:color="auto"/>
        <w:left w:val="none" w:sz="0" w:space="0" w:color="auto"/>
        <w:bottom w:val="none" w:sz="0" w:space="0" w:color="auto"/>
        <w:right w:val="none" w:sz="0" w:space="0" w:color="auto"/>
      </w:divBdr>
    </w:div>
    <w:div w:id="1316951216">
      <w:bodyDiv w:val="1"/>
      <w:marLeft w:val="0"/>
      <w:marRight w:val="0"/>
      <w:marTop w:val="0"/>
      <w:marBottom w:val="0"/>
      <w:divBdr>
        <w:top w:val="none" w:sz="0" w:space="0" w:color="auto"/>
        <w:left w:val="none" w:sz="0" w:space="0" w:color="auto"/>
        <w:bottom w:val="none" w:sz="0" w:space="0" w:color="auto"/>
        <w:right w:val="none" w:sz="0" w:space="0" w:color="auto"/>
      </w:divBdr>
    </w:div>
    <w:div w:id="1722560494">
      <w:bodyDiv w:val="1"/>
      <w:marLeft w:val="0"/>
      <w:marRight w:val="0"/>
      <w:marTop w:val="0"/>
      <w:marBottom w:val="0"/>
      <w:divBdr>
        <w:top w:val="none" w:sz="0" w:space="0" w:color="auto"/>
        <w:left w:val="none" w:sz="0" w:space="0" w:color="auto"/>
        <w:bottom w:val="none" w:sz="0" w:space="0" w:color="auto"/>
        <w:right w:val="none" w:sz="0" w:space="0" w:color="auto"/>
      </w:divBdr>
    </w:div>
    <w:div w:id="1967463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EAAFB-EE82-45B0-9CF8-E8355108B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2835</Words>
  <Characters>16161</Characters>
  <Application>Microsoft Office Word</Application>
  <DocSecurity>12</DocSecurity>
  <Lines>134</Lines>
  <Paragraphs>37</Paragraphs>
  <ScaleCrop>false</ScaleCrop>
  <HeadingPairs>
    <vt:vector size="2" baseType="variant">
      <vt:variant>
        <vt:lpstr>Title</vt:lpstr>
      </vt:variant>
      <vt:variant>
        <vt:i4>1</vt:i4>
      </vt:variant>
    </vt:vector>
  </HeadingPairs>
  <TitlesOfParts>
    <vt:vector size="1" baseType="lpstr">
      <vt:lpstr>Year</vt:lpstr>
    </vt:vector>
  </TitlesOfParts>
  <Company>Human Rights and Equal Opportunity Commission</Company>
  <LinksUpToDate>false</LinksUpToDate>
  <CharactersWithSpaces>18959</CharactersWithSpaces>
  <SharedDoc>false</SharedDoc>
  <HLinks>
    <vt:vector size="42" baseType="variant">
      <vt:variant>
        <vt:i4>1572920</vt:i4>
      </vt:variant>
      <vt:variant>
        <vt:i4>38</vt:i4>
      </vt:variant>
      <vt:variant>
        <vt:i4>0</vt:i4>
      </vt:variant>
      <vt:variant>
        <vt:i4>5</vt:i4>
      </vt:variant>
      <vt:variant>
        <vt:lpwstr/>
      </vt:variant>
      <vt:variant>
        <vt:lpwstr>_Toc209941772</vt:lpwstr>
      </vt:variant>
      <vt:variant>
        <vt:i4>1572920</vt:i4>
      </vt:variant>
      <vt:variant>
        <vt:i4>32</vt:i4>
      </vt:variant>
      <vt:variant>
        <vt:i4>0</vt:i4>
      </vt:variant>
      <vt:variant>
        <vt:i4>5</vt:i4>
      </vt:variant>
      <vt:variant>
        <vt:lpwstr/>
      </vt:variant>
      <vt:variant>
        <vt:lpwstr>_Toc209941771</vt:lpwstr>
      </vt:variant>
      <vt:variant>
        <vt:i4>1572920</vt:i4>
      </vt:variant>
      <vt:variant>
        <vt:i4>26</vt:i4>
      </vt:variant>
      <vt:variant>
        <vt:i4>0</vt:i4>
      </vt:variant>
      <vt:variant>
        <vt:i4>5</vt:i4>
      </vt:variant>
      <vt:variant>
        <vt:lpwstr/>
      </vt:variant>
      <vt:variant>
        <vt:lpwstr>_Toc209941770</vt:lpwstr>
      </vt:variant>
      <vt:variant>
        <vt:i4>1638456</vt:i4>
      </vt:variant>
      <vt:variant>
        <vt:i4>20</vt:i4>
      </vt:variant>
      <vt:variant>
        <vt:i4>0</vt:i4>
      </vt:variant>
      <vt:variant>
        <vt:i4>5</vt:i4>
      </vt:variant>
      <vt:variant>
        <vt:lpwstr/>
      </vt:variant>
      <vt:variant>
        <vt:lpwstr>_Toc209941769</vt:lpwstr>
      </vt:variant>
      <vt:variant>
        <vt:i4>1638456</vt:i4>
      </vt:variant>
      <vt:variant>
        <vt:i4>14</vt:i4>
      </vt:variant>
      <vt:variant>
        <vt:i4>0</vt:i4>
      </vt:variant>
      <vt:variant>
        <vt:i4>5</vt:i4>
      </vt:variant>
      <vt:variant>
        <vt:lpwstr/>
      </vt:variant>
      <vt:variant>
        <vt:lpwstr>_Toc209941768</vt:lpwstr>
      </vt:variant>
      <vt:variant>
        <vt:i4>1638456</vt:i4>
      </vt:variant>
      <vt:variant>
        <vt:i4>8</vt:i4>
      </vt:variant>
      <vt:variant>
        <vt:i4>0</vt:i4>
      </vt:variant>
      <vt:variant>
        <vt:i4>5</vt:i4>
      </vt:variant>
      <vt:variant>
        <vt:lpwstr/>
      </vt:variant>
      <vt:variant>
        <vt:lpwstr>_Toc209941767</vt:lpwstr>
      </vt:variant>
      <vt:variant>
        <vt:i4>1638456</vt:i4>
      </vt:variant>
      <vt:variant>
        <vt:i4>2</vt:i4>
      </vt:variant>
      <vt:variant>
        <vt:i4>0</vt:i4>
      </vt:variant>
      <vt:variant>
        <vt:i4>5</vt:i4>
      </vt:variant>
      <vt:variant>
        <vt:lpwstr/>
      </vt:variant>
      <vt:variant>
        <vt:lpwstr>_Toc209941766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dc:title>
  <dc:creator>John Howell</dc:creator>
  <cp:lastModifiedBy>Ella Kucharova</cp:lastModifiedBy>
  <cp:revision>2</cp:revision>
  <cp:lastPrinted>2019-07-25T23:31:00Z</cp:lastPrinted>
  <dcterms:created xsi:type="dcterms:W3CDTF">2021-06-11T00:08:00Z</dcterms:created>
  <dcterms:modified xsi:type="dcterms:W3CDTF">2021-06-11T00:08:00Z</dcterms:modified>
</cp:coreProperties>
</file>