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3EDF8" w14:textId="1C9B43AD" w:rsidR="00A355F9" w:rsidRPr="00BD3183" w:rsidRDefault="00BD3183" w:rsidP="00A355F9">
      <w:pPr>
        <w:pStyle w:val="MainTitle"/>
        <w:rPr>
          <w:sz w:val="48"/>
          <w:szCs w:val="48"/>
        </w:rPr>
      </w:pPr>
      <w:r w:rsidRPr="00BD3183">
        <w:rPr>
          <w:sz w:val="48"/>
          <w:szCs w:val="48"/>
        </w:rPr>
        <w:t xml:space="preserve">Mr CZ v Commonwealth </w:t>
      </w:r>
      <w:r>
        <w:rPr>
          <w:sz w:val="48"/>
          <w:szCs w:val="48"/>
        </w:rPr>
        <w:t>of Australia</w:t>
      </w:r>
    </w:p>
    <w:p w14:paraId="46AD37E8" w14:textId="0BD72016" w:rsidR="00A355F9" w:rsidRPr="00BD3183" w:rsidRDefault="00BD3183" w:rsidP="00A355F9">
      <w:pPr>
        <w:pStyle w:val="MainTitle"/>
        <w:rPr>
          <w:sz w:val="48"/>
          <w:szCs w:val="48"/>
        </w:rPr>
      </w:pPr>
      <w:r>
        <w:rPr>
          <w:sz w:val="48"/>
          <w:szCs w:val="48"/>
        </w:rPr>
        <w:t>(Department of Home Affairs)</w:t>
      </w:r>
    </w:p>
    <w:p w14:paraId="3CACBF41" w14:textId="71A9DC93" w:rsidR="00825D34" w:rsidRPr="00825D34" w:rsidRDefault="00825D34" w:rsidP="008A7305">
      <w:pPr>
        <w:jc w:val="right"/>
        <w:rPr>
          <w:rFonts w:cs="Arial"/>
          <w:b/>
          <w:bCs/>
          <w:sz w:val="28"/>
        </w:rPr>
      </w:pPr>
      <w:r w:rsidRPr="00825D34">
        <w:rPr>
          <w:rFonts w:cs="Arial"/>
          <w:b/>
          <w:bCs/>
          <w:sz w:val="28"/>
        </w:rPr>
        <w:t>[2024] AusHRC 164</w:t>
      </w:r>
    </w:p>
    <w:p w14:paraId="7E469FEF" w14:textId="62303E3E" w:rsidR="00AC636D" w:rsidRPr="00825D34" w:rsidRDefault="008A7305" w:rsidP="008A7305">
      <w:pPr>
        <w:jc w:val="right"/>
      </w:pPr>
      <w:r w:rsidRPr="00825D34">
        <w:rPr>
          <w:rFonts w:cs="Arial"/>
          <w:sz w:val="28"/>
        </w:rPr>
        <w:fldChar w:fldCharType="begin"/>
      </w:r>
      <w:r w:rsidRPr="00825D34">
        <w:rPr>
          <w:rFonts w:cs="Arial"/>
          <w:sz w:val="28"/>
        </w:rPr>
        <w:instrText xml:space="preserve"> CREATEDATE  \@ "MMMM yyyy"  \* MERGEFORMAT </w:instrText>
      </w:r>
      <w:r w:rsidRPr="00825D34">
        <w:rPr>
          <w:rFonts w:cs="Arial"/>
          <w:sz w:val="28"/>
        </w:rPr>
        <w:fldChar w:fldCharType="separate"/>
      </w:r>
      <w:r w:rsidR="00FF6768">
        <w:rPr>
          <w:rFonts w:cs="Arial"/>
          <w:noProof/>
          <w:sz w:val="28"/>
        </w:rPr>
        <w:t>May</w:t>
      </w:r>
      <w:r w:rsidR="00BD3183" w:rsidRPr="00825D34">
        <w:rPr>
          <w:rFonts w:cs="Arial"/>
          <w:noProof/>
          <w:sz w:val="28"/>
        </w:rPr>
        <w:t xml:space="preserve"> 2024</w:t>
      </w:r>
      <w:r w:rsidRPr="00825D34">
        <w:rPr>
          <w:rFonts w:cs="Arial"/>
          <w:sz w:val="28"/>
        </w:rPr>
        <w:fldChar w:fldCharType="end"/>
      </w:r>
    </w:p>
    <w:p w14:paraId="7672A029" w14:textId="707ADC0A" w:rsidR="009E4BD0" w:rsidRPr="00AC636D" w:rsidRDefault="00961135" w:rsidP="00961135">
      <w:pPr>
        <w:jc w:val="right"/>
        <w:sectPr w:rsidR="009E4BD0" w:rsidRPr="00AC636D" w:rsidSect="004B587E">
          <w:headerReference w:type="even" r:id="rId8"/>
          <w:headerReference w:type="default" r:id="rId9"/>
          <w:headerReference w:type="first" r:id="rId10"/>
          <w:footerReference w:type="first" r:id="rId11"/>
          <w:type w:val="continuous"/>
          <w:pgSz w:w="11906" w:h="16838" w:code="9"/>
          <w:pgMar w:top="228" w:right="1700" w:bottom="1134" w:left="1418" w:header="277" w:footer="1361" w:gutter="0"/>
          <w:pgNumType w:start="2"/>
          <w:cols w:space="708"/>
          <w:titlePg/>
          <w:docGrid w:linePitch="360"/>
        </w:sectPr>
      </w:pPr>
      <w:r>
        <w:tab/>
      </w:r>
      <w:r w:rsidRPr="00E60C48">
        <w:rPr>
          <w:rFonts w:cs="Open Sans"/>
          <w:color w:val="0070C0"/>
        </w:rPr>
        <w:t xml:space="preserve"> </w:t>
      </w:r>
    </w:p>
    <w:p w14:paraId="528D3C79" w14:textId="77777777" w:rsidR="00825D34" w:rsidRDefault="00825D34" w:rsidP="00825D34">
      <w:pPr>
        <w:pStyle w:val="TOC1"/>
      </w:pPr>
      <w:bookmarkStart w:id="0" w:name="_Toc209316062"/>
      <w:bookmarkEnd w:id="0"/>
    </w:p>
    <w:p w14:paraId="0F55D2D0" w14:textId="77777777" w:rsidR="00825D34" w:rsidRPr="000A6408" w:rsidRDefault="00825D34" w:rsidP="00825D34">
      <w:pPr>
        <w:spacing w:before="0" w:after="0"/>
      </w:pPr>
    </w:p>
    <w:p w14:paraId="6A853BC5" w14:textId="77777777" w:rsidR="00825D34" w:rsidRPr="000A6408" w:rsidRDefault="00825D34" w:rsidP="00825D34">
      <w:pPr>
        <w:spacing w:before="0" w:after="0"/>
      </w:pPr>
    </w:p>
    <w:p w14:paraId="1452D5FA" w14:textId="77777777" w:rsidR="00825D34" w:rsidRPr="000A6408" w:rsidRDefault="00825D34" w:rsidP="00825D34">
      <w:pPr>
        <w:spacing w:before="0" w:after="0"/>
      </w:pPr>
    </w:p>
    <w:p w14:paraId="48E79064" w14:textId="77777777" w:rsidR="00825D34" w:rsidRPr="000A6408" w:rsidRDefault="00825D34" w:rsidP="00825D34">
      <w:pPr>
        <w:spacing w:before="0" w:after="0"/>
      </w:pPr>
    </w:p>
    <w:p w14:paraId="769B2B7C" w14:textId="77777777" w:rsidR="00825D34" w:rsidRDefault="00825D34" w:rsidP="00825D34">
      <w:pPr>
        <w:spacing w:before="360"/>
        <w:rPr>
          <w:b/>
          <w:bCs/>
        </w:rPr>
      </w:pPr>
    </w:p>
    <w:p w14:paraId="489B29DB" w14:textId="77777777" w:rsidR="00825D34" w:rsidRPr="000A6408" w:rsidRDefault="00825D34" w:rsidP="00825D34">
      <w:pPr>
        <w:spacing w:before="360"/>
        <w:rPr>
          <w:b/>
          <w:bCs/>
        </w:rPr>
      </w:pPr>
    </w:p>
    <w:p w14:paraId="39E0281D" w14:textId="188BCF8D" w:rsidR="00825D34" w:rsidRPr="00E131E0" w:rsidRDefault="00825D34" w:rsidP="00825D34">
      <w:pPr>
        <w:spacing w:before="360"/>
        <w:rPr>
          <w:b/>
          <w:bCs/>
          <w:sz w:val="36"/>
          <w:szCs w:val="36"/>
        </w:rPr>
      </w:pPr>
      <w:r w:rsidRPr="00E131E0">
        <w:rPr>
          <w:b/>
          <w:bCs/>
          <w:sz w:val="36"/>
          <w:szCs w:val="36"/>
        </w:rPr>
        <w:t xml:space="preserve">Mr </w:t>
      </w:r>
      <w:r>
        <w:rPr>
          <w:b/>
          <w:bCs/>
          <w:sz w:val="36"/>
          <w:szCs w:val="36"/>
        </w:rPr>
        <w:t>CZ</w:t>
      </w:r>
      <w:r w:rsidRPr="00E131E0">
        <w:rPr>
          <w:b/>
          <w:bCs/>
          <w:sz w:val="36"/>
          <w:szCs w:val="36"/>
        </w:rPr>
        <w:t xml:space="preserve"> v Commonwealth of Australia </w:t>
      </w:r>
      <w:r>
        <w:rPr>
          <w:b/>
          <w:bCs/>
          <w:sz w:val="36"/>
          <w:szCs w:val="36"/>
        </w:rPr>
        <w:br/>
      </w:r>
      <w:r w:rsidRPr="00E131E0">
        <w:rPr>
          <w:b/>
          <w:bCs/>
          <w:sz w:val="36"/>
          <w:szCs w:val="36"/>
        </w:rPr>
        <w:t xml:space="preserve">(Department of Home Affairs) </w:t>
      </w:r>
    </w:p>
    <w:p w14:paraId="676FA1F2" w14:textId="6BD8404F" w:rsidR="00825D34" w:rsidRPr="00E131E0" w:rsidRDefault="00825D34" w:rsidP="00825D34">
      <w:pPr>
        <w:spacing w:before="360"/>
        <w:rPr>
          <w:sz w:val="32"/>
          <w:szCs w:val="32"/>
        </w:rPr>
      </w:pPr>
      <w:r w:rsidRPr="00E131E0">
        <w:rPr>
          <w:sz w:val="32"/>
          <w:szCs w:val="32"/>
        </w:rPr>
        <w:t>[202</w:t>
      </w:r>
      <w:r>
        <w:rPr>
          <w:sz w:val="32"/>
          <w:szCs w:val="32"/>
        </w:rPr>
        <w:t>4</w:t>
      </w:r>
      <w:r w:rsidRPr="00E131E0">
        <w:rPr>
          <w:sz w:val="32"/>
          <w:szCs w:val="32"/>
        </w:rPr>
        <w:t>] AusHRC 1</w:t>
      </w:r>
      <w:r>
        <w:rPr>
          <w:sz w:val="32"/>
          <w:szCs w:val="32"/>
        </w:rPr>
        <w:t>64</w:t>
      </w:r>
    </w:p>
    <w:p w14:paraId="40A4B0B5" w14:textId="77777777" w:rsidR="00825D34" w:rsidRPr="00E131E0" w:rsidRDefault="00825D34" w:rsidP="00825D34">
      <w:pPr>
        <w:spacing w:before="360"/>
        <w:rPr>
          <w:i/>
          <w:iCs/>
        </w:rPr>
      </w:pPr>
      <w:r w:rsidRPr="00E131E0">
        <w:rPr>
          <w:i/>
          <w:iCs/>
        </w:rPr>
        <w:t>Report into</w:t>
      </w:r>
      <w:r>
        <w:rPr>
          <w:i/>
          <w:iCs/>
        </w:rPr>
        <w:t xml:space="preserve"> arbitrary detention </w:t>
      </w:r>
    </w:p>
    <w:p w14:paraId="091BE9E5" w14:textId="77777777" w:rsidR="00825D34" w:rsidRPr="00E575B6" w:rsidRDefault="00825D34" w:rsidP="00825D34">
      <w:pPr>
        <w:pStyle w:val="TOC1"/>
        <w:rPr>
          <w:b w:val="0"/>
          <w:bCs/>
        </w:rPr>
      </w:pPr>
      <w:r w:rsidRPr="00E575B6">
        <w:rPr>
          <w:b w:val="0"/>
          <w:bCs/>
        </w:rPr>
        <w:t>Australian Human Rights Commission 2024</w:t>
      </w:r>
    </w:p>
    <w:p w14:paraId="0EE8BD60" w14:textId="77777777" w:rsidR="00825D34" w:rsidRDefault="00825D34" w:rsidP="00825D34">
      <w:pPr>
        <w:pStyle w:val="TOC1"/>
      </w:pPr>
    </w:p>
    <w:p w14:paraId="11B5D4C9" w14:textId="77777777" w:rsidR="00825D34" w:rsidRDefault="00825D34" w:rsidP="00825D34">
      <w:pPr>
        <w:pStyle w:val="TOC1"/>
      </w:pPr>
    </w:p>
    <w:p w14:paraId="07B0CC62" w14:textId="77777777" w:rsidR="00825D34" w:rsidRDefault="00825D34" w:rsidP="00825D34">
      <w:pPr>
        <w:pStyle w:val="TOC1"/>
      </w:pPr>
    </w:p>
    <w:p w14:paraId="249D8945" w14:textId="77777777" w:rsidR="00825D34" w:rsidRDefault="00825D34" w:rsidP="00825D34">
      <w:pPr>
        <w:pStyle w:val="TOC1"/>
      </w:pPr>
    </w:p>
    <w:p w14:paraId="4AA7E259" w14:textId="77777777" w:rsidR="00825D34" w:rsidRDefault="00825D34" w:rsidP="00825D34">
      <w:pPr>
        <w:pStyle w:val="TOC1"/>
      </w:pPr>
    </w:p>
    <w:p w14:paraId="25A358B6" w14:textId="77777777" w:rsidR="00825D34" w:rsidRDefault="00825D34" w:rsidP="00825D34">
      <w:pPr>
        <w:pStyle w:val="TOC1"/>
      </w:pPr>
    </w:p>
    <w:p w14:paraId="068EF292" w14:textId="77777777" w:rsidR="00825D34" w:rsidRDefault="00825D34" w:rsidP="00825D34">
      <w:pPr>
        <w:pStyle w:val="TOC1"/>
      </w:pPr>
    </w:p>
    <w:p w14:paraId="34FC8436" w14:textId="77777777" w:rsidR="00825D34" w:rsidRDefault="00825D34" w:rsidP="00825D34">
      <w:pPr>
        <w:pStyle w:val="TOC1"/>
      </w:pPr>
    </w:p>
    <w:p w14:paraId="5668D5CC" w14:textId="77777777" w:rsidR="00825D34" w:rsidRDefault="00825D34" w:rsidP="00825D34">
      <w:pPr>
        <w:pStyle w:val="TOC1"/>
      </w:pPr>
    </w:p>
    <w:p w14:paraId="0EDEC635" w14:textId="77777777" w:rsidR="00825D34" w:rsidRDefault="00825D34" w:rsidP="00825D34">
      <w:pPr>
        <w:pStyle w:val="TOC1"/>
      </w:pPr>
    </w:p>
    <w:p w14:paraId="1366A397" w14:textId="77777777" w:rsidR="00825D34" w:rsidRDefault="00825D34" w:rsidP="00825D34">
      <w:pPr>
        <w:pStyle w:val="TOC1"/>
      </w:pPr>
    </w:p>
    <w:p w14:paraId="639EA481" w14:textId="77777777" w:rsidR="00825D34" w:rsidRDefault="00825D34" w:rsidP="00825D34">
      <w:pPr>
        <w:pStyle w:val="TOC1"/>
      </w:pPr>
    </w:p>
    <w:p w14:paraId="5819E219" w14:textId="77777777" w:rsidR="00825D34" w:rsidRDefault="00825D34" w:rsidP="00825D34">
      <w:pPr>
        <w:pStyle w:val="TOC1"/>
      </w:pPr>
    </w:p>
    <w:p w14:paraId="7403AEDF" w14:textId="77777777" w:rsidR="00825D34" w:rsidRPr="002270AC" w:rsidRDefault="00825D34" w:rsidP="00825D34">
      <w:pPr>
        <w:pStyle w:val="TOC1"/>
      </w:pPr>
    </w:p>
    <w:p w14:paraId="128858D5" w14:textId="77777777" w:rsidR="00A86F56" w:rsidRPr="002270AC" w:rsidRDefault="00A86F56" w:rsidP="00A86F56">
      <w:pPr>
        <w:spacing w:before="0" w:after="0"/>
        <w:rPr>
          <w:b/>
          <w:noProof/>
        </w:rPr>
      </w:pPr>
      <w:r w:rsidRPr="002270AC">
        <w:rPr>
          <w:rFonts w:cs="Open Sans"/>
        </w:rPr>
        <w:t>The Hon Mark Dreyfus KC MP</w:t>
      </w:r>
    </w:p>
    <w:p w14:paraId="13C49090" w14:textId="77777777" w:rsidR="00A86F56" w:rsidRPr="002270AC" w:rsidRDefault="00A86F56" w:rsidP="00A86F56">
      <w:pPr>
        <w:contextualSpacing/>
        <w:rPr>
          <w:rFonts w:cs="Open Sans"/>
        </w:rPr>
      </w:pPr>
      <w:r w:rsidRPr="002270AC">
        <w:rPr>
          <w:rFonts w:cs="Open Sans"/>
        </w:rPr>
        <w:t>Attorney-General</w:t>
      </w:r>
    </w:p>
    <w:p w14:paraId="76EAAC17" w14:textId="77777777" w:rsidR="00A86F56" w:rsidRPr="002270AC" w:rsidRDefault="00A86F56" w:rsidP="00A86F56">
      <w:pPr>
        <w:contextualSpacing/>
        <w:rPr>
          <w:rFonts w:cs="Open Sans"/>
        </w:rPr>
      </w:pPr>
      <w:r w:rsidRPr="002270AC">
        <w:rPr>
          <w:rFonts w:cs="Open Sans"/>
        </w:rPr>
        <w:t>Parliament House</w:t>
      </w:r>
    </w:p>
    <w:p w14:paraId="23D8EF02" w14:textId="77777777" w:rsidR="00A86F56" w:rsidRPr="002270AC" w:rsidRDefault="00A86F56" w:rsidP="00A86F56">
      <w:pPr>
        <w:contextualSpacing/>
        <w:rPr>
          <w:rFonts w:cs="Open Sans"/>
        </w:rPr>
      </w:pPr>
      <w:r w:rsidRPr="002270AC">
        <w:rPr>
          <w:rFonts w:cs="Open Sans"/>
        </w:rPr>
        <w:t>Canberra ACT 2600</w:t>
      </w:r>
    </w:p>
    <w:p w14:paraId="5455F4EB" w14:textId="77777777" w:rsidR="00A86F56" w:rsidRPr="002270AC" w:rsidRDefault="00A86F56" w:rsidP="00A86F56"/>
    <w:p w14:paraId="2FE78808" w14:textId="77777777" w:rsidR="00C830BC" w:rsidRPr="002270AC" w:rsidRDefault="00C830BC" w:rsidP="00C830BC">
      <w:r w:rsidRPr="002270AC">
        <w:t>Dear Attorney</w:t>
      </w:r>
    </w:p>
    <w:p w14:paraId="605A6D1A" w14:textId="77777777" w:rsidR="00C830BC" w:rsidRPr="002270AC" w:rsidRDefault="00C830BC" w:rsidP="00C830BC">
      <w:r w:rsidRPr="002270AC">
        <w:t xml:space="preserve">I have completed my report pursuant to s 11(1)(f) of the </w:t>
      </w:r>
      <w:r w:rsidRPr="002270AC">
        <w:rPr>
          <w:i/>
          <w:iCs/>
        </w:rPr>
        <w:t>Australian Human Rights Commission Act 1986</w:t>
      </w:r>
      <w:r w:rsidRPr="002270AC">
        <w:t xml:space="preserve"> (Cth) (AHRC Act) into the human rights complaint of Mr CZ, alleging a breach of his human rights by the Department of Home Affairs (Department). </w:t>
      </w:r>
    </w:p>
    <w:p w14:paraId="08186241" w14:textId="5CF5CC7D" w:rsidR="00C830BC" w:rsidRPr="002270AC" w:rsidRDefault="00C830BC" w:rsidP="00C830BC">
      <w:r w:rsidRPr="002270AC">
        <w:t xml:space="preserve">Mr CZ is from Iran, </w:t>
      </w:r>
      <w:r w:rsidR="00D25025" w:rsidRPr="002270AC">
        <w:t>having</w:t>
      </w:r>
      <w:r w:rsidRPr="002270AC">
        <w:t xml:space="preserve"> arrived in Australia by boat at Christmas Island in October 2010. In 2017, Mr CZ was transferred to Villawood Immigration Detention Centre whilst awaiting the outcome of a criminal charge. The criminal charge was dismissed without conviction, however Mr CZ would then remain in closed immigration detention facilities for five further years until his release in March 2023. Mr CZ’s continued detention had a detrimental effect on his psychological wellbeing, compounding his grief o</w:t>
      </w:r>
      <w:r w:rsidR="0094628C" w:rsidRPr="002270AC">
        <w:t xml:space="preserve">ver </w:t>
      </w:r>
      <w:r w:rsidRPr="002270AC">
        <w:t>the deaths of his partner and his mother, in a short time period.</w:t>
      </w:r>
    </w:p>
    <w:p w14:paraId="2A7E08FE" w14:textId="25709D8C" w:rsidR="00C830BC" w:rsidRPr="002270AC" w:rsidRDefault="00C830BC" w:rsidP="00C830BC">
      <w:r w:rsidRPr="002270AC">
        <w:t>Mr CZ complained that his detention was arbitrary, contrary to article 9</w:t>
      </w:r>
      <w:r w:rsidR="00E00CF6">
        <w:t>(1)</w:t>
      </w:r>
      <w:r w:rsidRPr="002270AC">
        <w:t xml:space="preserve"> of the </w:t>
      </w:r>
      <w:r w:rsidRPr="002270AC">
        <w:rPr>
          <w:i/>
          <w:iCs/>
        </w:rPr>
        <w:t xml:space="preserve">International Covenant on Civil and Political Rights </w:t>
      </w:r>
      <w:r w:rsidRPr="002270AC">
        <w:t xml:space="preserve">(ICCPR). As a result of this inquiry, I have found that the Department’s delay in referring Mr CZ’s case to the Minister for consideration of his discretionary intervention powers under s 195A and/or s 197AB of the </w:t>
      </w:r>
      <w:r w:rsidRPr="002270AC">
        <w:rPr>
          <w:i/>
          <w:iCs/>
        </w:rPr>
        <w:t xml:space="preserve">Migration Act 1958 </w:t>
      </w:r>
      <w:r w:rsidRPr="002270AC">
        <w:t xml:space="preserve">(Cth), as well as the Minister’s decision to decline to consider exercising </w:t>
      </w:r>
      <w:r w:rsidR="00466EAB" w:rsidRPr="002270AC">
        <w:t>his</w:t>
      </w:r>
      <w:r w:rsidRPr="002270AC">
        <w:t xml:space="preserve"> s 195A powers, were inconsistent with, or contrary to, the right to freedom from arbitrary detention under article 9(1) of the </w:t>
      </w:r>
      <w:r w:rsidR="001509E4" w:rsidRPr="001E6407">
        <w:rPr>
          <w:iCs/>
        </w:rPr>
        <w:t>ICCPR</w:t>
      </w:r>
      <w:r w:rsidRPr="002270AC">
        <w:t>.</w:t>
      </w:r>
    </w:p>
    <w:p w14:paraId="47201386" w14:textId="4B676277" w:rsidR="00C830BC" w:rsidRPr="002270AC" w:rsidRDefault="00C830BC" w:rsidP="00C830BC">
      <w:pPr>
        <w:rPr>
          <w:rFonts w:eastAsia="Times New Roman"/>
          <w:spacing w:val="-5"/>
        </w:rPr>
      </w:pPr>
      <w:r w:rsidRPr="002270AC">
        <w:rPr>
          <w:rFonts w:eastAsia="Times New Roman"/>
          <w:spacing w:val="-5"/>
        </w:rPr>
        <w:t xml:space="preserve">On 23 January 2024, I provided the Department with a notice issued under s 29(2) of the AHRC Act setting out my findings and recommendations in this matter. The Department provided its response to my findings and recommendations on 27 February 2024. That response can be found in Part </w:t>
      </w:r>
      <w:r w:rsidR="008D3BF7" w:rsidRPr="002270AC">
        <w:rPr>
          <w:rFonts w:eastAsia="Times New Roman"/>
          <w:spacing w:val="-5"/>
        </w:rPr>
        <w:t>7</w:t>
      </w:r>
      <w:r w:rsidRPr="002270AC">
        <w:rPr>
          <w:rFonts w:eastAsia="Times New Roman"/>
          <w:spacing w:val="-5"/>
        </w:rPr>
        <w:t xml:space="preserve"> of this report. </w:t>
      </w:r>
    </w:p>
    <w:p w14:paraId="5641B8BB" w14:textId="77777777" w:rsidR="00F33CA4" w:rsidRDefault="00F33CA4" w:rsidP="00C830BC">
      <w:pPr>
        <w:rPr>
          <w:rFonts w:eastAsia="Times New Roman"/>
          <w:spacing w:val="-5"/>
        </w:rPr>
      </w:pPr>
    </w:p>
    <w:p w14:paraId="14A82967" w14:textId="77777777" w:rsidR="00F33CA4" w:rsidRDefault="00F33CA4" w:rsidP="00C830BC">
      <w:pPr>
        <w:rPr>
          <w:rFonts w:eastAsia="Times New Roman"/>
          <w:spacing w:val="-5"/>
        </w:rPr>
      </w:pPr>
    </w:p>
    <w:p w14:paraId="157BDC7B" w14:textId="77777777" w:rsidR="00F33CA4" w:rsidRDefault="00F33CA4" w:rsidP="00C830BC">
      <w:pPr>
        <w:rPr>
          <w:rFonts w:eastAsia="Times New Roman"/>
          <w:spacing w:val="-5"/>
        </w:rPr>
      </w:pPr>
    </w:p>
    <w:p w14:paraId="08D4E42A" w14:textId="77777777" w:rsidR="00F33CA4" w:rsidRDefault="00F33CA4" w:rsidP="00C830BC">
      <w:pPr>
        <w:rPr>
          <w:rFonts w:eastAsia="Times New Roman"/>
          <w:spacing w:val="-5"/>
        </w:rPr>
      </w:pPr>
    </w:p>
    <w:p w14:paraId="6A70A7FE" w14:textId="4BC61307" w:rsidR="00C830BC" w:rsidRPr="002270AC" w:rsidRDefault="00C830BC" w:rsidP="00C830BC">
      <w:pPr>
        <w:rPr>
          <w:rFonts w:eastAsia="Times New Roman"/>
          <w:spacing w:val="-5"/>
        </w:rPr>
      </w:pPr>
      <w:r w:rsidRPr="002270AC">
        <w:rPr>
          <w:rFonts w:eastAsia="Times New Roman"/>
          <w:spacing w:val="-5"/>
        </w:rPr>
        <w:lastRenderedPageBreak/>
        <w:t xml:space="preserve">I enclose a copy of my report. </w:t>
      </w:r>
    </w:p>
    <w:p w14:paraId="7EE9A55E" w14:textId="4D7D062E" w:rsidR="00C830BC" w:rsidRPr="002270AC" w:rsidRDefault="00C830BC" w:rsidP="00C830BC">
      <w:pPr>
        <w:keepNext/>
        <w:rPr>
          <w:rFonts w:eastAsia="Times New Roman"/>
          <w:spacing w:val="-5"/>
        </w:rPr>
      </w:pPr>
      <w:r w:rsidRPr="002270AC">
        <w:rPr>
          <w:rFonts w:eastAsia="Times New Roman"/>
          <w:spacing w:val="-5"/>
        </w:rPr>
        <w:t>Yours sincerely,</w:t>
      </w:r>
    </w:p>
    <w:p w14:paraId="2D24BFB0" w14:textId="06BCB416" w:rsidR="00A86F56" w:rsidRDefault="00A86F56" w:rsidP="00A86F56">
      <w:pPr>
        <w:spacing w:before="0" w:after="0"/>
      </w:pPr>
    </w:p>
    <w:p w14:paraId="3324D900" w14:textId="20C32125" w:rsidR="00F33CA4" w:rsidRPr="002270AC" w:rsidRDefault="53F5CF70" w:rsidP="69A937DC">
      <w:pPr>
        <w:spacing w:before="0" w:after="0"/>
      </w:pPr>
      <w:r>
        <w:rPr>
          <w:noProof/>
        </w:rPr>
        <w:drawing>
          <wp:inline distT="0" distB="0" distL="0" distR="0" wp14:anchorId="51C932D5" wp14:editId="7935E2BD">
            <wp:extent cx="3194581" cy="792549"/>
            <wp:effectExtent l="0" t="0" r="0" b="0"/>
            <wp:docPr id="623104569" name="Picture 62310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94581" cy="792549"/>
                    </a:xfrm>
                    <a:prstGeom prst="rect">
                      <a:avLst/>
                    </a:prstGeom>
                  </pic:spPr>
                </pic:pic>
              </a:graphicData>
            </a:graphic>
          </wp:inline>
        </w:drawing>
      </w:r>
    </w:p>
    <w:p w14:paraId="0A28DD08" w14:textId="77777777" w:rsidR="00C830BC" w:rsidRPr="002270AC" w:rsidRDefault="00C830BC" w:rsidP="00A86F56">
      <w:pPr>
        <w:spacing w:before="0" w:after="0"/>
      </w:pPr>
    </w:p>
    <w:p w14:paraId="75DA938F" w14:textId="77777777" w:rsidR="00A86F56" w:rsidRPr="002270AC" w:rsidRDefault="00A86F56" w:rsidP="00A86F56">
      <w:pPr>
        <w:spacing w:before="0" w:after="0"/>
      </w:pPr>
    </w:p>
    <w:p w14:paraId="5D5BBFDF" w14:textId="77777777" w:rsidR="00A86F56" w:rsidRPr="002270AC" w:rsidRDefault="00A86F56" w:rsidP="00A86F56">
      <w:pPr>
        <w:spacing w:line="259" w:lineRule="auto"/>
        <w:contextualSpacing/>
        <w:rPr>
          <w:rFonts w:cs="Open Sans"/>
        </w:rPr>
      </w:pPr>
      <w:r w:rsidRPr="002270AC">
        <w:rPr>
          <w:rFonts w:cs="Open Sans"/>
        </w:rPr>
        <w:t>Emeritus Professor Rosalind Croucher AM FAAL</w:t>
      </w:r>
    </w:p>
    <w:p w14:paraId="23DCAFA5" w14:textId="77777777" w:rsidR="00A86F56" w:rsidRPr="002270AC" w:rsidRDefault="00A86F56" w:rsidP="00A86F56">
      <w:pPr>
        <w:spacing w:line="259" w:lineRule="auto"/>
        <w:contextualSpacing/>
        <w:rPr>
          <w:rFonts w:cs="Open Sans"/>
          <w:b/>
        </w:rPr>
      </w:pPr>
      <w:r w:rsidRPr="002270AC">
        <w:rPr>
          <w:rFonts w:cs="Open Sans"/>
          <w:b/>
        </w:rPr>
        <w:t xml:space="preserve">President </w:t>
      </w:r>
    </w:p>
    <w:p w14:paraId="644B1A6A" w14:textId="77777777" w:rsidR="00A86F56" w:rsidRPr="002270AC" w:rsidRDefault="00A86F56" w:rsidP="00A86F56">
      <w:pPr>
        <w:spacing w:line="259" w:lineRule="auto"/>
        <w:contextualSpacing/>
        <w:rPr>
          <w:rFonts w:cs="Open Sans"/>
        </w:rPr>
      </w:pPr>
      <w:r w:rsidRPr="002270AC">
        <w:rPr>
          <w:rFonts w:cs="Open Sans"/>
        </w:rPr>
        <w:t>Australian Human Rights Commission</w:t>
      </w:r>
    </w:p>
    <w:p w14:paraId="11B06654" w14:textId="20A9A034" w:rsidR="00825D34" w:rsidRPr="002270AC" w:rsidRDefault="00FF6768" w:rsidP="00A86F56">
      <w:r>
        <w:rPr>
          <w:rFonts w:cs="Open Sans"/>
        </w:rPr>
        <w:t>May</w:t>
      </w:r>
      <w:r w:rsidR="00A86F56" w:rsidRPr="002270AC">
        <w:rPr>
          <w:rFonts w:cs="Open Sans"/>
        </w:rPr>
        <w:t xml:space="preserve"> 2024</w:t>
      </w:r>
    </w:p>
    <w:p w14:paraId="32249154" w14:textId="77777777" w:rsidR="00B03265" w:rsidRDefault="00B03265" w:rsidP="00A86F56">
      <w:pPr>
        <w:rPr>
          <w:sz w:val="22"/>
          <w:szCs w:val="22"/>
        </w:rPr>
      </w:pPr>
    </w:p>
    <w:p w14:paraId="7A46E794" w14:textId="77777777" w:rsidR="00F33CA4" w:rsidRDefault="00F33CA4" w:rsidP="00A86F56">
      <w:pPr>
        <w:rPr>
          <w:sz w:val="22"/>
          <w:szCs w:val="22"/>
        </w:rPr>
      </w:pPr>
    </w:p>
    <w:p w14:paraId="60F229E1" w14:textId="77777777" w:rsidR="00F33CA4" w:rsidRDefault="00F33CA4" w:rsidP="00A86F56">
      <w:pPr>
        <w:rPr>
          <w:sz w:val="22"/>
          <w:szCs w:val="22"/>
        </w:rPr>
      </w:pPr>
    </w:p>
    <w:p w14:paraId="6408E5C5" w14:textId="77777777" w:rsidR="00F33CA4" w:rsidRDefault="00F33CA4" w:rsidP="00A86F56">
      <w:pPr>
        <w:rPr>
          <w:sz w:val="22"/>
          <w:szCs w:val="22"/>
        </w:rPr>
      </w:pPr>
    </w:p>
    <w:p w14:paraId="3C8D8199" w14:textId="77777777" w:rsidR="00F33CA4" w:rsidRDefault="00F33CA4" w:rsidP="00A86F56">
      <w:pPr>
        <w:rPr>
          <w:sz w:val="22"/>
          <w:szCs w:val="22"/>
        </w:rPr>
      </w:pPr>
    </w:p>
    <w:p w14:paraId="08093FE7" w14:textId="77777777" w:rsidR="00F33CA4" w:rsidRDefault="00F33CA4" w:rsidP="00A86F56">
      <w:pPr>
        <w:rPr>
          <w:sz w:val="22"/>
          <w:szCs w:val="22"/>
        </w:rPr>
      </w:pPr>
    </w:p>
    <w:p w14:paraId="25C7307A" w14:textId="77777777" w:rsidR="00F33CA4" w:rsidRDefault="00F33CA4" w:rsidP="00A86F56">
      <w:pPr>
        <w:rPr>
          <w:sz w:val="22"/>
          <w:szCs w:val="22"/>
        </w:rPr>
      </w:pPr>
    </w:p>
    <w:p w14:paraId="190445F2" w14:textId="77777777" w:rsidR="00F33CA4" w:rsidRDefault="00F33CA4" w:rsidP="00A86F56">
      <w:pPr>
        <w:rPr>
          <w:sz w:val="22"/>
          <w:szCs w:val="22"/>
        </w:rPr>
      </w:pPr>
    </w:p>
    <w:p w14:paraId="1A9B9AFF" w14:textId="77777777" w:rsidR="00F33CA4" w:rsidRDefault="00F33CA4" w:rsidP="00A86F56">
      <w:pPr>
        <w:rPr>
          <w:sz w:val="22"/>
          <w:szCs w:val="22"/>
        </w:rPr>
      </w:pPr>
    </w:p>
    <w:p w14:paraId="363E354D" w14:textId="77777777" w:rsidR="00F33CA4" w:rsidRDefault="00F33CA4" w:rsidP="00A86F56">
      <w:pPr>
        <w:rPr>
          <w:sz w:val="22"/>
          <w:szCs w:val="22"/>
        </w:rPr>
      </w:pPr>
    </w:p>
    <w:p w14:paraId="220E6197" w14:textId="77777777" w:rsidR="00F33CA4" w:rsidRDefault="00F33CA4" w:rsidP="00A86F56">
      <w:pPr>
        <w:rPr>
          <w:sz w:val="22"/>
          <w:szCs w:val="22"/>
        </w:rPr>
      </w:pPr>
    </w:p>
    <w:p w14:paraId="6F3FDC32" w14:textId="77777777" w:rsidR="00F33CA4" w:rsidRDefault="00F33CA4" w:rsidP="00A86F56">
      <w:pPr>
        <w:rPr>
          <w:sz w:val="22"/>
          <w:szCs w:val="22"/>
        </w:rPr>
      </w:pPr>
    </w:p>
    <w:p w14:paraId="1C15E940" w14:textId="77777777" w:rsidR="00F33CA4" w:rsidRDefault="00F33CA4" w:rsidP="00A86F56">
      <w:pPr>
        <w:rPr>
          <w:sz w:val="22"/>
          <w:szCs w:val="22"/>
        </w:rPr>
      </w:pPr>
    </w:p>
    <w:p w14:paraId="53007E09" w14:textId="77777777" w:rsidR="00F33CA4" w:rsidRDefault="00F33CA4" w:rsidP="00A86F56">
      <w:pPr>
        <w:rPr>
          <w:sz w:val="22"/>
          <w:szCs w:val="22"/>
        </w:rPr>
      </w:pPr>
    </w:p>
    <w:p w14:paraId="143D43F8" w14:textId="77777777" w:rsidR="00F33CA4" w:rsidRDefault="00F33CA4" w:rsidP="00A86F56">
      <w:pPr>
        <w:rPr>
          <w:sz w:val="22"/>
          <w:szCs w:val="22"/>
        </w:rPr>
      </w:pPr>
    </w:p>
    <w:p w14:paraId="7FEC07B5" w14:textId="77777777" w:rsidR="00F33CA4" w:rsidRDefault="00F33CA4" w:rsidP="00A86F56">
      <w:pPr>
        <w:rPr>
          <w:sz w:val="22"/>
          <w:szCs w:val="22"/>
        </w:rPr>
      </w:pPr>
    </w:p>
    <w:p w14:paraId="5523AA0C" w14:textId="77777777" w:rsidR="00F33CA4" w:rsidRDefault="00F33CA4" w:rsidP="00A86F56">
      <w:pPr>
        <w:rPr>
          <w:sz w:val="22"/>
          <w:szCs w:val="22"/>
        </w:rPr>
      </w:pPr>
    </w:p>
    <w:p w14:paraId="20819335" w14:textId="77777777" w:rsidR="00F33CA4" w:rsidRDefault="00F33CA4" w:rsidP="00A86F56">
      <w:pPr>
        <w:rPr>
          <w:sz w:val="22"/>
          <w:szCs w:val="22"/>
        </w:rPr>
      </w:pPr>
    </w:p>
    <w:p w14:paraId="6331BDD4" w14:textId="77777777" w:rsidR="00F33CA4" w:rsidRDefault="00F33CA4" w:rsidP="00A86F56">
      <w:pPr>
        <w:rPr>
          <w:sz w:val="22"/>
          <w:szCs w:val="22"/>
        </w:rPr>
      </w:pPr>
    </w:p>
    <w:p w14:paraId="070B93CE" w14:textId="77777777" w:rsidR="00F33CA4" w:rsidRPr="005720BC" w:rsidRDefault="00F33CA4" w:rsidP="00A86F56">
      <w:pPr>
        <w:rPr>
          <w:sz w:val="22"/>
          <w:szCs w:val="22"/>
        </w:rPr>
      </w:pPr>
    </w:p>
    <w:p w14:paraId="7F00FA7E" w14:textId="77777777" w:rsidR="0006547F" w:rsidRDefault="000B5B68" w:rsidP="00C60343">
      <w:pPr>
        <w:pStyle w:val="TOC1"/>
      </w:pPr>
      <w:r>
        <w:t>Contents</w:t>
      </w:r>
      <w:r w:rsidRPr="000465F1">
        <w:fldChar w:fldCharType="begin"/>
      </w:r>
      <w:r>
        <w:instrText xml:space="preserve"> TOC \o "1-3" \h \z \u </w:instrText>
      </w:r>
      <w:r w:rsidRPr="000465F1">
        <w:fldChar w:fldCharType="separate"/>
      </w:r>
    </w:p>
    <w:p w14:paraId="6396A0F1" w14:textId="5B6E0033" w:rsidR="0006547F" w:rsidRDefault="00000000">
      <w:pPr>
        <w:pStyle w:val="TOC1"/>
        <w:rPr>
          <w:rFonts w:asciiTheme="minorHAnsi" w:eastAsiaTheme="minorEastAsia" w:hAnsiTheme="minorHAnsi" w:cstheme="minorBidi"/>
          <w:b w:val="0"/>
          <w:kern w:val="2"/>
          <w14:ligatures w14:val="standardContextual"/>
        </w:rPr>
      </w:pPr>
      <w:hyperlink w:anchor="_Toc164705886" w:history="1">
        <w:r w:rsidR="0006547F" w:rsidRPr="00932A34">
          <w:rPr>
            <w:rStyle w:val="Hyperlink"/>
          </w:rPr>
          <w:t>1</w:t>
        </w:r>
        <w:r w:rsidR="0006547F">
          <w:rPr>
            <w:rFonts w:asciiTheme="minorHAnsi" w:eastAsiaTheme="minorEastAsia" w:hAnsiTheme="minorHAnsi" w:cstheme="minorBidi"/>
            <w:b w:val="0"/>
            <w:kern w:val="2"/>
            <w14:ligatures w14:val="standardContextual"/>
          </w:rPr>
          <w:tab/>
        </w:r>
        <w:r w:rsidR="0006547F" w:rsidRPr="00932A34">
          <w:rPr>
            <w:rStyle w:val="Hyperlink"/>
          </w:rPr>
          <w:t>Introduction to this inquiry</w:t>
        </w:r>
        <w:r w:rsidR="0006547F">
          <w:rPr>
            <w:webHidden/>
          </w:rPr>
          <w:tab/>
        </w:r>
        <w:r w:rsidR="00CA54B5">
          <w:rPr>
            <w:webHidden/>
          </w:rPr>
          <w:t>6</w:t>
        </w:r>
      </w:hyperlink>
    </w:p>
    <w:p w14:paraId="24A9306B" w14:textId="7EE6080E" w:rsidR="0006547F" w:rsidRDefault="00000000">
      <w:pPr>
        <w:pStyle w:val="TOC1"/>
        <w:rPr>
          <w:rFonts w:asciiTheme="minorHAnsi" w:eastAsiaTheme="minorEastAsia" w:hAnsiTheme="minorHAnsi" w:cstheme="minorBidi"/>
          <w:b w:val="0"/>
          <w:kern w:val="2"/>
          <w14:ligatures w14:val="standardContextual"/>
        </w:rPr>
      </w:pPr>
      <w:hyperlink w:anchor="_Toc164705887" w:history="1">
        <w:r w:rsidR="0006547F" w:rsidRPr="00932A34">
          <w:rPr>
            <w:rStyle w:val="Hyperlink"/>
            <w:rFonts w:cs="Open Sans"/>
          </w:rPr>
          <w:t>2</w:t>
        </w:r>
        <w:r w:rsidR="0006547F">
          <w:rPr>
            <w:rFonts w:asciiTheme="minorHAnsi" w:eastAsiaTheme="minorEastAsia" w:hAnsiTheme="minorHAnsi" w:cstheme="minorBidi"/>
            <w:b w:val="0"/>
            <w:kern w:val="2"/>
            <w14:ligatures w14:val="standardContextual"/>
          </w:rPr>
          <w:tab/>
        </w:r>
        <w:r w:rsidR="0006547F" w:rsidRPr="00932A34">
          <w:rPr>
            <w:rStyle w:val="Hyperlink"/>
            <w:rFonts w:cs="Open Sans"/>
          </w:rPr>
          <w:t>Summary of findings and recommendations</w:t>
        </w:r>
        <w:r w:rsidR="0006547F">
          <w:rPr>
            <w:webHidden/>
          </w:rPr>
          <w:tab/>
        </w:r>
        <w:r w:rsidR="00CA54B5">
          <w:rPr>
            <w:webHidden/>
          </w:rPr>
          <w:t>7</w:t>
        </w:r>
      </w:hyperlink>
    </w:p>
    <w:p w14:paraId="09B33DCF" w14:textId="19A09EB9" w:rsidR="0006547F" w:rsidRDefault="00000000">
      <w:pPr>
        <w:pStyle w:val="TOC1"/>
        <w:rPr>
          <w:rFonts w:asciiTheme="minorHAnsi" w:eastAsiaTheme="minorEastAsia" w:hAnsiTheme="minorHAnsi" w:cstheme="minorBidi"/>
          <w:b w:val="0"/>
          <w:kern w:val="2"/>
          <w14:ligatures w14:val="standardContextual"/>
        </w:rPr>
      </w:pPr>
      <w:hyperlink w:anchor="_Toc164705888" w:history="1">
        <w:r w:rsidR="0006547F" w:rsidRPr="00932A34">
          <w:rPr>
            <w:rStyle w:val="Hyperlink"/>
            <w:rFonts w:cs="Open Sans"/>
          </w:rPr>
          <w:t>3</w:t>
        </w:r>
        <w:r w:rsidR="0006547F">
          <w:rPr>
            <w:rFonts w:asciiTheme="minorHAnsi" w:eastAsiaTheme="minorEastAsia" w:hAnsiTheme="minorHAnsi" w:cstheme="minorBidi"/>
            <w:b w:val="0"/>
            <w:kern w:val="2"/>
            <w14:ligatures w14:val="standardContextual"/>
          </w:rPr>
          <w:tab/>
        </w:r>
        <w:r w:rsidR="0006547F" w:rsidRPr="00932A34">
          <w:rPr>
            <w:rStyle w:val="Hyperlink"/>
            <w:rFonts w:cs="Open Sans"/>
          </w:rPr>
          <w:t>Background</w:t>
        </w:r>
        <w:r w:rsidR="0006547F">
          <w:rPr>
            <w:webHidden/>
          </w:rPr>
          <w:tab/>
        </w:r>
        <w:r w:rsidR="00CA54B5">
          <w:rPr>
            <w:webHidden/>
          </w:rPr>
          <w:t>8</w:t>
        </w:r>
      </w:hyperlink>
    </w:p>
    <w:p w14:paraId="3C56E5DF" w14:textId="0F1AECB0" w:rsidR="0006547F" w:rsidRDefault="00000000">
      <w:pPr>
        <w:pStyle w:val="TOC1"/>
        <w:rPr>
          <w:rFonts w:asciiTheme="minorHAnsi" w:eastAsiaTheme="minorEastAsia" w:hAnsiTheme="minorHAnsi" w:cstheme="minorBidi"/>
          <w:b w:val="0"/>
          <w:kern w:val="2"/>
          <w14:ligatures w14:val="standardContextual"/>
        </w:rPr>
      </w:pPr>
      <w:hyperlink w:anchor="_Toc164705889" w:history="1">
        <w:r w:rsidR="0006547F" w:rsidRPr="00932A34">
          <w:rPr>
            <w:rStyle w:val="Hyperlink"/>
            <w:rFonts w:cs="Open Sans"/>
          </w:rPr>
          <w:t>4</w:t>
        </w:r>
        <w:r w:rsidR="0006547F">
          <w:rPr>
            <w:rFonts w:asciiTheme="minorHAnsi" w:eastAsiaTheme="minorEastAsia" w:hAnsiTheme="minorHAnsi" w:cstheme="minorBidi"/>
            <w:b w:val="0"/>
            <w:kern w:val="2"/>
            <w14:ligatures w14:val="standardContextual"/>
          </w:rPr>
          <w:tab/>
        </w:r>
        <w:r w:rsidR="0006547F" w:rsidRPr="00932A34">
          <w:rPr>
            <w:rStyle w:val="Hyperlink"/>
            <w:rFonts w:cs="Open Sans"/>
          </w:rPr>
          <w:t>Legislative framework</w:t>
        </w:r>
        <w:r w:rsidR="0006547F">
          <w:rPr>
            <w:webHidden/>
          </w:rPr>
          <w:tab/>
        </w:r>
        <w:r w:rsidR="0006547F">
          <w:rPr>
            <w:webHidden/>
          </w:rPr>
          <w:fldChar w:fldCharType="begin"/>
        </w:r>
        <w:r w:rsidR="0006547F">
          <w:rPr>
            <w:webHidden/>
          </w:rPr>
          <w:instrText xml:space="preserve"> PAGEREF _Toc164705889 \h </w:instrText>
        </w:r>
        <w:r w:rsidR="0006547F">
          <w:rPr>
            <w:webHidden/>
          </w:rPr>
        </w:r>
        <w:r w:rsidR="0006547F">
          <w:rPr>
            <w:webHidden/>
          </w:rPr>
          <w:fldChar w:fldCharType="separate"/>
        </w:r>
        <w:r w:rsidR="00CA1C25">
          <w:rPr>
            <w:webHidden/>
          </w:rPr>
          <w:t>11</w:t>
        </w:r>
        <w:r w:rsidR="0006547F">
          <w:rPr>
            <w:webHidden/>
          </w:rPr>
          <w:fldChar w:fldCharType="end"/>
        </w:r>
      </w:hyperlink>
    </w:p>
    <w:p w14:paraId="6CBD7446" w14:textId="76BBFA8A" w:rsidR="0006547F" w:rsidRDefault="00000000">
      <w:pPr>
        <w:pStyle w:val="TOC2"/>
        <w:rPr>
          <w:rFonts w:asciiTheme="minorHAnsi" w:eastAsiaTheme="minorEastAsia" w:hAnsiTheme="minorHAnsi" w:cstheme="minorBidi"/>
          <w:b w:val="0"/>
          <w:i w:val="0"/>
          <w:kern w:val="2"/>
          <w14:ligatures w14:val="standardContextual"/>
        </w:rPr>
      </w:pPr>
      <w:hyperlink w:anchor="_Toc164705890" w:history="1">
        <w:r w:rsidR="0006547F" w:rsidRPr="00932A34">
          <w:rPr>
            <w:rStyle w:val="Hyperlink"/>
            <w:rFonts w:cs="Open Sans"/>
          </w:rPr>
          <w:t>4.1</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Functions of the Commission</w:t>
        </w:r>
        <w:r w:rsidR="0006547F">
          <w:rPr>
            <w:webHidden/>
          </w:rPr>
          <w:tab/>
        </w:r>
        <w:r w:rsidR="0006547F">
          <w:rPr>
            <w:webHidden/>
          </w:rPr>
          <w:fldChar w:fldCharType="begin"/>
        </w:r>
        <w:r w:rsidR="0006547F">
          <w:rPr>
            <w:webHidden/>
          </w:rPr>
          <w:instrText xml:space="preserve"> PAGEREF _Toc164705890 \h </w:instrText>
        </w:r>
        <w:r w:rsidR="0006547F">
          <w:rPr>
            <w:webHidden/>
          </w:rPr>
        </w:r>
        <w:r w:rsidR="0006547F">
          <w:rPr>
            <w:webHidden/>
          </w:rPr>
          <w:fldChar w:fldCharType="separate"/>
        </w:r>
        <w:r w:rsidR="00CA1C25">
          <w:rPr>
            <w:webHidden/>
          </w:rPr>
          <w:t>11</w:t>
        </w:r>
        <w:r w:rsidR="0006547F">
          <w:rPr>
            <w:webHidden/>
          </w:rPr>
          <w:fldChar w:fldCharType="end"/>
        </w:r>
      </w:hyperlink>
    </w:p>
    <w:p w14:paraId="3B22A095" w14:textId="7E7E2789" w:rsidR="0006547F" w:rsidRDefault="00000000">
      <w:pPr>
        <w:pStyle w:val="TOC2"/>
        <w:rPr>
          <w:rFonts w:asciiTheme="minorHAnsi" w:eastAsiaTheme="minorEastAsia" w:hAnsiTheme="minorHAnsi" w:cstheme="minorBidi"/>
          <w:b w:val="0"/>
          <w:i w:val="0"/>
          <w:kern w:val="2"/>
          <w14:ligatures w14:val="standardContextual"/>
        </w:rPr>
      </w:pPr>
      <w:hyperlink w:anchor="_Toc164705891" w:history="1">
        <w:r w:rsidR="0006547F" w:rsidRPr="00932A34">
          <w:rPr>
            <w:rStyle w:val="Hyperlink"/>
            <w:rFonts w:cs="Open Sans"/>
          </w:rPr>
          <w:t>4.2</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What is an ‘act’ or ‘practice’</w:t>
        </w:r>
        <w:r w:rsidR="0006547F">
          <w:rPr>
            <w:webHidden/>
          </w:rPr>
          <w:tab/>
        </w:r>
        <w:r w:rsidR="0006547F">
          <w:rPr>
            <w:webHidden/>
          </w:rPr>
          <w:fldChar w:fldCharType="begin"/>
        </w:r>
        <w:r w:rsidR="0006547F">
          <w:rPr>
            <w:webHidden/>
          </w:rPr>
          <w:instrText xml:space="preserve"> PAGEREF _Toc164705891 \h </w:instrText>
        </w:r>
        <w:r w:rsidR="0006547F">
          <w:rPr>
            <w:webHidden/>
          </w:rPr>
        </w:r>
        <w:r w:rsidR="0006547F">
          <w:rPr>
            <w:webHidden/>
          </w:rPr>
          <w:fldChar w:fldCharType="separate"/>
        </w:r>
        <w:r w:rsidR="00CA1C25">
          <w:rPr>
            <w:webHidden/>
          </w:rPr>
          <w:t>11</w:t>
        </w:r>
        <w:r w:rsidR="0006547F">
          <w:rPr>
            <w:webHidden/>
          </w:rPr>
          <w:fldChar w:fldCharType="end"/>
        </w:r>
      </w:hyperlink>
    </w:p>
    <w:p w14:paraId="3A775769" w14:textId="7D3EEC68" w:rsidR="0006547F" w:rsidRDefault="00000000">
      <w:pPr>
        <w:pStyle w:val="TOC2"/>
        <w:rPr>
          <w:rFonts w:asciiTheme="minorHAnsi" w:eastAsiaTheme="minorEastAsia" w:hAnsiTheme="minorHAnsi" w:cstheme="minorBidi"/>
          <w:b w:val="0"/>
          <w:i w:val="0"/>
          <w:kern w:val="2"/>
          <w14:ligatures w14:val="standardContextual"/>
        </w:rPr>
      </w:pPr>
      <w:hyperlink w:anchor="_Toc164705892" w:history="1">
        <w:r w:rsidR="0006547F" w:rsidRPr="00932A34">
          <w:rPr>
            <w:rStyle w:val="Hyperlink"/>
            <w:rFonts w:cs="Open Sans"/>
          </w:rPr>
          <w:t>4.3</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What is a human right?</w:t>
        </w:r>
        <w:r w:rsidR="0006547F">
          <w:rPr>
            <w:webHidden/>
          </w:rPr>
          <w:tab/>
        </w:r>
        <w:r w:rsidR="0006547F">
          <w:rPr>
            <w:webHidden/>
          </w:rPr>
          <w:fldChar w:fldCharType="begin"/>
        </w:r>
        <w:r w:rsidR="0006547F">
          <w:rPr>
            <w:webHidden/>
          </w:rPr>
          <w:instrText xml:space="preserve"> PAGEREF _Toc164705892 \h </w:instrText>
        </w:r>
        <w:r w:rsidR="0006547F">
          <w:rPr>
            <w:webHidden/>
          </w:rPr>
        </w:r>
        <w:r w:rsidR="0006547F">
          <w:rPr>
            <w:webHidden/>
          </w:rPr>
          <w:fldChar w:fldCharType="separate"/>
        </w:r>
        <w:r w:rsidR="00CA1C25">
          <w:rPr>
            <w:webHidden/>
          </w:rPr>
          <w:t>12</w:t>
        </w:r>
        <w:r w:rsidR="0006547F">
          <w:rPr>
            <w:webHidden/>
          </w:rPr>
          <w:fldChar w:fldCharType="end"/>
        </w:r>
      </w:hyperlink>
    </w:p>
    <w:p w14:paraId="0F612479" w14:textId="0E39C632" w:rsidR="0006547F" w:rsidRDefault="00000000">
      <w:pPr>
        <w:pStyle w:val="TOC1"/>
        <w:rPr>
          <w:rFonts w:asciiTheme="minorHAnsi" w:eastAsiaTheme="minorEastAsia" w:hAnsiTheme="minorHAnsi" w:cstheme="minorBidi"/>
          <w:b w:val="0"/>
          <w:kern w:val="2"/>
          <w14:ligatures w14:val="standardContextual"/>
        </w:rPr>
      </w:pPr>
      <w:hyperlink w:anchor="_Toc164705893" w:history="1">
        <w:r w:rsidR="0006547F" w:rsidRPr="00932A34">
          <w:rPr>
            <w:rStyle w:val="Hyperlink"/>
            <w:rFonts w:cs="Open Sans"/>
          </w:rPr>
          <w:t>5</w:t>
        </w:r>
        <w:r w:rsidR="0006547F">
          <w:rPr>
            <w:rFonts w:asciiTheme="minorHAnsi" w:eastAsiaTheme="minorEastAsia" w:hAnsiTheme="minorHAnsi" w:cstheme="minorBidi"/>
            <w:b w:val="0"/>
            <w:kern w:val="2"/>
            <w14:ligatures w14:val="standardContextual"/>
          </w:rPr>
          <w:tab/>
        </w:r>
        <w:r w:rsidR="0006547F" w:rsidRPr="00932A34">
          <w:rPr>
            <w:rStyle w:val="Hyperlink"/>
            <w:rFonts w:cs="Open Sans"/>
          </w:rPr>
          <w:t>Arbitrary detention</w:t>
        </w:r>
        <w:r w:rsidR="0006547F">
          <w:rPr>
            <w:webHidden/>
          </w:rPr>
          <w:tab/>
        </w:r>
        <w:r w:rsidR="0006547F">
          <w:rPr>
            <w:webHidden/>
          </w:rPr>
          <w:fldChar w:fldCharType="begin"/>
        </w:r>
        <w:r w:rsidR="0006547F">
          <w:rPr>
            <w:webHidden/>
          </w:rPr>
          <w:instrText xml:space="preserve"> PAGEREF _Toc164705893 \h </w:instrText>
        </w:r>
        <w:r w:rsidR="0006547F">
          <w:rPr>
            <w:webHidden/>
          </w:rPr>
        </w:r>
        <w:r w:rsidR="0006547F">
          <w:rPr>
            <w:webHidden/>
          </w:rPr>
          <w:fldChar w:fldCharType="separate"/>
        </w:r>
        <w:r w:rsidR="00CA1C25">
          <w:rPr>
            <w:webHidden/>
          </w:rPr>
          <w:t>12</w:t>
        </w:r>
        <w:r w:rsidR="0006547F">
          <w:rPr>
            <w:webHidden/>
          </w:rPr>
          <w:fldChar w:fldCharType="end"/>
        </w:r>
      </w:hyperlink>
    </w:p>
    <w:p w14:paraId="1CC0FAD2" w14:textId="7DECA101" w:rsidR="0006547F" w:rsidRDefault="00000000">
      <w:pPr>
        <w:pStyle w:val="TOC2"/>
        <w:rPr>
          <w:rFonts w:asciiTheme="minorHAnsi" w:eastAsiaTheme="minorEastAsia" w:hAnsiTheme="minorHAnsi" w:cstheme="minorBidi"/>
          <w:b w:val="0"/>
          <w:i w:val="0"/>
          <w:kern w:val="2"/>
          <w14:ligatures w14:val="standardContextual"/>
        </w:rPr>
      </w:pPr>
      <w:hyperlink w:anchor="_Toc164705894" w:history="1">
        <w:r w:rsidR="0006547F" w:rsidRPr="00932A34">
          <w:rPr>
            <w:rStyle w:val="Hyperlink"/>
            <w:rFonts w:cs="Open Sans"/>
          </w:rPr>
          <w:t>5.1</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Law on article 9 of the ICCPR</w:t>
        </w:r>
        <w:r w:rsidR="0006547F">
          <w:rPr>
            <w:webHidden/>
          </w:rPr>
          <w:tab/>
        </w:r>
        <w:r w:rsidR="0006547F">
          <w:rPr>
            <w:webHidden/>
          </w:rPr>
          <w:fldChar w:fldCharType="begin"/>
        </w:r>
        <w:r w:rsidR="0006547F">
          <w:rPr>
            <w:webHidden/>
          </w:rPr>
          <w:instrText xml:space="preserve"> PAGEREF _Toc164705894 \h </w:instrText>
        </w:r>
        <w:r w:rsidR="0006547F">
          <w:rPr>
            <w:webHidden/>
          </w:rPr>
        </w:r>
        <w:r w:rsidR="0006547F">
          <w:rPr>
            <w:webHidden/>
          </w:rPr>
          <w:fldChar w:fldCharType="separate"/>
        </w:r>
        <w:r w:rsidR="00CA1C25">
          <w:rPr>
            <w:webHidden/>
          </w:rPr>
          <w:t>12</w:t>
        </w:r>
        <w:r w:rsidR="0006547F">
          <w:rPr>
            <w:webHidden/>
          </w:rPr>
          <w:fldChar w:fldCharType="end"/>
        </w:r>
      </w:hyperlink>
    </w:p>
    <w:p w14:paraId="3262FAFE" w14:textId="130C853C" w:rsidR="0006547F" w:rsidRDefault="00000000">
      <w:pPr>
        <w:pStyle w:val="TOC2"/>
        <w:rPr>
          <w:rFonts w:asciiTheme="minorHAnsi" w:eastAsiaTheme="minorEastAsia" w:hAnsiTheme="minorHAnsi" w:cstheme="minorBidi"/>
          <w:b w:val="0"/>
          <w:i w:val="0"/>
          <w:kern w:val="2"/>
          <w14:ligatures w14:val="standardContextual"/>
        </w:rPr>
      </w:pPr>
      <w:hyperlink w:anchor="_Toc164705895" w:history="1">
        <w:r w:rsidR="0006547F" w:rsidRPr="00932A34">
          <w:rPr>
            <w:rStyle w:val="Hyperlink"/>
            <w:rFonts w:cs="Open Sans"/>
          </w:rPr>
          <w:t>5.2</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Act or practice of the Commonwealth?</w:t>
        </w:r>
        <w:r w:rsidR="0006547F">
          <w:rPr>
            <w:webHidden/>
          </w:rPr>
          <w:tab/>
        </w:r>
        <w:r w:rsidR="0006547F">
          <w:rPr>
            <w:webHidden/>
          </w:rPr>
          <w:fldChar w:fldCharType="begin"/>
        </w:r>
        <w:r w:rsidR="0006547F">
          <w:rPr>
            <w:webHidden/>
          </w:rPr>
          <w:instrText xml:space="preserve"> PAGEREF _Toc164705895 \h </w:instrText>
        </w:r>
        <w:r w:rsidR="0006547F">
          <w:rPr>
            <w:webHidden/>
          </w:rPr>
        </w:r>
        <w:r w:rsidR="0006547F">
          <w:rPr>
            <w:webHidden/>
          </w:rPr>
          <w:fldChar w:fldCharType="separate"/>
        </w:r>
        <w:r w:rsidR="00CA1C25">
          <w:rPr>
            <w:webHidden/>
          </w:rPr>
          <w:t>14</w:t>
        </w:r>
        <w:r w:rsidR="0006547F">
          <w:rPr>
            <w:webHidden/>
          </w:rPr>
          <w:fldChar w:fldCharType="end"/>
        </w:r>
      </w:hyperlink>
    </w:p>
    <w:p w14:paraId="1A43BEAA" w14:textId="1C269C5B" w:rsidR="0006547F" w:rsidRDefault="00000000">
      <w:pPr>
        <w:pStyle w:val="TOC2"/>
        <w:rPr>
          <w:rFonts w:asciiTheme="minorHAnsi" w:eastAsiaTheme="minorEastAsia" w:hAnsiTheme="minorHAnsi" w:cstheme="minorBidi"/>
          <w:b w:val="0"/>
          <w:i w:val="0"/>
          <w:kern w:val="2"/>
          <w14:ligatures w14:val="standardContextual"/>
        </w:rPr>
      </w:pPr>
      <w:hyperlink w:anchor="_Toc164705896" w:history="1">
        <w:r w:rsidR="0006547F" w:rsidRPr="00932A34">
          <w:rPr>
            <w:rStyle w:val="Hyperlink"/>
            <w:rFonts w:cs="Open Sans"/>
          </w:rPr>
          <w:t>5.3</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Findings</w:t>
        </w:r>
        <w:r w:rsidR="0006547F">
          <w:rPr>
            <w:webHidden/>
          </w:rPr>
          <w:tab/>
        </w:r>
        <w:r w:rsidR="0006547F">
          <w:rPr>
            <w:webHidden/>
          </w:rPr>
          <w:fldChar w:fldCharType="begin"/>
        </w:r>
        <w:r w:rsidR="0006547F">
          <w:rPr>
            <w:webHidden/>
          </w:rPr>
          <w:instrText xml:space="preserve"> PAGEREF _Toc164705896 \h </w:instrText>
        </w:r>
        <w:r w:rsidR="0006547F">
          <w:rPr>
            <w:webHidden/>
          </w:rPr>
        </w:r>
        <w:r w:rsidR="0006547F">
          <w:rPr>
            <w:webHidden/>
          </w:rPr>
          <w:fldChar w:fldCharType="separate"/>
        </w:r>
        <w:r w:rsidR="00CA1C25">
          <w:rPr>
            <w:webHidden/>
          </w:rPr>
          <w:t>16</w:t>
        </w:r>
        <w:r w:rsidR="0006547F">
          <w:rPr>
            <w:webHidden/>
          </w:rPr>
          <w:fldChar w:fldCharType="end"/>
        </w:r>
      </w:hyperlink>
    </w:p>
    <w:p w14:paraId="33F631D0" w14:textId="60AA5D1F" w:rsidR="0006547F" w:rsidRDefault="00000000">
      <w:pPr>
        <w:pStyle w:val="TOC3"/>
        <w:rPr>
          <w:rFonts w:asciiTheme="minorHAnsi" w:eastAsiaTheme="minorEastAsia" w:hAnsiTheme="minorHAnsi" w:cstheme="minorBidi"/>
          <w:i w:val="0"/>
          <w:kern w:val="2"/>
          <w14:ligatures w14:val="standardContextual"/>
        </w:rPr>
      </w:pPr>
      <w:hyperlink w:anchor="_Toc164705897" w:history="1">
        <w:r w:rsidR="0006547F" w:rsidRPr="00932A34">
          <w:rPr>
            <w:rStyle w:val="Hyperlink"/>
            <w:rFonts w:cs="Open Sans"/>
            <w:b/>
            <w:iCs/>
          </w:rPr>
          <w:t>(a)</w:t>
        </w:r>
        <w:r w:rsidR="0006547F">
          <w:rPr>
            <w:rFonts w:asciiTheme="minorHAnsi" w:eastAsiaTheme="minorEastAsia" w:hAnsiTheme="minorHAnsi" w:cstheme="minorBidi"/>
            <w:i w:val="0"/>
            <w:kern w:val="2"/>
            <w14:ligatures w14:val="standardContextual"/>
          </w:rPr>
          <w:tab/>
        </w:r>
        <w:r w:rsidR="0006547F" w:rsidRPr="00932A34">
          <w:rPr>
            <w:rStyle w:val="Hyperlink"/>
            <w:rFonts w:cs="Open Sans"/>
            <w:b/>
            <w:iCs/>
          </w:rPr>
          <w:t>Delay by the Department in referring Mr CZ’s case to the Minister for consideration under s 195A of the Migration Act</w:t>
        </w:r>
        <w:r w:rsidR="0006547F">
          <w:rPr>
            <w:webHidden/>
          </w:rPr>
          <w:tab/>
        </w:r>
        <w:r w:rsidR="0006547F">
          <w:rPr>
            <w:webHidden/>
          </w:rPr>
          <w:fldChar w:fldCharType="begin"/>
        </w:r>
        <w:r w:rsidR="0006547F">
          <w:rPr>
            <w:webHidden/>
          </w:rPr>
          <w:instrText xml:space="preserve"> PAGEREF _Toc164705897 \h </w:instrText>
        </w:r>
        <w:r w:rsidR="0006547F">
          <w:rPr>
            <w:webHidden/>
          </w:rPr>
        </w:r>
        <w:r w:rsidR="0006547F">
          <w:rPr>
            <w:webHidden/>
          </w:rPr>
          <w:fldChar w:fldCharType="separate"/>
        </w:r>
        <w:r w:rsidR="00CA1C25">
          <w:rPr>
            <w:webHidden/>
          </w:rPr>
          <w:t>17</w:t>
        </w:r>
        <w:r w:rsidR="0006547F">
          <w:rPr>
            <w:webHidden/>
          </w:rPr>
          <w:fldChar w:fldCharType="end"/>
        </w:r>
      </w:hyperlink>
    </w:p>
    <w:p w14:paraId="06E1B8EE" w14:textId="1DB3E571" w:rsidR="0006547F" w:rsidRDefault="00000000">
      <w:pPr>
        <w:pStyle w:val="TOC3"/>
        <w:rPr>
          <w:rFonts w:asciiTheme="minorHAnsi" w:eastAsiaTheme="minorEastAsia" w:hAnsiTheme="minorHAnsi" w:cstheme="minorBidi"/>
          <w:i w:val="0"/>
          <w:kern w:val="2"/>
          <w14:ligatures w14:val="standardContextual"/>
        </w:rPr>
      </w:pPr>
      <w:hyperlink w:anchor="_Toc164705898" w:history="1">
        <w:r w:rsidR="0006547F" w:rsidRPr="00932A34">
          <w:rPr>
            <w:rStyle w:val="Hyperlink"/>
            <w:rFonts w:cs="Open Sans"/>
            <w:b/>
            <w:iCs/>
          </w:rPr>
          <w:t>(b)</w:t>
        </w:r>
        <w:r w:rsidR="0006547F">
          <w:rPr>
            <w:rFonts w:asciiTheme="minorHAnsi" w:eastAsiaTheme="minorEastAsia" w:hAnsiTheme="minorHAnsi" w:cstheme="minorBidi"/>
            <w:i w:val="0"/>
            <w:kern w:val="2"/>
            <w14:ligatures w14:val="standardContextual"/>
          </w:rPr>
          <w:tab/>
        </w:r>
        <w:r w:rsidR="0006547F" w:rsidRPr="00932A34">
          <w:rPr>
            <w:rStyle w:val="Hyperlink"/>
            <w:rFonts w:cs="Open Sans"/>
            <w:b/>
            <w:iCs/>
          </w:rPr>
          <w:t>Minister’s decision not to consider intervening in Mr CZ’s case under s 195A of the Migration Act</w:t>
        </w:r>
        <w:r w:rsidR="0006547F">
          <w:rPr>
            <w:webHidden/>
          </w:rPr>
          <w:tab/>
        </w:r>
        <w:r w:rsidR="0006547F">
          <w:rPr>
            <w:webHidden/>
          </w:rPr>
          <w:fldChar w:fldCharType="begin"/>
        </w:r>
        <w:r w:rsidR="0006547F">
          <w:rPr>
            <w:webHidden/>
          </w:rPr>
          <w:instrText xml:space="preserve"> PAGEREF _Toc164705898 \h </w:instrText>
        </w:r>
        <w:r w:rsidR="0006547F">
          <w:rPr>
            <w:webHidden/>
          </w:rPr>
        </w:r>
        <w:r w:rsidR="0006547F">
          <w:rPr>
            <w:webHidden/>
          </w:rPr>
          <w:fldChar w:fldCharType="separate"/>
        </w:r>
        <w:r w:rsidR="00CA1C25">
          <w:rPr>
            <w:webHidden/>
          </w:rPr>
          <w:t>22</w:t>
        </w:r>
        <w:r w:rsidR="0006547F">
          <w:rPr>
            <w:webHidden/>
          </w:rPr>
          <w:fldChar w:fldCharType="end"/>
        </w:r>
      </w:hyperlink>
    </w:p>
    <w:p w14:paraId="1C803710" w14:textId="58B3C58B" w:rsidR="0006547F" w:rsidRDefault="00000000">
      <w:pPr>
        <w:pStyle w:val="TOC3"/>
        <w:rPr>
          <w:rFonts w:asciiTheme="minorHAnsi" w:eastAsiaTheme="minorEastAsia" w:hAnsiTheme="minorHAnsi" w:cstheme="minorBidi"/>
          <w:i w:val="0"/>
          <w:kern w:val="2"/>
          <w14:ligatures w14:val="standardContextual"/>
        </w:rPr>
      </w:pPr>
      <w:hyperlink w:anchor="_Toc164705899" w:history="1">
        <w:r w:rsidR="0006547F" w:rsidRPr="00932A34">
          <w:rPr>
            <w:rStyle w:val="Hyperlink"/>
            <w:rFonts w:cs="Open Sans"/>
            <w:b/>
            <w:iCs/>
          </w:rPr>
          <w:t>(c)</w:t>
        </w:r>
        <w:r w:rsidR="0006547F">
          <w:rPr>
            <w:rFonts w:asciiTheme="minorHAnsi" w:eastAsiaTheme="minorEastAsia" w:hAnsiTheme="minorHAnsi" w:cstheme="minorBidi"/>
            <w:i w:val="0"/>
            <w:kern w:val="2"/>
            <w14:ligatures w14:val="standardContextual"/>
          </w:rPr>
          <w:tab/>
        </w:r>
        <w:r w:rsidR="0006547F" w:rsidRPr="00932A34">
          <w:rPr>
            <w:rStyle w:val="Hyperlink"/>
            <w:rFonts w:cs="Open Sans"/>
            <w:b/>
            <w:iCs/>
          </w:rPr>
          <w:t>Delay in in referring Mr CZ’s case to the Minister again for consideration under s 195A of the Migration Act for over four years until February 2023</w:t>
        </w:r>
        <w:r w:rsidR="0006547F">
          <w:rPr>
            <w:webHidden/>
          </w:rPr>
          <w:tab/>
        </w:r>
        <w:r w:rsidR="0006547F">
          <w:rPr>
            <w:webHidden/>
          </w:rPr>
          <w:fldChar w:fldCharType="begin"/>
        </w:r>
        <w:r w:rsidR="0006547F">
          <w:rPr>
            <w:webHidden/>
          </w:rPr>
          <w:instrText xml:space="preserve"> PAGEREF _Toc164705899 \h </w:instrText>
        </w:r>
        <w:r w:rsidR="0006547F">
          <w:rPr>
            <w:webHidden/>
          </w:rPr>
        </w:r>
        <w:r w:rsidR="0006547F">
          <w:rPr>
            <w:webHidden/>
          </w:rPr>
          <w:fldChar w:fldCharType="separate"/>
        </w:r>
        <w:r w:rsidR="00CA1C25">
          <w:rPr>
            <w:webHidden/>
          </w:rPr>
          <w:t>23</w:t>
        </w:r>
        <w:r w:rsidR="0006547F">
          <w:rPr>
            <w:webHidden/>
          </w:rPr>
          <w:fldChar w:fldCharType="end"/>
        </w:r>
      </w:hyperlink>
    </w:p>
    <w:p w14:paraId="7DCD27EA" w14:textId="515E59C8" w:rsidR="0006547F" w:rsidRDefault="00000000">
      <w:pPr>
        <w:pStyle w:val="TOC3"/>
        <w:rPr>
          <w:rFonts w:asciiTheme="minorHAnsi" w:eastAsiaTheme="minorEastAsia" w:hAnsiTheme="minorHAnsi" w:cstheme="minorBidi"/>
          <w:i w:val="0"/>
          <w:kern w:val="2"/>
          <w14:ligatures w14:val="standardContextual"/>
        </w:rPr>
      </w:pPr>
      <w:hyperlink w:anchor="_Toc164705900" w:history="1">
        <w:r w:rsidR="0006547F" w:rsidRPr="00932A34">
          <w:rPr>
            <w:rStyle w:val="Hyperlink"/>
            <w:rFonts w:cs="Open Sans"/>
            <w:b/>
            <w:iCs/>
          </w:rPr>
          <w:t>(d)</w:t>
        </w:r>
        <w:r w:rsidR="0006547F">
          <w:rPr>
            <w:rFonts w:asciiTheme="minorHAnsi" w:eastAsiaTheme="minorEastAsia" w:hAnsiTheme="minorHAnsi" w:cstheme="minorBidi"/>
            <w:i w:val="0"/>
            <w:kern w:val="2"/>
            <w14:ligatures w14:val="standardContextual"/>
          </w:rPr>
          <w:tab/>
        </w:r>
        <w:r w:rsidR="0006547F" w:rsidRPr="00932A34">
          <w:rPr>
            <w:rStyle w:val="Hyperlink"/>
            <w:rFonts w:cs="Open Sans"/>
            <w:b/>
            <w:iCs/>
          </w:rPr>
          <w:t>Failure by the Department to refer Mr CZ’s case to the Minister for intervention under s 197AB of the Migration Act</w:t>
        </w:r>
        <w:r w:rsidR="0006547F">
          <w:rPr>
            <w:webHidden/>
          </w:rPr>
          <w:tab/>
        </w:r>
        <w:r w:rsidR="0006547F">
          <w:rPr>
            <w:webHidden/>
          </w:rPr>
          <w:fldChar w:fldCharType="begin"/>
        </w:r>
        <w:r w:rsidR="0006547F">
          <w:rPr>
            <w:webHidden/>
          </w:rPr>
          <w:instrText xml:space="preserve"> PAGEREF _Toc164705900 \h </w:instrText>
        </w:r>
        <w:r w:rsidR="0006547F">
          <w:rPr>
            <w:webHidden/>
          </w:rPr>
        </w:r>
        <w:r w:rsidR="0006547F">
          <w:rPr>
            <w:webHidden/>
          </w:rPr>
          <w:fldChar w:fldCharType="separate"/>
        </w:r>
        <w:r w:rsidR="00CA1C25">
          <w:rPr>
            <w:webHidden/>
          </w:rPr>
          <w:t>27</w:t>
        </w:r>
        <w:r w:rsidR="0006547F">
          <w:rPr>
            <w:webHidden/>
          </w:rPr>
          <w:fldChar w:fldCharType="end"/>
        </w:r>
      </w:hyperlink>
    </w:p>
    <w:p w14:paraId="42814AAC" w14:textId="4666A786" w:rsidR="0006547F" w:rsidRDefault="00000000">
      <w:pPr>
        <w:pStyle w:val="TOC1"/>
        <w:rPr>
          <w:rFonts w:asciiTheme="minorHAnsi" w:eastAsiaTheme="minorEastAsia" w:hAnsiTheme="minorHAnsi" w:cstheme="minorBidi"/>
          <w:b w:val="0"/>
          <w:kern w:val="2"/>
          <w14:ligatures w14:val="standardContextual"/>
        </w:rPr>
      </w:pPr>
      <w:hyperlink w:anchor="_Toc164705901" w:history="1">
        <w:r w:rsidR="0006547F" w:rsidRPr="00932A34">
          <w:rPr>
            <w:rStyle w:val="Hyperlink"/>
            <w:rFonts w:cs="Open Sans"/>
          </w:rPr>
          <w:t>6</w:t>
        </w:r>
        <w:r w:rsidR="0006547F">
          <w:rPr>
            <w:rFonts w:asciiTheme="minorHAnsi" w:eastAsiaTheme="minorEastAsia" w:hAnsiTheme="minorHAnsi" w:cstheme="minorBidi"/>
            <w:b w:val="0"/>
            <w:kern w:val="2"/>
            <w14:ligatures w14:val="standardContextual"/>
          </w:rPr>
          <w:tab/>
        </w:r>
        <w:r w:rsidR="0006547F" w:rsidRPr="00932A34">
          <w:rPr>
            <w:rStyle w:val="Hyperlink"/>
            <w:rFonts w:cs="Open Sans"/>
          </w:rPr>
          <w:t>Recommendations</w:t>
        </w:r>
        <w:r w:rsidR="0006547F">
          <w:rPr>
            <w:webHidden/>
          </w:rPr>
          <w:tab/>
        </w:r>
        <w:r w:rsidR="0006547F">
          <w:rPr>
            <w:webHidden/>
          </w:rPr>
          <w:fldChar w:fldCharType="begin"/>
        </w:r>
        <w:r w:rsidR="0006547F">
          <w:rPr>
            <w:webHidden/>
          </w:rPr>
          <w:instrText xml:space="preserve"> PAGEREF _Toc164705901 \h </w:instrText>
        </w:r>
        <w:r w:rsidR="0006547F">
          <w:rPr>
            <w:webHidden/>
          </w:rPr>
        </w:r>
        <w:r w:rsidR="0006547F">
          <w:rPr>
            <w:webHidden/>
          </w:rPr>
          <w:fldChar w:fldCharType="separate"/>
        </w:r>
        <w:r w:rsidR="00CA1C25">
          <w:rPr>
            <w:webHidden/>
          </w:rPr>
          <w:t>29</w:t>
        </w:r>
        <w:r w:rsidR="0006547F">
          <w:rPr>
            <w:webHidden/>
          </w:rPr>
          <w:fldChar w:fldCharType="end"/>
        </w:r>
      </w:hyperlink>
    </w:p>
    <w:p w14:paraId="751A7C54" w14:textId="03B6A4D4" w:rsidR="0006547F" w:rsidRDefault="00000000">
      <w:pPr>
        <w:pStyle w:val="TOC2"/>
        <w:rPr>
          <w:rFonts w:asciiTheme="minorHAnsi" w:eastAsiaTheme="minorEastAsia" w:hAnsiTheme="minorHAnsi" w:cstheme="minorBidi"/>
          <w:b w:val="0"/>
          <w:i w:val="0"/>
          <w:kern w:val="2"/>
          <w14:ligatures w14:val="standardContextual"/>
        </w:rPr>
      </w:pPr>
      <w:hyperlink w:anchor="_Toc164705902" w:history="1">
        <w:r w:rsidR="0006547F" w:rsidRPr="00932A34">
          <w:rPr>
            <w:rStyle w:val="Hyperlink"/>
            <w:rFonts w:cs="Open Sans"/>
          </w:rPr>
          <w:t>6.1</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Alternatives to held detention</w:t>
        </w:r>
        <w:r w:rsidR="0006547F">
          <w:rPr>
            <w:webHidden/>
          </w:rPr>
          <w:tab/>
        </w:r>
        <w:r w:rsidR="0006547F">
          <w:rPr>
            <w:webHidden/>
          </w:rPr>
          <w:fldChar w:fldCharType="begin"/>
        </w:r>
        <w:r w:rsidR="0006547F">
          <w:rPr>
            <w:webHidden/>
          </w:rPr>
          <w:instrText xml:space="preserve"> PAGEREF _Toc164705902 \h </w:instrText>
        </w:r>
        <w:r w:rsidR="0006547F">
          <w:rPr>
            <w:webHidden/>
          </w:rPr>
        </w:r>
        <w:r w:rsidR="0006547F">
          <w:rPr>
            <w:webHidden/>
          </w:rPr>
          <w:fldChar w:fldCharType="separate"/>
        </w:r>
        <w:r w:rsidR="00CA1C25">
          <w:rPr>
            <w:webHidden/>
          </w:rPr>
          <w:t>29</w:t>
        </w:r>
        <w:r w:rsidR="0006547F">
          <w:rPr>
            <w:webHidden/>
          </w:rPr>
          <w:fldChar w:fldCharType="end"/>
        </w:r>
      </w:hyperlink>
    </w:p>
    <w:p w14:paraId="1420862C" w14:textId="2F0E2C6A" w:rsidR="0006547F" w:rsidRDefault="00000000">
      <w:pPr>
        <w:pStyle w:val="TOC2"/>
        <w:rPr>
          <w:rFonts w:asciiTheme="minorHAnsi" w:eastAsiaTheme="minorEastAsia" w:hAnsiTheme="minorHAnsi" w:cstheme="minorBidi"/>
          <w:b w:val="0"/>
          <w:i w:val="0"/>
          <w:kern w:val="2"/>
          <w14:ligatures w14:val="standardContextual"/>
        </w:rPr>
      </w:pPr>
      <w:hyperlink w:anchor="_Toc164705903" w:history="1">
        <w:r w:rsidR="0006547F" w:rsidRPr="00932A34">
          <w:rPr>
            <w:rStyle w:val="Hyperlink"/>
            <w:rFonts w:cs="Open Sans"/>
          </w:rPr>
          <w:t>6.2</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Guidelines for referrals to the Minister</w:t>
        </w:r>
        <w:r w:rsidR="0006547F">
          <w:rPr>
            <w:webHidden/>
          </w:rPr>
          <w:tab/>
        </w:r>
        <w:r w:rsidR="0006547F">
          <w:rPr>
            <w:webHidden/>
          </w:rPr>
          <w:fldChar w:fldCharType="begin"/>
        </w:r>
        <w:r w:rsidR="0006547F">
          <w:rPr>
            <w:webHidden/>
          </w:rPr>
          <w:instrText xml:space="preserve"> PAGEREF _Toc164705903 \h </w:instrText>
        </w:r>
        <w:r w:rsidR="0006547F">
          <w:rPr>
            <w:webHidden/>
          </w:rPr>
        </w:r>
        <w:r w:rsidR="0006547F">
          <w:rPr>
            <w:webHidden/>
          </w:rPr>
          <w:fldChar w:fldCharType="separate"/>
        </w:r>
        <w:r w:rsidR="00CA1C25">
          <w:rPr>
            <w:webHidden/>
          </w:rPr>
          <w:t>31</w:t>
        </w:r>
        <w:r w:rsidR="0006547F">
          <w:rPr>
            <w:webHidden/>
          </w:rPr>
          <w:fldChar w:fldCharType="end"/>
        </w:r>
      </w:hyperlink>
    </w:p>
    <w:p w14:paraId="3EC80FF0" w14:textId="7559BCA3" w:rsidR="0006547F" w:rsidRDefault="00000000">
      <w:pPr>
        <w:pStyle w:val="TOC2"/>
        <w:rPr>
          <w:rFonts w:asciiTheme="minorHAnsi" w:eastAsiaTheme="minorEastAsia" w:hAnsiTheme="minorHAnsi" w:cstheme="minorBidi"/>
          <w:b w:val="0"/>
          <w:i w:val="0"/>
          <w:kern w:val="2"/>
          <w14:ligatures w14:val="standardContextual"/>
        </w:rPr>
      </w:pPr>
      <w:hyperlink w:anchor="_Toc164705904" w:history="1">
        <w:r w:rsidR="0006547F" w:rsidRPr="00932A34">
          <w:rPr>
            <w:rStyle w:val="Hyperlink"/>
            <w:rFonts w:cs="Open Sans"/>
          </w:rPr>
          <w:t>6.3</w:t>
        </w:r>
        <w:r w:rsidR="0006547F">
          <w:rPr>
            <w:rFonts w:asciiTheme="minorHAnsi" w:eastAsiaTheme="minorEastAsia" w:hAnsiTheme="minorHAnsi" w:cstheme="minorBidi"/>
            <w:b w:val="0"/>
            <w:i w:val="0"/>
            <w:kern w:val="2"/>
            <w14:ligatures w14:val="standardContextual"/>
          </w:rPr>
          <w:tab/>
        </w:r>
        <w:r w:rsidR="0006547F" w:rsidRPr="00932A34">
          <w:rPr>
            <w:rStyle w:val="Hyperlink"/>
            <w:rFonts w:cs="Open Sans"/>
          </w:rPr>
          <w:t>Written apology</w:t>
        </w:r>
        <w:r w:rsidR="0006547F">
          <w:rPr>
            <w:webHidden/>
          </w:rPr>
          <w:tab/>
        </w:r>
        <w:r w:rsidR="0006547F">
          <w:rPr>
            <w:webHidden/>
          </w:rPr>
          <w:fldChar w:fldCharType="begin"/>
        </w:r>
        <w:r w:rsidR="0006547F">
          <w:rPr>
            <w:webHidden/>
          </w:rPr>
          <w:instrText xml:space="preserve"> PAGEREF _Toc164705904 \h </w:instrText>
        </w:r>
        <w:r w:rsidR="0006547F">
          <w:rPr>
            <w:webHidden/>
          </w:rPr>
        </w:r>
        <w:r w:rsidR="0006547F">
          <w:rPr>
            <w:webHidden/>
          </w:rPr>
          <w:fldChar w:fldCharType="separate"/>
        </w:r>
        <w:r w:rsidR="00CA1C25">
          <w:rPr>
            <w:webHidden/>
          </w:rPr>
          <w:t>33</w:t>
        </w:r>
        <w:r w:rsidR="0006547F">
          <w:rPr>
            <w:webHidden/>
          </w:rPr>
          <w:fldChar w:fldCharType="end"/>
        </w:r>
      </w:hyperlink>
    </w:p>
    <w:p w14:paraId="1C184EBE" w14:textId="2E4382B0" w:rsidR="0006547F" w:rsidRDefault="00000000">
      <w:pPr>
        <w:pStyle w:val="TOC1"/>
      </w:pPr>
      <w:hyperlink w:anchor="_Toc164705905" w:history="1">
        <w:r w:rsidR="0006547F" w:rsidRPr="00932A34">
          <w:rPr>
            <w:rStyle w:val="Hyperlink"/>
          </w:rPr>
          <w:t>7</w:t>
        </w:r>
        <w:r w:rsidR="0006547F">
          <w:rPr>
            <w:rFonts w:asciiTheme="minorHAnsi" w:eastAsiaTheme="minorEastAsia" w:hAnsiTheme="minorHAnsi" w:cstheme="minorBidi"/>
            <w:b w:val="0"/>
            <w:kern w:val="2"/>
            <w14:ligatures w14:val="standardContextual"/>
          </w:rPr>
          <w:tab/>
        </w:r>
        <w:r w:rsidR="0006547F" w:rsidRPr="00932A34">
          <w:rPr>
            <w:rStyle w:val="Hyperlink"/>
          </w:rPr>
          <w:t>The Department’s response to my findings and recommendations</w:t>
        </w:r>
        <w:r w:rsidR="0006547F">
          <w:rPr>
            <w:webHidden/>
          </w:rPr>
          <w:tab/>
        </w:r>
        <w:r w:rsidR="0006547F">
          <w:rPr>
            <w:webHidden/>
          </w:rPr>
          <w:fldChar w:fldCharType="begin"/>
        </w:r>
        <w:r w:rsidR="0006547F">
          <w:rPr>
            <w:webHidden/>
          </w:rPr>
          <w:instrText xml:space="preserve"> PAGEREF _Toc164705905 \h </w:instrText>
        </w:r>
        <w:r w:rsidR="0006547F">
          <w:rPr>
            <w:webHidden/>
          </w:rPr>
        </w:r>
        <w:r w:rsidR="0006547F">
          <w:rPr>
            <w:webHidden/>
          </w:rPr>
          <w:fldChar w:fldCharType="separate"/>
        </w:r>
        <w:r w:rsidR="00CA1C25">
          <w:rPr>
            <w:webHidden/>
          </w:rPr>
          <w:t>34</w:t>
        </w:r>
        <w:r w:rsidR="0006547F">
          <w:rPr>
            <w:webHidden/>
          </w:rPr>
          <w:fldChar w:fldCharType="end"/>
        </w:r>
      </w:hyperlink>
    </w:p>
    <w:p w14:paraId="6C44BFB9" w14:textId="77777777" w:rsidR="005342AF" w:rsidRDefault="005342AF" w:rsidP="005342AF"/>
    <w:p w14:paraId="449D8508" w14:textId="77777777" w:rsidR="005342AF" w:rsidRDefault="005342AF" w:rsidP="005342AF"/>
    <w:p w14:paraId="6B9F51E9" w14:textId="77777777" w:rsidR="005342AF" w:rsidRDefault="005342AF" w:rsidP="005342AF"/>
    <w:p w14:paraId="21BA051B" w14:textId="77777777" w:rsidR="005342AF" w:rsidRDefault="005342AF" w:rsidP="005342AF"/>
    <w:p w14:paraId="7D2879EE" w14:textId="77777777" w:rsidR="005342AF" w:rsidRPr="005342AF" w:rsidRDefault="005342AF" w:rsidP="005342AF"/>
    <w:p w14:paraId="214B50D3" w14:textId="6147865A" w:rsidR="003026A0" w:rsidRDefault="000B5B68" w:rsidP="00A27ABE">
      <w:pPr>
        <w:pStyle w:val="Heading1"/>
      </w:pPr>
      <w:r w:rsidRPr="000465F1">
        <w:fldChar w:fldCharType="end"/>
      </w:r>
      <w:bookmarkStart w:id="1" w:name="_Toc164705886"/>
      <w:bookmarkStart w:id="2" w:name="_Toc207761830"/>
      <w:bookmarkStart w:id="3" w:name="_Toc209578266"/>
      <w:bookmarkStart w:id="4" w:name="_Toc209941766"/>
      <w:r w:rsidR="00EA1E73">
        <w:t>Introduction to this inquiry</w:t>
      </w:r>
      <w:bookmarkEnd w:id="1"/>
    </w:p>
    <w:p w14:paraId="2E4A0275" w14:textId="459D1E0D" w:rsidR="00EA1E73" w:rsidRPr="00B67F37" w:rsidRDefault="00EA1E73" w:rsidP="002A7D47">
      <w:pPr>
        <w:numPr>
          <w:ilvl w:val="0"/>
          <w:numId w:val="22"/>
        </w:numPr>
        <w:rPr>
          <w:rFonts w:cs="Open Sans"/>
        </w:rPr>
      </w:pPr>
      <w:r w:rsidRPr="00B67F37">
        <w:rPr>
          <w:rFonts w:cs="Open Sans"/>
        </w:rPr>
        <w:t xml:space="preserve">The Australian Human Rights Commission (Commission) </w:t>
      </w:r>
      <w:r w:rsidR="001C5301">
        <w:rPr>
          <w:rFonts w:cs="Open Sans"/>
        </w:rPr>
        <w:t>has conducted</w:t>
      </w:r>
      <w:r w:rsidRPr="00B67F37">
        <w:rPr>
          <w:rFonts w:cs="Open Sans"/>
        </w:rPr>
        <w:t xml:space="preserve"> an inquiry into a complaint by </w:t>
      </w:r>
      <w:r>
        <w:rPr>
          <w:rFonts w:cs="Open Sans"/>
        </w:rPr>
        <w:t>Mr CZ</w:t>
      </w:r>
      <w:r w:rsidRPr="00B67F37">
        <w:rPr>
          <w:rFonts w:cs="Open Sans"/>
        </w:rPr>
        <w:t xml:space="preserve"> against the Commonwealth of Australia, Department of Home Affairs (Department), alleging a breach of his human rights. This inquiry has been undertaken pursuant to s 11(1)(f) of the </w:t>
      </w:r>
      <w:r w:rsidRPr="00B67F37">
        <w:rPr>
          <w:rFonts w:cs="Open Sans"/>
          <w:i/>
        </w:rPr>
        <w:t xml:space="preserve">Australian Human Rights Commission Act 1986 </w:t>
      </w:r>
      <w:r w:rsidRPr="00B67F37">
        <w:rPr>
          <w:rFonts w:cs="Open Sans"/>
        </w:rPr>
        <w:t xml:space="preserve">(Cth) (AHRC Act). </w:t>
      </w:r>
    </w:p>
    <w:p w14:paraId="684D0B1B" w14:textId="55480BCB" w:rsidR="00EA1E73" w:rsidRPr="00B67F37" w:rsidRDefault="00EA1E73" w:rsidP="002A7D47">
      <w:pPr>
        <w:numPr>
          <w:ilvl w:val="0"/>
          <w:numId w:val="22"/>
        </w:numPr>
        <w:rPr>
          <w:rFonts w:cs="Open Sans"/>
        </w:rPr>
      </w:pPr>
      <w:r>
        <w:rPr>
          <w:rFonts w:cs="Open Sans"/>
        </w:rPr>
        <w:t>Mr CZ</w:t>
      </w:r>
      <w:r w:rsidRPr="00B67F37">
        <w:rPr>
          <w:rFonts w:cs="Open Sans"/>
        </w:rPr>
        <w:t xml:space="preserve"> has been detained in an immigration detention centre for more than five and a half years. He complains that his detention is arbitrary, contrary to article 9 of the </w:t>
      </w:r>
      <w:r w:rsidRPr="00B67F37">
        <w:rPr>
          <w:rFonts w:cs="Open Sans"/>
          <w:i/>
        </w:rPr>
        <w:t>International Covenant on Civil and Political Rights</w:t>
      </w:r>
      <w:r w:rsidRPr="00B67F37">
        <w:rPr>
          <w:rFonts w:cs="Open Sans"/>
        </w:rPr>
        <w:t xml:space="preserve"> (ICCPR).</w:t>
      </w:r>
      <w:r w:rsidRPr="00367ECD">
        <w:rPr>
          <w:rFonts w:cs="Open Sans"/>
          <w:sz w:val="20"/>
          <w:szCs w:val="16"/>
          <w:vertAlign w:val="superscript"/>
        </w:rPr>
        <w:endnoteReference w:id="2"/>
      </w:r>
      <w:r w:rsidRPr="00B67F37">
        <w:rPr>
          <w:rFonts w:cs="Open Sans"/>
        </w:rPr>
        <w:t xml:space="preserve">  </w:t>
      </w:r>
    </w:p>
    <w:p w14:paraId="6EB00B62" w14:textId="77777777" w:rsidR="00EA1E73" w:rsidRPr="008640A6" w:rsidRDefault="00EA1E73" w:rsidP="002A7D47">
      <w:pPr>
        <w:pStyle w:val="ListLevel1"/>
        <w:numPr>
          <w:ilvl w:val="0"/>
          <w:numId w:val="22"/>
        </w:numPr>
        <w:spacing w:before="120" w:after="60"/>
        <w:rPr>
          <w:szCs w:val="24"/>
        </w:rPr>
      </w:pPr>
      <w:r w:rsidRPr="008640A6">
        <w:rPr>
          <w:szCs w:val="24"/>
        </w:rPr>
        <w:t xml:space="preserve">The right to liberty and freedom from arbitrary detention is not directly protected in the Australian Constitution or in legislation. As a result, there are limited avenues for an individual to challenge the lawfulness of their detention, outside seeking a writ of </w:t>
      </w:r>
      <w:r w:rsidRPr="008640A6">
        <w:rPr>
          <w:i/>
          <w:szCs w:val="24"/>
        </w:rPr>
        <w:t>habeas corpus</w:t>
      </w:r>
      <w:r w:rsidRPr="008640A6">
        <w:rPr>
          <w:szCs w:val="24"/>
        </w:rPr>
        <w:t>, for example in cases involving detention where removal from Australia is not practicable in the reasonably foreseeable future.</w:t>
      </w:r>
      <w:r w:rsidRPr="008640A6">
        <w:rPr>
          <w:rStyle w:val="EndnoteReference"/>
          <w:sz w:val="24"/>
          <w:szCs w:val="24"/>
        </w:rPr>
        <w:endnoteReference w:id="3"/>
      </w:r>
    </w:p>
    <w:p w14:paraId="72B1A31D" w14:textId="77777777" w:rsidR="00EA1E73" w:rsidRPr="008640A6" w:rsidRDefault="00EA1E73" w:rsidP="002A7D47">
      <w:pPr>
        <w:pStyle w:val="ListLevel1"/>
        <w:numPr>
          <w:ilvl w:val="0"/>
          <w:numId w:val="22"/>
        </w:numPr>
        <w:spacing w:before="120" w:after="60"/>
        <w:rPr>
          <w:szCs w:val="24"/>
        </w:rPr>
      </w:pPr>
      <w:r w:rsidRPr="008640A6">
        <w:rPr>
          <w:szCs w:val="24"/>
        </w:rPr>
        <w:t>The Commission’s ability to inquire into human rights complaints, including arbitrary detention, is narrow in scope, being limited to a discretionary ‘act’ or ‘practice’ of the Commonwealth that is alleged to breach a person’s human rights. Detention may be lawful under domestic law but still arbitrary and contrary to international human rights law.</w:t>
      </w:r>
    </w:p>
    <w:p w14:paraId="23CB7AC2" w14:textId="77777777" w:rsidR="00EA1E73" w:rsidRPr="008640A6" w:rsidRDefault="00EA1E73" w:rsidP="002A7D47">
      <w:pPr>
        <w:pStyle w:val="ListLevel1"/>
        <w:numPr>
          <w:ilvl w:val="0"/>
          <w:numId w:val="22"/>
        </w:numPr>
        <w:spacing w:before="120" w:after="60"/>
        <w:rPr>
          <w:szCs w:val="24"/>
        </w:rPr>
      </w:pPr>
      <w:r w:rsidRPr="008640A6">
        <w:rPr>
          <w:szCs w:val="24"/>
        </w:rPr>
        <w:t>In order to avoid detention being arbitrary under international human rights law, detention must be justified as reasonable, necessary, and proportionate on the basis of the individual’s particular circumstances. There is an obligation on the Commonwealth to demonstrate that there was not a less invasive way than closed detention to achieve the ends of the immigration policy, for example the imposition of reporting obligations, sureties or other conditions, in order to avoid the conclusion that detention was ‘arbitrary’.</w:t>
      </w:r>
    </w:p>
    <w:p w14:paraId="50313B9E" w14:textId="062A83D4" w:rsidR="00EA1E73" w:rsidRPr="008640A6" w:rsidRDefault="00EA1E73" w:rsidP="002A7D47">
      <w:pPr>
        <w:numPr>
          <w:ilvl w:val="0"/>
          <w:numId w:val="22"/>
        </w:numPr>
        <w:rPr>
          <w:rFonts w:cs="Open Sans"/>
        </w:rPr>
      </w:pPr>
      <w:r w:rsidRPr="008640A6">
        <w:rPr>
          <w:rFonts w:cs="Open Sans"/>
        </w:rPr>
        <w:t xml:space="preserve">This </w:t>
      </w:r>
      <w:r w:rsidR="001C5301">
        <w:rPr>
          <w:rFonts w:cs="Open Sans"/>
        </w:rPr>
        <w:t xml:space="preserve">report </w:t>
      </w:r>
      <w:r w:rsidRPr="008640A6">
        <w:rPr>
          <w:rFonts w:cs="Open Sans"/>
        </w:rPr>
        <w:t>is issued pursuant to s 29(2) of the AHRC Act setting out my findings in relation to this complaint and my recommendations to the Commonwealth.</w:t>
      </w:r>
    </w:p>
    <w:p w14:paraId="0BC8FFC2" w14:textId="43A03F72" w:rsidR="00EA1E73" w:rsidRPr="008640A6" w:rsidRDefault="00EA1E73" w:rsidP="002A7D47">
      <w:pPr>
        <w:numPr>
          <w:ilvl w:val="0"/>
          <w:numId w:val="22"/>
        </w:numPr>
        <w:rPr>
          <w:rFonts w:cs="Open Sans"/>
        </w:rPr>
      </w:pPr>
      <w:r w:rsidRPr="008640A6">
        <w:rPr>
          <w:rFonts w:cs="Open Sans"/>
        </w:rPr>
        <w:t xml:space="preserve">Given that </w:t>
      </w:r>
      <w:r>
        <w:rPr>
          <w:rFonts w:cs="Open Sans"/>
        </w:rPr>
        <w:t>Mr CZ</w:t>
      </w:r>
      <w:r w:rsidRPr="008640A6">
        <w:rPr>
          <w:rFonts w:cs="Open Sans"/>
        </w:rPr>
        <w:t xml:space="preserve"> was a person seeking asylum and raised protection claims against his home country, I have made a direction under s 14(2) of the AHRC Act prohibiting the disclosure of his identity in relation to this inquiry.</w:t>
      </w:r>
    </w:p>
    <w:p w14:paraId="39086369" w14:textId="77777777" w:rsidR="00EA1E73" w:rsidRPr="00B67F37" w:rsidRDefault="00EA1E73" w:rsidP="00EA1E73">
      <w:pPr>
        <w:pStyle w:val="Heading1"/>
        <w:rPr>
          <w:rFonts w:cs="Open Sans"/>
        </w:rPr>
      </w:pPr>
      <w:bookmarkStart w:id="5" w:name="_Toc156817214"/>
      <w:bookmarkStart w:id="6" w:name="_Toc164705887"/>
      <w:r w:rsidRPr="00B67F37">
        <w:rPr>
          <w:rFonts w:cs="Open Sans"/>
        </w:rPr>
        <w:lastRenderedPageBreak/>
        <w:t>Summary of findings and recommendations</w:t>
      </w:r>
      <w:bookmarkEnd w:id="5"/>
      <w:bookmarkEnd w:id="6"/>
    </w:p>
    <w:p w14:paraId="11DA73E3" w14:textId="77777777" w:rsidR="00EA1E73" w:rsidRPr="00B67F37" w:rsidRDefault="00EA1E73" w:rsidP="002A7D47">
      <w:pPr>
        <w:numPr>
          <w:ilvl w:val="0"/>
          <w:numId w:val="22"/>
        </w:numPr>
        <w:rPr>
          <w:rFonts w:cs="Open Sans"/>
        </w:rPr>
      </w:pPr>
      <w:r w:rsidRPr="00B67F37">
        <w:rPr>
          <w:rFonts w:cs="Open Sans"/>
        </w:rPr>
        <w:t>As a result of this inquiry, I find that the following acts of the Commonwealth are inconsistent with, or contrary to, article 9(1) of the ICCPR:</w:t>
      </w:r>
    </w:p>
    <w:p w14:paraId="049C7C8C" w14:textId="4DAE05D4" w:rsidR="00EA1E73" w:rsidRPr="00B67F37" w:rsidRDefault="00EA1E73" w:rsidP="001C5301">
      <w:pPr>
        <w:pStyle w:val="Style2"/>
      </w:pPr>
      <w:r w:rsidRPr="00B67F37">
        <w:t xml:space="preserve">the Department’s delay in referring </w:t>
      </w:r>
      <w:r>
        <w:t>Mr CZ</w:t>
      </w:r>
      <w:r w:rsidRPr="00B67F37">
        <w:t xml:space="preserve">’s case to the Minister for consideration under s 195A of the </w:t>
      </w:r>
      <w:r w:rsidRPr="00B67F37">
        <w:rPr>
          <w:i/>
          <w:iCs/>
        </w:rPr>
        <w:t xml:space="preserve">Migration Act 1958 </w:t>
      </w:r>
      <w:r w:rsidRPr="00B67F37">
        <w:t>(Cth) (Migration Act) until October 2018</w:t>
      </w:r>
    </w:p>
    <w:p w14:paraId="0262B95D" w14:textId="4E859B12" w:rsidR="00EA1E73" w:rsidRPr="00B67F37" w:rsidRDefault="00EA1E73" w:rsidP="001C5301">
      <w:pPr>
        <w:pStyle w:val="Style2"/>
      </w:pPr>
      <w:r w:rsidRPr="00B67F37">
        <w:t xml:space="preserve">the Minister’s decision on 23 October 2018 to not exercise his power under s 195A of the Migration Act to grant </w:t>
      </w:r>
      <w:r>
        <w:t>Mr CZ</w:t>
      </w:r>
      <w:r w:rsidRPr="00B67F37">
        <w:t xml:space="preserve"> a Bridging Visa E (BVE)</w:t>
      </w:r>
    </w:p>
    <w:p w14:paraId="206DE899" w14:textId="30574D76" w:rsidR="00EA1E73" w:rsidRPr="00B67F37" w:rsidRDefault="00EA1E73" w:rsidP="001C5301">
      <w:pPr>
        <w:pStyle w:val="Style2"/>
      </w:pPr>
      <w:r w:rsidRPr="00B67F37">
        <w:t xml:space="preserve">the Department’s delay in referring </w:t>
      </w:r>
      <w:r>
        <w:t>Mr CZ</w:t>
      </w:r>
      <w:r w:rsidRPr="00B67F37">
        <w:t xml:space="preserve">’s case to the Minister again for consideration under s 195A of the Migration Act for over four years until February 2023 </w:t>
      </w:r>
    </w:p>
    <w:p w14:paraId="3380F7D2" w14:textId="5524F8D8" w:rsidR="00EA1E73" w:rsidRPr="00B67F37" w:rsidRDefault="00EA1E73" w:rsidP="001C5301">
      <w:pPr>
        <w:pStyle w:val="Style2"/>
      </w:pPr>
      <w:r w:rsidRPr="00B67F37">
        <w:t xml:space="preserve">the Department’s failure to refer </w:t>
      </w:r>
      <w:r>
        <w:t>Mr CZ</w:t>
      </w:r>
      <w:r w:rsidRPr="00B67F37">
        <w:t>’s case to the Minister for consideration under s 197AB of the Migration Act.</w:t>
      </w:r>
    </w:p>
    <w:p w14:paraId="75B013A5" w14:textId="77777777" w:rsidR="00EA1E73" w:rsidRPr="00B67F37" w:rsidRDefault="00EA1E73" w:rsidP="002A7D47">
      <w:pPr>
        <w:numPr>
          <w:ilvl w:val="0"/>
          <w:numId w:val="22"/>
        </w:numPr>
        <w:rPr>
          <w:rFonts w:cs="Open Sans"/>
        </w:rPr>
      </w:pPr>
      <w:r w:rsidRPr="00B67F37">
        <w:rPr>
          <w:rFonts w:cs="Open Sans"/>
        </w:rPr>
        <w:t>I ma</w:t>
      </w:r>
      <w:r>
        <w:rPr>
          <w:rFonts w:cs="Open Sans"/>
        </w:rPr>
        <w:t>k</w:t>
      </w:r>
      <w:r w:rsidRPr="00B67F37">
        <w:rPr>
          <w:rFonts w:cs="Open Sans"/>
        </w:rPr>
        <w:t>e the following recommendations:</w:t>
      </w:r>
    </w:p>
    <w:p w14:paraId="7EEE9168" w14:textId="77777777" w:rsidR="00EA1E73" w:rsidRPr="00B67F37" w:rsidRDefault="00EA1E73" w:rsidP="00EA1E73">
      <w:pPr>
        <w:keepNext/>
        <w:ind w:left="720"/>
        <w:rPr>
          <w:rFonts w:cs="Open Sans"/>
        </w:rPr>
      </w:pPr>
      <w:r w:rsidRPr="00B67F37">
        <w:rPr>
          <w:rFonts w:cs="Open Sans"/>
          <w:b/>
          <w:bCs/>
        </w:rPr>
        <w:t>Recommendation 1</w:t>
      </w:r>
    </w:p>
    <w:p w14:paraId="214D3559" w14:textId="77777777" w:rsidR="00EA1E73" w:rsidRPr="00B67F37" w:rsidRDefault="00EA1E73" w:rsidP="00EA1E73">
      <w:pPr>
        <w:spacing w:line="300" w:lineRule="exact"/>
        <w:ind w:left="737"/>
        <w:rPr>
          <w:rFonts w:cs="Open Sans"/>
        </w:rPr>
      </w:pPr>
      <w:r w:rsidRPr="00B67F37">
        <w:rPr>
          <w:rFonts w:cs="Open Sans"/>
        </w:rPr>
        <w:t>The Commission recommends that the Department progress each of the elements of the Alternatives to Held Detention program, including:</w:t>
      </w:r>
    </w:p>
    <w:p w14:paraId="2A0466D5" w14:textId="77777777" w:rsidR="00EA1E73" w:rsidRPr="00B67F37" w:rsidDel="004F3B24" w:rsidRDefault="00EA1E73" w:rsidP="002A7D47">
      <w:pPr>
        <w:pStyle w:val="ListParagraph"/>
        <w:numPr>
          <w:ilvl w:val="1"/>
          <w:numId w:val="28"/>
        </w:numPr>
        <w:spacing w:line="300" w:lineRule="exact"/>
        <w:rPr>
          <w:rFonts w:cs="Open Sans"/>
        </w:rPr>
      </w:pPr>
      <w:r w:rsidRPr="00B67F37" w:rsidDel="004F3B24">
        <w:rPr>
          <w:rFonts w:cs="Open Sans"/>
        </w:rPr>
        <w:t>the development of a more nuanced, dynamic risk assessment tool to assess the degree of risk posed by a detainee to the community and how such risk could be mitigated</w:t>
      </w:r>
    </w:p>
    <w:p w14:paraId="05E9C882" w14:textId="77777777" w:rsidR="00EA1E73" w:rsidRPr="00B67F37" w:rsidDel="004F3B24" w:rsidRDefault="00EA1E73" w:rsidP="002A7D47">
      <w:pPr>
        <w:pStyle w:val="ListParagraph"/>
        <w:numPr>
          <w:ilvl w:val="1"/>
          <w:numId w:val="28"/>
        </w:numPr>
        <w:spacing w:line="300" w:lineRule="exact"/>
        <w:rPr>
          <w:rFonts w:cs="Open Sans"/>
        </w:rPr>
      </w:pPr>
      <w:r w:rsidRPr="00B67F37" w:rsidDel="004F3B24">
        <w:rPr>
          <w:rFonts w:cs="Open Sans"/>
        </w:rPr>
        <w:t xml:space="preserve">the establishment of </w:t>
      </w:r>
      <w:r w:rsidRPr="00B67F37">
        <w:rPr>
          <w:rFonts w:cs="Open Sans"/>
        </w:rPr>
        <w:t xml:space="preserve">an </w:t>
      </w:r>
      <w:r w:rsidRPr="00B67F37" w:rsidDel="004F3B24">
        <w:rPr>
          <w:rFonts w:cs="Open Sans"/>
        </w:rPr>
        <w:t xml:space="preserve">independent panel of experts to assess the risk posed by a detainee and provide advice about community-based placement </w:t>
      </w:r>
    </w:p>
    <w:p w14:paraId="74BDCF82" w14:textId="77777777" w:rsidR="00EA1E73" w:rsidRPr="00B67F37" w:rsidDel="004F3B24" w:rsidRDefault="00EA1E73" w:rsidP="002A7D47">
      <w:pPr>
        <w:pStyle w:val="ListParagraph"/>
        <w:numPr>
          <w:ilvl w:val="1"/>
          <w:numId w:val="28"/>
        </w:numPr>
        <w:spacing w:line="300" w:lineRule="exact"/>
        <w:rPr>
          <w:rFonts w:cs="Open Sans"/>
        </w:rPr>
      </w:pPr>
      <w:r w:rsidRPr="00B67F37" w:rsidDel="004F3B24">
        <w:rPr>
          <w:rFonts w:cs="Open Sans"/>
        </w:rPr>
        <w:t xml:space="preserve">increasing community-based placements for low and medium risk detainees, through necessary conditions and support services </w:t>
      </w:r>
    </w:p>
    <w:p w14:paraId="30CE957B" w14:textId="77777777" w:rsidR="00EA1E73" w:rsidRPr="00B67F37" w:rsidRDefault="00EA1E73" w:rsidP="002A7D47">
      <w:pPr>
        <w:pStyle w:val="ListParagraph"/>
        <w:numPr>
          <w:ilvl w:val="1"/>
          <w:numId w:val="28"/>
        </w:numPr>
        <w:spacing w:line="300" w:lineRule="exact"/>
        <w:rPr>
          <w:rFonts w:cs="Open Sans"/>
        </w:rPr>
      </w:pPr>
      <w:r w:rsidRPr="00B67F37" w:rsidDel="004F3B24">
        <w:rPr>
          <w:rFonts w:cs="Open Sans"/>
        </w:rPr>
        <w:t>utilising residence determinations as part of a step-down model of reintegration into the community.</w:t>
      </w:r>
    </w:p>
    <w:p w14:paraId="00494EDA" w14:textId="77777777" w:rsidR="00EA1E73" w:rsidRPr="00B67F37" w:rsidRDefault="00EA1E73" w:rsidP="00EA1E73">
      <w:pPr>
        <w:keepNext/>
        <w:ind w:left="720"/>
        <w:rPr>
          <w:rFonts w:cs="Open Sans"/>
          <w:b/>
          <w:bCs/>
        </w:rPr>
      </w:pPr>
      <w:r w:rsidRPr="00B67F37">
        <w:rPr>
          <w:rFonts w:cs="Open Sans"/>
          <w:b/>
          <w:bCs/>
        </w:rPr>
        <w:t>Recommendation 2</w:t>
      </w:r>
    </w:p>
    <w:p w14:paraId="1762B965" w14:textId="77777777" w:rsidR="00EA1E73" w:rsidRPr="00B67F37" w:rsidRDefault="00EA1E73" w:rsidP="00EA1E73">
      <w:pPr>
        <w:ind w:left="720"/>
        <w:rPr>
          <w:rFonts w:cs="Open Sans"/>
        </w:rPr>
      </w:pPr>
      <w:r w:rsidRPr="00B67F37">
        <w:rPr>
          <w:rFonts w:cs="Open Sans"/>
        </w:rPr>
        <w:t xml:space="preserve">The Commission recommends that the Department brief the Minister about amendments to the Minister’s ss 195A and 197AB guidelines, and </w:t>
      </w:r>
      <w:r w:rsidRPr="00B67F37">
        <w:rPr>
          <w:rFonts w:cs="Open Sans"/>
        </w:rPr>
        <w:lastRenderedPageBreak/>
        <w:t>include in that briefing the Commission’s proposal that the guidelines should be amended to provide that:</w:t>
      </w:r>
    </w:p>
    <w:p w14:paraId="416F1403" w14:textId="77777777" w:rsidR="00EA1E73" w:rsidRPr="00B67F37" w:rsidRDefault="00EA1E73" w:rsidP="002A7D47">
      <w:pPr>
        <w:pStyle w:val="ListParagraph"/>
        <w:numPr>
          <w:ilvl w:val="0"/>
          <w:numId w:val="29"/>
        </w:numPr>
        <w:spacing w:line="300" w:lineRule="exact"/>
        <w:rPr>
          <w:rFonts w:cs="Open Sans"/>
        </w:rPr>
      </w:pPr>
      <w:r w:rsidRPr="00B67F37">
        <w:rPr>
          <w:rFonts w:cs="Open Sans"/>
        </w:rPr>
        <w:t>all people in closed immigration detention are eligible for referral under ss 195A and 197AB where their detention has been protracted, and/or where it appears likely that their detention will continue for any significant period</w:t>
      </w:r>
    </w:p>
    <w:p w14:paraId="5D5F8166" w14:textId="77777777" w:rsidR="00EA1E73" w:rsidRDefault="00EA1E73" w:rsidP="002A7D47">
      <w:pPr>
        <w:pStyle w:val="ListParagraph"/>
        <w:numPr>
          <w:ilvl w:val="0"/>
          <w:numId w:val="29"/>
        </w:numPr>
        <w:spacing w:after="160"/>
        <w:rPr>
          <w:rFonts w:cs="Open Sans"/>
        </w:rPr>
      </w:pPr>
      <w:r w:rsidRPr="00B67F37">
        <w:rPr>
          <w:rFonts w:cs="Open Sans"/>
        </w:rPr>
        <w:t>where the Minister has previously decided not to consider exercising the powers under either s 195A or s 197AB in relation to a person, or has considered exercising those powers and declined to do so, the Department may nevertheless re-refer that person to the Minister if the person has remained in closed detention for a further protracted period.</w:t>
      </w:r>
    </w:p>
    <w:p w14:paraId="33F40EF5" w14:textId="1952A3D9" w:rsidR="00EA1E73" w:rsidRDefault="00EA1E73" w:rsidP="00EA1E73">
      <w:pPr>
        <w:spacing w:after="160"/>
        <w:ind w:left="720"/>
        <w:rPr>
          <w:rFonts w:cs="Open Sans"/>
        </w:rPr>
      </w:pPr>
      <w:r>
        <w:rPr>
          <w:rFonts w:cs="Open Sans"/>
          <w:b/>
          <w:bCs/>
        </w:rPr>
        <w:t>Recommendation 3</w:t>
      </w:r>
    </w:p>
    <w:p w14:paraId="34EE8BDF" w14:textId="5F3C69A0" w:rsidR="00EA1E73" w:rsidRPr="00A01537" w:rsidRDefault="00EA1E73" w:rsidP="00EA1E73">
      <w:pPr>
        <w:spacing w:after="160"/>
        <w:ind w:left="720"/>
        <w:rPr>
          <w:rFonts w:cs="Open Sans"/>
        </w:rPr>
      </w:pPr>
      <w:r>
        <w:rPr>
          <w:rFonts w:cs="Open Sans"/>
        </w:rPr>
        <w:t xml:space="preserve">The Commonwealth provide a written apology to Mr CZ for the delay in releasing him from closed detention in view of the clear evidence of his compelling circumstances. </w:t>
      </w:r>
    </w:p>
    <w:p w14:paraId="3E78ACB3" w14:textId="77777777" w:rsidR="00EA1E73" w:rsidRPr="00B67F37" w:rsidRDefault="00EA1E73" w:rsidP="00EA1E73">
      <w:pPr>
        <w:pStyle w:val="Heading1"/>
        <w:rPr>
          <w:rFonts w:cs="Open Sans"/>
        </w:rPr>
      </w:pPr>
      <w:bookmarkStart w:id="7" w:name="_Toc452472690"/>
      <w:bookmarkStart w:id="8" w:name="_Toc487445597"/>
      <w:bookmarkStart w:id="9" w:name="_Toc487531382"/>
      <w:bookmarkStart w:id="10" w:name="_Toc487531401"/>
      <w:bookmarkStart w:id="11" w:name="_Toc487531471"/>
      <w:bookmarkStart w:id="12" w:name="_Toc487531591"/>
      <w:bookmarkStart w:id="13" w:name="_Toc156817215"/>
      <w:bookmarkStart w:id="14" w:name="_Toc164705888"/>
      <w:r w:rsidRPr="00B67F37">
        <w:rPr>
          <w:rFonts w:cs="Open Sans"/>
        </w:rPr>
        <w:t>Background</w:t>
      </w:r>
      <w:bookmarkEnd w:id="7"/>
      <w:bookmarkEnd w:id="8"/>
      <w:bookmarkEnd w:id="9"/>
      <w:bookmarkEnd w:id="10"/>
      <w:bookmarkEnd w:id="11"/>
      <w:bookmarkEnd w:id="12"/>
      <w:bookmarkEnd w:id="13"/>
      <w:bookmarkEnd w:id="14"/>
      <w:r w:rsidRPr="00B67F37">
        <w:rPr>
          <w:rFonts w:cs="Open Sans"/>
        </w:rPr>
        <w:t xml:space="preserve"> </w:t>
      </w:r>
    </w:p>
    <w:p w14:paraId="36861BD4" w14:textId="7D0F70A8" w:rsidR="00EA1E73" w:rsidRPr="00B67F37" w:rsidRDefault="00EA1E73" w:rsidP="002A7D47">
      <w:pPr>
        <w:pStyle w:val="SubmissionNormal"/>
        <w:numPr>
          <w:ilvl w:val="0"/>
          <w:numId w:val="22"/>
        </w:numPr>
        <w:rPr>
          <w:rFonts w:cs="Open Sans"/>
        </w:rPr>
      </w:pPr>
      <w:r>
        <w:rPr>
          <w:rFonts w:cs="Open Sans"/>
        </w:rPr>
        <w:t>Mr CZ</w:t>
      </w:r>
      <w:r w:rsidRPr="00B67F37">
        <w:rPr>
          <w:rFonts w:cs="Open Sans"/>
        </w:rPr>
        <w:t xml:space="preserve"> is from </w:t>
      </w:r>
      <w:r w:rsidR="008843A0" w:rsidRPr="00B67F37">
        <w:rPr>
          <w:rFonts w:cs="Open Sans"/>
        </w:rPr>
        <w:t>Iran,</w:t>
      </w:r>
      <w:r w:rsidRPr="00B67F37">
        <w:rPr>
          <w:rFonts w:cs="Open Sans"/>
        </w:rPr>
        <w:t xml:space="preserve"> and he arrived at Christmas Island as an unauthorised maritime arrival (UMA) on 11 October 2010. He was detained pursuant to s</w:t>
      </w:r>
      <w:r>
        <w:rPr>
          <w:rFonts w:cs="Open Sans"/>
        </w:rPr>
        <w:t> </w:t>
      </w:r>
      <w:r w:rsidRPr="00B67F37">
        <w:rPr>
          <w:rFonts w:cs="Open Sans"/>
        </w:rPr>
        <w:t xml:space="preserve">189(3) of the Migration Act at North West Point Immigration Detention Centre. He remained on Christmas Island for just over a year before being transferred to the mainland and detained, first at Darwin Airport Lodge (from 5 November 2011) and then at Northern Immigration Detention Centre (from 23 February 2012), under s 189(1) of the Migration Act. </w:t>
      </w:r>
    </w:p>
    <w:p w14:paraId="51E674D2" w14:textId="23889202" w:rsidR="00EA1E73" w:rsidRPr="00B67F37" w:rsidRDefault="00EA1E73" w:rsidP="002A7D47">
      <w:pPr>
        <w:pStyle w:val="SubmissionNormal"/>
        <w:numPr>
          <w:ilvl w:val="0"/>
          <w:numId w:val="22"/>
        </w:numPr>
        <w:rPr>
          <w:rFonts w:cs="Open Sans"/>
        </w:rPr>
      </w:pPr>
      <w:r w:rsidRPr="00B67F37">
        <w:rPr>
          <w:rFonts w:cs="Open Sans"/>
        </w:rPr>
        <w:t xml:space="preserve">On 10 December 2010, the Department commenced a Refugee Status Assessment (RSA), a non-statutory refugee determination process for UMAs. On 6 May 2011, it was found that </w:t>
      </w:r>
      <w:r>
        <w:rPr>
          <w:rFonts w:cs="Open Sans"/>
        </w:rPr>
        <w:t>Mr CZ</w:t>
      </w:r>
      <w:r w:rsidRPr="00B67F37">
        <w:rPr>
          <w:rFonts w:cs="Open Sans"/>
        </w:rPr>
        <w:t xml:space="preserve"> did not engage Australia’s protection obligations under the Refugee Convention. On 7 June 2011, </w:t>
      </w:r>
      <w:r>
        <w:rPr>
          <w:rFonts w:cs="Open Sans"/>
        </w:rPr>
        <w:t>Mr</w:t>
      </w:r>
      <w:r w:rsidR="00D362E2">
        <w:rPr>
          <w:rFonts w:cs="Open Sans"/>
        </w:rPr>
        <w:t> </w:t>
      </w:r>
      <w:r>
        <w:rPr>
          <w:rFonts w:cs="Open Sans"/>
        </w:rPr>
        <w:t>CZ</w:t>
      </w:r>
      <w:r w:rsidRPr="00B67F37">
        <w:rPr>
          <w:rFonts w:cs="Open Sans"/>
        </w:rPr>
        <w:t xml:space="preserve"> requested Independent Merits Review (IMR) of the negative RSA decision. On 11 November 2011, the IMR found that </w:t>
      </w:r>
      <w:r>
        <w:rPr>
          <w:rFonts w:cs="Open Sans"/>
        </w:rPr>
        <w:t>Mr CZ</w:t>
      </w:r>
      <w:r w:rsidRPr="00B67F37">
        <w:rPr>
          <w:rFonts w:cs="Open Sans"/>
        </w:rPr>
        <w:t xml:space="preserve"> did not engage Australia’s protection obligations under the Refugee Convention. </w:t>
      </w:r>
    </w:p>
    <w:p w14:paraId="111C9035" w14:textId="64743982" w:rsidR="00EA1E73" w:rsidRPr="00B67F37" w:rsidRDefault="00EA1E73" w:rsidP="002A7D47">
      <w:pPr>
        <w:pStyle w:val="SubmissionNormal"/>
        <w:numPr>
          <w:ilvl w:val="0"/>
          <w:numId w:val="22"/>
        </w:numPr>
        <w:rPr>
          <w:rFonts w:cs="Open Sans"/>
        </w:rPr>
      </w:pPr>
      <w:r w:rsidRPr="00B67F37">
        <w:rPr>
          <w:rFonts w:cs="Open Sans"/>
        </w:rPr>
        <w:t xml:space="preserve">On 6 December 2011, </w:t>
      </w:r>
      <w:r>
        <w:rPr>
          <w:rFonts w:cs="Open Sans"/>
        </w:rPr>
        <w:t>Mr CZ</w:t>
      </w:r>
      <w:r w:rsidRPr="00B67F37">
        <w:rPr>
          <w:rFonts w:cs="Open Sans"/>
        </w:rPr>
        <w:t xml:space="preserve"> sought judicial review of the IMR decision in the then Federal Magistrates Court (FMC). The FMC dismissed his application on 21 September 2012.</w:t>
      </w:r>
    </w:p>
    <w:p w14:paraId="0FD4F4A8" w14:textId="21B5772D" w:rsidR="00EA1E73" w:rsidRPr="00B67F37" w:rsidRDefault="00EA1E73" w:rsidP="002A7D47">
      <w:pPr>
        <w:pStyle w:val="SubmissionNormal"/>
        <w:numPr>
          <w:ilvl w:val="0"/>
          <w:numId w:val="22"/>
        </w:numPr>
        <w:rPr>
          <w:rFonts w:cs="Open Sans"/>
        </w:rPr>
      </w:pPr>
      <w:r w:rsidRPr="00B67F37">
        <w:rPr>
          <w:rFonts w:cs="Open Sans"/>
        </w:rPr>
        <w:t xml:space="preserve">In the meantime, the Department commenced a Ministerial Intervention process and assessed </w:t>
      </w:r>
      <w:r>
        <w:rPr>
          <w:rFonts w:cs="Open Sans"/>
        </w:rPr>
        <w:t>Mr CZ</w:t>
      </w:r>
      <w:r w:rsidRPr="00B67F37">
        <w:rPr>
          <w:rFonts w:cs="Open Sans"/>
        </w:rPr>
        <w:t xml:space="preserve">’s case against the s 195A Ministerial Intervention Guidelines (s 195A Guidelines). </w:t>
      </w:r>
      <w:r>
        <w:rPr>
          <w:rFonts w:cs="Open Sans"/>
        </w:rPr>
        <w:t>Mr CZ</w:t>
      </w:r>
      <w:r w:rsidRPr="00B67F37">
        <w:rPr>
          <w:rFonts w:cs="Open Sans"/>
        </w:rPr>
        <w:t xml:space="preserve"> was included in a bulk </w:t>
      </w:r>
      <w:r w:rsidRPr="00B67F37">
        <w:rPr>
          <w:rFonts w:cs="Open Sans"/>
        </w:rPr>
        <w:lastRenderedPageBreak/>
        <w:t xml:space="preserve">submission referred to the Minister on 27 March 2012 for consideration for the grant of a Bridging Visa E (BVE) under s 195A of the Migration Act. On 12 April 2012, the then Minister for Immigration and Citizenship decided to intervene and exercise their powers under s 195A of the Migration Act to grant </w:t>
      </w:r>
      <w:r>
        <w:rPr>
          <w:rFonts w:cs="Open Sans"/>
        </w:rPr>
        <w:t>Mr CZ</w:t>
      </w:r>
      <w:r w:rsidRPr="00B67F37">
        <w:rPr>
          <w:rFonts w:cs="Open Sans"/>
        </w:rPr>
        <w:t xml:space="preserve"> a BVE for 6 months. </w:t>
      </w:r>
      <w:r>
        <w:rPr>
          <w:rFonts w:cs="Open Sans"/>
        </w:rPr>
        <w:t>Mr CZ</w:t>
      </w:r>
      <w:r w:rsidRPr="00B67F37">
        <w:rPr>
          <w:rFonts w:cs="Open Sans"/>
        </w:rPr>
        <w:t xml:space="preserve"> was released from immigration detention into the community. </w:t>
      </w:r>
    </w:p>
    <w:p w14:paraId="77BA9BBB" w14:textId="20FB85A9" w:rsidR="00EA1E73" w:rsidRPr="00B67F37" w:rsidRDefault="00EA1E73" w:rsidP="002A7D47">
      <w:pPr>
        <w:pStyle w:val="SubmissionNormal"/>
        <w:numPr>
          <w:ilvl w:val="0"/>
          <w:numId w:val="22"/>
        </w:numPr>
        <w:rPr>
          <w:rFonts w:cs="Open Sans"/>
        </w:rPr>
      </w:pPr>
      <w:r w:rsidRPr="00B67F37">
        <w:rPr>
          <w:rFonts w:cs="Open Sans"/>
        </w:rPr>
        <w:t xml:space="preserve">On 12 October 2012, </w:t>
      </w:r>
      <w:r>
        <w:rPr>
          <w:rFonts w:cs="Open Sans"/>
        </w:rPr>
        <w:t>Mr CZ</w:t>
      </w:r>
      <w:r w:rsidRPr="00B67F37">
        <w:rPr>
          <w:rFonts w:cs="Open Sans"/>
        </w:rPr>
        <w:t xml:space="preserve">’s BVE expired. From this date until 9 January 2015, the Minister intervened a further 4 times under s 195A of the Migration Act to grant </w:t>
      </w:r>
      <w:r>
        <w:rPr>
          <w:rFonts w:cs="Open Sans"/>
        </w:rPr>
        <w:t>Mr CZ</w:t>
      </w:r>
      <w:r w:rsidRPr="00B67F37">
        <w:rPr>
          <w:rFonts w:cs="Open Sans"/>
        </w:rPr>
        <w:t xml:space="preserve"> 3-month BVEs. Between each intervention, there was a window in which </w:t>
      </w:r>
      <w:r>
        <w:rPr>
          <w:rFonts w:cs="Open Sans"/>
        </w:rPr>
        <w:t>Mr CZ</w:t>
      </w:r>
      <w:r w:rsidRPr="00B67F37">
        <w:rPr>
          <w:rFonts w:cs="Open Sans"/>
        </w:rPr>
        <w:t xml:space="preserve"> would become an unlawful non-citizen (on one occasion he was unlawful for over a year)</w:t>
      </w:r>
      <w:r w:rsidR="00131C2A">
        <w:rPr>
          <w:rFonts w:cs="Open Sans"/>
        </w:rPr>
        <w:t>,</w:t>
      </w:r>
      <w:r w:rsidRPr="00B67F37">
        <w:rPr>
          <w:rFonts w:cs="Open Sans"/>
        </w:rPr>
        <w:t xml:space="preserve"> </w:t>
      </w:r>
      <w:r>
        <w:rPr>
          <w:rFonts w:cs="Open Sans"/>
        </w:rPr>
        <w:t xml:space="preserve">before </w:t>
      </w:r>
      <w:r w:rsidRPr="00B67F37">
        <w:rPr>
          <w:rFonts w:cs="Open Sans"/>
        </w:rPr>
        <w:t>be</w:t>
      </w:r>
      <w:r>
        <w:rPr>
          <w:rFonts w:cs="Open Sans"/>
        </w:rPr>
        <w:t>ing</w:t>
      </w:r>
      <w:r w:rsidRPr="00B67F37">
        <w:rPr>
          <w:rFonts w:cs="Open Sans"/>
        </w:rPr>
        <w:t xml:space="preserve"> administratively detained under s 189(1) of the Migration Act so as to enliven the Minister’s powers under s 195A. </w:t>
      </w:r>
    </w:p>
    <w:p w14:paraId="4CF558CF" w14:textId="0F24F1FA" w:rsidR="00EA1E73" w:rsidRPr="00B67F37" w:rsidRDefault="00EA1E73" w:rsidP="002A7D47">
      <w:pPr>
        <w:pStyle w:val="SubmissionNormal"/>
        <w:numPr>
          <w:ilvl w:val="0"/>
          <w:numId w:val="22"/>
        </w:numPr>
        <w:rPr>
          <w:rFonts w:cs="Open Sans"/>
        </w:rPr>
      </w:pPr>
      <w:r w:rsidRPr="00B67F37">
        <w:rPr>
          <w:rFonts w:cs="Open Sans"/>
        </w:rPr>
        <w:t xml:space="preserve">On 9 January 2015, </w:t>
      </w:r>
      <w:r>
        <w:rPr>
          <w:rFonts w:cs="Open Sans"/>
        </w:rPr>
        <w:t>Mr CZ</w:t>
      </w:r>
      <w:r w:rsidRPr="00B67F37">
        <w:rPr>
          <w:rFonts w:cs="Open Sans"/>
        </w:rPr>
        <w:t>’s last BVE expired and he became an unlawful non-citizen. He remained living in the community as an unlawful non-citizen from this date until 5 August 2017.</w:t>
      </w:r>
    </w:p>
    <w:p w14:paraId="7B5CCB0C" w14:textId="6600415A" w:rsidR="00EA1E73" w:rsidRPr="00B67F37" w:rsidRDefault="00EA1E73" w:rsidP="002A7D47">
      <w:pPr>
        <w:pStyle w:val="SubmissionNormal"/>
        <w:numPr>
          <w:ilvl w:val="0"/>
          <w:numId w:val="22"/>
        </w:numPr>
        <w:rPr>
          <w:rFonts w:cs="Open Sans"/>
        </w:rPr>
      </w:pPr>
      <w:r w:rsidRPr="00B67F37">
        <w:rPr>
          <w:rFonts w:cs="Open Sans"/>
        </w:rPr>
        <w:t xml:space="preserve">On 5 August 2017, </w:t>
      </w:r>
      <w:r>
        <w:rPr>
          <w:rFonts w:cs="Open Sans"/>
        </w:rPr>
        <w:t>Mr CZ</w:t>
      </w:r>
      <w:r w:rsidRPr="00B67F37">
        <w:rPr>
          <w:rFonts w:cs="Open Sans"/>
        </w:rPr>
        <w:t xml:space="preserve"> was arrested and charged with criminal offences relating to possession of a firearm. He was released on bail and was detained under s 189(1) and transferred to Villawood IDC. </w:t>
      </w:r>
    </w:p>
    <w:p w14:paraId="31E680FF" w14:textId="229DD552" w:rsidR="00EA1E73" w:rsidRPr="00B67F37" w:rsidRDefault="00EA1E73" w:rsidP="002A7D47">
      <w:pPr>
        <w:pStyle w:val="SubmissionNormal"/>
        <w:numPr>
          <w:ilvl w:val="0"/>
          <w:numId w:val="22"/>
        </w:numPr>
        <w:rPr>
          <w:rFonts w:cs="Open Sans"/>
        </w:rPr>
      </w:pPr>
      <w:r w:rsidRPr="00B67F37">
        <w:rPr>
          <w:rFonts w:cs="Open Sans"/>
        </w:rPr>
        <w:t xml:space="preserve">By 13 April 2018, </w:t>
      </w:r>
      <w:r>
        <w:rPr>
          <w:rFonts w:cs="Open Sans"/>
        </w:rPr>
        <w:t>Mr CZ</w:t>
      </w:r>
      <w:r w:rsidRPr="00B67F37">
        <w:rPr>
          <w:rFonts w:cs="Open Sans"/>
        </w:rPr>
        <w:t xml:space="preserve">’s criminal matters were finalised. The three charges relating to firearms were dismissed on the basis that he was not guilty after trial. He was instead found guilty of the charge ‘have in custody a laser pointer in public place’ and the matter was dismissed without conviction. </w:t>
      </w:r>
    </w:p>
    <w:p w14:paraId="72EF975E" w14:textId="1E4B7346" w:rsidR="00EA1E73" w:rsidRPr="00B67F37" w:rsidRDefault="00EA1E73" w:rsidP="002A7D47">
      <w:pPr>
        <w:pStyle w:val="SubmissionNormal"/>
        <w:numPr>
          <w:ilvl w:val="0"/>
          <w:numId w:val="22"/>
        </w:numPr>
        <w:rPr>
          <w:rFonts w:cs="Open Sans"/>
        </w:rPr>
      </w:pPr>
      <w:r w:rsidRPr="00B67F37">
        <w:rPr>
          <w:rFonts w:cs="Open Sans"/>
        </w:rPr>
        <w:t xml:space="preserve">Shortly after the outcome of his criminal trial, on 16 April 2018, the Department commenced a Ministerial Intervention process for </w:t>
      </w:r>
      <w:r>
        <w:rPr>
          <w:rFonts w:cs="Open Sans"/>
        </w:rPr>
        <w:t>Mr CZ</w:t>
      </w:r>
      <w:r w:rsidRPr="00B67F37">
        <w:rPr>
          <w:rFonts w:cs="Open Sans"/>
        </w:rPr>
        <w:t xml:space="preserve">’s case to be assessed against the s 195A Guidelines for the grant of a BVE. </w:t>
      </w:r>
      <w:r>
        <w:rPr>
          <w:rFonts w:cs="Open Sans"/>
        </w:rPr>
        <w:t>Mr CZ</w:t>
      </w:r>
      <w:r w:rsidRPr="00B67F37">
        <w:rPr>
          <w:rFonts w:cs="Open Sans"/>
        </w:rPr>
        <w:t xml:space="preserve"> was found to meet the guidelines and on 11 October 2018, the Department referred his case to the Minister for consideration of the exercise of his discretion under s 195A of the Migration Act (2018 </w:t>
      </w:r>
      <w:r w:rsidR="009B6849">
        <w:rPr>
          <w:rFonts w:cs="Open Sans"/>
        </w:rPr>
        <w:t xml:space="preserve">s </w:t>
      </w:r>
      <w:r w:rsidRPr="00B67F37">
        <w:rPr>
          <w:rFonts w:cs="Open Sans"/>
        </w:rPr>
        <w:t xml:space="preserve">195A Ministerial submission). On 23 October 2018, the Minister indicated that he would not consider intervening under s 195A in </w:t>
      </w:r>
      <w:r>
        <w:rPr>
          <w:rFonts w:cs="Open Sans"/>
        </w:rPr>
        <w:t>Mr CZ</w:t>
      </w:r>
      <w:r w:rsidRPr="00B67F37">
        <w:rPr>
          <w:rFonts w:cs="Open Sans"/>
        </w:rPr>
        <w:t xml:space="preserve">’s case. </w:t>
      </w:r>
    </w:p>
    <w:p w14:paraId="6C8EDE17" w14:textId="5E300B05" w:rsidR="00EA1E73" w:rsidRPr="00B67F37" w:rsidRDefault="002879AD" w:rsidP="002A7D47">
      <w:pPr>
        <w:pStyle w:val="SubmissionNormal"/>
        <w:numPr>
          <w:ilvl w:val="0"/>
          <w:numId w:val="22"/>
        </w:numPr>
        <w:rPr>
          <w:rFonts w:cs="Open Sans"/>
        </w:rPr>
      </w:pPr>
      <w:r>
        <w:rPr>
          <w:rFonts w:cs="Open Sans"/>
        </w:rPr>
        <w:t>O</w:t>
      </w:r>
      <w:r w:rsidRPr="00B67F37">
        <w:rPr>
          <w:rFonts w:cs="Open Sans"/>
        </w:rPr>
        <w:t>n 7 August 2019</w:t>
      </w:r>
      <w:r>
        <w:rPr>
          <w:rFonts w:cs="Open Sans"/>
        </w:rPr>
        <w:t>, t</w:t>
      </w:r>
      <w:r w:rsidR="00EA1E73" w:rsidRPr="00B67F37">
        <w:rPr>
          <w:rFonts w:cs="Open Sans"/>
        </w:rPr>
        <w:t xml:space="preserve">en months after the Minister’s decision not to intervene, the Department commenced a Ministerial Intervention process for </w:t>
      </w:r>
      <w:r w:rsidR="00EA1E73">
        <w:rPr>
          <w:rFonts w:cs="Open Sans"/>
        </w:rPr>
        <w:t>Mr CZ</w:t>
      </w:r>
      <w:r w:rsidR="00EA1E73" w:rsidRPr="00B67F37">
        <w:rPr>
          <w:rFonts w:cs="Open Sans"/>
        </w:rPr>
        <w:t xml:space="preserve">’s case to be assessed under s 46A of the Migration Act to consider lifting the bar to allow </w:t>
      </w:r>
      <w:r w:rsidR="00EA1E73">
        <w:rPr>
          <w:rFonts w:cs="Open Sans"/>
        </w:rPr>
        <w:t>Mr CZ</w:t>
      </w:r>
      <w:r w:rsidR="00EA1E73" w:rsidRPr="00B67F37">
        <w:rPr>
          <w:rFonts w:cs="Open Sans"/>
        </w:rPr>
        <w:t xml:space="preserve"> to lodge a valid visa application (</w:t>
      </w:r>
      <w:r w:rsidR="00A43FE4">
        <w:rPr>
          <w:rFonts w:cs="Open Sans"/>
        </w:rPr>
        <w:t xml:space="preserve">s </w:t>
      </w:r>
      <w:r w:rsidR="00EA1E73" w:rsidRPr="00B67F37">
        <w:rPr>
          <w:rFonts w:cs="Open Sans"/>
        </w:rPr>
        <w:t xml:space="preserve">46A Ministerial submission). This was in response to the Full Federal Court </w:t>
      </w:r>
      <w:r w:rsidR="00EA1E73" w:rsidRPr="00B67F37">
        <w:rPr>
          <w:rFonts w:cs="Open Sans"/>
        </w:rPr>
        <w:lastRenderedPageBreak/>
        <w:t xml:space="preserve">decision </w:t>
      </w:r>
      <w:r w:rsidR="00EA1E73" w:rsidRPr="00B67F37">
        <w:rPr>
          <w:rFonts w:cs="Open Sans"/>
          <w:i/>
          <w:iCs/>
        </w:rPr>
        <w:t>Minister for Immigration and Citizenship v SZQRB</w:t>
      </w:r>
      <w:r w:rsidR="00EA1E73" w:rsidRPr="00B67F37">
        <w:rPr>
          <w:rStyle w:val="EndnoteReference"/>
          <w:rFonts w:cs="Open Sans"/>
        </w:rPr>
        <w:endnoteReference w:id="4"/>
      </w:r>
      <w:r w:rsidR="00EA1E73" w:rsidRPr="00B67F37">
        <w:rPr>
          <w:rFonts w:cs="Open Sans"/>
          <w:i/>
          <w:iCs/>
        </w:rPr>
        <w:t xml:space="preserve"> </w:t>
      </w:r>
      <w:r w:rsidR="00EA1E73" w:rsidRPr="00B67F37">
        <w:rPr>
          <w:rFonts w:cs="Open Sans"/>
        </w:rPr>
        <w:t>(SZQRB) (see [</w:t>
      </w:r>
      <w:r w:rsidR="00EA1E73" w:rsidRPr="00B67F37">
        <w:rPr>
          <w:rFonts w:cs="Open Sans"/>
        </w:rPr>
        <w:fldChar w:fldCharType="begin"/>
      </w:r>
      <w:r w:rsidR="00EA1E73" w:rsidRPr="00B67F37">
        <w:rPr>
          <w:rFonts w:cs="Open Sans"/>
        </w:rPr>
        <w:instrText xml:space="preserve"> REF _Ref153961784 \r \h </w:instrText>
      </w:r>
      <w:r w:rsidR="00EA1E73">
        <w:rPr>
          <w:rFonts w:cs="Open Sans"/>
        </w:rPr>
        <w:instrText xml:space="preserve"> \* MERGEFORMAT </w:instrText>
      </w:r>
      <w:r w:rsidR="00EA1E73" w:rsidRPr="00B67F37">
        <w:rPr>
          <w:rFonts w:cs="Open Sans"/>
        </w:rPr>
      </w:r>
      <w:r w:rsidR="00EA1E73" w:rsidRPr="00B67F37">
        <w:rPr>
          <w:rFonts w:cs="Open Sans"/>
        </w:rPr>
        <w:fldChar w:fldCharType="separate"/>
      </w:r>
      <w:r w:rsidR="00CA1C25">
        <w:rPr>
          <w:rFonts w:cs="Open Sans"/>
        </w:rPr>
        <w:t>66</w:t>
      </w:r>
      <w:r w:rsidR="00EA1E73" w:rsidRPr="00B67F37">
        <w:rPr>
          <w:rFonts w:cs="Open Sans"/>
        </w:rPr>
        <w:fldChar w:fldCharType="end"/>
      </w:r>
      <w:r w:rsidR="00EA1E73" w:rsidRPr="00B67F37">
        <w:rPr>
          <w:rFonts w:cs="Open Sans"/>
        </w:rPr>
        <w:t>] to [</w:t>
      </w:r>
      <w:r w:rsidR="00EA1E73" w:rsidRPr="00B67F37">
        <w:rPr>
          <w:rFonts w:cs="Open Sans"/>
        </w:rPr>
        <w:fldChar w:fldCharType="begin"/>
      </w:r>
      <w:r w:rsidR="00EA1E73" w:rsidRPr="00B67F37">
        <w:rPr>
          <w:rFonts w:cs="Open Sans"/>
        </w:rPr>
        <w:instrText xml:space="preserve"> REF _Ref153961793 \r \h </w:instrText>
      </w:r>
      <w:r w:rsidR="00EA1E73">
        <w:rPr>
          <w:rFonts w:cs="Open Sans"/>
        </w:rPr>
        <w:instrText xml:space="preserve"> \* MERGEFORMAT </w:instrText>
      </w:r>
      <w:r w:rsidR="00EA1E73" w:rsidRPr="00B67F37">
        <w:rPr>
          <w:rFonts w:cs="Open Sans"/>
        </w:rPr>
      </w:r>
      <w:r w:rsidR="00EA1E73" w:rsidRPr="00B67F37">
        <w:rPr>
          <w:rFonts w:cs="Open Sans"/>
        </w:rPr>
        <w:fldChar w:fldCharType="separate"/>
      </w:r>
      <w:r w:rsidR="00CA1C25">
        <w:rPr>
          <w:rFonts w:cs="Open Sans"/>
        </w:rPr>
        <w:t>71</w:t>
      </w:r>
      <w:r w:rsidR="00EA1E73" w:rsidRPr="00B67F37">
        <w:rPr>
          <w:rFonts w:cs="Open Sans"/>
        </w:rPr>
        <w:fldChar w:fldCharType="end"/>
      </w:r>
      <w:r w:rsidR="00EA1E73" w:rsidRPr="00B67F37">
        <w:rPr>
          <w:rFonts w:cs="Open Sans"/>
        </w:rPr>
        <w:t xml:space="preserve">] below). Seven months later, on 26 March 2020, the Minister decided to intervene under s 46A of the Migration Act and lift the bar to allow </w:t>
      </w:r>
      <w:r w:rsidR="00EA1E73">
        <w:rPr>
          <w:rFonts w:cs="Open Sans"/>
        </w:rPr>
        <w:t>Mr CZ</w:t>
      </w:r>
      <w:r w:rsidR="00EA1E73" w:rsidRPr="00B67F37">
        <w:rPr>
          <w:rFonts w:cs="Open Sans"/>
        </w:rPr>
        <w:t xml:space="preserve"> to lodge either a valid Temporary Protection Visa (TPV) or Safe Haven Enterprise Visa (SHEV) application.</w:t>
      </w:r>
    </w:p>
    <w:p w14:paraId="3FEB1CC1" w14:textId="0862897E" w:rsidR="00EA1E73" w:rsidRPr="00B67F37" w:rsidRDefault="00EA1E73" w:rsidP="002A7D47">
      <w:pPr>
        <w:pStyle w:val="SubmissionNormal"/>
        <w:numPr>
          <w:ilvl w:val="0"/>
          <w:numId w:val="22"/>
        </w:numPr>
        <w:rPr>
          <w:rFonts w:cs="Open Sans"/>
        </w:rPr>
      </w:pPr>
      <w:r w:rsidRPr="00B67F37">
        <w:rPr>
          <w:rFonts w:cs="Open Sans"/>
        </w:rPr>
        <w:t xml:space="preserve">On 30 April 2020, </w:t>
      </w:r>
      <w:r>
        <w:rPr>
          <w:rFonts w:cs="Open Sans"/>
        </w:rPr>
        <w:t>Mr CZ</w:t>
      </w:r>
      <w:r w:rsidRPr="00B67F37">
        <w:rPr>
          <w:rFonts w:cs="Open Sans"/>
        </w:rPr>
        <w:t xml:space="preserve"> lodged a valid SHEV application. The associated BVE application was determined to be invalid. On 18 August 2020, the Department refused </w:t>
      </w:r>
      <w:r>
        <w:rPr>
          <w:rFonts w:cs="Open Sans"/>
        </w:rPr>
        <w:t>Mr CZ</w:t>
      </w:r>
      <w:r w:rsidRPr="00B67F37">
        <w:rPr>
          <w:rFonts w:cs="Open Sans"/>
        </w:rPr>
        <w:t xml:space="preserve">’s SHEV application on the basis that he was not found to have engaged Australia’s protection obligations under the Migration Act. On 20 August 2020, </w:t>
      </w:r>
      <w:r>
        <w:rPr>
          <w:rFonts w:cs="Open Sans"/>
        </w:rPr>
        <w:t>Mr CZ</w:t>
      </w:r>
      <w:r w:rsidRPr="00B67F37">
        <w:rPr>
          <w:rFonts w:cs="Open Sans"/>
        </w:rPr>
        <w:t xml:space="preserve"> sought merits review in the Administrative Appeals Tribunal (AAT) and on 11 December 2020, the AAT affirmed the Department’s decision to refuse the SHEV application. </w:t>
      </w:r>
      <w:r>
        <w:rPr>
          <w:rFonts w:cs="Open Sans"/>
        </w:rPr>
        <w:t>Mr CZ</w:t>
      </w:r>
      <w:r w:rsidRPr="00B67F37">
        <w:rPr>
          <w:rFonts w:cs="Open Sans"/>
        </w:rPr>
        <w:t xml:space="preserve"> has not sought judicial review in relation to this decision.</w:t>
      </w:r>
    </w:p>
    <w:p w14:paraId="39BAF074" w14:textId="76ACB668" w:rsidR="00EA1E73" w:rsidRPr="00B67F37" w:rsidRDefault="00EA1E73" w:rsidP="002A7D47">
      <w:pPr>
        <w:pStyle w:val="SubmissionNormal"/>
        <w:numPr>
          <w:ilvl w:val="0"/>
          <w:numId w:val="22"/>
        </w:numPr>
        <w:rPr>
          <w:rFonts w:cs="Open Sans"/>
        </w:rPr>
      </w:pPr>
      <w:r w:rsidRPr="00B67F37">
        <w:rPr>
          <w:rFonts w:cs="Open Sans"/>
        </w:rPr>
        <w:t xml:space="preserve">In November 2019, a few months after the Department commenced the </w:t>
      </w:r>
      <w:r w:rsidR="00B03265">
        <w:rPr>
          <w:rFonts w:cs="Open Sans"/>
        </w:rPr>
        <w:t>s</w:t>
      </w:r>
      <w:r w:rsidRPr="00B67F37">
        <w:rPr>
          <w:rFonts w:cs="Open Sans"/>
        </w:rPr>
        <w:t xml:space="preserve"> 46A Ministerial submission, the Department initiated a s 195A Ministerial intervention process. On 27 February 2020, the Department assessed that </w:t>
      </w:r>
      <w:r>
        <w:rPr>
          <w:rFonts w:cs="Open Sans"/>
        </w:rPr>
        <w:t>Mr CZ</w:t>
      </w:r>
      <w:r w:rsidRPr="00B67F37">
        <w:rPr>
          <w:rFonts w:cs="Open Sans"/>
        </w:rPr>
        <w:t xml:space="preserve">’s case met the s 195A Guidelines (2020 </w:t>
      </w:r>
      <w:r w:rsidR="00572DED">
        <w:rPr>
          <w:rFonts w:cs="Open Sans"/>
        </w:rPr>
        <w:t xml:space="preserve">s </w:t>
      </w:r>
      <w:r w:rsidRPr="00B67F37">
        <w:rPr>
          <w:rFonts w:cs="Open Sans"/>
        </w:rPr>
        <w:t xml:space="preserve">195A Ministerial assessment). Relevant to the assessment was the pending </w:t>
      </w:r>
      <w:r w:rsidR="00A43FE4">
        <w:rPr>
          <w:rFonts w:cs="Open Sans"/>
        </w:rPr>
        <w:t xml:space="preserve">s </w:t>
      </w:r>
      <w:r w:rsidRPr="00B67F37">
        <w:rPr>
          <w:rFonts w:cs="Open Sans"/>
        </w:rPr>
        <w:t xml:space="preserve">46A Ministerial submission. </w:t>
      </w:r>
      <w:r w:rsidR="00694F9E">
        <w:rPr>
          <w:rFonts w:cs="Open Sans"/>
        </w:rPr>
        <w:t>I</w:t>
      </w:r>
      <w:r w:rsidR="00694F9E" w:rsidRPr="00B67F37">
        <w:rPr>
          <w:rFonts w:cs="Open Sans"/>
        </w:rPr>
        <w:t>n its response to my preliminary view</w:t>
      </w:r>
      <w:r w:rsidR="00694F9E">
        <w:rPr>
          <w:rFonts w:cs="Open Sans"/>
        </w:rPr>
        <w:t>,</w:t>
      </w:r>
      <w:r w:rsidR="00694F9E" w:rsidRPr="00B67F37">
        <w:rPr>
          <w:rFonts w:cs="Open Sans"/>
        </w:rPr>
        <w:t xml:space="preserve"> </w:t>
      </w:r>
      <w:r w:rsidR="00694F9E">
        <w:rPr>
          <w:rFonts w:cs="Open Sans"/>
        </w:rPr>
        <w:t>t</w:t>
      </w:r>
      <w:r w:rsidRPr="00B67F37">
        <w:rPr>
          <w:rFonts w:cs="Open Sans"/>
        </w:rPr>
        <w:t xml:space="preserve">he Department has clarified that even though </w:t>
      </w:r>
      <w:r>
        <w:rPr>
          <w:rFonts w:cs="Open Sans"/>
        </w:rPr>
        <w:t>Mr CZ</w:t>
      </w:r>
      <w:r w:rsidRPr="00B67F37">
        <w:rPr>
          <w:rFonts w:cs="Open Sans"/>
        </w:rPr>
        <w:t xml:space="preserve"> met the Guidelines at this stage, a submission was not referred to the Minister. The Department advises that:</w:t>
      </w:r>
    </w:p>
    <w:p w14:paraId="53A771E6" w14:textId="77777777" w:rsidR="00EA1E73" w:rsidRPr="00B67F37" w:rsidRDefault="00EA1E73" w:rsidP="00EA1E73">
      <w:pPr>
        <w:pStyle w:val="SubmissionNormal"/>
        <w:numPr>
          <w:ilvl w:val="0"/>
          <w:numId w:val="0"/>
        </w:numPr>
        <w:ind w:left="1440"/>
        <w:rPr>
          <w:rFonts w:cs="Open Sans"/>
        </w:rPr>
      </w:pPr>
      <w:r w:rsidRPr="00B67F37">
        <w:rPr>
          <w:rFonts w:cs="Open Sans"/>
          <w:sz w:val="22"/>
          <w:szCs w:val="22"/>
        </w:rPr>
        <w:t>from March 2020, the Department focused its efforts on the Government’s COVID-19 response and diverted resources to critical functions. Ministerial Intervention functions slowed during this period and returned to normal activity from August 2020 onwards.</w:t>
      </w:r>
    </w:p>
    <w:p w14:paraId="59C963A3" w14:textId="71038108" w:rsidR="00EA1E73" w:rsidRPr="00B67F37" w:rsidRDefault="00EA1E73" w:rsidP="002A7D47">
      <w:pPr>
        <w:pStyle w:val="SubmissionNormal"/>
        <w:numPr>
          <w:ilvl w:val="0"/>
          <w:numId w:val="22"/>
        </w:numPr>
        <w:rPr>
          <w:rFonts w:cs="Open Sans"/>
        </w:rPr>
      </w:pPr>
      <w:r w:rsidRPr="00B67F37">
        <w:rPr>
          <w:rFonts w:cs="Open Sans"/>
        </w:rPr>
        <w:t xml:space="preserve">The Department says that the COVID-19 pandemic created significant processing delays and the 2020 </w:t>
      </w:r>
      <w:r w:rsidR="00572DED">
        <w:rPr>
          <w:rFonts w:cs="Open Sans"/>
        </w:rPr>
        <w:t xml:space="preserve">s </w:t>
      </w:r>
      <w:r w:rsidRPr="00B67F37">
        <w:rPr>
          <w:rFonts w:cs="Open Sans"/>
        </w:rPr>
        <w:t xml:space="preserve">195A Ministerial assessment was never referred to the Minister. Due to the delays, the Department reassessed </w:t>
      </w:r>
      <w:r>
        <w:rPr>
          <w:rFonts w:cs="Open Sans"/>
        </w:rPr>
        <w:t>Mr CZ</w:t>
      </w:r>
      <w:r w:rsidRPr="00B67F37">
        <w:rPr>
          <w:rFonts w:cs="Open Sans"/>
        </w:rPr>
        <w:t xml:space="preserve">’s case and on 16 July 2021, decided that his case no longer met the s 195A Guidelines. By this time, </w:t>
      </w:r>
      <w:r>
        <w:rPr>
          <w:rFonts w:cs="Open Sans"/>
        </w:rPr>
        <w:t>Mr CZ</w:t>
      </w:r>
      <w:r w:rsidRPr="00B67F37">
        <w:rPr>
          <w:rFonts w:cs="Open Sans"/>
        </w:rPr>
        <w:t xml:space="preserve">’s SHEV application was finally determined, he had no ongoing immigration matters and IHMS advised his health conditions could be managed in the current detention environment. The 2020 </w:t>
      </w:r>
      <w:r w:rsidR="00572DED">
        <w:rPr>
          <w:rFonts w:cs="Open Sans"/>
        </w:rPr>
        <w:t xml:space="preserve">s </w:t>
      </w:r>
      <w:r w:rsidRPr="00B67F37">
        <w:rPr>
          <w:rFonts w:cs="Open Sans"/>
        </w:rPr>
        <w:t>195A Ministerial assessment was finalised as ‘not referred’.</w:t>
      </w:r>
    </w:p>
    <w:p w14:paraId="1E005150" w14:textId="4C637697" w:rsidR="00EA1E73" w:rsidRPr="00B67F37" w:rsidRDefault="00EA1E73" w:rsidP="002A7D47">
      <w:pPr>
        <w:pStyle w:val="SubmissionNormal"/>
        <w:numPr>
          <w:ilvl w:val="0"/>
          <w:numId w:val="22"/>
        </w:numPr>
        <w:rPr>
          <w:rFonts w:cs="Open Sans"/>
        </w:rPr>
      </w:pPr>
      <w:r w:rsidRPr="00B67F37">
        <w:rPr>
          <w:rFonts w:cs="Open Sans"/>
        </w:rPr>
        <w:t xml:space="preserve">On 15 March 2021, the Department commenced another Ministerial Intervention process for </w:t>
      </w:r>
      <w:r>
        <w:rPr>
          <w:rFonts w:cs="Open Sans"/>
        </w:rPr>
        <w:t>Mr CZ</w:t>
      </w:r>
      <w:r w:rsidRPr="00B67F37">
        <w:rPr>
          <w:rFonts w:cs="Open Sans"/>
        </w:rPr>
        <w:t>’s case, which was assessed against both the s</w:t>
      </w:r>
      <w:r>
        <w:rPr>
          <w:rFonts w:cs="Open Sans"/>
        </w:rPr>
        <w:t> </w:t>
      </w:r>
      <w:r w:rsidRPr="00B67F37">
        <w:rPr>
          <w:rFonts w:cs="Open Sans"/>
        </w:rPr>
        <w:t>195A Guidelines and s</w:t>
      </w:r>
      <w:r>
        <w:rPr>
          <w:rFonts w:cs="Open Sans"/>
        </w:rPr>
        <w:t> </w:t>
      </w:r>
      <w:r w:rsidRPr="00B67F37">
        <w:rPr>
          <w:rFonts w:cs="Open Sans"/>
        </w:rPr>
        <w:t>197AB Ministerial Intervention Guidelines (s</w:t>
      </w:r>
      <w:r>
        <w:rPr>
          <w:rFonts w:cs="Open Sans"/>
        </w:rPr>
        <w:t> </w:t>
      </w:r>
      <w:r w:rsidRPr="00B67F37">
        <w:rPr>
          <w:rFonts w:cs="Open Sans"/>
        </w:rPr>
        <w:t xml:space="preserve">197AB Guidelines). On 2 March 2022, the Department found that </w:t>
      </w:r>
      <w:r>
        <w:rPr>
          <w:rFonts w:cs="Open Sans"/>
        </w:rPr>
        <w:t>Mr CZ</w:t>
      </w:r>
      <w:r w:rsidRPr="00B67F37">
        <w:rPr>
          <w:rFonts w:cs="Open Sans"/>
        </w:rPr>
        <w:t xml:space="preserve"> did not meet either of the guidelines and decided not to refer </w:t>
      </w:r>
      <w:r>
        <w:rPr>
          <w:rFonts w:cs="Open Sans"/>
        </w:rPr>
        <w:t>Mr CZ</w:t>
      </w:r>
      <w:r w:rsidRPr="00B67F37">
        <w:rPr>
          <w:rFonts w:cs="Open Sans"/>
        </w:rPr>
        <w:t xml:space="preserve">’s case to the Minister. </w:t>
      </w:r>
    </w:p>
    <w:p w14:paraId="0D3C2F86" w14:textId="147A15A4" w:rsidR="00EA1E73" w:rsidRPr="00B67F37" w:rsidRDefault="00EA1E73" w:rsidP="002A7D47">
      <w:pPr>
        <w:pStyle w:val="SubmissionNormal"/>
        <w:numPr>
          <w:ilvl w:val="0"/>
          <w:numId w:val="22"/>
        </w:numPr>
        <w:rPr>
          <w:rFonts w:cs="Open Sans"/>
        </w:rPr>
      </w:pPr>
      <w:r w:rsidRPr="00B67F37">
        <w:rPr>
          <w:rFonts w:cs="Open Sans"/>
        </w:rPr>
        <w:lastRenderedPageBreak/>
        <w:t xml:space="preserve">On 11 June 2022, the Department commenced another Ministerial Intervention process for </w:t>
      </w:r>
      <w:r>
        <w:rPr>
          <w:rFonts w:cs="Open Sans"/>
        </w:rPr>
        <w:t>Mr CZ</w:t>
      </w:r>
      <w:r w:rsidRPr="00B67F37">
        <w:rPr>
          <w:rFonts w:cs="Open Sans"/>
        </w:rPr>
        <w:t>’s case to be assessed against both the ss</w:t>
      </w:r>
      <w:r>
        <w:rPr>
          <w:rFonts w:cs="Open Sans"/>
        </w:rPr>
        <w:t> </w:t>
      </w:r>
      <w:r w:rsidRPr="00B67F37">
        <w:rPr>
          <w:rFonts w:cs="Open Sans"/>
        </w:rPr>
        <w:t xml:space="preserve">195A and 197AB Guidelines. However, on 29 June 2022, the Department again decided that </w:t>
      </w:r>
      <w:r>
        <w:rPr>
          <w:rFonts w:cs="Open Sans"/>
        </w:rPr>
        <w:t>Mr CZ</w:t>
      </w:r>
      <w:r w:rsidRPr="00B67F37">
        <w:rPr>
          <w:rFonts w:cs="Open Sans"/>
        </w:rPr>
        <w:t xml:space="preserve"> did not meet either of the guidelines and did not refer his case to the Minister. </w:t>
      </w:r>
    </w:p>
    <w:p w14:paraId="58F7E9C4" w14:textId="268F4A9F" w:rsidR="00EA1E73" w:rsidRPr="00B67F37" w:rsidRDefault="00EA1E73" w:rsidP="002A7D47">
      <w:pPr>
        <w:pStyle w:val="SubmissionNormal"/>
        <w:numPr>
          <w:ilvl w:val="0"/>
          <w:numId w:val="22"/>
        </w:numPr>
        <w:rPr>
          <w:rFonts w:cs="Open Sans"/>
        </w:rPr>
      </w:pPr>
      <w:r w:rsidRPr="00B67F37">
        <w:rPr>
          <w:rFonts w:cs="Open Sans"/>
        </w:rPr>
        <w:t xml:space="preserve">On 22 July 2022, the Department commenced a final s 195A Ministerial Intervention process for </w:t>
      </w:r>
      <w:r>
        <w:rPr>
          <w:rFonts w:cs="Open Sans"/>
        </w:rPr>
        <w:t>Mr CZ</w:t>
      </w:r>
      <w:r w:rsidRPr="00B67F37">
        <w:rPr>
          <w:rFonts w:cs="Open Sans"/>
        </w:rPr>
        <w:t xml:space="preserve">’s case. On 4 February 2023, the Department decided to refer the case to the Minister for consideration of the exercise of his discretion under s 195A of the Migration Act in a first stage submission. The Minister indicated that he wished to consider intervening in this case and therefore, on 16 March 2023, the Department referred </w:t>
      </w:r>
      <w:r>
        <w:rPr>
          <w:rFonts w:cs="Open Sans"/>
        </w:rPr>
        <w:t>Mr CZ</w:t>
      </w:r>
      <w:r w:rsidRPr="00B67F37">
        <w:rPr>
          <w:rFonts w:cs="Open Sans"/>
        </w:rPr>
        <w:t>’s case in a second stage submission to the Minister.</w:t>
      </w:r>
    </w:p>
    <w:p w14:paraId="39CFE5FC" w14:textId="5E4BCB09" w:rsidR="00EA1E73" w:rsidRPr="00B67F37" w:rsidRDefault="00EA1E73" w:rsidP="002A7D47">
      <w:pPr>
        <w:pStyle w:val="SubmissionNormal"/>
        <w:numPr>
          <w:ilvl w:val="0"/>
          <w:numId w:val="22"/>
        </w:numPr>
        <w:rPr>
          <w:rFonts w:cs="Open Sans"/>
        </w:rPr>
      </w:pPr>
      <w:r w:rsidRPr="00B67F37">
        <w:rPr>
          <w:rFonts w:cs="Open Sans"/>
        </w:rPr>
        <w:t xml:space="preserve">On 20 March 2023, the Minister intervened in </w:t>
      </w:r>
      <w:r>
        <w:rPr>
          <w:rFonts w:cs="Open Sans"/>
        </w:rPr>
        <w:t>Mr CZ</w:t>
      </w:r>
      <w:r w:rsidRPr="00B67F37">
        <w:rPr>
          <w:rFonts w:cs="Open Sans"/>
        </w:rPr>
        <w:t xml:space="preserve">’s case under s 195A of the Migration Act to grant </w:t>
      </w:r>
      <w:r>
        <w:rPr>
          <w:rFonts w:cs="Open Sans"/>
        </w:rPr>
        <w:t>Mr CZ</w:t>
      </w:r>
      <w:r w:rsidRPr="00B67F37">
        <w:rPr>
          <w:rFonts w:cs="Open Sans"/>
        </w:rPr>
        <w:t xml:space="preserve"> a BVE that </w:t>
      </w:r>
      <w:r>
        <w:rPr>
          <w:rFonts w:cs="Open Sans"/>
        </w:rPr>
        <w:t>was</w:t>
      </w:r>
      <w:r w:rsidRPr="00B67F37">
        <w:rPr>
          <w:rFonts w:cs="Open Sans"/>
        </w:rPr>
        <w:t xml:space="preserve"> valid until 20 September 2023. The Minister also intervened to indefinitely lift the s 46A bar to allow </w:t>
      </w:r>
      <w:r>
        <w:rPr>
          <w:rFonts w:cs="Open Sans"/>
        </w:rPr>
        <w:t>Mr CZ</w:t>
      </w:r>
      <w:r w:rsidRPr="00B67F37">
        <w:rPr>
          <w:rFonts w:cs="Open Sans"/>
        </w:rPr>
        <w:t xml:space="preserve"> to apply for subsequent BVEs. </w:t>
      </w:r>
      <w:r>
        <w:rPr>
          <w:rFonts w:cs="Open Sans"/>
        </w:rPr>
        <w:t>Mr CZ</w:t>
      </w:r>
      <w:r w:rsidRPr="00B67F37">
        <w:rPr>
          <w:rFonts w:cs="Open Sans"/>
        </w:rPr>
        <w:t xml:space="preserve"> was therefore released from immigration detention and is now living in the community on a valid BVE. </w:t>
      </w:r>
    </w:p>
    <w:p w14:paraId="77B6CFF5" w14:textId="77777777" w:rsidR="00EA1E73" w:rsidRPr="00B67F37" w:rsidRDefault="00EA1E73" w:rsidP="00EA1E73">
      <w:pPr>
        <w:pStyle w:val="Heading1"/>
        <w:rPr>
          <w:rFonts w:cs="Open Sans"/>
        </w:rPr>
      </w:pPr>
      <w:bookmarkStart w:id="15" w:name="_Toc452472691"/>
      <w:bookmarkStart w:id="16" w:name="_Toc487445598"/>
      <w:bookmarkStart w:id="17" w:name="_Toc487531383"/>
      <w:bookmarkStart w:id="18" w:name="_Toc487531402"/>
      <w:bookmarkStart w:id="19" w:name="_Toc487531472"/>
      <w:bookmarkStart w:id="20" w:name="_Toc487531592"/>
      <w:bookmarkStart w:id="21" w:name="_Toc500246039"/>
      <w:bookmarkStart w:id="22" w:name="_Toc156817216"/>
      <w:bookmarkStart w:id="23" w:name="_Toc164705889"/>
      <w:r w:rsidRPr="00B67F37">
        <w:rPr>
          <w:rFonts w:cs="Open Sans"/>
        </w:rPr>
        <w:t>Legislative framework</w:t>
      </w:r>
      <w:bookmarkEnd w:id="15"/>
      <w:bookmarkEnd w:id="16"/>
      <w:bookmarkEnd w:id="17"/>
      <w:bookmarkEnd w:id="18"/>
      <w:bookmarkEnd w:id="19"/>
      <w:bookmarkEnd w:id="20"/>
      <w:bookmarkEnd w:id="21"/>
      <w:bookmarkEnd w:id="22"/>
      <w:bookmarkEnd w:id="23"/>
    </w:p>
    <w:p w14:paraId="3B54DAEC" w14:textId="77777777" w:rsidR="00EA1E73" w:rsidRPr="00B67F37" w:rsidRDefault="00EA1E73" w:rsidP="00EA1E73">
      <w:pPr>
        <w:pStyle w:val="Heading2"/>
        <w:tabs>
          <w:tab w:val="clear" w:pos="851"/>
        </w:tabs>
        <w:rPr>
          <w:rFonts w:cs="Open Sans"/>
        </w:rPr>
      </w:pPr>
      <w:bookmarkStart w:id="24" w:name="_Toc452472692"/>
      <w:bookmarkStart w:id="25" w:name="_Toc487445599"/>
      <w:bookmarkStart w:id="26" w:name="_Toc487531384"/>
      <w:bookmarkStart w:id="27" w:name="_Toc487531403"/>
      <w:bookmarkStart w:id="28" w:name="_Toc487531473"/>
      <w:bookmarkStart w:id="29" w:name="_Toc487531593"/>
      <w:bookmarkStart w:id="30" w:name="_Toc500246040"/>
      <w:bookmarkStart w:id="31" w:name="_Toc156817217"/>
      <w:bookmarkStart w:id="32" w:name="_Toc164705890"/>
      <w:r w:rsidRPr="00B67F37">
        <w:rPr>
          <w:rFonts w:cs="Open Sans"/>
        </w:rPr>
        <w:t>Functions of the Commission</w:t>
      </w:r>
      <w:bookmarkEnd w:id="24"/>
      <w:bookmarkEnd w:id="25"/>
      <w:bookmarkEnd w:id="26"/>
      <w:bookmarkEnd w:id="27"/>
      <w:bookmarkEnd w:id="28"/>
      <w:bookmarkEnd w:id="29"/>
      <w:bookmarkEnd w:id="30"/>
      <w:bookmarkEnd w:id="31"/>
      <w:bookmarkEnd w:id="32"/>
    </w:p>
    <w:p w14:paraId="415F5F62" w14:textId="77777777" w:rsidR="00EA1E73" w:rsidRPr="00B67F37" w:rsidRDefault="00EA1E73" w:rsidP="002A7D47">
      <w:pPr>
        <w:numPr>
          <w:ilvl w:val="0"/>
          <w:numId w:val="22"/>
        </w:numPr>
        <w:tabs>
          <w:tab w:val="num" w:pos="960"/>
        </w:tabs>
        <w:rPr>
          <w:rFonts w:cs="Open Sans"/>
        </w:rPr>
      </w:pPr>
      <w:r w:rsidRPr="00B67F37">
        <w:rPr>
          <w:rFonts w:cs="Open Sans"/>
        </w:rPr>
        <w:t xml:space="preserve">Section 11(1)(f) of the AHRC Act provides that the Commission has the function to inquire into any act or practice that may be inconsistent with, or contrary to, any human right. </w:t>
      </w:r>
    </w:p>
    <w:p w14:paraId="02DB0FAB" w14:textId="77777777" w:rsidR="00EA1E73" w:rsidRPr="00B67F37" w:rsidRDefault="00EA1E73" w:rsidP="002A7D47">
      <w:pPr>
        <w:numPr>
          <w:ilvl w:val="0"/>
          <w:numId w:val="22"/>
        </w:numPr>
        <w:tabs>
          <w:tab w:val="num" w:pos="960"/>
        </w:tabs>
        <w:rPr>
          <w:rFonts w:cs="Open Sans"/>
        </w:rPr>
      </w:pPr>
      <w:r w:rsidRPr="00B67F37">
        <w:rPr>
          <w:rFonts w:cs="Open Sans"/>
        </w:rPr>
        <w:t xml:space="preserve">Section 20(1)(b) of the AHRC Act requires the Commission to perform this function when a complaint is made to it in writing alleging that an act is inconsistent with, or contrary to, any human right. </w:t>
      </w:r>
    </w:p>
    <w:p w14:paraId="28F4B72A" w14:textId="77777777" w:rsidR="00EA1E73" w:rsidRPr="00B67F37" w:rsidRDefault="00EA1E73" w:rsidP="002A7D47">
      <w:pPr>
        <w:numPr>
          <w:ilvl w:val="0"/>
          <w:numId w:val="22"/>
        </w:numPr>
        <w:tabs>
          <w:tab w:val="num" w:pos="960"/>
        </w:tabs>
        <w:rPr>
          <w:rFonts w:cs="Open Sans"/>
        </w:rPr>
      </w:pPr>
      <w:r w:rsidRPr="00B67F37">
        <w:rPr>
          <w:rFonts w:cs="Open Sans"/>
        </w:rPr>
        <w:t>Section 8(6) of the AHRC Act requires that the functions of the Commission under s 11(1)(f) be performed by the President.</w:t>
      </w:r>
    </w:p>
    <w:p w14:paraId="4F2387E6" w14:textId="77777777" w:rsidR="00EA1E73" w:rsidRPr="00B67F37" w:rsidRDefault="00EA1E73" w:rsidP="00EA1E73">
      <w:pPr>
        <w:pStyle w:val="Heading2"/>
        <w:tabs>
          <w:tab w:val="clear" w:pos="851"/>
        </w:tabs>
        <w:rPr>
          <w:rFonts w:cs="Open Sans"/>
        </w:rPr>
      </w:pPr>
      <w:bookmarkStart w:id="33" w:name="_Toc328405012"/>
      <w:bookmarkStart w:id="34" w:name="_Toc452472693"/>
      <w:bookmarkStart w:id="35" w:name="_Toc487445600"/>
      <w:bookmarkStart w:id="36" w:name="_Toc487531385"/>
      <w:bookmarkStart w:id="37" w:name="_Toc487531404"/>
      <w:bookmarkStart w:id="38" w:name="_Toc487531474"/>
      <w:bookmarkStart w:id="39" w:name="_Toc487531594"/>
      <w:bookmarkStart w:id="40" w:name="_Toc500246041"/>
      <w:bookmarkStart w:id="41" w:name="_Toc156817218"/>
      <w:bookmarkStart w:id="42" w:name="_Toc164705891"/>
      <w:r w:rsidRPr="00B67F37">
        <w:rPr>
          <w:rFonts w:cs="Open Sans"/>
        </w:rPr>
        <w:t>What is an ‘act’ or ‘practice’</w:t>
      </w:r>
      <w:bookmarkEnd w:id="33"/>
      <w:bookmarkEnd w:id="34"/>
      <w:bookmarkEnd w:id="35"/>
      <w:bookmarkEnd w:id="36"/>
      <w:bookmarkEnd w:id="37"/>
      <w:bookmarkEnd w:id="38"/>
      <w:bookmarkEnd w:id="39"/>
      <w:bookmarkEnd w:id="40"/>
      <w:bookmarkEnd w:id="41"/>
      <w:bookmarkEnd w:id="42"/>
    </w:p>
    <w:p w14:paraId="21215188" w14:textId="77777777" w:rsidR="00EA1E73" w:rsidRPr="00B67F37" w:rsidRDefault="00EA1E73" w:rsidP="002A7D47">
      <w:pPr>
        <w:numPr>
          <w:ilvl w:val="0"/>
          <w:numId w:val="22"/>
        </w:numPr>
        <w:rPr>
          <w:rFonts w:cs="Open Sans"/>
        </w:rPr>
      </w:pPr>
      <w:r w:rsidRPr="00B67F37">
        <w:rPr>
          <w:rFonts w:cs="Open Sans"/>
        </w:rPr>
        <w:t>The terms ‘act’ and ‘practice’ are defined in s 3(1) of the AHRC Act to include an act done or a practice engaged in by or on behalf of the Commonwealth or an authority of the Commonwealth or under an enactment.</w:t>
      </w:r>
    </w:p>
    <w:p w14:paraId="1641931E" w14:textId="77777777" w:rsidR="00EA1E73" w:rsidRPr="00B67F37" w:rsidRDefault="00EA1E73" w:rsidP="002A7D47">
      <w:pPr>
        <w:numPr>
          <w:ilvl w:val="0"/>
          <w:numId w:val="22"/>
        </w:numPr>
        <w:rPr>
          <w:rFonts w:cs="Open Sans"/>
        </w:rPr>
      </w:pPr>
      <w:r w:rsidRPr="00B67F37">
        <w:rPr>
          <w:rFonts w:cs="Open Sans"/>
        </w:rPr>
        <w:lastRenderedPageBreak/>
        <w:t>Section 3(3) provides that the reference to, or to the doing of, an act includes a reference to a refusal or failure to do an act.</w:t>
      </w:r>
    </w:p>
    <w:p w14:paraId="6CB5AF07" w14:textId="77777777" w:rsidR="00EA1E73" w:rsidRPr="00B67F37" w:rsidRDefault="00EA1E73" w:rsidP="002A7D47">
      <w:pPr>
        <w:numPr>
          <w:ilvl w:val="0"/>
          <w:numId w:val="22"/>
        </w:numPr>
        <w:rPr>
          <w:rFonts w:cs="Open Sans"/>
        </w:rPr>
      </w:pPr>
      <w:r w:rsidRPr="00B67F37">
        <w:rPr>
          <w:rFonts w:cs="Open Sans"/>
        </w:rPr>
        <w:t>The functions of the Commission identified in s 11(1)(f) of the AHRC Act are only engaged where the act complained of is not one required by law to be taken, that is, where the relevant act or practice is within the discretion of the Commonwealth.</w:t>
      </w:r>
      <w:r w:rsidRPr="00B67F37">
        <w:rPr>
          <w:rStyle w:val="EndnoteReference"/>
          <w:rFonts w:cs="Open Sans"/>
        </w:rPr>
        <w:endnoteReference w:id="5"/>
      </w:r>
    </w:p>
    <w:p w14:paraId="1108842D" w14:textId="77777777" w:rsidR="00EA1E73" w:rsidRPr="00B67F37" w:rsidRDefault="00EA1E73" w:rsidP="00EA1E73">
      <w:pPr>
        <w:pStyle w:val="Heading2"/>
        <w:tabs>
          <w:tab w:val="clear" w:pos="851"/>
        </w:tabs>
        <w:rPr>
          <w:rFonts w:cs="Open Sans"/>
        </w:rPr>
      </w:pPr>
      <w:bookmarkStart w:id="43" w:name="_Toc452472694"/>
      <w:bookmarkStart w:id="44" w:name="_Toc487445601"/>
      <w:bookmarkStart w:id="45" w:name="_Toc487531386"/>
      <w:bookmarkStart w:id="46" w:name="_Toc487531405"/>
      <w:bookmarkStart w:id="47" w:name="_Toc487531475"/>
      <w:bookmarkStart w:id="48" w:name="_Toc487531595"/>
      <w:bookmarkStart w:id="49" w:name="_Toc500246042"/>
      <w:bookmarkStart w:id="50" w:name="_Toc156817219"/>
      <w:bookmarkStart w:id="51" w:name="_Toc164705892"/>
      <w:r w:rsidRPr="00B67F37">
        <w:rPr>
          <w:rFonts w:cs="Open Sans"/>
        </w:rPr>
        <w:t>What is a human right?</w:t>
      </w:r>
      <w:bookmarkEnd w:id="43"/>
      <w:bookmarkEnd w:id="44"/>
      <w:bookmarkEnd w:id="45"/>
      <w:bookmarkEnd w:id="46"/>
      <w:bookmarkEnd w:id="47"/>
      <w:bookmarkEnd w:id="48"/>
      <w:bookmarkEnd w:id="49"/>
      <w:bookmarkEnd w:id="50"/>
      <w:bookmarkEnd w:id="51"/>
    </w:p>
    <w:p w14:paraId="0EC363BB" w14:textId="77777777" w:rsidR="00EA1E73" w:rsidRPr="00B67F37" w:rsidRDefault="00EA1E73" w:rsidP="002A7D47">
      <w:pPr>
        <w:numPr>
          <w:ilvl w:val="0"/>
          <w:numId w:val="22"/>
        </w:numPr>
        <w:tabs>
          <w:tab w:val="num" w:pos="960"/>
        </w:tabs>
        <w:rPr>
          <w:rFonts w:cs="Open Sans"/>
        </w:rPr>
      </w:pPr>
      <w:r w:rsidRPr="00B67F37">
        <w:rPr>
          <w:rFonts w:cs="Open Sans"/>
        </w:rPr>
        <w:t xml:space="preserve">The phrase ‘human rights’ is defined by s 3(1) of the AHRC Act to include the rights and freedoms recognised in the ICCPR. </w:t>
      </w:r>
    </w:p>
    <w:p w14:paraId="78D5A4F1" w14:textId="77777777" w:rsidR="00EA1E73" w:rsidRPr="00B67F37" w:rsidRDefault="00EA1E73" w:rsidP="002A7D47">
      <w:pPr>
        <w:keepNext/>
        <w:numPr>
          <w:ilvl w:val="0"/>
          <w:numId w:val="22"/>
        </w:numPr>
        <w:rPr>
          <w:rFonts w:cs="Open Sans"/>
        </w:rPr>
      </w:pPr>
      <w:r w:rsidRPr="00B67F37">
        <w:rPr>
          <w:rFonts w:cs="Open Sans"/>
        </w:rPr>
        <w:t>Article 9(1) of the ICCPR relevantly provides:</w:t>
      </w:r>
    </w:p>
    <w:p w14:paraId="3725B19B" w14:textId="77777777" w:rsidR="00EA1E73" w:rsidRPr="00B67F37" w:rsidRDefault="00EA1E73" w:rsidP="00EA1E73">
      <w:pPr>
        <w:ind w:left="1701"/>
        <w:rPr>
          <w:rFonts w:cs="Open Sans"/>
          <w:iCs/>
          <w:sz w:val="22"/>
          <w:szCs w:val="22"/>
        </w:rPr>
      </w:pPr>
      <w:r w:rsidRPr="00B67F37">
        <w:rPr>
          <w:rFonts w:cs="Open Sans"/>
          <w:iCs/>
          <w:sz w:val="22"/>
          <w:szCs w:val="22"/>
        </w:rPr>
        <w:t>Everyone has the right to liberty and security of person. No one shall be subjected to arbitrary arrest or detention. No one shall be deprived of his liberty except on such grounds and in accordance with such procedure as are established by law.</w:t>
      </w:r>
    </w:p>
    <w:p w14:paraId="3C1B4B1F" w14:textId="77777777" w:rsidR="00EA1E73" w:rsidRPr="00B67F37" w:rsidRDefault="00EA1E73" w:rsidP="00EA1E73">
      <w:pPr>
        <w:pStyle w:val="Heading1"/>
        <w:rPr>
          <w:rFonts w:cs="Open Sans"/>
        </w:rPr>
      </w:pPr>
      <w:bookmarkStart w:id="52" w:name="_Toc452472695"/>
      <w:bookmarkStart w:id="53" w:name="_Toc487445602"/>
      <w:bookmarkStart w:id="54" w:name="_Toc487531387"/>
      <w:bookmarkStart w:id="55" w:name="_Toc487531406"/>
      <w:bookmarkStart w:id="56" w:name="_Toc487531476"/>
      <w:bookmarkStart w:id="57" w:name="_Toc487531596"/>
      <w:bookmarkStart w:id="58" w:name="_Toc500246043"/>
      <w:bookmarkStart w:id="59" w:name="_Toc156817220"/>
      <w:bookmarkStart w:id="60" w:name="_Toc164705893"/>
      <w:r w:rsidRPr="00B67F37">
        <w:rPr>
          <w:rFonts w:cs="Open Sans"/>
        </w:rPr>
        <w:t>Arbitrary detention</w:t>
      </w:r>
      <w:bookmarkEnd w:id="52"/>
      <w:bookmarkEnd w:id="53"/>
      <w:bookmarkEnd w:id="54"/>
      <w:bookmarkEnd w:id="55"/>
      <w:bookmarkEnd w:id="56"/>
      <w:bookmarkEnd w:id="57"/>
      <w:bookmarkEnd w:id="58"/>
      <w:bookmarkEnd w:id="59"/>
      <w:bookmarkEnd w:id="60"/>
    </w:p>
    <w:p w14:paraId="7E1DA67F" w14:textId="139E8DB5" w:rsidR="00EA1E73" w:rsidRPr="00B67F37" w:rsidRDefault="00EA1E73" w:rsidP="002A7D47">
      <w:pPr>
        <w:numPr>
          <w:ilvl w:val="0"/>
          <w:numId w:val="22"/>
        </w:numPr>
        <w:rPr>
          <w:rFonts w:cs="Open Sans"/>
        </w:rPr>
      </w:pPr>
      <w:r>
        <w:rPr>
          <w:rFonts w:cs="Open Sans"/>
        </w:rPr>
        <w:t>Mr CZ</w:t>
      </w:r>
      <w:r w:rsidRPr="00B67F37">
        <w:rPr>
          <w:rFonts w:cs="Open Sans"/>
        </w:rPr>
        <w:t xml:space="preserve"> complains that his detention in immigration detention facilities in Australia from 5 August 2017 until 20 March 2023 for a total of 5 years and 7 months was ‘arbitrary’, contrary to article 9(1) of the ICCPR. </w:t>
      </w:r>
    </w:p>
    <w:p w14:paraId="528945DB" w14:textId="77777777" w:rsidR="00EA1E73" w:rsidRPr="00B67F37" w:rsidRDefault="00EA1E73" w:rsidP="00EA1E73">
      <w:pPr>
        <w:pStyle w:val="Heading2"/>
        <w:tabs>
          <w:tab w:val="clear" w:pos="851"/>
        </w:tabs>
        <w:rPr>
          <w:rFonts w:cs="Open Sans"/>
        </w:rPr>
      </w:pPr>
      <w:bookmarkStart w:id="61" w:name="_Toc452472696"/>
      <w:bookmarkStart w:id="62" w:name="_Toc487445603"/>
      <w:bookmarkStart w:id="63" w:name="_Toc487531388"/>
      <w:bookmarkStart w:id="64" w:name="_Toc487531407"/>
      <w:bookmarkStart w:id="65" w:name="_Toc487531477"/>
      <w:bookmarkStart w:id="66" w:name="_Toc487531597"/>
      <w:bookmarkStart w:id="67" w:name="_Toc500246044"/>
      <w:bookmarkStart w:id="68" w:name="_Toc156817221"/>
      <w:bookmarkStart w:id="69" w:name="_Toc164705894"/>
      <w:r w:rsidRPr="00B67F37">
        <w:rPr>
          <w:rFonts w:cs="Open Sans"/>
        </w:rPr>
        <w:t>Law on article 9 of the ICCPR</w:t>
      </w:r>
      <w:bookmarkEnd w:id="61"/>
      <w:bookmarkEnd w:id="62"/>
      <w:bookmarkEnd w:id="63"/>
      <w:bookmarkEnd w:id="64"/>
      <w:bookmarkEnd w:id="65"/>
      <w:bookmarkEnd w:id="66"/>
      <w:bookmarkEnd w:id="67"/>
      <w:bookmarkEnd w:id="68"/>
      <w:bookmarkEnd w:id="69"/>
      <w:r w:rsidRPr="00B67F37">
        <w:rPr>
          <w:rFonts w:cs="Open Sans"/>
        </w:rPr>
        <w:t xml:space="preserve"> </w:t>
      </w:r>
    </w:p>
    <w:p w14:paraId="7749B5CD" w14:textId="77777777" w:rsidR="00EA1E73" w:rsidRPr="00B67F37" w:rsidRDefault="00EA1E73" w:rsidP="002A7D47">
      <w:pPr>
        <w:numPr>
          <w:ilvl w:val="0"/>
          <w:numId w:val="22"/>
        </w:numPr>
        <w:rPr>
          <w:rFonts w:cs="Open Sans"/>
        </w:rPr>
      </w:pPr>
      <w:r w:rsidRPr="00B67F37">
        <w:rPr>
          <w:rFonts w:cs="Open Sans"/>
        </w:rPr>
        <w:t>The following principles relating to arbitrary detention within the meaning of article 9 of the ICCPR arise from international human rights jurisprudence:</w:t>
      </w:r>
    </w:p>
    <w:p w14:paraId="37C59520" w14:textId="5F001849" w:rsidR="00760DAA" w:rsidRPr="00760DAA" w:rsidRDefault="00EA1E73" w:rsidP="00760DAA">
      <w:pPr>
        <w:pStyle w:val="Style2"/>
      </w:pPr>
      <w:r w:rsidRPr="00760DAA">
        <w:t>‘detention’ includes immigration detention</w:t>
      </w:r>
      <w:r w:rsidRPr="00760DAA">
        <w:rPr>
          <w:rStyle w:val="EndnoteReference"/>
          <w:sz w:val="24"/>
        </w:rPr>
        <w:endnoteReference w:id="6"/>
      </w:r>
    </w:p>
    <w:p w14:paraId="53E15287" w14:textId="147B4851" w:rsidR="00760DAA" w:rsidRPr="00760DAA" w:rsidRDefault="00EA1E73" w:rsidP="00760DAA">
      <w:pPr>
        <w:pStyle w:val="Style2"/>
      </w:pPr>
      <w:r w:rsidRPr="00760DAA">
        <w:t>lawful detention may become ‘arbitrary’ when a person’s deprivation of liberty becomes unjust, unreasonable or disproportionate in the particular circumstances</w:t>
      </w:r>
      <w:r w:rsidRPr="00760DAA">
        <w:rPr>
          <w:rStyle w:val="EndnoteReference"/>
          <w:sz w:val="24"/>
        </w:rPr>
        <w:endnoteReference w:id="7"/>
      </w:r>
    </w:p>
    <w:p w14:paraId="33A9C77E" w14:textId="77777777" w:rsidR="00EA1E73" w:rsidRPr="00760DAA" w:rsidRDefault="00EA1E73" w:rsidP="00760DAA">
      <w:pPr>
        <w:pStyle w:val="Style2"/>
      </w:pPr>
      <w:r w:rsidRPr="00760DAA">
        <w:t>‘arbitrariness’ is not to be equated with ‘against the law’; it must be interpreted more broadly to include elements of inappropriateness, injustice or lack of predictability</w:t>
      </w:r>
      <w:r w:rsidRPr="00760DAA">
        <w:rPr>
          <w:rStyle w:val="EndnoteReference"/>
          <w:sz w:val="24"/>
        </w:rPr>
        <w:endnoteReference w:id="8"/>
      </w:r>
      <w:r w:rsidRPr="00760DAA">
        <w:t xml:space="preserve"> </w:t>
      </w:r>
    </w:p>
    <w:p w14:paraId="1356F349" w14:textId="77777777" w:rsidR="00EA1E73" w:rsidRPr="00760DAA" w:rsidRDefault="00EA1E73" w:rsidP="00760DAA">
      <w:pPr>
        <w:pStyle w:val="Style2"/>
      </w:pPr>
      <w:r w:rsidRPr="00760DAA">
        <w:t>detention should not continue beyond the period for which a State party can provide appropriate justification.</w:t>
      </w:r>
      <w:r w:rsidRPr="00760DAA">
        <w:rPr>
          <w:rStyle w:val="EndnoteReference"/>
          <w:sz w:val="24"/>
        </w:rPr>
        <w:endnoteReference w:id="9"/>
      </w:r>
      <w:r w:rsidRPr="00760DAA">
        <w:t xml:space="preserve"> </w:t>
      </w:r>
    </w:p>
    <w:p w14:paraId="09BFE814" w14:textId="77777777" w:rsidR="00EA1E73" w:rsidRPr="00B67F37" w:rsidRDefault="00EA1E73" w:rsidP="002A7D47">
      <w:pPr>
        <w:pStyle w:val="ListParagraph"/>
        <w:numPr>
          <w:ilvl w:val="0"/>
          <w:numId w:val="22"/>
        </w:numPr>
        <w:contextualSpacing/>
        <w:rPr>
          <w:rFonts w:cs="Open Sans"/>
        </w:rPr>
      </w:pPr>
      <w:r w:rsidRPr="00B67F37">
        <w:rPr>
          <w:rFonts w:cs="Open Sans"/>
        </w:rPr>
        <w:lastRenderedPageBreak/>
        <w:t xml:space="preserve">In </w:t>
      </w:r>
      <w:r w:rsidRPr="00B67F37">
        <w:rPr>
          <w:rFonts w:cs="Open Sans"/>
          <w:i/>
        </w:rPr>
        <w:t>Van Alphen v The Netherlands</w:t>
      </w:r>
      <w:r w:rsidRPr="00B67F37">
        <w:rPr>
          <w:rFonts w:cs="Open Sans"/>
        </w:rPr>
        <w:t>, the United Nations Human Rights Committee (UN HR Committee) found detention for a period of two months to be ‘arbitrary’ because the State Party did not show that remand in custody was necessary to prevent flight, interference with evidence or recurrence of crime.</w:t>
      </w:r>
      <w:r w:rsidRPr="00B67F37">
        <w:rPr>
          <w:rStyle w:val="EndnoteReference"/>
          <w:rFonts w:cs="Open Sans"/>
        </w:rPr>
        <w:endnoteReference w:id="10"/>
      </w:r>
      <w:r w:rsidRPr="00B67F37">
        <w:rPr>
          <w:rFonts w:cs="Open Sans"/>
        </w:rPr>
        <w:t xml:space="preserve"> </w:t>
      </w:r>
    </w:p>
    <w:p w14:paraId="2236EF5B" w14:textId="77777777" w:rsidR="00EA1E73" w:rsidRPr="00B67F37" w:rsidRDefault="00EA1E73" w:rsidP="002A7D47">
      <w:pPr>
        <w:numPr>
          <w:ilvl w:val="0"/>
          <w:numId w:val="22"/>
        </w:numPr>
        <w:rPr>
          <w:rFonts w:cs="Open Sans"/>
        </w:rPr>
      </w:pPr>
      <w:r w:rsidRPr="00B67F37">
        <w:rPr>
          <w:rFonts w:cs="Open Sans"/>
        </w:rPr>
        <w:t>The UN HR Committee has stated in several communications that there is an obligation on the State Party to demonstrate that there was not a less invasive way than closed detention to achieve the ends of the State Party’s immigration policy (for example the imposition of reporting obligations, sureties or other conditions) in order to avoid the conclusion that detention was ‘arbitrary’.</w:t>
      </w:r>
      <w:r w:rsidRPr="00B67F37">
        <w:rPr>
          <w:rFonts w:cs="Open Sans"/>
          <w:sz w:val="20"/>
          <w:vertAlign w:val="superscript"/>
        </w:rPr>
        <w:endnoteReference w:id="11"/>
      </w:r>
      <w:r w:rsidRPr="00B67F37">
        <w:rPr>
          <w:rFonts w:cs="Open Sans"/>
        </w:rPr>
        <w:t xml:space="preserve"> </w:t>
      </w:r>
    </w:p>
    <w:p w14:paraId="3089305B" w14:textId="77777777" w:rsidR="00EA1E73" w:rsidRPr="00B67F37" w:rsidRDefault="00EA1E73" w:rsidP="002A7D47">
      <w:pPr>
        <w:pStyle w:val="ListParagraph"/>
        <w:keepNext/>
        <w:widowControl w:val="0"/>
        <w:numPr>
          <w:ilvl w:val="0"/>
          <w:numId w:val="22"/>
        </w:numPr>
        <w:tabs>
          <w:tab w:val="left" w:pos="797"/>
          <w:tab w:val="left" w:pos="798"/>
        </w:tabs>
        <w:autoSpaceDE w:val="0"/>
        <w:autoSpaceDN w:val="0"/>
        <w:spacing w:before="120" w:after="60" w:line="300" w:lineRule="exact"/>
        <w:rPr>
          <w:rFonts w:cs="Open Sans"/>
        </w:rPr>
      </w:pPr>
      <w:r w:rsidRPr="00B67F37">
        <w:rPr>
          <w:rFonts w:cs="Open Sans"/>
        </w:rPr>
        <w:t>Relevant jurisprudence of the UN HR Committee on the right to liberty is collected in a general comment on article 9 of the ICCPR published on 16 December 2014. It makes the following comments about immigration detention in particular, based on previous decisions by the Committee:</w:t>
      </w:r>
    </w:p>
    <w:p w14:paraId="1A10D2AD" w14:textId="77777777" w:rsidR="00EA1E73" w:rsidRPr="00B67F37" w:rsidRDefault="00EA1E73" w:rsidP="00EA1E73">
      <w:pPr>
        <w:spacing w:before="120" w:after="60" w:line="300" w:lineRule="exact"/>
        <w:ind w:left="1440"/>
        <w:rPr>
          <w:rFonts w:cs="Open Sans"/>
          <w:sz w:val="22"/>
          <w:szCs w:val="22"/>
        </w:rPr>
      </w:pPr>
      <w:r w:rsidRPr="00B67F37">
        <w:rPr>
          <w:rFonts w:cs="Open Sans"/>
          <w:sz w:val="22"/>
          <w:szCs w:val="22"/>
        </w:rPr>
        <w:t>Detention in the course of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B67F37">
        <w:rPr>
          <w:rStyle w:val="EndnoteReference"/>
          <w:rFonts w:cs="Open Sans"/>
          <w:sz w:val="22"/>
          <w:szCs w:val="22"/>
        </w:rPr>
        <w:endnoteReference w:id="12"/>
      </w:r>
      <w:r w:rsidRPr="00B67F37">
        <w:rPr>
          <w:rFonts w:cs="Open Sans"/>
          <w:sz w:val="22"/>
          <w:szCs w:val="22"/>
        </w:rPr>
        <w:t xml:space="preserve"> </w:t>
      </w:r>
    </w:p>
    <w:p w14:paraId="126EF27E" w14:textId="77777777" w:rsidR="00EA1E73" w:rsidRPr="00B67F37" w:rsidRDefault="00EA1E73" w:rsidP="002A7D47">
      <w:pPr>
        <w:numPr>
          <w:ilvl w:val="0"/>
          <w:numId w:val="22"/>
        </w:numPr>
        <w:rPr>
          <w:rFonts w:cs="Open Sans"/>
        </w:rPr>
      </w:pPr>
      <w:r w:rsidRPr="00B67F37">
        <w:rPr>
          <w:rFonts w:cs="Open Sans"/>
        </w:rPr>
        <w:t>The United Nations Working Group on Arbitrary Detention has expressed the view that the use of administrative detention for national security purposes is not compatible with international human rights law where detention continues for long periods or for an unlimited period without effective judicial oversight.</w:t>
      </w:r>
      <w:r w:rsidRPr="00B67F37">
        <w:rPr>
          <w:rStyle w:val="EndnoteReference"/>
          <w:rFonts w:cs="Open Sans"/>
          <w:color w:val="000000"/>
          <w:lang w:val="en-US"/>
        </w:rPr>
        <w:endnoteReference w:id="13"/>
      </w:r>
      <w:r w:rsidRPr="00B67F37">
        <w:rPr>
          <w:rStyle w:val="EndnoteReference"/>
          <w:rFonts w:cs="Open Sans"/>
          <w:color w:val="000000"/>
          <w:lang w:val="en-US"/>
        </w:rPr>
        <w:t xml:space="preserve"> </w:t>
      </w:r>
      <w:r w:rsidRPr="00B67F37">
        <w:rPr>
          <w:rFonts w:cs="Open Sans"/>
        </w:rPr>
        <w:t>A similar view has been expressed by the UN HR Committee, which has said:</w:t>
      </w:r>
    </w:p>
    <w:p w14:paraId="455995BA" w14:textId="77777777" w:rsidR="00EA1E73" w:rsidRPr="00B67F37" w:rsidRDefault="00EA1E73" w:rsidP="00EA1E73">
      <w:pPr>
        <w:pStyle w:val="ListParaNumbered"/>
        <w:tabs>
          <w:tab w:val="clear" w:pos="680"/>
        </w:tabs>
        <w:spacing w:before="240" w:after="240" w:line="240" w:lineRule="auto"/>
        <w:ind w:left="1418" w:firstLine="0"/>
        <w:rPr>
          <w:rFonts w:ascii="Open Sans" w:hAnsi="Open Sans" w:cs="Open Sans"/>
          <w:sz w:val="22"/>
          <w:szCs w:val="22"/>
        </w:rPr>
      </w:pPr>
      <w:r w:rsidRPr="00B67F37">
        <w:rPr>
          <w:rFonts w:ascii="Open Sans" w:eastAsia="Times New Roman" w:hAnsi="Open Sans" w:cs="Open Sans"/>
          <w:color w:val="auto"/>
          <w:spacing w:val="-5"/>
          <w:sz w:val="22"/>
          <w:szCs w:val="22"/>
          <w:lang w:val="en-AU" w:eastAsia="en-US"/>
        </w:rPr>
        <w:lastRenderedPageBreak/>
        <w:t>if so-called preventive detention is used, for reasons of public security, it must be controlled by these same provisions, i.e. it must not be arbitrary, and must be based on grounds and procedures established by law … information of the reasons must be given … and court control of the detention must be available … as well as compensation in the case of a breach</w:t>
      </w:r>
      <w:r w:rsidRPr="00B67F37">
        <w:rPr>
          <w:rFonts w:ascii="Open Sans" w:hAnsi="Open Sans" w:cs="Open Sans"/>
          <w:sz w:val="22"/>
          <w:szCs w:val="22"/>
        </w:rPr>
        <w:t>.</w:t>
      </w:r>
      <w:r w:rsidRPr="00B67F37">
        <w:rPr>
          <w:rStyle w:val="EndnoteReference"/>
          <w:rFonts w:cs="Open Sans"/>
          <w:szCs w:val="20"/>
        </w:rPr>
        <w:endnoteReference w:id="14"/>
      </w:r>
      <w:r w:rsidRPr="00B67F37">
        <w:rPr>
          <w:rFonts w:ascii="Open Sans" w:hAnsi="Open Sans" w:cs="Open Sans"/>
          <w:sz w:val="20"/>
          <w:szCs w:val="20"/>
        </w:rPr>
        <w:t xml:space="preserve"> </w:t>
      </w:r>
    </w:p>
    <w:p w14:paraId="18D1E520" w14:textId="77777777" w:rsidR="00EA1E73" w:rsidRPr="00B67F37" w:rsidRDefault="00EA1E73" w:rsidP="002A7D47">
      <w:pPr>
        <w:pStyle w:val="ListLevel1"/>
        <w:numPr>
          <w:ilvl w:val="0"/>
          <w:numId w:val="22"/>
        </w:numPr>
      </w:pPr>
      <w:r w:rsidRPr="00B67F37">
        <w:t>The Working Group emphasised that people who are administratively detained must have access to judicial review of the substantive justification of detention as well as sufficiently frequent review of the ongoing circumstances in which they are detained, in accordance with the rights recognised under article 9(4) of the ICCPR.</w:t>
      </w:r>
      <w:r w:rsidRPr="00B67F37">
        <w:rPr>
          <w:sz w:val="20"/>
          <w:szCs w:val="16"/>
          <w:vertAlign w:val="superscript"/>
        </w:rPr>
        <w:endnoteReference w:id="15"/>
      </w:r>
    </w:p>
    <w:p w14:paraId="474FCD53" w14:textId="77777777" w:rsidR="00EA1E73" w:rsidRPr="00B67F37" w:rsidRDefault="00EA1E73" w:rsidP="002A7D47">
      <w:pPr>
        <w:pStyle w:val="ListLevel1"/>
        <w:numPr>
          <w:ilvl w:val="0"/>
          <w:numId w:val="22"/>
        </w:numPr>
      </w:pPr>
      <w:r w:rsidRPr="00B67F37">
        <w:t>A short period of administrative detention for the purposes of developing a more durable solution to a person’s immigration status may be a reasonable and appropriate response by the Commonwealth. However, closed detention for immigration purposes without reasonable prospect of removal may contravene article 9(1) of the ICCPR.</w:t>
      </w:r>
      <w:r w:rsidRPr="00B67F37">
        <w:rPr>
          <w:sz w:val="20"/>
          <w:szCs w:val="16"/>
          <w:vertAlign w:val="superscript"/>
        </w:rPr>
        <w:endnoteReference w:id="16"/>
      </w:r>
    </w:p>
    <w:p w14:paraId="5B84B4AE" w14:textId="77777777" w:rsidR="00EA1E73" w:rsidRPr="00B67F37" w:rsidRDefault="00EA1E73" w:rsidP="002A7D47">
      <w:pPr>
        <w:pStyle w:val="ListParagraph"/>
        <w:keepNext/>
        <w:widowControl w:val="0"/>
        <w:numPr>
          <w:ilvl w:val="0"/>
          <w:numId w:val="22"/>
        </w:numPr>
        <w:tabs>
          <w:tab w:val="left" w:pos="797"/>
          <w:tab w:val="left" w:pos="798"/>
        </w:tabs>
        <w:autoSpaceDE w:val="0"/>
        <w:autoSpaceDN w:val="0"/>
        <w:spacing w:before="120" w:after="60" w:line="300" w:lineRule="exact"/>
        <w:rPr>
          <w:rFonts w:cs="Open Sans"/>
          <w:sz w:val="14"/>
        </w:rPr>
      </w:pPr>
      <w:r w:rsidRPr="00B67F37">
        <w:rPr>
          <w:rFonts w:cs="Open Sans"/>
        </w:rPr>
        <w:t>Under international law the guiding standard for restricting rights is proportionality, which means that deprivation of liberty—in this case, continuing closed immigration detention—must be necessary and proportionate to a legitimate aim of the State Party—in this case, the Commonwealth of Australia—in order to avoid being ‘arbitrary’.</w:t>
      </w:r>
      <w:r w:rsidRPr="00B67F37">
        <w:rPr>
          <w:rStyle w:val="EndnoteReference"/>
          <w:rFonts w:cs="Open Sans"/>
        </w:rPr>
        <w:endnoteReference w:id="17"/>
      </w:r>
      <w:r w:rsidRPr="00B67F37">
        <w:rPr>
          <w:rFonts w:cs="Open Sans"/>
          <w:sz w:val="14"/>
        </w:rPr>
        <w:t xml:space="preserve"> </w:t>
      </w:r>
    </w:p>
    <w:p w14:paraId="0D1454A6" w14:textId="77777777" w:rsidR="00EA1E73" w:rsidRPr="00B67F37" w:rsidRDefault="00EA1E73" w:rsidP="002A7D47">
      <w:pPr>
        <w:pStyle w:val="ListLevel1"/>
        <w:numPr>
          <w:ilvl w:val="0"/>
          <w:numId w:val="22"/>
        </w:numPr>
      </w:pPr>
      <w:r w:rsidRPr="00B67F37">
        <w:t>Accordingly, where alternative places or modes of detention that impose a lesser restriction on a person’s liberty are reasonably available, and in the absence of particular reasons specific to the individual, prolonged detention in an immigration detention centre may be disproportionate to the Commonwealth’s legitimate aim of ensuring the effective operation of Australia’s migration system.</w:t>
      </w:r>
    </w:p>
    <w:p w14:paraId="60002B2F" w14:textId="0AF65F4A" w:rsidR="00EA1E73" w:rsidRPr="00B67F37" w:rsidRDefault="00EA1E73" w:rsidP="002A7D47">
      <w:pPr>
        <w:numPr>
          <w:ilvl w:val="0"/>
          <w:numId w:val="22"/>
        </w:numPr>
        <w:rPr>
          <w:rFonts w:cs="Open Sans"/>
          <w:lang w:val="en"/>
        </w:rPr>
      </w:pPr>
      <w:r w:rsidRPr="00B67F37">
        <w:rPr>
          <w:rFonts w:cs="Open Sans"/>
          <w:lang w:val="en"/>
        </w:rPr>
        <w:t xml:space="preserve">It is therefore necessary to consider whether the detention of </w:t>
      </w:r>
      <w:r>
        <w:rPr>
          <w:rFonts w:cs="Open Sans"/>
          <w:lang w:val="en"/>
        </w:rPr>
        <w:t>Mr CZ</w:t>
      </w:r>
      <w:r w:rsidRPr="00B67F37">
        <w:rPr>
          <w:rFonts w:cs="Open Sans"/>
          <w:lang w:val="en"/>
        </w:rPr>
        <w:t xml:space="preserve"> in closed detention facilities can be </w:t>
      </w:r>
      <w:r w:rsidRPr="00B67F37">
        <w:rPr>
          <w:rFonts w:cs="Open Sans"/>
        </w:rPr>
        <w:t xml:space="preserve">justified as reasonable, necessary and proportionate on the basis of particular reasons specific to him, and in light of the available alternatives to closed detention. </w:t>
      </w:r>
      <w:r w:rsidRPr="00B67F37">
        <w:rPr>
          <w:rFonts w:cs="Open Sans"/>
          <w:lang w:val="en"/>
        </w:rPr>
        <w:t xml:space="preserve">If his detention cannot be justified on these grounds, it will be </w:t>
      </w:r>
      <w:r w:rsidRPr="00B67F37">
        <w:rPr>
          <w:rFonts w:cs="Open Sans"/>
        </w:rPr>
        <w:t xml:space="preserve">disproportionate to the Commonwealth’s legitimate aim of ensuring the effective operation of Australia’s migration system and therefore considered ‘arbitrary’ under article 9 of the ICCPR. </w:t>
      </w:r>
    </w:p>
    <w:p w14:paraId="0185A3D6" w14:textId="77777777" w:rsidR="00EA1E73" w:rsidRPr="00B67F37" w:rsidRDefault="00EA1E73" w:rsidP="00EA1E73">
      <w:pPr>
        <w:pStyle w:val="Heading2"/>
        <w:tabs>
          <w:tab w:val="clear" w:pos="851"/>
        </w:tabs>
        <w:ind w:left="709"/>
        <w:rPr>
          <w:rFonts w:cs="Open Sans"/>
        </w:rPr>
      </w:pPr>
      <w:bookmarkStart w:id="72" w:name="_Toc156817222"/>
      <w:bookmarkStart w:id="73" w:name="_Toc164705895"/>
      <w:r w:rsidRPr="00B67F37">
        <w:rPr>
          <w:rFonts w:cs="Open Sans"/>
        </w:rPr>
        <w:t>Act or practice of the Commonwealth?</w:t>
      </w:r>
      <w:bookmarkEnd w:id="72"/>
      <w:bookmarkEnd w:id="73"/>
    </w:p>
    <w:p w14:paraId="7EEB0295" w14:textId="05795E6B" w:rsidR="00EA1E73" w:rsidRPr="00B67F37" w:rsidRDefault="00EA1E73" w:rsidP="002A7D47">
      <w:pPr>
        <w:numPr>
          <w:ilvl w:val="0"/>
          <w:numId w:val="22"/>
        </w:numPr>
        <w:rPr>
          <w:rFonts w:cs="Open Sans"/>
        </w:rPr>
      </w:pPr>
      <w:r w:rsidRPr="00B67F37">
        <w:rPr>
          <w:rFonts w:cs="Open Sans"/>
        </w:rPr>
        <w:t xml:space="preserve">As </w:t>
      </w:r>
      <w:r>
        <w:rPr>
          <w:rFonts w:cs="Open Sans"/>
        </w:rPr>
        <w:t>Mr CZ</w:t>
      </w:r>
      <w:r w:rsidRPr="00B67F37">
        <w:rPr>
          <w:rFonts w:cs="Open Sans"/>
        </w:rPr>
        <w:t xml:space="preserve"> arrived in Australia by boat without a valid visa, he was an ‘unlawful non-citizen’ and therefore the Migration Act required that he be detained pursuant to s 189(1) of the Migration Act. He was initially detained in immigration detention for 18 months between 11 October 2010 (date of arrival) and 12 April 2012 before being released from </w:t>
      </w:r>
      <w:r w:rsidRPr="00B67F37">
        <w:rPr>
          <w:rFonts w:cs="Open Sans"/>
        </w:rPr>
        <w:lastRenderedPageBreak/>
        <w:t xml:space="preserve">immigration detention on a BVE. This is not the period of detention that is the subject of </w:t>
      </w:r>
      <w:r>
        <w:rPr>
          <w:rFonts w:cs="Open Sans"/>
        </w:rPr>
        <w:t>Mr CZ</w:t>
      </w:r>
      <w:r w:rsidRPr="00B67F37">
        <w:rPr>
          <w:rFonts w:cs="Open Sans"/>
        </w:rPr>
        <w:t xml:space="preserve">’s complaint to the Commission. </w:t>
      </w:r>
    </w:p>
    <w:p w14:paraId="18CF1707" w14:textId="4D929715" w:rsidR="00EA1E73" w:rsidRPr="00B67F37" w:rsidRDefault="00EA1E73" w:rsidP="002A7D47">
      <w:pPr>
        <w:numPr>
          <w:ilvl w:val="0"/>
          <w:numId w:val="22"/>
        </w:numPr>
        <w:rPr>
          <w:rFonts w:cs="Open Sans"/>
        </w:rPr>
      </w:pPr>
      <w:r w:rsidRPr="00B67F37">
        <w:rPr>
          <w:rFonts w:cs="Open Sans"/>
        </w:rPr>
        <w:t xml:space="preserve">The period of detention that the Commission is considering under this complaint is </w:t>
      </w:r>
      <w:r>
        <w:rPr>
          <w:rFonts w:cs="Open Sans"/>
        </w:rPr>
        <w:t>Mr CZ</w:t>
      </w:r>
      <w:r w:rsidRPr="00B67F37">
        <w:rPr>
          <w:rFonts w:cs="Open Sans"/>
        </w:rPr>
        <w:t xml:space="preserve">’s subsequent detention of over five and half years from 5 August 2017 until 20 March 2023. During this period, </w:t>
      </w:r>
      <w:r>
        <w:rPr>
          <w:rFonts w:cs="Open Sans"/>
        </w:rPr>
        <w:t>Mr CZ</w:t>
      </w:r>
      <w:r w:rsidRPr="00B67F37">
        <w:rPr>
          <w:rFonts w:cs="Open Sans"/>
        </w:rPr>
        <w:t xml:space="preserve"> was prevented from making a valid bridging visa application himself due to a legislative bar in place pursuant to s 46A of the Migration Act. </w:t>
      </w:r>
    </w:p>
    <w:p w14:paraId="5BB32129" w14:textId="184B1710" w:rsidR="00EA1E73" w:rsidRPr="00B67F37" w:rsidRDefault="00EA1E73" w:rsidP="002A7D47">
      <w:pPr>
        <w:numPr>
          <w:ilvl w:val="0"/>
          <w:numId w:val="22"/>
        </w:numPr>
        <w:rPr>
          <w:rFonts w:cs="Open Sans"/>
        </w:rPr>
      </w:pPr>
      <w:r>
        <w:rPr>
          <w:rFonts w:cs="Open Sans"/>
        </w:rPr>
        <w:t>T</w:t>
      </w:r>
      <w:r w:rsidRPr="00B67F37">
        <w:rPr>
          <w:rFonts w:cs="Open Sans"/>
        </w:rPr>
        <w:t xml:space="preserve">here are a number of powers that the Minister could have exercised to </w:t>
      </w:r>
      <w:r>
        <w:rPr>
          <w:rFonts w:cs="Open Sans"/>
        </w:rPr>
        <w:t>place</w:t>
      </w:r>
      <w:r w:rsidRPr="00B67F37">
        <w:rPr>
          <w:rFonts w:cs="Open Sans"/>
        </w:rPr>
        <w:t xml:space="preserve"> </w:t>
      </w:r>
      <w:r>
        <w:rPr>
          <w:rFonts w:cs="Open Sans"/>
        </w:rPr>
        <w:t>Mr CZ</w:t>
      </w:r>
      <w:r w:rsidRPr="00B67F37">
        <w:rPr>
          <w:rFonts w:cs="Open Sans"/>
        </w:rPr>
        <w:t xml:space="preserve"> in a less restrictive </w:t>
      </w:r>
      <w:r>
        <w:rPr>
          <w:rFonts w:cs="Open Sans"/>
        </w:rPr>
        <w:t xml:space="preserve">environment </w:t>
      </w:r>
      <w:r w:rsidRPr="00B67F37">
        <w:rPr>
          <w:rFonts w:cs="Open Sans"/>
        </w:rPr>
        <w:t>than a closed immigration detention facility.</w:t>
      </w:r>
    </w:p>
    <w:p w14:paraId="020C15E3" w14:textId="28101543" w:rsidR="00EA1E73" w:rsidRPr="00B67F37" w:rsidRDefault="00EA1E73" w:rsidP="002A7D47">
      <w:pPr>
        <w:numPr>
          <w:ilvl w:val="0"/>
          <w:numId w:val="22"/>
        </w:numPr>
        <w:rPr>
          <w:rFonts w:cs="Open Sans"/>
        </w:rPr>
      </w:pPr>
      <w:r w:rsidRPr="00B67F37">
        <w:rPr>
          <w:rFonts w:cs="Open Sans"/>
        </w:rPr>
        <w:t xml:space="preserve">Under s 197AB of the Migration Act, the Minister may, if </w:t>
      </w:r>
      <w:r w:rsidR="00F54E75">
        <w:rPr>
          <w:rFonts w:cs="Open Sans"/>
        </w:rPr>
        <w:t>they think</w:t>
      </w:r>
      <w:r w:rsidRPr="00B67F37">
        <w:rPr>
          <w:rFonts w:cs="Open Sans"/>
        </w:rPr>
        <w:t xml:space="preserve"> it is in the public interest to do so, make a residence determination to allow a person to reside at a specified place instead of being detained in held immigration detention. T</w:t>
      </w:r>
      <w:r w:rsidRPr="00B67F37">
        <w:rPr>
          <w:rStyle w:val="normaltextrun"/>
          <w:rFonts w:cs="Open Sans"/>
          <w:color w:val="000000"/>
          <w:bdr w:val="none" w:sz="0" w:space="0" w:color="auto" w:frame="1"/>
        </w:rPr>
        <w:t xml:space="preserve">he residence determination may be made subject to other conditions such as reporting requirements. </w:t>
      </w:r>
      <w:r w:rsidRPr="00B67F37">
        <w:rPr>
          <w:rFonts w:cs="Open Sans"/>
        </w:rPr>
        <w:t xml:space="preserve">The Department did not refer </w:t>
      </w:r>
      <w:r>
        <w:rPr>
          <w:rFonts w:cs="Open Sans"/>
        </w:rPr>
        <w:t>Mr CZ</w:t>
      </w:r>
      <w:r w:rsidRPr="00B67F37">
        <w:rPr>
          <w:rFonts w:cs="Open Sans"/>
        </w:rPr>
        <w:t xml:space="preserve">’s case to the Minister for consideration under s 197AB so that the Minister did not at any time have the opportunity to consider </w:t>
      </w:r>
      <w:r>
        <w:rPr>
          <w:rFonts w:cs="Open Sans"/>
        </w:rPr>
        <w:t>Mr CZ</w:t>
      </w:r>
      <w:r w:rsidRPr="00B67F37">
        <w:rPr>
          <w:rFonts w:cs="Open Sans"/>
        </w:rPr>
        <w:t xml:space="preserve"> for a residence determination. </w:t>
      </w:r>
    </w:p>
    <w:p w14:paraId="24B05FD6" w14:textId="0C0C7C7E" w:rsidR="00EA1E73" w:rsidRPr="00D767EC" w:rsidRDefault="00EA1E73" w:rsidP="002A7D47">
      <w:pPr>
        <w:numPr>
          <w:ilvl w:val="0"/>
          <w:numId w:val="22"/>
        </w:numPr>
        <w:rPr>
          <w:rFonts w:cs="Open Sans"/>
        </w:rPr>
      </w:pPr>
      <w:r w:rsidRPr="00B67F37">
        <w:rPr>
          <w:rFonts w:cs="Open Sans"/>
        </w:rPr>
        <w:t xml:space="preserve">Under s 195A of the Migration Act, the Minister may, if </w:t>
      </w:r>
      <w:r w:rsidR="00A42521">
        <w:rPr>
          <w:rFonts w:cs="Open Sans"/>
        </w:rPr>
        <w:t>they think</w:t>
      </w:r>
      <w:r w:rsidR="00DC28F5">
        <w:rPr>
          <w:rFonts w:cs="Open Sans"/>
        </w:rPr>
        <w:t xml:space="preserve"> </w:t>
      </w:r>
      <w:r w:rsidRPr="00B67F37">
        <w:rPr>
          <w:rFonts w:cs="Open Sans"/>
        </w:rPr>
        <w:t xml:space="preserve">it is in the public interest to do so, grant a visa to a person detained under s 189 of the Migration Act, subject to any conditions necessary to take into account their specific circumstances. This is a discretionary non-compellable power of the Minister. The Department did not refer </w:t>
      </w:r>
      <w:r>
        <w:rPr>
          <w:rFonts w:cs="Open Sans"/>
        </w:rPr>
        <w:t>Mr CZ</w:t>
      </w:r>
      <w:r w:rsidRPr="00B67F37">
        <w:rPr>
          <w:rFonts w:cs="Open Sans"/>
        </w:rPr>
        <w:t xml:space="preserve">’s case to the Minister for consideration under s 195A until October 2018. The Minister did not intervene in </w:t>
      </w:r>
      <w:r>
        <w:rPr>
          <w:rFonts w:cs="Open Sans"/>
        </w:rPr>
        <w:t>Mr CZ</w:t>
      </w:r>
      <w:r w:rsidRPr="00B67F37">
        <w:rPr>
          <w:rFonts w:cs="Open Sans"/>
        </w:rPr>
        <w:t xml:space="preserve">’s case to grant a bridging visa until 20 March 2023. </w:t>
      </w:r>
    </w:p>
    <w:p w14:paraId="1D595B54" w14:textId="77777777" w:rsidR="00EA1E73" w:rsidRPr="00B67F37" w:rsidRDefault="00EA1E73" w:rsidP="002A7D47">
      <w:pPr>
        <w:numPr>
          <w:ilvl w:val="0"/>
          <w:numId w:val="22"/>
        </w:numPr>
        <w:rPr>
          <w:rFonts w:cs="Open Sans"/>
        </w:rPr>
      </w:pPr>
      <w:r w:rsidRPr="00B67F37">
        <w:rPr>
          <w:rFonts w:cs="Open Sans"/>
        </w:rPr>
        <w:t>I find that the following acts of the Commonwealth are relevant to this inquiry:</w:t>
      </w:r>
    </w:p>
    <w:p w14:paraId="0811740B" w14:textId="4884A614" w:rsidR="00EA1E73" w:rsidRPr="00B67F37" w:rsidRDefault="00EA1E73" w:rsidP="00760DAA">
      <w:pPr>
        <w:numPr>
          <w:ilvl w:val="1"/>
          <w:numId w:val="31"/>
        </w:numPr>
        <w:rPr>
          <w:rFonts w:cs="Open Sans"/>
        </w:rPr>
      </w:pPr>
      <w:r w:rsidRPr="00B67F37">
        <w:rPr>
          <w:rFonts w:cs="Open Sans"/>
        </w:rPr>
        <w:t xml:space="preserve">the Department’s delay in referring </w:t>
      </w:r>
      <w:r>
        <w:rPr>
          <w:rFonts w:cs="Open Sans"/>
        </w:rPr>
        <w:t>Mr CZ</w:t>
      </w:r>
      <w:r w:rsidRPr="00B67F37">
        <w:rPr>
          <w:rFonts w:cs="Open Sans"/>
        </w:rPr>
        <w:t>’s case to the Minister for consideration under s 195A of the Migration Act until October 2018</w:t>
      </w:r>
    </w:p>
    <w:p w14:paraId="209D8B43" w14:textId="031EC416" w:rsidR="00EA1E73" w:rsidRPr="00B67F37" w:rsidRDefault="00EA1E73" w:rsidP="00760DAA">
      <w:pPr>
        <w:numPr>
          <w:ilvl w:val="1"/>
          <w:numId w:val="31"/>
        </w:numPr>
        <w:rPr>
          <w:rFonts w:cs="Open Sans"/>
        </w:rPr>
      </w:pPr>
      <w:r w:rsidRPr="00B67F37">
        <w:rPr>
          <w:rFonts w:cs="Open Sans"/>
        </w:rPr>
        <w:t xml:space="preserve">the Minister’s decision on 23 October 2018 to not exercise his power under s 195A of the Migration Act to grant </w:t>
      </w:r>
      <w:r>
        <w:rPr>
          <w:rFonts w:cs="Open Sans"/>
        </w:rPr>
        <w:t>Mr CZ</w:t>
      </w:r>
      <w:r w:rsidRPr="00B67F37">
        <w:rPr>
          <w:rFonts w:cs="Open Sans"/>
        </w:rPr>
        <w:t xml:space="preserve"> a BVE</w:t>
      </w:r>
    </w:p>
    <w:p w14:paraId="56F444D5" w14:textId="3792BE06" w:rsidR="00EA1E73" w:rsidRPr="00B67F37" w:rsidRDefault="00EA1E73" w:rsidP="00760DAA">
      <w:pPr>
        <w:numPr>
          <w:ilvl w:val="1"/>
          <w:numId w:val="31"/>
        </w:numPr>
        <w:rPr>
          <w:rFonts w:cs="Open Sans"/>
        </w:rPr>
      </w:pPr>
      <w:r w:rsidRPr="00B67F37">
        <w:rPr>
          <w:rFonts w:cs="Open Sans"/>
        </w:rPr>
        <w:t xml:space="preserve">the Department’s delay in referring </w:t>
      </w:r>
      <w:r>
        <w:rPr>
          <w:rFonts w:cs="Open Sans"/>
        </w:rPr>
        <w:t>Mr CZ</w:t>
      </w:r>
      <w:r w:rsidRPr="00B67F37">
        <w:rPr>
          <w:rFonts w:cs="Open Sans"/>
        </w:rPr>
        <w:t xml:space="preserve">’s case to the Minister again for consideration under s 195A of the Migration Act for over four years until February 2023 </w:t>
      </w:r>
    </w:p>
    <w:p w14:paraId="740181C2" w14:textId="34AD581E" w:rsidR="00EA1E73" w:rsidRPr="00B67F37" w:rsidRDefault="00EA1E73" w:rsidP="00760DAA">
      <w:pPr>
        <w:numPr>
          <w:ilvl w:val="1"/>
          <w:numId w:val="31"/>
        </w:numPr>
        <w:rPr>
          <w:rFonts w:cs="Open Sans"/>
        </w:rPr>
      </w:pPr>
      <w:r w:rsidRPr="00B67F37">
        <w:rPr>
          <w:rFonts w:cs="Open Sans"/>
        </w:rPr>
        <w:lastRenderedPageBreak/>
        <w:t xml:space="preserve">the Department’s failure to refer </w:t>
      </w:r>
      <w:r>
        <w:rPr>
          <w:rFonts w:cs="Open Sans"/>
        </w:rPr>
        <w:t>Mr CZ</w:t>
      </w:r>
      <w:r w:rsidRPr="00B67F37">
        <w:rPr>
          <w:rFonts w:cs="Open Sans"/>
        </w:rPr>
        <w:t>’s case to the Minister for consideration under s 197AB of the Migration Act.</w:t>
      </w:r>
    </w:p>
    <w:p w14:paraId="78DBDC45" w14:textId="77777777" w:rsidR="00EA1E73" w:rsidRPr="00B67F37" w:rsidRDefault="00EA1E73" w:rsidP="00EA1E73">
      <w:pPr>
        <w:pStyle w:val="Heading2"/>
        <w:rPr>
          <w:rFonts w:cs="Open Sans"/>
        </w:rPr>
      </w:pPr>
      <w:bookmarkStart w:id="74" w:name="_Toc156817223"/>
      <w:bookmarkStart w:id="75" w:name="_Toc164705896"/>
      <w:r w:rsidRPr="00B67F37">
        <w:rPr>
          <w:rFonts w:cs="Open Sans"/>
        </w:rPr>
        <w:t>Findings</w:t>
      </w:r>
      <w:bookmarkEnd w:id="74"/>
      <w:bookmarkEnd w:id="75"/>
    </w:p>
    <w:p w14:paraId="259E3961" w14:textId="77777777" w:rsidR="00EA1E73" w:rsidRPr="00B67F37" w:rsidRDefault="00EA1E73" w:rsidP="002A7D47">
      <w:pPr>
        <w:pStyle w:val="ListParagraph"/>
        <w:numPr>
          <w:ilvl w:val="0"/>
          <w:numId w:val="22"/>
        </w:numPr>
        <w:contextualSpacing/>
        <w:rPr>
          <w:rFonts w:cs="Open Sans"/>
        </w:rPr>
      </w:pPr>
      <w:r w:rsidRPr="00B67F37">
        <w:rPr>
          <w:rFonts w:cs="Open Sans"/>
        </w:rPr>
        <w:t xml:space="preserve">As noted above, lawful immigration detention may become arbitrary when a person’s deprivation of liberty becomes unjust, unreasonable or disproportionate to the Commonwealth’s legitimate aim of ensuring the effective operation of Australia’s migration system. Accordingly, where alternative places of detention that impose a lesser restriction on a person’s liberty are reasonably available, and where detention in an immigration detention centre is not demonstrably necessary, prolonged detention in an immigration detention centre may be disproportionate to the goals said to justify the detention. </w:t>
      </w:r>
    </w:p>
    <w:p w14:paraId="420C10E2" w14:textId="00D1DD42" w:rsidR="00EA1E73" w:rsidRPr="00B67F37" w:rsidRDefault="00EA1E73" w:rsidP="002A7D47">
      <w:pPr>
        <w:numPr>
          <w:ilvl w:val="0"/>
          <w:numId w:val="22"/>
        </w:numPr>
        <w:rPr>
          <w:rFonts w:cs="Open Sans"/>
        </w:rPr>
      </w:pPr>
      <w:r w:rsidRPr="00B67F37">
        <w:rPr>
          <w:rFonts w:cs="Open Sans"/>
        </w:rPr>
        <w:t xml:space="preserve">The Minister has discretionary powers under ss 195A and 197AB of the Migration Act that would have allowed </w:t>
      </w:r>
      <w:r>
        <w:rPr>
          <w:rFonts w:cs="Open Sans"/>
        </w:rPr>
        <w:t>Mr CZ</w:t>
      </w:r>
      <w:r w:rsidRPr="00B67F37">
        <w:rPr>
          <w:rFonts w:cs="Open Sans"/>
        </w:rPr>
        <w:t xml:space="preserve"> to be granted a visa or be held in a less restrictive form of detention. </w:t>
      </w:r>
    </w:p>
    <w:p w14:paraId="63F0955A" w14:textId="77777777" w:rsidR="00EA1E73" w:rsidRPr="00B67F37" w:rsidRDefault="00EA1E73" w:rsidP="00EA1E73">
      <w:pPr>
        <w:keepNext/>
        <w:ind w:left="720"/>
        <w:rPr>
          <w:rFonts w:cs="Open Sans"/>
          <w:b/>
          <w:bCs/>
          <w:i/>
          <w:iCs/>
        </w:rPr>
      </w:pPr>
      <w:r w:rsidRPr="00B67F37">
        <w:rPr>
          <w:rFonts w:cs="Open Sans"/>
          <w:b/>
          <w:bCs/>
          <w:i/>
          <w:iCs/>
        </w:rPr>
        <w:t>Section 197AB Guidelines</w:t>
      </w:r>
    </w:p>
    <w:p w14:paraId="1F9E8313" w14:textId="77777777" w:rsidR="00EA1E73" w:rsidRPr="00B67F37" w:rsidRDefault="00EA1E73" w:rsidP="002A7D47">
      <w:pPr>
        <w:numPr>
          <w:ilvl w:val="0"/>
          <w:numId w:val="22"/>
        </w:numPr>
        <w:rPr>
          <w:rFonts w:cs="Open Sans"/>
          <w:sz w:val="28"/>
          <w:szCs w:val="28"/>
        </w:rPr>
      </w:pPr>
      <w:r w:rsidRPr="00B67F37">
        <w:rPr>
          <w:rFonts w:cs="Open Sans"/>
        </w:rPr>
        <w:t>On 29 March 2015, the Hon Peter Dutton MP, then Minister for Home Affairs, published guidelines to explain the circumstances in which he may wish to consider exercising his residence determination power under s 197AB of the Migration Act.</w:t>
      </w:r>
      <w:r w:rsidRPr="00B67F37">
        <w:rPr>
          <w:rStyle w:val="EndnoteReference"/>
          <w:rFonts w:cs="Open Sans"/>
        </w:rPr>
        <w:endnoteReference w:id="18"/>
      </w:r>
      <w:r w:rsidRPr="00B67F37">
        <w:rPr>
          <w:rFonts w:cs="Open Sans"/>
        </w:rPr>
        <w:t xml:space="preserve"> On 21 October 2017, Minister Dutton re-issued these guidelines which are currently in use by the Department.</w:t>
      </w:r>
      <w:r w:rsidRPr="00B67F37">
        <w:rPr>
          <w:rStyle w:val="EndnoteReference"/>
          <w:rFonts w:cs="Open Sans"/>
        </w:rPr>
        <w:endnoteReference w:id="19"/>
      </w:r>
      <w:r w:rsidRPr="00B67F37">
        <w:rPr>
          <w:rFonts w:cs="Open Sans"/>
        </w:rPr>
        <w:t xml:space="preserve"> </w:t>
      </w:r>
    </w:p>
    <w:p w14:paraId="1F174087" w14:textId="77777777" w:rsidR="00EA1E73" w:rsidRPr="00B67F37" w:rsidRDefault="00EA1E73" w:rsidP="002A7D47">
      <w:pPr>
        <w:numPr>
          <w:ilvl w:val="0"/>
          <w:numId w:val="22"/>
        </w:numPr>
        <w:rPr>
          <w:rFonts w:cs="Open Sans"/>
          <w:sz w:val="28"/>
          <w:szCs w:val="28"/>
        </w:rPr>
      </w:pPr>
      <w:r w:rsidRPr="00B67F37">
        <w:rPr>
          <w:rFonts w:cs="Open Sans"/>
        </w:rPr>
        <w:t xml:space="preserve">The s 197AB Guidelines provide that the Minister would consider exercising this power for single adults who had ‘ongoing illnesses, including mental health illnesses, requiring ongoing medical intervention’. However, they provided that the Minister would not expect cases to be referred to him where ‘a person has been charged with an offence but is awaiting the outcome of the charges’. </w:t>
      </w:r>
    </w:p>
    <w:p w14:paraId="5A133F9A" w14:textId="77777777" w:rsidR="00EA1E73" w:rsidRPr="00B67F37" w:rsidRDefault="00EA1E73" w:rsidP="002A7D47">
      <w:pPr>
        <w:numPr>
          <w:ilvl w:val="0"/>
          <w:numId w:val="22"/>
        </w:numPr>
        <w:rPr>
          <w:rFonts w:cs="Open Sans"/>
          <w:sz w:val="28"/>
          <w:szCs w:val="28"/>
        </w:rPr>
      </w:pPr>
      <w:r w:rsidRPr="00B67F37">
        <w:rPr>
          <w:rFonts w:cs="Open Sans"/>
        </w:rPr>
        <w:t xml:space="preserve">The guidelines also stated that the Minister would consider cases where there were ‘unique or exceptional circumstances’. </w:t>
      </w:r>
    </w:p>
    <w:p w14:paraId="2F7BD881" w14:textId="77777777" w:rsidR="00EA1E73" w:rsidRPr="00B67F37" w:rsidRDefault="00EA1E73" w:rsidP="002A7D47">
      <w:pPr>
        <w:numPr>
          <w:ilvl w:val="0"/>
          <w:numId w:val="22"/>
        </w:numPr>
        <w:rPr>
          <w:rFonts w:cs="Open Sans"/>
          <w:sz w:val="28"/>
          <w:szCs w:val="28"/>
        </w:rPr>
      </w:pPr>
      <w:r w:rsidRPr="00B67F37">
        <w:rPr>
          <w:rFonts w:cs="Open Sans"/>
        </w:rPr>
        <w:t>The phrase ‘unique or exceptional circumstances’ is not defined in any of the guidelines, however it is defined in similar guidelines relating to the Minister’s power to grant visas in the public interest.</w:t>
      </w:r>
      <w:r w:rsidRPr="00B67F37">
        <w:rPr>
          <w:rStyle w:val="EndnoteReference"/>
          <w:rFonts w:cs="Open Sans"/>
        </w:rPr>
        <w:endnoteReference w:id="20"/>
      </w:r>
      <w:r w:rsidRPr="00B67F37">
        <w:rPr>
          <w:rFonts w:cs="Open Sans"/>
        </w:rPr>
        <w:t xml:space="preserve"> In those guidelines, factors that are relevant to an assessment of unique or exceptional circumstances include: </w:t>
      </w:r>
    </w:p>
    <w:p w14:paraId="3D2D935F" w14:textId="77777777" w:rsidR="00EA1E73" w:rsidRPr="00B67F37" w:rsidRDefault="00EA1E73" w:rsidP="0030715C">
      <w:pPr>
        <w:pStyle w:val="Style2"/>
        <w:rPr>
          <w:sz w:val="28"/>
          <w:szCs w:val="28"/>
        </w:rPr>
      </w:pPr>
      <w:r w:rsidRPr="00B67F37">
        <w:t xml:space="preserve">compassionate circumstances regarding the age and/or health and/or psychological state of the person, such that a failure to </w:t>
      </w:r>
      <w:r w:rsidRPr="00B67F37">
        <w:lastRenderedPageBreak/>
        <w:t xml:space="preserve">recognise them would result in </w:t>
      </w:r>
      <w:r>
        <w:t xml:space="preserve">serious, ongoing and irreversible </w:t>
      </w:r>
      <w:r w:rsidRPr="00B67F37">
        <w:t xml:space="preserve">harm and continuing hardship to the person </w:t>
      </w:r>
    </w:p>
    <w:p w14:paraId="187B7A6E" w14:textId="77777777" w:rsidR="00EA1E73" w:rsidRPr="00B67F37" w:rsidRDefault="00EA1E73" w:rsidP="0030715C">
      <w:pPr>
        <w:pStyle w:val="Style2"/>
        <w:rPr>
          <w:sz w:val="28"/>
          <w:szCs w:val="28"/>
        </w:rPr>
      </w:pPr>
      <w:r w:rsidRPr="00B67F37">
        <w:t xml:space="preserve">the Department has determined that the person </w:t>
      </w:r>
      <w:r>
        <w:t xml:space="preserve">cannot </w:t>
      </w:r>
      <w:r w:rsidRPr="00B67F37">
        <w:t>be returned to their country/countries of citizenship or usual residence</w:t>
      </w:r>
      <w:r>
        <w:t xml:space="preserve"> due to circumstances outside the person’s control</w:t>
      </w:r>
      <w:r w:rsidRPr="00B67F37">
        <w:t>.</w:t>
      </w:r>
    </w:p>
    <w:p w14:paraId="54149C69" w14:textId="77777777" w:rsidR="00EA1E73" w:rsidRPr="00B67F37" w:rsidRDefault="00EA1E73" w:rsidP="00EA1E73">
      <w:pPr>
        <w:ind w:left="720"/>
        <w:rPr>
          <w:rFonts w:cs="Open Sans"/>
          <w:b/>
          <w:bCs/>
          <w:i/>
          <w:iCs/>
          <w:sz w:val="28"/>
          <w:szCs w:val="28"/>
        </w:rPr>
      </w:pPr>
      <w:r w:rsidRPr="00B67F37">
        <w:rPr>
          <w:rFonts w:cs="Open Sans"/>
          <w:b/>
          <w:bCs/>
          <w:i/>
          <w:iCs/>
        </w:rPr>
        <w:t>Section 195A Guidelines</w:t>
      </w:r>
    </w:p>
    <w:p w14:paraId="35C148CE" w14:textId="77777777" w:rsidR="00EA1E73" w:rsidRPr="00B67F37" w:rsidRDefault="00EA1E73" w:rsidP="002A7D47">
      <w:pPr>
        <w:numPr>
          <w:ilvl w:val="0"/>
          <w:numId w:val="22"/>
        </w:numPr>
        <w:rPr>
          <w:rFonts w:cs="Open Sans"/>
          <w:sz w:val="28"/>
          <w:szCs w:val="28"/>
        </w:rPr>
      </w:pPr>
      <w:r w:rsidRPr="00B67F37">
        <w:rPr>
          <w:rFonts w:cs="Open Sans"/>
        </w:rPr>
        <w:t xml:space="preserve">Similarly, guidelines have been published in relation to the exercise of the power under s 195A of the Migration Act to grant a visa to a person in immigration detention. Minister Dutton published guidelines on s 195A in April 2016, which are the current guidelines in use by the Department. </w:t>
      </w:r>
    </w:p>
    <w:p w14:paraId="5312C673" w14:textId="77777777" w:rsidR="00EA1E73" w:rsidRPr="00B67F37" w:rsidRDefault="00EA1E73" w:rsidP="002A7D47">
      <w:pPr>
        <w:numPr>
          <w:ilvl w:val="0"/>
          <w:numId w:val="22"/>
        </w:numPr>
        <w:rPr>
          <w:rFonts w:cs="Open Sans"/>
          <w:sz w:val="28"/>
          <w:szCs w:val="28"/>
        </w:rPr>
      </w:pPr>
      <w:r w:rsidRPr="00B67F37">
        <w:rPr>
          <w:rFonts w:cs="Open Sans"/>
        </w:rPr>
        <w:t>These guidelines provide that the Minister will consider the exercise of this power where a person meets certain criteria, including where:</w:t>
      </w:r>
    </w:p>
    <w:p w14:paraId="12540BC9" w14:textId="77777777" w:rsidR="00EA1E73" w:rsidRPr="00B67F37" w:rsidRDefault="00EA1E73" w:rsidP="00EE063F">
      <w:pPr>
        <w:pStyle w:val="Style2"/>
        <w:rPr>
          <w:sz w:val="28"/>
          <w:szCs w:val="28"/>
        </w:rPr>
      </w:pPr>
      <w:r w:rsidRPr="00B67F37">
        <w:t>a person has individual needs that cannot properly be cared for in a secured immigration detention facility, as confirmed by a treating professional</w:t>
      </w:r>
    </w:p>
    <w:p w14:paraId="3D54E7F9" w14:textId="77777777" w:rsidR="00EA1E73" w:rsidRPr="00B67F37" w:rsidRDefault="00EA1E73" w:rsidP="00EE063F">
      <w:pPr>
        <w:pStyle w:val="Style2"/>
        <w:rPr>
          <w:sz w:val="28"/>
          <w:szCs w:val="28"/>
        </w:rPr>
      </w:pPr>
      <w:r w:rsidRPr="00B67F37">
        <w:t xml:space="preserve">a person has no outstanding primary or merits review processes in relation to their claims to remain in Australia but removal is not reasonably practicable for reasons that may include, but are not limited to, cases where the person’s country of origin refuses to accept their return or to issue a travel document to facilitate their return or it is not possible to return the person to their country of origin because of policy regarding involuntary removals. </w:t>
      </w:r>
    </w:p>
    <w:p w14:paraId="7D542002" w14:textId="77777777" w:rsidR="00EA1E73" w:rsidRPr="00B67F37" w:rsidRDefault="00EA1E73" w:rsidP="002A7D47">
      <w:pPr>
        <w:numPr>
          <w:ilvl w:val="0"/>
          <w:numId w:val="22"/>
        </w:numPr>
        <w:rPr>
          <w:rFonts w:cs="Open Sans"/>
          <w:sz w:val="28"/>
          <w:szCs w:val="28"/>
        </w:rPr>
      </w:pPr>
      <w:r w:rsidRPr="00B67F37">
        <w:rPr>
          <w:rFonts w:cs="Open Sans"/>
        </w:rPr>
        <w:t>The guidelines also provide that the Minister does not expect referral of ‘people with no outstanding immigration matters who are not cooperating with efforts to effect their departure from Australia’.</w:t>
      </w:r>
      <w:r w:rsidRPr="00B67F37">
        <w:rPr>
          <w:rFonts w:cs="Open Sans"/>
          <w:sz w:val="28"/>
          <w:szCs w:val="28"/>
        </w:rPr>
        <w:t xml:space="preserve"> </w:t>
      </w:r>
      <w:r w:rsidRPr="00B67F37">
        <w:rPr>
          <w:rFonts w:cs="Open Sans"/>
        </w:rPr>
        <w:t>Although there is no exception for unique and exceptional circumstances—unlike the other ministerial intervention guidelines referred to above—under these guidelines, the Minister will consider cases where there are compelling or compassionate circumstances.</w:t>
      </w:r>
    </w:p>
    <w:p w14:paraId="1F5CE3CA" w14:textId="46FCB92C" w:rsidR="00EA1E73" w:rsidRPr="00FA5A7A" w:rsidRDefault="00EA1E73" w:rsidP="00EA1E73">
      <w:pPr>
        <w:pStyle w:val="Heading3"/>
        <w:rPr>
          <w:rFonts w:cs="Open Sans"/>
          <w:i/>
          <w:iCs/>
        </w:rPr>
      </w:pPr>
      <w:bookmarkStart w:id="76" w:name="_Toc156817224"/>
      <w:bookmarkStart w:id="77" w:name="_Toc164705897"/>
      <w:r w:rsidRPr="00FA5A7A">
        <w:rPr>
          <w:rFonts w:cs="Open Sans"/>
          <w:b/>
          <w:bCs w:val="0"/>
          <w:i/>
          <w:iCs/>
        </w:rPr>
        <w:t>Delay by the Department in referring Mr CZ’s case to the Minister for consideration under s 195A of the Migration Act</w:t>
      </w:r>
      <w:bookmarkEnd w:id="76"/>
      <w:bookmarkEnd w:id="77"/>
    </w:p>
    <w:p w14:paraId="499B87FC" w14:textId="53D9CA1A" w:rsidR="00EA1E73" w:rsidRPr="00B67F37" w:rsidRDefault="00EA1E73" w:rsidP="002A7D47">
      <w:pPr>
        <w:numPr>
          <w:ilvl w:val="0"/>
          <w:numId w:val="22"/>
        </w:numPr>
        <w:rPr>
          <w:rFonts w:cs="Open Sans"/>
        </w:rPr>
      </w:pPr>
      <w:r>
        <w:rPr>
          <w:rFonts w:cs="Open Sans"/>
        </w:rPr>
        <w:t>Mr CZ</w:t>
      </w:r>
      <w:r w:rsidRPr="00B67F37">
        <w:rPr>
          <w:rFonts w:cs="Open Sans"/>
        </w:rPr>
        <w:t xml:space="preserve"> was taken into immigration detention on 5 August 2017 and remained in immigration detention for 5 years and 7 months until 20</w:t>
      </w:r>
      <w:r w:rsidR="00800841">
        <w:rPr>
          <w:rFonts w:cs="Open Sans"/>
        </w:rPr>
        <w:t> </w:t>
      </w:r>
      <w:r w:rsidRPr="00B67F37">
        <w:rPr>
          <w:rFonts w:cs="Open Sans"/>
        </w:rPr>
        <w:t xml:space="preserve">March 2023. He was detained following his arrest and release on bail because he was an unlawful non-citizen at the time of his arrest. His </w:t>
      </w:r>
      <w:r w:rsidRPr="00B67F37">
        <w:rPr>
          <w:rFonts w:cs="Open Sans"/>
        </w:rPr>
        <w:lastRenderedPageBreak/>
        <w:t xml:space="preserve">criminal matters took 8 months to finalise and on 13 April 2018, all his criminal charges were finalised. He was found guilty of one charge of ‘have in custody a laser pointer in public place’ with no conviction recorded. </w:t>
      </w:r>
      <w:r>
        <w:rPr>
          <w:rFonts w:cs="Open Sans"/>
        </w:rPr>
        <w:t>Prior to those criminal matters being brought, Mr CZ had had a series of bridging visas interspersed with short periods where he held no visa, and he therefore remained in Australia unlawfully but with no action being taken by the Department to seek to detain him.</w:t>
      </w:r>
    </w:p>
    <w:p w14:paraId="6EBCB2F3" w14:textId="40834D62" w:rsidR="00EA1E73" w:rsidRPr="00B67F37" w:rsidRDefault="00EA1E73" w:rsidP="002A7D47">
      <w:pPr>
        <w:numPr>
          <w:ilvl w:val="0"/>
          <w:numId w:val="22"/>
        </w:numPr>
        <w:rPr>
          <w:rFonts w:cs="Open Sans"/>
        </w:rPr>
      </w:pPr>
      <w:r w:rsidRPr="00B67F37">
        <w:rPr>
          <w:rFonts w:cs="Open Sans"/>
        </w:rPr>
        <w:t xml:space="preserve">The first time the Department assessed </w:t>
      </w:r>
      <w:r>
        <w:rPr>
          <w:rFonts w:cs="Open Sans"/>
        </w:rPr>
        <w:t>Mr CZ</w:t>
      </w:r>
      <w:r w:rsidRPr="00B67F37">
        <w:rPr>
          <w:rFonts w:cs="Open Sans"/>
        </w:rPr>
        <w:t xml:space="preserve">’s case against the s 195A Guidelines was after </w:t>
      </w:r>
      <w:r>
        <w:rPr>
          <w:rFonts w:cs="Open Sans"/>
        </w:rPr>
        <w:t xml:space="preserve">it </w:t>
      </w:r>
      <w:r w:rsidRPr="00B67F37">
        <w:rPr>
          <w:rFonts w:cs="Open Sans"/>
        </w:rPr>
        <w:t xml:space="preserve">commenced the 2018 </w:t>
      </w:r>
      <w:r w:rsidR="003F0D73">
        <w:rPr>
          <w:rFonts w:cs="Open Sans"/>
        </w:rPr>
        <w:t xml:space="preserve">s </w:t>
      </w:r>
      <w:r w:rsidRPr="00B67F37">
        <w:rPr>
          <w:rFonts w:cs="Open Sans"/>
        </w:rPr>
        <w:t xml:space="preserve">195A Ministerial submission on 16 April 2018. It appears that the Department may have waited until </w:t>
      </w:r>
      <w:r>
        <w:rPr>
          <w:rFonts w:cs="Open Sans"/>
        </w:rPr>
        <w:t>Mr CZ</w:t>
      </w:r>
      <w:r w:rsidRPr="00B67F37">
        <w:rPr>
          <w:rFonts w:cs="Open Sans"/>
        </w:rPr>
        <w:t xml:space="preserve">’s criminal matters were finalised before initiating the 2018 </w:t>
      </w:r>
      <w:r w:rsidR="003F0D73">
        <w:rPr>
          <w:rFonts w:cs="Open Sans"/>
        </w:rPr>
        <w:t xml:space="preserve">s </w:t>
      </w:r>
      <w:r w:rsidRPr="00B67F37">
        <w:rPr>
          <w:rFonts w:cs="Open Sans"/>
        </w:rPr>
        <w:t>195A Ministerial submission. According to the Community Protection Assessment Tool (CPAT) dated 31 August 2017, the Minister would not consider release onto a BVE until finalisation of criminal court matters. The CPAT is a risk-based placement tool used by the Department to help make assessments of the suitability of detainees for release into the community.</w:t>
      </w:r>
      <w:r w:rsidRPr="00B67F37">
        <w:rPr>
          <w:rStyle w:val="EndnoteReference"/>
          <w:rFonts w:cs="Open Sans"/>
        </w:rPr>
        <w:endnoteReference w:id="21"/>
      </w:r>
      <w:r w:rsidRPr="00B67F37">
        <w:rPr>
          <w:rFonts w:cs="Open Sans"/>
        </w:rPr>
        <w:t xml:space="preserve"> </w:t>
      </w:r>
    </w:p>
    <w:p w14:paraId="5829FD67" w14:textId="77777777" w:rsidR="00EA1E73" w:rsidRPr="00B67F37" w:rsidRDefault="00EA1E73" w:rsidP="002A7D47">
      <w:pPr>
        <w:numPr>
          <w:ilvl w:val="0"/>
          <w:numId w:val="22"/>
        </w:numPr>
        <w:rPr>
          <w:rFonts w:cs="Open Sans"/>
        </w:rPr>
      </w:pPr>
      <w:r w:rsidRPr="00B67F37">
        <w:rPr>
          <w:rFonts w:cs="Open Sans"/>
        </w:rPr>
        <w:t>The Department’s response to my preliminary view notes the following:</w:t>
      </w:r>
    </w:p>
    <w:p w14:paraId="5DEB2C43" w14:textId="77777777" w:rsidR="00EA1E73" w:rsidRPr="00B67F37" w:rsidRDefault="00EA1E73" w:rsidP="00EA1E73">
      <w:pPr>
        <w:ind w:left="1440"/>
        <w:rPr>
          <w:rFonts w:cs="Open Sans"/>
          <w:sz w:val="22"/>
          <w:szCs w:val="22"/>
        </w:rPr>
      </w:pPr>
      <w:r w:rsidRPr="00B67F37">
        <w:rPr>
          <w:rFonts w:cs="Open Sans"/>
          <w:sz w:val="22"/>
          <w:szCs w:val="22"/>
        </w:rPr>
        <w:t>In the 31 August 2017 CPAT, the placement recommendation was Tier 1 – Bridging visa with conditions and was substituted for Tier 3 – Held Detention. It was documented that the reason for substitution was due to ‘</w:t>
      </w:r>
      <w:r w:rsidRPr="00B67F37">
        <w:rPr>
          <w:rFonts w:cs="Open Sans"/>
          <w:i/>
          <w:iCs/>
          <w:sz w:val="22"/>
          <w:szCs w:val="22"/>
        </w:rPr>
        <w:t>Outstanding Criminal charges, [the</w:t>
      </w:r>
      <w:r>
        <w:rPr>
          <w:rFonts w:cs="Open Sans"/>
          <w:i/>
          <w:iCs/>
          <w:sz w:val="22"/>
          <w:szCs w:val="22"/>
        </w:rPr>
        <w:t>]</w:t>
      </w:r>
      <w:r w:rsidRPr="00B67F37">
        <w:rPr>
          <w:rFonts w:cs="Open Sans"/>
          <w:i/>
          <w:iCs/>
          <w:sz w:val="22"/>
          <w:szCs w:val="22"/>
        </w:rPr>
        <w:t xml:space="preserve"> Minister will not consider until court finalisation</w:t>
      </w:r>
      <w:r w:rsidRPr="00B67F37">
        <w:rPr>
          <w:rFonts w:cs="Open Sans"/>
          <w:sz w:val="22"/>
          <w:szCs w:val="22"/>
        </w:rPr>
        <w:t xml:space="preserve">’. The Department notes substitution is based on community risk and not Ministerial Intervention guidelines. </w:t>
      </w:r>
    </w:p>
    <w:p w14:paraId="220DE9FF" w14:textId="77777777" w:rsidR="00EA1E73" w:rsidRPr="00B67F37" w:rsidRDefault="00EA1E73" w:rsidP="00EA1E73">
      <w:pPr>
        <w:ind w:left="1440"/>
        <w:rPr>
          <w:rFonts w:cs="Open Sans"/>
          <w:sz w:val="22"/>
          <w:szCs w:val="22"/>
        </w:rPr>
      </w:pPr>
      <w:r w:rsidRPr="00B67F37">
        <w:rPr>
          <w:rFonts w:cs="Open Sans"/>
          <w:sz w:val="22"/>
          <w:szCs w:val="22"/>
        </w:rPr>
        <w:t>The CPAT does not determine whether a case should be referred for Ministerial Intervention. The CPAT is a decision support tool to assist the Department in assessing the most appropriate placement for a person while status resolution processes are being undertaken.</w:t>
      </w:r>
    </w:p>
    <w:p w14:paraId="0AD6A572" w14:textId="7233031F" w:rsidR="00EA1E73" w:rsidRPr="00B67F37" w:rsidRDefault="00EA1E73" w:rsidP="002A7D47">
      <w:pPr>
        <w:numPr>
          <w:ilvl w:val="0"/>
          <w:numId w:val="22"/>
        </w:numPr>
        <w:rPr>
          <w:rFonts w:cs="Open Sans"/>
        </w:rPr>
      </w:pPr>
      <w:r w:rsidRPr="00B67F37">
        <w:rPr>
          <w:rFonts w:cs="Open Sans"/>
        </w:rPr>
        <w:t xml:space="preserve">On 11 October 2018, the Department decided to refer </w:t>
      </w:r>
      <w:r>
        <w:rPr>
          <w:rFonts w:cs="Open Sans"/>
        </w:rPr>
        <w:t>Mr CZ</w:t>
      </w:r>
      <w:r w:rsidRPr="00B67F37">
        <w:rPr>
          <w:rFonts w:cs="Open Sans"/>
        </w:rPr>
        <w:t xml:space="preserve">’s case to the Minister for consideration under s 195A of the Migration Act, but on 23 October 2018, the Minister indicated that he would not consider </w:t>
      </w:r>
      <w:r>
        <w:rPr>
          <w:rFonts w:cs="Open Sans"/>
        </w:rPr>
        <w:t>Mr CZ</w:t>
      </w:r>
      <w:r w:rsidRPr="00B67F37">
        <w:rPr>
          <w:rFonts w:cs="Open Sans"/>
        </w:rPr>
        <w:t xml:space="preserve">’s case. The Minister gave no reasons for this decision, nor is he required to. </w:t>
      </w:r>
    </w:p>
    <w:p w14:paraId="6795B6AA" w14:textId="77777777" w:rsidR="00EA1E73" w:rsidRPr="00B67F37" w:rsidRDefault="00EA1E73" w:rsidP="002A7D47">
      <w:pPr>
        <w:numPr>
          <w:ilvl w:val="0"/>
          <w:numId w:val="22"/>
        </w:numPr>
        <w:rPr>
          <w:rFonts w:cs="Open Sans"/>
        </w:rPr>
      </w:pPr>
      <w:r w:rsidRPr="00B67F37">
        <w:rPr>
          <w:rFonts w:cs="Open Sans"/>
        </w:rPr>
        <w:t>According to the Department’s first submission to the Minister for possible ministerial intervention under s 195A of the Migration Act, key issues were:</w:t>
      </w:r>
    </w:p>
    <w:p w14:paraId="758D970F" w14:textId="1B11239B" w:rsidR="00EA1E73" w:rsidRPr="00B67F37" w:rsidRDefault="00EA1E73" w:rsidP="00E8716A">
      <w:pPr>
        <w:pStyle w:val="Style2"/>
      </w:pPr>
      <w:r>
        <w:t>Mr CZ</w:t>
      </w:r>
      <w:r w:rsidRPr="00B67F37">
        <w:t>’s unwillingness to depart Australia voluntarily and the Department’s inability to progress involuntary removal to Iran</w:t>
      </w:r>
    </w:p>
    <w:p w14:paraId="53E90B97" w14:textId="53EA7F93" w:rsidR="00EA1E73" w:rsidRPr="00B67F37" w:rsidRDefault="00EA1E73" w:rsidP="00E8716A">
      <w:pPr>
        <w:pStyle w:val="Style2"/>
      </w:pPr>
      <w:r>
        <w:t>Mr CZ</w:t>
      </w:r>
      <w:r w:rsidRPr="00B67F37">
        <w:t>’s CPAT recommendation for a Tier 1 – Bridging visa placement</w:t>
      </w:r>
    </w:p>
    <w:p w14:paraId="2E6E847C" w14:textId="68F44597" w:rsidR="00EA1E73" w:rsidRPr="00B67F37" w:rsidRDefault="00EA1E73" w:rsidP="00E8716A">
      <w:pPr>
        <w:pStyle w:val="Style2"/>
      </w:pPr>
      <w:r>
        <w:lastRenderedPageBreak/>
        <w:t>Mr CZ</w:t>
      </w:r>
      <w:r w:rsidRPr="00B67F37">
        <w:t xml:space="preserve">’s cumulative period of detention of almost 3 years, which presumably includes his initial 18-month period of detention between 2010 and 2012 </w:t>
      </w:r>
    </w:p>
    <w:p w14:paraId="60DD60B6" w14:textId="75EA716F" w:rsidR="00EA1E73" w:rsidRPr="00B67F37" w:rsidRDefault="00EA1E73" w:rsidP="00E8716A">
      <w:pPr>
        <w:pStyle w:val="Style2"/>
      </w:pPr>
      <w:r w:rsidRPr="00B67F37">
        <w:t xml:space="preserve">that the Department are in the process of assessing </w:t>
      </w:r>
      <w:r>
        <w:t>Mr CZ</w:t>
      </w:r>
      <w:r w:rsidRPr="00B67F37">
        <w:t xml:space="preserve">’s protection claims as a result of being affected by the decision of the Full Court of the Federal Court in </w:t>
      </w:r>
      <w:r w:rsidRPr="00F43EA6">
        <w:rPr>
          <w:i/>
          <w:iCs/>
        </w:rPr>
        <w:t>SZQRB</w:t>
      </w:r>
      <w:r w:rsidRPr="00B67F37">
        <w:t>.</w:t>
      </w:r>
    </w:p>
    <w:p w14:paraId="27D413E4" w14:textId="6A9C3513" w:rsidR="00EA1E73" w:rsidRPr="00B67F37" w:rsidRDefault="00EA1E73" w:rsidP="002A7D47">
      <w:pPr>
        <w:numPr>
          <w:ilvl w:val="0"/>
          <w:numId w:val="22"/>
        </w:numPr>
        <w:rPr>
          <w:rFonts w:cs="Open Sans"/>
        </w:rPr>
      </w:pPr>
      <w:bookmarkStart w:id="78" w:name="_Ref153961784"/>
      <w:r w:rsidRPr="00F43EA6">
        <w:rPr>
          <w:rFonts w:cs="Open Sans"/>
          <w:i/>
          <w:iCs/>
        </w:rPr>
        <w:t>SZQRB</w:t>
      </w:r>
      <w:r w:rsidRPr="00B67F37">
        <w:rPr>
          <w:rFonts w:cs="Open Sans"/>
        </w:rPr>
        <w:t xml:space="preserve"> was a case that had a significant impact on UMAs, like </w:t>
      </w:r>
      <w:r>
        <w:rPr>
          <w:rFonts w:cs="Open Sans"/>
        </w:rPr>
        <w:t>Mr CZ</w:t>
      </w:r>
      <w:r w:rsidRPr="00B67F37">
        <w:rPr>
          <w:rFonts w:cs="Open Sans"/>
        </w:rPr>
        <w:t xml:space="preserve">, who arrived in Australia prior to 24 March 2012, which is the date on which the complementary protection provisions in the Migration Act came into effect. </w:t>
      </w:r>
      <w:r>
        <w:rPr>
          <w:rFonts w:cs="Open Sans"/>
        </w:rPr>
        <w:t>Mr CZ</w:t>
      </w:r>
      <w:r w:rsidRPr="00B67F37">
        <w:rPr>
          <w:rFonts w:cs="Open Sans"/>
        </w:rPr>
        <w:t>’s RSA and subsequent IMR decisions were made prior to 24</w:t>
      </w:r>
      <w:r w:rsidR="006676B7">
        <w:rPr>
          <w:rFonts w:cs="Open Sans"/>
        </w:rPr>
        <w:t> </w:t>
      </w:r>
      <w:r w:rsidRPr="00B67F37">
        <w:rPr>
          <w:rFonts w:cs="Open Sans"/>
        </w:rPr>
        <w:t xml:space="preserve">March 2012, and so the assessment of his protection claims did not include an assessment </w:t>
      </w:r>
      <w:r>
        <w:rPr>
          <w:rFonts w:cs="Open Sans"/>
        </w:rPr>
        <w:t>of whether he was owed</w:t>
      </w:r>
      <w:r w:rsidRPr="00B67F37">
        <w:rPr>
          <w:rFonts w:cs="Open Sans"/>
        </w:rPr>
        <w:t xml:space="preserve"> complementary protection. It is stated in the Department’s ‘195A Guidelines Assessment for a Person in s189 Detention’ dated 27 February 2020, that following the introduction of the complementary protection provisions to the Migration Act, the Department assessed </w:t>
      </w:r>
      <w:r>
        <w:rPr>
          <w:rFonts w:cs="Open Sans"/>
        </w:rPr>
        <w:t>Mr CZ</w:t>
      </w:r>
      <w:r w:rsidRPr="00B67F37">
        <w:rPr>
          <w:rFonts w:cs="Open Sans"/>
        </w:rPr>
        <w:t xml:space="preserve">’s protection claims against the </w:t>
      </w:r>
      <w:r w:rsidRPr="00B67F37">
        <w:rPr>
          <w:rFonts w:cs="Open Sans"/>
          <w:i/>
          <w:iCs/>
        </w:rPr>
        <w:t>Guidelines for the Consideration of</w:t>
      </w:r>
      <w:r w:rsidRPr="00B67F37">
        <w:rPr>
          <w:rFonts w:cs="Open Sans"/>
        </w:rPr>
        <w:t xml:space="preserve"> </w:t>
      </w:r>
      <w:r w:rsidRPr="00B67F37">
        <w:rPr>
          <w:rFonts w:cs="Open Sans"/>
          <w:i/>
          <w:iCs/>
        </w:rPr>
        <w:t>Post Review Protection Claims</w:t>
      </w:r>
      <w:r w:rsidRPr="00B67F37">
        <w:rPr>
          <w:rFonts w:cs="Open Sans"/>
        </w:rPr>
        <w:t xml:space="preserve"> (PRPC Guidelines).</w:t>
      </w:r>
      <w:bookmarkEnd w:id="78"/>
      <w:r w:rsidRPr="00B67F37">
        <w:rPr>
          <w:rFonts w:cs="Open Sans"/>
        </w:rPr>
        <w:t xml:space="preserve"> </w:t>
      </w:r>
    </w:p>
    <w:p w14:paraId="0E0BC947" w14:textId="77777777" w:rsidR="00EA1E73" w:rsidRPr="00B67F37" w:rsidRDefault="00EA1E73" w:rsidP="002A7D47">
      <w:pPr>
        <w:numPr>
          <w:ilvl w:val="0"/>
          <w:numId w:val="22"/>
        </w:numPr>
        <w:rPr>
          <w:rFonts w:cs="Open Sans"/>
        </w:rPr>
      </w:pPr>
      <w:r w:rsidRPr="00B67F37">
        <w:rPr>
          <w:rFonts w:cs="Open Sans"/>
        </w:rPr>
        <w:t xml:space="preserve">The PRPC Guidelines, along with another non-statutory </w:t>
      </w:r>
      <w:r>
        <w:rPr>
          <w:rFonts w:cs="Open Sans"/>
        </w:rPr>
        <w:t>d</w:t>
      </w:r>
      <w:r w:rsidRPr="00B67F37">
        <w:rPr>
          <w:rFonts w:cs="Open Sans"/>
        </w:rPr>
        <w:t>epartment</w:t>
      </w:r>
      <w:r>
        <w:rPr>
          <w:rFonts w:cs="Open Sans"/>
        </w:rPr>
        <w:t>al</w:t>
      </w:r>
      <w:r w:rsidRPr="00B67F37">
        <w:rPr>
          <w:rFonts w:cs="Open Sans"/>
        </w:rPr>
        <w:t xml:space="preserve"> process called the International Treaty Obligations Assessment (ITOA), were designed to assist the Department to assess whether a person who was not found to meet the definition of a refugee under the Migration Act was still owed non-refoulement obligations under the ICCPR, the </w:t>
      </w:r>
      <w:r w:rsidRPr="00B67F37">
        <w:rPr>
          <w:rFonts w:cs="Open Sans"/>
          <w:i/>
          <w:iCs/>
        </w:rPr>
        <w:t>Convention Against Torture, and other Cruel, Inhuman or Degrading Treatment or Punishment</w:t>
      </w:r>
      <w:r w:rsidRPr="00B67F37">
        <w:rPr>
          <w:rFonts w:cs="Open Sans"/>
        </w:rPr>
        <w:t xml:space="preserve">, or the </w:t>
      </w:r>
      <w:r w:rsidRPr="00B67F37">
        <w:rPr>
          <w:rFonts w:cs="Open Sans"/>
          <w:i/>
          <w:iCs/>
        </w:rPr>
        <w:t>Convention on the Rights of the Child</w:t>
      </w:r>
      <w:r w:rsidRPr="00B67F37">
        <w:rPr>
          <w:rFonts w:cs="Open Sans"/>
        </w:rPr>
        <w:t xml:space="preserve">. </w:t>
      </w:r>
    </w:p>
    <w:p w14:paraId="75356C27" w14:textId="323C7128" w:rsidR="00EA1E73" w:rsidRPr="00B67F37" w:rsidRDefault="00EA1E73" w:rsidP="002A7D47">
      <w:pPr>
        <w:numPr>
          <w:ilvl w:val="0"/>
          <w:numId w:val="22"/>
        </w:numPr>
        <w:rPr>
          <w:rFonts w:cs="Open Sans"/>
        </w:rPr>
      </w:pPr>
      <w:r w:rsidRPr="00B67F37">
        <w:rPr>
          <w:rFonts w:cs="Open Sans"/>
        </w:rPr>
        <w:t>According to the Department’s ‘195A Guidelines Assessment for a Person in s189 Detention’</w:t>
      </w:r>
      <w:r w:rsidR="00065FDB">
        <w:rPr>
          <w:rFonts w:cs="Open Sans"/>
        </w:rPr>
        <w:t>,</w:t>
      </w:r>
      <w:r w:rsidRPr="00B67F37">
        <w:rPr>
          <w:rFonts w:cs="Open Sans"/>
        </w:rPr>
        <w:t xml:space="preserve"> dated 27 February 2020, </w:t>
      </w:r>
      <w:r>
        <w:rPr>
          <w:rFonts w:cs="Open Sans"/>
        </w:rPr>
        <w:t>Mr CZ</w:t>
      </w:r>
      <w:r w:rsidRPr="00B67F37">
        <w:rPr>
          <w:rFonts w:cs="Open Sans"/>
        </w:rPr>
        <w:t xml:space="preserve">’s PRPC Guidelines assessment concluded on 30 May 2012 that his removal to Iran would not be in breach of Australia’s non-refoulement obligations. However, he was already living in the community on a BVE valid until 12 October 2012. Given the ‘anticipated protracted removal processing’, </w:t>
      </w:r>
      <w:r>
        <w:rPr>
          <w:rFonts w:cs="Open Sans"/>
        </w:rPr>
        <w:t>Mr CZ</w:t>
      </w:r>
      <w:r w:rsidRPr="00B67F37">
        <w:rPr>
          <w:rFonts w:cs="Open Sans"/>
        </w:rPr>
        <w:t xml:space="preserve"> was subsequently granted consecutive BVEs on 17 October 2012, 21 January 2013, 24 April 2013 and 9 October 2014. </w:t>
      </w:r>
    </w:p>
    <w:p w14:paraId="1D82F953" w14:textId="77777777" w:rsidR="00EA1E73" w:rsidRPr="00B67F37" w:rsidRDefault="00EA1E73" w:rsidP="002A7D47">
      <w:pPr>
        <w:numPr>
          <w:ilvl w:val="0"/>
          <w:numId w:val="22"/>
        </w:numPr>
        <w:rPr>
          <w:rFonts w:cs="Open Sans"/>
        </w:rPr>
      </w:pPr>
      <w:r w:rsidRPr="00B67F37">
        <w:rPr>
          <w:rFonts w:cs="Open Sans"/>
        </w:rPr>
        <w:t xml:space="preserve">In March 2013, the Full Court of the Federal Court handed down its judgment </w:t>
      </w:r>
      <w:r>
        <w:rPr>
          <w:rFonts w:cs="Open Sans"/>
        </w:rPr>
        <w:t>in</w:t>
      </w:r>
      <w:r w:rsidRPr="00B67F37">
        <w:rPr>
          <w:rFonts w:cs="Open Sans"/>
        </w:rPr>
        <w:t xml:space="preserve"> </w:t>
      </w:r>
      <w:r w:rsidRPr="004C7CB2">
        <w:rPr>
          <w:rFonts w:cs="Open Sans"/>
          <w:i/>
          <w:iCs/>
        </w:rPr>
        <w:t>SZQRB</w:t>
      </w:r>
      <w:r w:rsidRPr="00B67F37">
        <w:rPr>
          <w:rFonts w:cs="Open Sans"/>
        </w:rPr>
        <w:t xml:space="preserve">. </w:t>
      </w:r>
      <w:r w:rsidRPr="004C7CB2">
        <w:rPr>
          <w:rFonts w:cs="Open Sans"/>
          <w:i/>
          <w:iCs/>
        </w:rPr>
        <w:t>SZQRB</w:t>
      </w:r>
      <w:r w:rsidRPr="00B67F37">
        <w:rPr>
          <w:rFonts w:cs="Open Sans"/>
        </w:rPr>
        <w:t xml:space="preserve"> found that an ITOA conducted by the Department was a flawed process, applied the wrong legal test, and did not accord procedural fairness.</w:t>
      </w:r>
      <w:r w:rsidRPr="00B67F37">
        <w:rPr>
          <w:rStyle w:val="EndnoteReference"/>
          <w:rFonts w:cs="Open Sans"/>
        </w:rPr>
        <w:endnoteReference w:id="22"/>
      </w:r>
      <w:r w:rsidRPr="00B67F37">
        <w:rPr>
          <w:rFonts w:cs="Open Sans"/>
        </w:rPr>
        <w:t xml:space="preserve"> The Court granted an injunction </w:t>
      </w:r>
      <w:r w:rsidRPr="00B67F37">
        <w:rPr>
          <w:rFonts w:cs="Open Sans"/>
        </w:rPr>
        <w:lastRenderedPageBreak/>
        <w:t xml:space="preserve">restraining the Minister from removing </w:t>
      </w:r>
      <w:r w:rsidRPr="00FE3E7F">
        <w:rPr>
          <w:rFonts w:cs="Open Sans"/>
          <w:i/>
          <w:iCs/>
        </w:rPr>
        <w:t>SZQRB</w:t>
      </w:r>
      <w:r w:rsidRPr="00B67F37">
        <w:rPr>
          <w:rFonts w:cs="Open Sans"/>
        </w:rPr>
        <w:t xml:space="preserve"> from Australia until his claims for protection had been assessed according to the law.  </w:t>
      </w:r>
    </w:p>
    <w:p w14:paraId="44A3A105" w14:textId="56109662" w:rsidR="00EA1E73" w:rsidRPr="00B67F37" w:rsidRDefault="00EA1E73" w:rsidP="002A7D47">
      <w:pPr>
        <w:numPr>
          <w:ilvl w:val="0"/>
          <w:numId w:val="22"/>
        </w:numPr>
        <w:rPr>
          <w:rFonts w:cs="Open Sans"/>
        </w:rPr>
      </w:pPr>
      <w:r w:rsidRPr="00B67F37">
        <w:rPr>
          <w:rFonts w:cs="Open Sans"/>
        </w:rPr>
        <w:t xml:space="preserve">By 15 September 2014, the Department formed the view that </w:t>
      </w:r>
      <w:r>
        <w:rPr>
          <w:rFonts w:cs="Open Sans"/>
        </w:rPr>
        <w:t>Mr CZ</w:t>
      </w:r>
      <w:r w:rsidRPr="00B67F37">
        <w:rPr>
          <w:rFonts w:cs="Open Sans"/>
        </w:rPr>
        <w:t xml:space="preserve">’s PRPC assessment was affected by </w:t>
      </w:r>
      <w:r w:rsidRPr="00FE3E7F">
        <w:rPr>
          <w:rFonts w:cs="Open Sans"/>
          <w:i/>
          <w:iCs/>
        </w:rPr>
        <w:t>SZQRB</w:t>
      </w:r>
      <w:r w:rsidRPr="00B67F37">
        <w:rPr>
          <w:rFonts w:cs="Open Sans"/>
        </w:rPr>
        <w:t xml:space="preserve"> and an ITOA was commenced to reassess </w:t>
      </w:r>
      <w:r>
        <w:rPr>
          <w:rFonts w:cs="Open Sans"/>
        </w:rPr>
        <w:t>Mr CZ</w:t>
      </w:r>
      <w:r w:rsidRPr="00B67F37">
        <w:rPr>
          <w:rFonts w:cs="Open Sans"/>
        </w:rPr>
        <w:t xml:space="preserve">’s protection claims to determine whether he engaged Australia’s protection obligations. This ITOA was suspended when </w:t>
      </w:r>
      <w:r>
        <w:rPr>
          <w:rFonts w:cs="Open Sans"/>
        </w:rPr>
        <w:t>Mr CZ</w:t>
      </w:r>
      <w:r w:rsidRPr="00B67F37">
        <w:rPr>
          <w:rFonts w:cs="Open Sans"/>
        </w:rPr>
        <w:t xml:space="preserve"> was arrested on 4 August 2017 and then never finalised. </w:t>
      </w:r>
    </w:p>
    <w:p w14:paraId="54651BAD" w14:textId="556618AC" w:rsidR="00EA1E73" w:rsidRPr="00B67F37" w:rsidRDefault="00EA1E73" w:rsidP="002A7D47">
      <w:pPr>
        <w:numPr>
          <w:ilvl w:val="0"/>
          <w:numId w:val="22"/>
        </w:numPr>
        <w:rPr>
          <w:rFonts w:cs="Open Sans"/>
        </w:rPr>
      </w:pPr>
      <w:bookmarkStart w:id="79" w:name="_Ref153961793"/>
      <w:r w:rsidRPr="00B67F37">
        <w:rPr>
          <w:rFonts w:cs="Open Sans"/>
        </w:rPr>
        <w:t xml:space="preserve">It is apparent, however, that at the time of </w:t>
      </w:r>
      <w:r>
        <w:rPr>
          <w:rFonts w:cs="Open Sans"/>
        </w:rPr>
        <w:t>Mr CZ</w:t>
      </w:r>
      <w:r w:rsidRPr="00B67F37">
        <w:rPr>
          <w:rFonts w:cs="Open Sans"/>
        </w:rPr>
        <w:t xml:space="preserve">’s arrest and subsequent detention on 5 August 2017, the Department was aware that because of </w:t>
      </w:r>
      <w:r w:rsidRPr="00A27F5A">
        <w:rPr>
          <w:rFonts w:cs="Open Sans"/>
          <w:i/>
          <w:iCs/>
        </w:rPr>
        <w:t>SZQRB</w:t>
      </w:r>
      <w:r w:rsidRPr="00B67F37">
        <w:rPr>
          <w:rFonts w:cs="Open Sans"/>
        </w:rPr>
        <w:t xml:space="preserve">, they could not remove </w:t>
      </w:r>
      <w:r>
        <w:rPr>
          <w:rFonts w:cs="Open Sans"/>
        </w:rPr>
        <w:t>Mr CZ</w:t>
      </w:r>
      <w:r w:rsidRPr="00B67F37">
        <w:rPr>
          <w:rFonts w:cs="Open Sans"/>
        </w:rPr>
        <w:t xml:space="preserve"> from Australia without reassessing his protection claims according to law.</w:t>
      </w:r>
      <w:bookmarkEnd w:id="79"/>
      <w:r w:rsidRPr="00B67F37">
        <w:rPr>
          <w:rFonts w:cs="Open Sans"/>
        </w:rPr>
        <w:t xml:space="preserve">  </w:t>
      </w:r>
    </w:p>
    <w:p w14:paraId="45E3940A" w14:textId="1133F99F" w:rsidR="00EA1E73" w:rsidRPr="00B67F37" w:rsidRDefault="00EA1E73" w:rsidP="002A7D47">
      <w:pPr>
        <w:numPr>
          <w:ilvl w:val="0"/>
          <w:numId w:val="22"/>
        </w:numPr>
        <w:rPr>
          <w:rFonts w:cs="Open Sans"/>
        </w:rPr>
      </w:pPr>
      <w:r w:rsidRPr="00B67F37">
        <w:rPr>
          <w:rFonts w:cs="Open Sans"/>
        </w:rPr>
        <w:t>By the Minister’s s 195A Guidelines, a person with no outstanding primary or merits review processes, but for whom removal was not reasonably practicable, may be referred to the Minister. Reasons for why removal may not be reasonably practicable include</w:t>
      </w:r>
      <w:r w:rsidR="007B049C">
        <w:rPr>
          <w:rFonts w:cs="Open Sans"/>
        </w:rPr>
        <w:t>,</w:t>
      </w:r>
      <w:r w:rsidRPr="00B67F37">
        <w:rPr>
          <w:rFonts w:cs="Open Sans"/>
        </w:rPr>
        <w:t xml:space="preserve"> but are not limited to</w:t>
      </w:r>
      <w:r w:rsidR="007B049C">
        <w:rPr>
          <w:rFonts w:cs="Open Sans"/>
        </w:rPr>
        <w:t>,</w:t>
      </w:r>
      <w:r w:rsidRPr="00B67F37">
        <w:rPr>
          <w:rFonts w:cs="Open Sans"/>
        </w:rPr>
        <w:t xml:space="preserve"> the person’s country of origin refusing to issue a travel document and/or it is not possible to return the person to their country of origin because of a policy regarding involuntary removals. </w:t>
      </w:r>
    </w:p>
    <w:p w14:paraId="46B31574" w14:textId="7F724768" w:rsidR="00EA1E73" w:rsidRPr="00B67F37" w:rsidRDefault="00EA1E73" w:rsidP="002A7D47">
      <w:pPr>
        <w:numPr>
          <w:ilvl w:val="0"/>
          <w:numId w:val="22"/>
        </w:numPr>
        <w:rPr>
          <w:rFonts w:cs="Open Sans"/>
        </w:rPr>
      </w:pPr>
      <w:r w:rsidRPr="00B67F37">
        <w:rPr>
          <w:rFonts w:cs="Open Sans"/>
        </w:rPr>
        <w:t xml:space="preserve">When </w:t>
      </w:r>
      <w:r>
        <w:rPr>
          <w:rFonts w:cs="Open Sans"/>
        </w:rPr>
        <w:t>Mr CZ</w:t>
      </w:r>
      <w:r w:rsidRPr="00B67F37">
        <w:rPr>
          <w:rFonts w:cs="Open Sans"/>
        </w:rPr>
        <w:t xml:space="preserve"> was detained, he did not have any ongoing primary or merits review processes, but his removal was not reasonably practicable because the Department was still required to re-assess his protection claims following </w:t>
      </w:r>
      <w:r w:rsidRPr="0078274B">
        <w:rPr>
          <w:rFonts w:cs="Open Sans"/>
          <w:i/>
          <w:iCs/>
        </w:rPr>
        <w:t>SZQRB</w:t>
      </w:r>
      <w:r w:rsidRPr="00B67F37">
        <w:rPr>
          <w:rFonts w:cs="Open Sans"/>
        </w:rPr>
        <w:t xml:space="preserve">. Furthermore, Iran was refusing to issue a travel document because </w:t>
      </w:r>
      <w:r>
        <w:rPr>
          <w:rFonts w:cs="Open Sans"/>
        </w:rPr>
        <w:t>Mr CZ</w:t>
      </w:r>
      <w:r w:rsidRPr="00B67F37">
        <w:rPr>
          <w:rFonts w:cs="Open Sans"/>
        </w:rPr>
        <w:t xml:space="preserve"> was not voluntarily returning, </w:t>
      </w:r>
      <w:r>
        <w:rPr>
          <w:rFonts w:cs="Open Sans"/>
        </w:rPr>
        <w:t xml:space="preserve">and Iran had </w:t>
      </w:r>
      <w:r w:rsidRPr="00B67F37">
        <w:rPr>
          <w:rFonts w:cs="Open Sans"/>
        </w:rPr>
        <w:t xml:space="preserve">a policy </w:t>
      </w:r>
      <w:r>
        <w:rPr>
          <w:rFonts w:cs="Open Sans"/>
        </w:rPr>
        <w:t xml:space="preserve">not to accept </w:t>
      </w:r>
      <w:r w:rsidRPr="00B67F37">
        <w:rPr>
          <w:rFonts w:cs="Open Sans"/>
        </w:rPr>
        <w:t xml:space="preserve">involuntary removals. </w:t>
      </w:r>
      <w:r>
        <w:rPr>
          <w:rFonts w:cs="Open Sans"/>
        </w:rPr>
        <w:t>Mr CZ</w:t>
      </w:r>
      <w:r w:rsidRPr="00B67F37">
        <w:rPr>
          <w:rFonts w:cs="Open Sans"/>
        </w:rPr>
        <w:t xml:space="preserve"> therefore clearly met the criteria for referral to the Minister, given his removal was not reasonably practicable for the reasons stated above. </w:t>
      </w:r>
    </w:p>
    <w:p w14:paraId="5F4AEA77" w14:textId="42BDDB57" w:rsidR="00EA1E73" w:rsidRPr="00B67F37" w:rsidRDefault="00EA1E73" w:rsidP="00765412">
      <w:pPr>
        <w:numPr>
          <w:ilvl w:val="0"/>
          <w:numId w:val="22"/>
        </w:numPr>
        <w:rPr>
          <w:rFonts w:cs="Open Sans"/>
        </w:rPr>
      </w:pPr>
      <w:r w:rsidRPr="00B67F37">
        <w:rPr>
          <w:rFonts w:cs="Open Sans"/>
        </w:rPr>
        <w:t xml:space="preserve">On the other hand, the Guidelines state that the Minister would not expect a person with no outstanding immigration matters, but who is not cooperating with efforts to effect their departure, to be referred for consideration of </w:t>
      </w:r>
      <w:r w:rsidR="00765412">
        <w:rPr>
          <w:rFonts w:cs="Open Sans"/>
        </w:rPr>
        <w:t>the Minister’s</w:t>
      </w:r>
      <w:r w:rsidRPr="00B67F37">
        <w:rPr>
          <w:rFonts w:cs="Open Sans"/>
        </w:rPr>
        <w:t xml:space="preserve"> power under s 195A of the Migration Act. I</w:t>
      </w:r>
      <w:r w:rsidR="00765412">
        <w:rPr>
          <w:rFonts w:cs="Open Sans"/>
        </w:rPr>
        <w:t> </w:t>
      </w:r>
      <w:r w:rsidRPr="00B67F37">
        <w:rPr>
          <w:rFonts w:cs="Open Sans"/>
        </w:rPr>
        <w:t xml:space="preserve">note that this direction in the Guidelines </w:t>
      </w:r>
      <w:r>
        <w:rPr>
          <w:rFonts w:cs="Open Sans"/>
        </w:rPr>
        <w:t>conflicts</w:t>
      </w:r>
      <w:r w:rsidRPr="00B67F37">
        <w:rPr>
          <w:rFonts w:cs="Open Sans"/>
        </w:rPr>
        <w:t xml:space="preserve"> </w:t>
      </w:r>
      <w:r>
        <w:rPr>
          <w:rFonts w:cs="Open Sans"/>
        </w:rPr>
        <w:t xml:space="preserve">with </w:t>
      </w:r>
      <w:r w:rsidRPr="00B67F37">
        <w:rPr>
          <w:rFonts w:cs="Open Sans"/>
        </w:rPr>
        <w:t>the direction in the same document</w:t>
      </w:r>
      <w:r w:rsidR="002649A9">
        <w:rPr>
          <w:rFonts w:cs="Open Sans"/>
        </w:rPr>
        <w:t>,</w:t>
      </w:r>
      <w:r w:rsidRPr="00B67F37">
        <w:rPr>
          <w:rFonts w:cs="Open Sans"/>
        </w:rPr>
        <w:t xml:space="preserve"> that cases can be referred to the Minister where ‘it is not possible to return the person to their country of origin because of … policy regarding involuntary removals’ (referred to above). In any event, regardless of whether </w:t>
      </w:r>
      <w:r>
        <w:rPr>
          <w:rFonts w:cs="Open Sans"/>
        </w:rPr>
        <w:t>Mr CZ</w:t>
      </w:r>
      <w:r w:rsidRPr="00B67F37">
        <w:rPr>
          <w:rFonts w:cs="Open Sans"/>
        </w:rPr>
        <w:t xml:space="preserve"> was willing or unwilling to voluntarily depart </w:t>
      </w:r>
      <w:r w:rsidR="002E03B3">
        <w:rPr>
          <w:rFonts w:cs="Open Sans"/>
        </w:rPr>
        <w:t xml:space="preserve">from </w:t>
      </w:r>
      <w:r w:rsidRPr="00B67F37">
        <w:rPr>
          <w:rFonts w:cs="Open Sans"/>
        </w:rPr>
        <w:t xml:space="preserve">Australia, he still had an outstanding immigration matter as a result of </w:t>
      </w:r>
      <w:r w:rsidRPr="00C902CC">
        <w:rPr>
          <w:rFonts w:cs="Open Sans"/>
          <w:i/>
          <w:iCs/>
        </w:rPr>
        <w:t>SZQRB</w:t>
      </w:r>
      <w:r w:rsidRPr="00B67F37">
        <w:rPr>
          <w:rFonts w:cs="Open Sans"/>
        </w:rPr>
        <w:t xml:space="preserve"> and could not be removed from Australia. He therefore was not captured by this exclusion from referral to the Minister. </w:t>
      </w:r>
    </w:p>
    <w:p w14:paraId="5811C393" w14:textId="7EF456AD" w:rsidR="00EA1E73" w:rsidRPr="00B67F37" w:rsidRDefault="00EA1E73" w:rsidP="002A7D47">
      <w:pPr>
        <w:numPr>
          <w:ilvl w:val="0"/>
          <w:numId w:val="22"/>
        </w:numPr>
        <w:rPr>
          <w:rFonts w:cs="Open Sans"/>
        </w:rPr>
      </w:pPr>
      <w:r w:rsidRPr="00B67F37">
        <w:rPr>
          <w:rFonts w:cs="Open Sans"/>
        </w:rPr>
        <w:t xml:space="preserve">Finally, </w:t>
      </w:r>
      <w:r>
        <w:rPr>
          <w:rFonts w:cs="Open Sans"/>
        </w:rPr>
        <w:t>Mr CZ</w:t>
      </w:r>
      <w:r w:rsidRPr="00B67F37">
        <w:rPr>
          <w:rFonts w:cs="Open Sans"/>
        </w:rPr>
        <w:t xml:space="preserve">’s criminal matters were also not a barrier to referral as the s 195A Guidelines do not explicitly exclude from referral a person with </w:t>
      </w:r>
      <w:r w:rsidRPr="00B67F37">
        <w:rPr>
          <w:rFonts w:cs="Open Sans"/>
        </w:rPr>
        <w:lastRenderedPageBreak/>
        <w:t xml:space="preserve">ongoing criminal matters. It only expects the Department to consider any criminal charges in assessing cases for referral. </w:t>
      </w:r>
    </w:p>
    <w:p w14:paraId="3C88D145" w14:textId="7C7C8F08" w:rsidR="00EA1E73" w:rsidRPr="00B67F37" w:rsidRDefault="00EA1E73" w:rsidP="002A7D47">
      <w:pPr>
        <w:numPr>
          <w:ilvl w:val="0"/>
          <w:numId w:val="22"/>
        </w:numPr>
        <w:rPr>
          <w:rFonts w:cs="Open Sans"/>
        </w:rPr>
      </w:pPr>
      <w:r w:rsidRPr="00B67F37">
        <w:rPr>
          <w:rFonts w:cs="Open Sans"/>
        </w:rPr>
        <w:t xml:space="preserve">There does not appear to be adequate justification from the Department on why they delayed assessing </w:t>
      </w:r>
      <w:r>
        <w:rPr>
          <w:rFonts w:cs="Open Sans"/>
        </w:rPr>
        <w:t>Mr CZ</w:t>
      </w:r>
      <w:r w:rsidRPr="00B67F37">
        <w:rPr>
          <w:rFonts w:cs="Open Sans"/>
        </w:rPr>
        <w:t xml:space="preserve">’s case against the s 195A Guidelines until after his criminal matters were finalised. Despite the existence of criminal charges, he had been granted bail and was entitled to the legal presumption of being considered innocent until proven guilty. The CPAT completed within a month of his detention on 31 August 2017 recommended his release on a bridging visa with conditions. </w:t>
      </w:r>
    </w:p>
    <w:p w14:paraId="67D10900" w14:textId="435E38B8" w:rsidR="00EA1E73" w:rsidRPr="00B67F37" w:rsidRDefault="00EA1E73" w:rsidP="002A7D47">
      <w:pPr>
        <w:numPr>
          <w:ilvl w:val="0"/>
          <w:numId w:val="22"/>
        </w:numPr>
        <w:rPr>
          <w:rFonts w:cs="Open Sans"/>
        </w:rPr>
      </w:pPr>
      <w:r w:rsidRPr="00B67F37">
        <w:rPr>
          <w:rFonts w:cs="Open Sans"/>
        </w:rPr>
        <w:t xml:space="preserve">The Department’s response to my preliminary view notes that </w:t>
      </w:r>
      <w:r>
        <w:rPr>
          <w:rFonts w:cs="Open Sans"/>
        </w:rPr>
        <w:t>‘</w:t>
      </w:r>
      <w:r w:rsidRPr="00B67F37">
        <w:rPr>
          <w:rFonts w:cs="Open Sans"/>
        </w:rPr>
        <w:t>the CPAT does not determine the placement of the client</w:t>
      </w:r>
      <w:r>
        <w:rPr>
          <w:rFonts w:cs="Open Sans"/>
        </w:rPr>
        <w:t>’</w:t>
      </w:r>
      <w:r w:rsidRPr="00B67F37">
        <w:rPr>
          <w:rFonts w:cs="Open Sans"/>
        </w:rPr>
        <w:t xml:space="preserve"> and that if, for example, the CPAT recommends held detention, other options are considered. The Department states further that the 31 August 2017 CPAT placement recommendation of Tier 1 – Bridging visa with conditions was substituted to Tier 3 – Held Detention. Despite the Department’s response that the substitution is based on community risk and not the Ministerial Guidelines, the documented reason for the substitution makes clear the Minister’s position that they would not consider </w:t>
      </w:r>
      <w:r>
        <w:rPr>
          <w:rFonts w:cs="Open Sans"/>
        </w:rPr>
        <w:t>Mr CZ</w:t>
      </w:r>
      <w:r w:rsidRPr="00B67F37">
        <w:rPr>
          <w:rFonts w:cs="Open Sans"/>
        </w:rPr>
        <w:t xml:space="preserve">’s case until his criminal matters were finalised. The Department also notes in its response that </w:t>
      </w:r>
      <w:r>
        <w:rPr>
          <w:rFonts w:cs="Open Sans"/>
        </w:rPr>
        <w:t>Mr CZ</w:t>
      </w:r>
      <w:r w:rsidRPr="00B67F37">
        <w:rPr>
          <w:rFonts w:cs="Open Sans"/>
        </w:rPr>
        <w:t xml:space="preserve">’s case was assessed as not meeting the guidelines </w:t>
      </w:r>
      <w:r>
        <w:rPr>
          <w:rFonts w:cs="Open Sans"/>
        </w:rPr>
        <w:t>‘</w:t>
      </w:r>
      <w:r w:rsidRPr="00B67F37">
        <w:rPr>
          <w:rFonts w:cs="Open Sans"/>
        </w:rPr>
        <w:t>due to his outstanding criminal matter</w:t>
      </w:r>
      <w:r>
        <w:rPr>
          <w:rFonts w:cs="Open Sans"/>
        </w:rPr>
        <w:t>’</w:t>
      </w:r>
      <w:r w:rsidRPr="00B67F37">
        <w:rPr>
          <w:rFonts w:cs="Open Sans"/>
        </w:rPr>
        <w:t xml:space="preserve">. There is nothing in the material before me to suggest that there was any other reason for the delay in initiating a Ministerial Intervention process. </w:t>
      </w:r>
    </w:p>
    <w:p w14:paraId="59532309" w14:textId="77777777" w:rsidR="00EA1E73" w:rsidRPr="00B67F37" w:rsidRDefault="00EA1E73" w:rsidP="002A7D47">
      <w:pPr>
        <w:numPr>
          <w:ilvl w:val="0"/>
          <w:numId w:val="22"/>
        </w:numPr>
        <w:rPr>
          <w:rFonts w:cs="Open Sans"/>
        </w:rPr>
      </w:pPr>
      <w:r w:rsidRPr="00B67F37">
        <w:rPr>
          <w:rFonts w:cs="Open Sans"/>
        </w:rPr>
        <w:t>The Department’s response to my preliminary view also notes that:</w:t>
      </w:r>
    </w:p>
    <w:p w14:paraId="6573E888" w14:textId="77777777" w:rsidR="00EA1E73" w:rsidRPr="00B67F37" w:rsidRDefault="00EA1E73" w:rsidP="00EA1E73">
      <w:pPr>
        <w:ind w:left="1440"/>
        <w:rPr>
          <w:rFonts w:cs="Open Sans"/>
          <w:sz w:val="22"/>
          <w:szCs w:val="22"/>
        </w:rPr>
      </w:pPr>
      <w:r w:rsidRPr="00B67F37">
        <w:rPr>
          <w:rFonts w:cs="Open Sans"/>
          <w:sz w:val="22"/>
          <w:szCs w:val="22"/>
        </w:rPr>
        <w:t>Ministerial Intervention does not provide for automatic referral of cases under Ministerial Intervention powers for persons in detention. Ministerial Intervention is not an extension of the visa process and the relevant powers are non-delegable and non-compellable. It is for the Minister to determine what is in the public interest.</w:t>
      </w:r>
    </w:p>
    <w:p w14:paraId="2AACA890" w14:textId="36CB4CC1" w:rsidR="00EA1E73" w:rsidRPr="00B67F37" w:rsidRDefault="00EA1E73" w:rsidP="00EA1E73">
      <w:pPr>
        <w:ind w:left="1440"/>
        <w:rPr>
          <w:rFonts w:cs="Open Sans"/>
          <w:sz w:val="22"/>
          <w:szCs w:val="22"/>
        </w:rPr>
      </w:pPr>
      <w:r>
        <w:rPr>
          <w:rFonts w:cs="Open Sans"/>
          <w:sz w:val="22"/>
          <w:szCs w:val="22"/>
        </w:rPr>
        <w:t>Mr CZ</w:t>
      </w:r>
      <w:r w:rsidRPr="00B67F37">
        <w:rPr>
          <w:rFonts w:cs="Open Sans"/>
          <w:sz w:val="22"/>
          <w:szCs w:val="22"/>
        </w:rPr>
        <w:t xml:space="preserve"> was lawfully detained an unlawful non-citizen under section 189 of the </w:t>
      </w:r>
      <w:r>
        <w:rPr>
          <w:rFonts w:cs="Open Sans"/>
          <w:sz w:val="22"/>
          <w:szCs w:val="22"/>
        </w:rPr>
        <w:t>A</w:t>
      </w:r>
      <w:r w:rsidRPr="00B67F37">
        <w:rPr>
          <w:rFonts w:cs="Open Sans"/>
          <w:sz w:val="22"/>
          <w:szCs w:val="22"/>
        </w:rPr>
        <w:t>ct.</w:t>
      </w:r>
    </w:p>
    <w:p w14:paraId="3CCB5928" w14:textId="77777777" w:rsidR="00EA1E73" w:rsidRPr="00B67F37" w:rsidRDefault="00EA1E73" w:rsidP="002A7D47">
      <w:pPr>
        <w:numPr>
          <w:ilvl w:val="0"/>
          <w:numId w:val="22"/>
        </w:numPr>
        <w:rPr>
          <w:rFonts w:cs="Open Sans"/>
        </w:rPr>
      </w:pPr>
      <w:r w:rsidRPr="00B67F37">
        <w:rPr>
          <w:rFonts w:cs="Open Sans"/>
        </w:rPr>
        <w:t>As I stated above, arbitrariness is not to be equated with ‘against the law’ and that lawful detention can be arbitrary when it becomes unjust, unreasonable or disproportionate to its legitimate aim. Furthermore, the High Court of Australia has found that</w:t>
      </w:r>
      <w:r>
        <w:rPr>
          <w:rFonts w:cs="Open Sans"/>
        </w:rPr>
        <w:t>,</w:t>
      </w:r>
      <w:r w:rsidRPr="00B67F37">
        <w:rPr>
          <w:rFonts w:cs="Open Sans"/>
        </w:rPr>
        <w:t xml:space="preserve"> in some circumstances, a decision by the Department not to refer a case to the Minister for Ministerial Intervention is in excess of the executive power of the Commonwealth.</w:t>
      </w:r>
      <w:r w:rsidRPr="00B67F37">
        <w:rPr>
          <w:rStyle w:val="EndnoteReference"/>
          <w:rFonts w:cs="Open Sans"/>
        </w:rPr>
        <w:endnoteReference w:id="23"/>
      </w:r>
    </w:p>
    <w:p w14:paraId="602819E3" w14:textId="0C1ABC8D" w:rsidR="00EA1E73" w:rsidRPr="00B67F37" w:rsidRDefault="00EA1E73" w:rsidP="002A7D47">
      <w:pPr>
        <w:numPr>
          <w:ilvl w:val="0"/>
          <w:numId w:val="22"/>
        </w:numPr>
        <w:rPr>
          <w:rFonts w:cs="Open Sans"/>
        </w:rPr>
      </w:pPr>
      <w:r w:rsidRPr="00B67F37">
        <w:rPr>
          <w:rFonts w:cs="Open Sans"/>
        </w:rPr>
        <w:lastRenderedPageBreak/>
        <w:t xml:space="preserve">Applying the test of whether the Commonwealth has demonstrated that </w:t>
      </w:r>
      <w:r>
        <w:rPr>
          <w:rFonts w:cs="Open Sans"/>
        </w:rPr>
        <w:t>Mr CZ</w:t>
      </w:r>
      <w:r w:rsidRPr="00B67F37">
        <w:rPr>
          <w:rFonts w:cs="Open Sans"/>
        </w:rPr>
        <w:t xml:space="preserve">’s placement in held detention was reasonable, necessary and proportionate, I find that it has not. The explanations provided by the Department do not justify the delay by the Department in referring </w:t>
      </w:r>
      <w:r>
        <w:rPr>
          <w:rFonts w:cs="Open Sans"/>
        </w:rPr>
        <w:t>Mr CZ</w:t>
      </w:r>
      <w:r w:rsidRPr="00B67F37">
        <w:rPr>
          <w:rFonts w:cs="Open Sans"/>
        </w:rPr>
        <w:t>’s case to the Minister for consideration under s 195A of the Migration Act until 11 October 2018, over a year after he was initially detained. Consequently, I</w:t>
      </w:r>
      <w:r>
        <w:rPr>
          <w:rFonts w:cs="Open Sans"/>
        </w:rPr>
        <w:t> </w:t>
      </w:r>
      <w:r w:rsidRPr="00B67F37">
        <w:rPr>
          <w:rFonts w:cs="Open Sans"/>
        </w:rPr>
        <w:t xml:space="preserve">find that </w:t>
      </w:r>
      <w:r>
        <w:rPr>
          <w:rFonts w:cs="Open Sans"/>
        </w:rPr>
        <w:t>Mr CZ</w:t>
      </w:r>
      <w:r w:rsidRPr="00B67F37">
        <w:rPr>
          <w:rFonts w:cs="Open Sans"/>
        </w:rPr>
        <w:t xml:space="preserve">’s detention </w:t>
      </w:r>
      <w:r>
        <w:rPr>
          <w:rFonts w:cs="Open Sans"/>
        </w:rPr>
        <w:t xml:space="preserve">up until that date </w:t>
      </w:r>
      <w:r w:rsidRPr="00B67F37">
        <w:rPr>
          <w:rFonts w:cs="Open Sans"/>
        </w:rPr>
        <w:t xml:space="preserve">was arbitrary for the purpose of article 9(1) of the ICCPR. </w:t>
      </w:r>
    </w:p>
    <w:p w14:paraId="7D7608CE" w14:textId="7D010CB7" w:rsidR="00EA1E73" w:rsidRPr="00FA5A7A" w:rsidRDefault="00EA1E73" w:rsidP="00EA1E73">
      <w:pPr>
        <w:pStyle w:val="Heading3"/>
        <w:rPr>
          <w:rFonts w:cs="Open Sans"/>
          <w:b/>
          <w:bCs w:val="0"/>
          <w:i/>
          <w:iCs/>
        </w:rPr>
      </w:pPr>
      <w:bookmarkStart w:id="80" w:name="_Toc156817225"/>
      <w:bookmarkStart w:id="81" w:name="_Toc164705898"/>
      <w:r w:rsidRPr="00FA5A7A">
        <w:rPr>
          <w:rFonts w:cs="Open Sans"/>
          <w:b/>
          <w:bCs w:val="0"/>
          <w:i/>
          <w:iCs/>
        </w:rPr>
        <w:t>Minister’s decision not to consider intervening in Mr CZ’s case under s 195A of the Migration Act</w:t>
      </w:r>
      <w:bookmarkEnd w:id="80"/>
      <w:bookmarkEnd w:id="81"/>
    </w:p>
    <w:p w14:paraId="343CC3E4" w14:textId="76106A78" w:rsidR="00EA1E73" w:rsidRPr="00B67F37" w:rsidRDefault="00EA1E73" w:rsidP="002A7D47">
      <w:pPr>
        <w:numPr>
          <w:ilvl w:val="0"/>
          <w:numId w:val="22"/>
        </w:numPr>
        <w:rPr>
          <w:rFonts w:cs="Open Sans"/>
        </w:rPr>
      </w:pPr>
      <w:r w:rsidRPr="00B67F37">
        <w:rPr>
          <w:rFonts w:cs="Open Sans"/>
        </w:rPr>
        <w:t xml:space="preserve">As mentioned above, the Department commenced the 2018 </w:t>
      </w:r>
      <w:r w:rsidR="006D2B82">
        <w:rPr>
          <w:rFonts w:cs="Open Sans"/>
        </w:rPr>
        <w:t xml:space="preserve">s </w:t>
      </w:r>
      <w:r w:rsidRPr="00B67F37">
        <w:rPr>
          <w:rFonts w:cs="Open Sans"/>
        </w:rPr>
        <w:t xml:space="preserve">195A Ministerial submission shortly after </w:t>
      </w:r>
      <w:r>
        <w:rPr>
          <w:rFonts w:cs="Open Sans"/>
        </w:rPr>
        <w:t>Mr CZ</w:t>
      </w:r>
      <w:r w:rsidRPr="00B67F37">
        <w:rPr>
          <w:rFonts w:cs="Open Sans"/>
        </w:rPr>
        <w:t xml:space="preserve">’s criminal matters were resolved. The Department referred </w:t>
      </w:r>
      <w:r>
        <w:rPr>
          <w:rFonts w:cs="Open Sans"/>
        </w:rPr>
        <w:t>Mr CZ</w:t>
      </w:r>
      <w:r w:rsidRPr="00B67F37">
        <w:rPr>
          <w:rFonts w:cs="Open Sans"/>
        </w:rPr>
        <w:t xml:space="preserve">’s case to the Minister for consideration on 11 October 2018. I refer to the key issues outlined in the Department’s first submission to the Minister summarised above (see [56]). </w:t>
      </w:r>
    </w:p>
    <w:p w14:paraId="1A33E1D0" w14:textId="3FD9A73F" w:rsidR="00EA1E73" w:rsidRPr="00B67F37" w:rsidRDefault="00EA1E73" w:rsidP="002A7D47">
      <w:pPr>
        <w:numPr>
          <w:ilvl w:val="0"/>
          <w:numId w:val="22"/>
        </w:numPr>
        <w:rPr>
          <w:rFonts w:cs="Open Sans"/>
        </w:rPr>
      </w:pPr>
      <w:r w:rsidRPr="00B67F37">
        <w:rPr>
          <w:rFonts w:cs="Open Sans"/>
        </w:rPr>
        <w:t xml:space="preserve">On 23 October 2018, the Minister declined to consider intervening in </w:t>
      </w:r>
      <w:r>
        <w:rPr>
          <w:rFonts w:cs="Open Sans"/>
        </w:rPr>
        <w:t>Mr</w:t>
      </w:r>
      <w:r w:rsidR="006A404F">
        <w:rPr>
          <w:rFonts w:cs="Open Sans"/>
        </w:rPr>
        <w:t> </w:t>
      </w:r>
      <w:r>
        <w:rPr>
          <w:rFonts w:cs="Open Sans"/>
        </w:rPr>
        <w:t>CZ</w:t>
      </w:r>
      <w:r w:rsidRPr="00B67F37">
        <w:rPr>
          <w:rFonts w:cs="Open Sans"/>
        </w:rPr>
        <w:t xml:space="preserve">’s case. The Minister communicated his decision by circling ‘not consider’ on the prepared first submission that requested the Minister indicate whether he was inclined to consider intervening under s 195A of the Migration Act to grant </w:t>
      </w:r>
      <w:r>
        <w:rPr>
          <w:rFonts w:cs="Open Sans"/>
        </w:rPr>
        <w:t>Mr CZ</w:t>
      </w:r>
      <w:r w:rsidRPr="00B67F37">
        <w:rPr>
          <w:rFonts w:cs="Open Sans"/>
        </w:rPr>
        <w:t xml:space="preserve"> a final departure BVE valid for six months. No reasons for the Minister’s decision were given.</w:t>
      </w:r>
      <w:r w:rsidR="00A94E47">
        <w:rPr>
          <w:rFonts w:cs="Open Sans"/>
        </w:rPr>
        <w:t xml:space="preserve"> </w:t>
      </w:r>
    </w:p>
    <w:p w14:paraId="536AB630" w14:textId="5DD7C0F6" w:rsidR="00EA1E73" w:rsidRPr="00B67F37" w:rsidRDefault="00EA1E73" w:rsidP="002A7D47">
      <w:pPr>
        <w:numPr>
          <w:ilvl w:val="0"/>
          <w:numId w:val="22"/>
        </w:numPr>
        <w:rPr>
          <w:rFonts w:cs="Open Sans"/>
        </w:rPr>
      </w:pPr>
      <w:r w:rsidRPr="00B67F37">
        <w:rPr>
          <w:rFonts w:cs="Open Sans"/>
        </w:rPr>
        <w:t xml:space="preserve">Although the Minister was not required to give reasons, without written reasons it is difficult to understand the factors that the Minister considered weighed against considering </w:t>
      </w:r>
      <w:r>
        <w:rPr>
          <w:rFonts w:cs="Open Sans"/>
        </w:rPr>
        <w:t>Mr CZ</w:t>
      </w:r>
      <w:r w:rsidRPr="00B67F37">
        <w:rPr>
          <w:rFonts w:cs="Open Sans"/>
        </w:rPr>
        <w:t xml:space="preserve">’s case. Significantly, in its first submission, the Department informed the Minister that it had not identified any security concerns or threats to the community in releasing </w:t>
      </w:r>
      <w:r>
        <w:rPr>
          <w:rFonts w:cs="Open Sans"/>
        </w:rPr>
        <w:t>Mr CZ</w:t>
      </w:r>
      <w:r w:rsidRPr="00B67F37">
        <w:rPr>
          <w:rFonts w:cs="Open Sans"/>
        </w:rPr>
        <w:t xml:space="preserve"> into the community on a BVE. If the Minister had any such concerns, he could have asked the Department to conduct a risk assessment further to the CPAT to consider whether any risks could be mitigated. It does not appear that he did so. </w:t>
      </w:r>
    </w:p>
    <w:p w14:paraId="3FDC302C" w14:textId="2C8F30B1" w:rsidR="00EA1E73" w:rsidRPr="00B67F37" w:rsidRDefault="00EA1E73" w:rsidP="002A7D47">
      <w:pPr>
        <w:numPr>
          <w:ilvl w:val="0"/>
          <w:numId w:val="22"/>
        </w:numPr>
        <w:rPr>
          <w:rFonts w:cs="Open Sans"/>
        </w:rPr>
      </w:pPr>
      <w:r w:rsidRPr="00B67F37">
        <w:rPr>
          <w:rFonts w:cs="Open Sans"/>
        </w:rPr>
        <w:t xml:space="preserve">The Minister was also made aware of the key issues that would affect </w:t>
      </w:r>
      <w:r>
        <w:rPr>
          <w:rFonts w:cs="Open Sans"/>
        </w:rPr>
        <w:t>Mr</w:t>
      </w:r>
      <w:r w:rsidR="006A404F">
        <w:rPr>
          <w:rFonts w:cs="Open Sans"/>
        </w:rPr>
        <w:t> </w:t>
      </w:r>
      <w:r>
        <w:rPr>
          <w:rFonts w:cs="Open Sans"/>
        </w:rPr>
        <w:t>CZ</w:t>
      </w:r>
      <w:r w:rsidRPr="00B67F37">
        <w:rPr>
          <w:rFonts w:cs="Open Sans"/>
        </w:rPr>
        <w:t xml:space="preserve">’s ability to be removed from Australia, in particular the fact that his protection claims were still to be assessed as a result of being affected by SZQRB, and the Department’s inability to progress involuntary removal to Iran. </w:t>
      </w:r>
    </w:p>
    <w:p w14:paraId="7D30CE90" w14:textId="36401AD5" w:rsidR="00EA1E73" w:rsidRPr="00B67F37" w:rsidRDefault="00EA1E73" w:rsidP="002A7D47">
      <w:pPr>
        <w:numPr>
          <w:ilvl w:val="0"/>
          <w:numId w:val="22"/>
        </w:numPr>
        <w:rPr>
          <w:rFonts w:cs="Open Sans"/>
        </w:rPr>
      </w:pPr>
      <w:r w:rsidRPr="00B67F37">
        <w:rPr>
          <w:rFonts w:cs="Open Sans"/>
        </w:rPr>
        <w:t xml:space="preserve">In light of the available alternatives to closed detention within the Minister’s powers, and </w:t>
      </w:r>
      <w:r>
        <w:rPr>
          <w:rFonts w:cs="Open Sans"/>
        </w:rPr>
        <w:t>Mr CZ</w:t>
      </w:r>
      <w:r w:rsidRPr="00B67F37">
        <w:rPr>
          <w:rFonts w:cs="Open Sans"/>
        </w:rPr>
        <w:t xml:space="preserve">’s circumstances, I find that the Minister’s decision not to consider exercising his power under s 195A of the </w:t>
      </w:r>
      <w:r w:rsidRPr="00B67F37">
        <w:rPr>
          <w:rFonts w:cs="Open Sans"/>
        </w:rPr>
        <w:lastRenderedPageBreak/>
        <w:t xml:space="preserve">Migration Act contributed to the continued detention of </w:t>
      </w:r>
      <w:r>
        <w:rPr>
          <w:rFonts w:cs="Open Sans"/>
        </w:rPr>
        <w:t>Mr CZ</w:t>
      </w:r>
      <w:r w:rsidRPr="00B67F37">
        <w:rPr>
          <w:rFonts w:cs="Open Sans"/>
        </w:rPr>
        <w:t xml:space="preserve"> without proper justification in the particular circumstances of his case. I find that that </w:t>
      </w:r>
      <w:r>
        <w:rPr>
          <w:rFonts w:cs="Open Sans"/>
        </w:rPr>
        <w:t>Mr CZ</w:t>
      </w:r>
      <w:r w:rsidRPr="00B67F37">
        <w:rPr>
          <w:rFonts w:cs="Open Sans"/>
        </w:rPr>
        <w:t xml:space="preserve">’s continued detention was not reasonable, necessary or proportionate and accordingly, may be considered ‘arbitrary’ for the purposes of article 9(1) of the ICCPR. </w:t>
      </w:r>
    </w:p>
    <w:p w14:paraId="54716E8F" w14:textId="7236E457" w:rsidR="00EA1E73" w:rsidRPr="00FA5A7A" w:rsidRDefault="00EA1E73" w:rsidP="00EA1E73">
      <w:pPr>
        <w:pStyle w:val="Heading3"/>
        <w:rPr>
          <w:rFonts w:cs="Open Sans"/>
          <w:b/>
          <w:bCs w:val="0"/>
          <w:i/>
          <w:iCs/>
          <w:szCs w:val="24"/>
        </w:rPr>
      </w:pPr>
      <w:bookmarkStart w:id="82" w:name="_Toc156817226"/>
      <w:bookmarkStart w:id="83" w:name="_Toc164705899"/>
      <w:r w:rsidRPr="00FA5A7A">
        <w:rPr>
          <w:rFonts w:cs="Open Sans"/>
          <w:b/>
          <w:bCs w:val="0"/>
          <w:i/>
          <w:iCs/>
          <w:szCs w:val="24"/>
        </w:rPr>
        <w:t xml:space="preserve">Delay </w:t>
      </w:r>
      <w:r w:rsidRPr="00FA5A7A">
        <w:rPr>
          <w:rStyle w:val="Heading1Char"/>
          <w:rFonts w:cs="Open Sans"/>
          <w:i/>
          <w:iCs/>
          <w:sz w:val="24"/>
          <w:szCs w:val="24"/>
        </w:rPr>
        <w:t>in in referring Mr CZ’s case to the Minister again for consideration under s 195A of the Migration Act for over four years until February 2023</w:t>
      </w:r>
      <w:bookmarkEnd w:id="82"/>
      <w:bookmarkEnd w:id="83"/>
    </w:p>
    <w:p w14:paraId="1EAB54B8" w14:textId="51E3363B" w:rsidR="00EA1E73" w:rsidRPr="00B67F37" w:rsidRDefault="00EA1E73" w:rsidP="002A7D47">
      <w:pPr>
        <w:numPr>
          <w:ilvl w:val="0"/>
          <w:numId w:val="22"/>
        </w:numPr>
        <w:rPr>
          <w:rFonts w:cs="Open Sans"/>
        </w:rPr>
      </w:pPr>
      <w:r w:rsidRPr="00B67F37">
        <w:rPr>
          <w:rFonts w:cs="Open Sans"/>
        </w:rPr>
        <w:t>As a result of the impact of</w:t>
      </w:r>
      <w:r w:rsidRPr="000C1165">
        <w:rPr>
          <w:rFonts w:cs="Open Sans"/>
          <w:i/>
          <w:iCs/>
        </w:rPr>
        <w:t xml:space="preserve"> SZQRB</w:t>
      </w:r>
      <w:r w:rsidRPr="00B67F37">
        <w:rPr>
          <w:rFonts w:cs="Open Sans"/>
        </w:rPr>
        <w:t xml:space="preserve"> on </w:t>
      </w:r>
      <w:r>
        <w:rPr>
          <w:rFonts w:cs="Open Sans"/>
        </w:rPr>
        <w:t>Mr CZ</w:t>
      </w:r>
      <w:r w:rsidRPr="00B67F37">
        <w:rPr>
          <w:rFonts w:cs="Open Sans"/>
        </w:rPr>
        <w:t xml:space="preserve">’s protection claims, the Department commenced the s 46A Ministerial submission with the intention that once the Minister intervened and lifted the s 46A bar, </w:t>
      </w:r>
      <w:r>
        <w:rPr>
          <w:rFonts w:cs="Open Sans"/>
        </w:rPr>
        <w:t>Mr CZ</w:t>
      </w:r>
      <w:r w:rsidRPr="00B67F37">
        <w:rPr>
          <w:rFonts w:cs="Open Sans"/>
        </w:rPr>
        <w:t xml:space="preserve"> would be able to lodge a TPV or SHEV and have his protection claims assessed through the statutory process. </w:t>
      </w:r>
    </w:p>
    <w:p w14:paraId="2DDDD87B" w14:textId="72E2AEBD" w:rsidR="00EA1E73" w:rsidRPr="00B67F37" w:rsidRDefault="00EA1E73" w:rsidP="002A7D47">
      <w:pPr>
        <w:numPr>
          <w:ilvl w:val="0"/>
          <w:numId w:val="22"/>
        </w:numPr>
        <w:rPr>
          <w:rFonts w:cs="Open Sans"/>
        </w:rPr>
      </w:pPr>
      <w:r w:rsidRPr="00B67F37">
        <w:rPr>
          <w:rFonts w:cs="Open Sans"/>
        </w:rPr>
        <w:t>The Department then commenced the 2020</w:t>
      </w:r>
      <w:r w:rsidR="006D2B82">
        <w:rPr>
          <w:rFonts w:cs="Open Sans"/>
        </w:rPr>
        <w:t xml:space="preserve"> s</w:t>
      </w:r>
      <w:r w:rsidRPr="00B67F37">
        <w:rPr>
          <w:rFonts w:cs="Open Sans"/>
        </w:rPr>
        <w:t xml:space="preserve"> 195A Ministerial assessment and on 27 February 2020</w:t>
      </w:r>
      <w:r>
        <w:rPr>
          <w:rFonts w:cs="Open Sans"/>
        </w:rPr>
        <w:t>,</w:t>
      </w:r>
      <w:r w:rsidRPr="00B67F37">
        <w:rPr>
          <w:rFonts w:cs="Open Sans"/>
        </w:rPr>
        <w:t xml:space="preserve"> assessed that </w:t>
      </w:r>
      <w:r>
        <w:rPr>
          <w:rFonts w:cs="Open Sans"/>
        </w:rPr>
        <w:t>Mr CZ</w:t>
      </w:r>
      <w:r w:rsidRPr="00B67F37">
        <w:rPr>
          <w:rFonts w:cs="Open Sans"/>
        </w:rPr>
        <w:t>’s case did meet the s</w:t>
      </w:r>
      <w:r>
        <w:rPr>
          <w:rFonts w:cs="Open Sans"/>
        </w:rPr>
        <w:t> </w:t>
      </w:r>
      <w:r w:rsidRPr="00B67F37">
        <w:rPr>
          <w:rFonts w:cs="Open Sans"/>
        </w:rPr>
        <w:t>195A Guidelines for referral to the Minister. The basis of this assessment as set out in the ‘195A Guidelines Assessment for a Person in s189 Detention’ dated 2</w:t>
      </w:r>
      <w:r>
        <w:rPr>
          <w:rFonts w:cs="Open Sans"/>
        </w:rPr>
        <w:t> </w:t>
      </w:r>
      <w:r w:rsidRPr="00B67F37">
        <w:rPr>
          <w:rFonts w:cs="Open Sans"/>
        </w:rPr>
        <w:t xml:space="preserve">December 2019 was that </w:t>
      </w:r>
      <w:r>
        <w:rPr>
          <w:rFonts w:cs="Open Sans"/>
        </w:rPr>
        <w:t>Mr CZ</w:t>
      </w:r>
      <w:r w:rsidRPr="00B67F37">
        <w:rPr>
          <w:rFonts w:cs="Open Sans"/>
        </w:rPr>
        <w:t xml:space="preserve"> had an ongoing s 46A Ministerial submission, his criminal charges were all dismissed, he had already spent extended time in detention, had no significant or violent incidents while in detention, and </w:t>
      </w:r>
      <w:r>
        <w:rPr>
          <w:rFonts w:cs="Open Sans"/>
        </w:rPr>
        <w:t xml:space="preserve">his </w:t>
      </w:r>
      <w:r w:rsidRPr="00B67F37">
        <w:rPr>
          <w:rFonts w:cs="Open Sans"/>
        </w:rPr>
        <w:t xml:space="preserve">CPAT was recommending a Tier 1 – Bridging visa with conditions. </w:t>
      </w:r>
    </w:p>
    <w:p w14:paraId="32C6C505" w14:textId="477FF5AA" w:rsidR="00EA1E73" w:rsidRPr="00B67F37" w:rsidRDefault="00EA1E73" w:rsidP="002A7D47">
      <w:pPr>
        <w:numPr>
          <w:ilvl w:val="0"/>
          <w:numId w:val="22"/>
        </w:numPr>
        <w:rPr>
          <w:rFonts w:cs="Open Sans"/>
        </w:rPr>
      </w:pPr>
      <w:r w:rsidRPr="00B67F37">
        <w:rPr>
          <w:rFonts w:cs="Open Sans"/>
        </w:rPr>
        <w:t xml:space="preserve">In my preliminary view, I stated that on 27 February 2020, the Department referred </w:t>
      </w:r>
      <w:r>
        <w:rPr>
          <w:rFonts w:cs="Open Sans"/>
        </w:rPr>
        <w:t>Mr CZ</w:t>
      </w:r>
      <w:r w:rsidRPr="00B67F37">
        <w:rPr>
          <w:rFonts w:cs="Open Sans"/>
        </w:rPr>
        <w:t xml:space="preserve">’s case to the Minister for his consideration under s 195A of the Migration Act. The Department has since clarified that the 2020 </w:t>
      </w:r>
      <w:r w:rsidR="00576DCD">
        <w:rPr>
          <w:rFonts w:cs="Open Sans"/>
        </w:rPr>
        <w:t xml:space="preserve">s </w:t>
      </w:r>
      <w:r w:rsidRPr="00B67F37">
        <w:rPr>
          <w:rFonts w:cs="Open Sans"/>
        </w:rPr>
        <w:t>195A Ministerial assessment was never referred to the Minister.</w:t>
      </w:r>
    </w:p>
    <w:p w14:paraId="0E811E98" w14:textId="256F1129" w:rsidR="00EA1E73" w:rsidRPr="00B67F37" w:rsidRDefault="00EA1E73" w:rsidP="002A7D47">
      <w:pPr>
        <w:numPr>
          <w:ilvl w:val="0"/>
          <w:numId w:val="22"/>
        </w:numPr>
        <w:rPr>
          <w:rFonts w:cs="Open Sans"/>
        </w:rPr>
      </w:pPr>
      <w:r w:rsidRPr="00B67F37">
        <w:rPr>
          <w:rFonts w:cs="Open Sans"/>
        </w:rPr>
        <w:t>According to the ‘Assessment Against the s195A and s197AB Ministerial Guidelines For a Person in s189 Held Detention’ dated 15 March 2021, the 2020</w:t>
      </w:r>
      <w:r w:rsidR="00576DCD">
        <w:rPr>
          <w:rFonts w:cs="Open Sans"/>
        </w:rPr>
        <w:t xml:space="preserve"> s</w:t>
      </w:r>
      <w:r w:rsidRPr="00B67F37">
        <w:rPr>
          <w:rFonts w:cs="Open Sans"/>
        </w:rPr>
        <w:t xml:space="preserve"> 195A Ministerial assessment was put on hold due to ‘Covid-19 pandemic processing delays’. In the meantime, the Minister intervened under s 46A of the Migration Act and allowed </w:t>
      </w:r>
      <w:r>
        <w:rPr>
          <w:rFonts w:cs="Open Sans"/>
        </w:rPr>
        <w:t>Mr CZ</w:t>
      </w:r>
      <w:r w:rsidRPr="00B67F37">
        <w:rPr>
          <w:rFonts w:cs="Open Sans"/>
        </w:rPr>
        <w:t xml:space="preserve"> to lodge a TPV or SHEV. </w:t>
      </w:r>
      <w:r>
        <w:rPr>
          <w:rFonts w:cs="Open Sans"/>
        </w:rPr>
        <w:t>Mr CZ</w:t>
      </w:r>
      <w:r w:rsidRPr="00B67F37">
        <w:rPr>
          <w:rFonts w:cs="Open Sans"/>
        </w:rPr>
        <w:t xml:space="preserve"> lodged a SHEV application and was unsuccessful. Merits review at the AAT affirmed the </w:t>
      </w:r>
      <w:r>
        <w:rPr>
          <w:rFonts w:cs="Open Sans"/>
        </w:rPr>
        <w:t>d</w:t>
      </w:r>
      <w:r w:rsidRPr="00B67F37">
        <w:rPr>
          <w:rFonts w:cs="Open Sans"/>
        </w:rPr>
        <w:t>epartment</w:t>
      </w:r>
      <w:r>
        <w:rPr>
          <w:rFonts w:cs="Open Sans"/>
        </w:rPr>
        <w:t>al</w:t>
      </w:r>
      <w:r w:rsidRPr="00B67F37">
        <w:rPr>
          <w:rFonts w:cs="Open Sans"/>
        </w:rPr>
        <w:t xml:space="preserve"> decision to refuse his SHEV application. </w:t>
      </w:r>
    </w:p>
    <w:p w14:paraId="0A7F7587" w14:textId="07BBD534" w:rsidR="00EA1E73" w:rsidRPr="00B67F37" w:rsidRDefault="00EA1E73" w:rsidP="002A7D47">
      <w:pPr>
        <w:numPr>
          <w:ilvl w:val="0"/>
          <w:numId w:val="22"/>
        </w:numPr>
        <w:rPr>
          <w:rFonts w:cs="Open Sans"/>
        </w:rPr>
      </w:pPr>
      <w:r w:rsidRPr="00B67F37">
        <w:rPr>
          <w:rFonts w:cs="Open Sans"/>
        </w:rPr>
        <w:t xml:space="preserve">By 16 July 2021, the 2020 </w:t>
      </w:r>
      <w:r w:rsidR="00576DCD">
        <w:rPr>
          <w:rFonts w:cs="Open Sans"/>
        </w:rPr>
        <w:t xml:space="preserve">s </w:t>
      </w:r>
      <w:r w:rsidRPr="00B67F37">
        <w:rPr>
          <w:rFonts w:cs="Open Sans"/>
        </w:rPr>
        <w:t xml:space="preserve">195A Ministerial assessment had still not been referred to the Minister. The Department reassessed </w:t>
      </w:r>
      <w:r>
        <w:rPr>
          <w:rFonts w:cs="Open Sans"/>
        </w:rPr>
        <w:t>Mr CZ</w:t>
      </w:r>
      <w:r w:rsidRPr="00B67F37">
        <w:rPr>
          <w:rFonts w:cs="Open Sans"/>
        </w:rPr>
        <w:t xml:space="preserve">’s case and </w:t>
      </w:r>
      <w:r w:rsidRPr="00B67F37">
        <w:rPr>
          <w:rFonts w:cs="Open Sans"/>
        </w:rPr>
        <w:lastRenderedPageBreak/>
        <w:t xml:space="preserve">found that he no longer met the s 195A Guidelines. The Ministerial </w:t>
      </w:r>
      <w:r>
        <w:rPr>
          <w:rFonts w:cs="Open Sans"/>
        </w:rPr>
        <w:t xml:space="preserve">assessment </w:t>
      </w:r>
      <w:r w:rsidRPr="00B67F37">
        <w:rPr>
          <w:rFonts w:cs="Open Sans"/>
        </w:rPr>
        <w:t>was then finalised as ‘not referred’.</w:t>
      </w:r>
    </w:p>
    <w:p w14:paraId="56CC7A62" w14:textId="6CE9A9DB" w:rsidR="00EA1E73" w:rsidRPr="00B67F37" w:rsidRDefault="00EA1E73" w:rsidP="002A7D47">
      <w:pPr>
        <w:numPr>
          <w:ilvl w:val="0"/>
          <w:numId w:val="22"/>
        </w:numPr>
        <w:rPr>
          <w:rFonts w:cs="Open Sans"/>
        </w:rPr>
      </w:pPr>
      <w:r w:rsidRPr="00B67F37">
        <w:rPr>
          <w:rFonts w:cs="Open Sans"/>
        </w:rPr>
        <w:t xml:space="preserve">Following this, the Department commenced two further ministerial intervention processes to assess </w:t>
      </w:r>
      <w:r>
        <w:rPr>
          <w:rFonts w:cs="Open Sans"/>
        </w:rPr>
        <w:t>Mr CZ</w:t>
      </w:r>
      <w:r w:rsidRPr="00B67F37">
        <w:rPr>
          <w:rFonts w:cs="Open Sans"/>
        </w:rPr>
        <w:t>’s case against both</w:t>
      </w:r>
      <w:r w:rsidR="004863FA">
        <w:rPr>
          <w:rFonts w:cs="Open Sans"/>
        </w:rPr>
        <w:t xml:space="preserve"> the</w:t>
      </w:r>
      <w:r w:rsidRPr="00B67F37">
        <w:rPr>
          <w:rFonts w:cs="Open Sans"/>
        </w:rPr>
        <w:t xml:space="preserve"> s 195A and </w:t>
      </w:r>
      <w:r w:rsidR="004863FA">
        <w:rPr>
          <w:rFonts w:cs="Open Sans"/>
        </w:rPr>
        <w:t xml:space="preserve">s </w:t>
      </w:r>
      <w:r w:rsidRPr="00B67F37">
        <w:rPr>
          <w:rFonts w:cs="Open Sans"/>
        </w:rPr>
        <w:t xml:space="preserve">197AB Guidelines, one on 15 March 2021 and one on 11 June 2022. For both assessments, the Department assessed that </w:t>
      </w:r>
      <w:r>
        <w:rPr>
          <w:rFonts w:cs="Open Sans"/>
        </w:rPr>
        <w:t>Mr CZ</w:t>
      </w:r>
      <w:r w:rsidRPr="00B67F37">
        <w:rPr>
          <w:rFonts w:cs="Open Sans"/>
        </w:rPr>
        <w:t xml:space="preserve"> did not meet the guidelines and the ‘Assessment Against the s195A and s197AB Ministerial Guidelines For a Person in s189 Held Detention’ dated 2 March 2022 and 29 June 2022, state that </w:t>
      </w:r>
      <w:r>
        <w:rPr>
          <w:rFonts w:cs="Open Sans"/>
        </w:rPr>
        <w:t>Mr CZ</w:t>
      </w:r>
      <w:r w:rsidRPr="00B67F37">
        <w:rPr>
          <w:rFonts w:cs="Open Sans"/>
        </w:rPr>
        <w:t xml:space="preserve"> should not be referred to the Minister for the following reasons:</w:t>
      </w:r>
    </w:p>
    <w:p w14:paraId="7D7FE03C" w14:textId="122FC562" w:rsidR="00EA1E73" w:rsidRPr="00B67F37" w:rsidRDefault="00EA1E73" w:rsidP="00C23463">
      <w:pPr>
        <w:pStyle w:val="Style2"/>
      </w:pPr>
      <w:r>
        <w:t>Mr CZ</w:t>
      </w:r>
      <w:r w:rsidRPr="00B67F37">
        <w:t xml:space="preserve"> has no outstanding immigration matter and is not cooperating with efforts to effect </w:t>
      </w:r>
      <w:r>
        <w:t>his</w:t>
      </w:r>
      <w:r w:rsidRPr="00B67F37">
        <w:t xml:space="preserve"> departure from Australia</w:t>
      </w:r>
    </w:p>
    <w:p w14:paraId="2DCA4772" w14:textId="562D8B64" w:rsidR="00EA1E73" w:rsidRPr="00B67F37" w:rsidRDefault="00EA1E73" w:rsidP="00C23463">
      <w:pPr>
        <w:pStyle w:val="Style2"/>
      </w:pPr>
      <w:r>
        <w:t>h</w:t>
      </w:r>
      <w:r w:rsidRPr="00B67F37">
        <w:t xml:space="preserve">e has been previously considered by the Minister or has previously been found not to meet any guidelines, and there </w:t>
      </w:r>
      <w:r w:rsidR="00B838F6" w:rsidRPr="00B67F37">
        <w:t>have</w:t>
      </w:r>
      <w:r w:rsidRPr="00B67F37">
        <w:t xml:space="preserve"> been no significant changes to his circumstances. </w:t>
      </w:r>
    </w:p>
    <w:p w14:paraId="4423BEC0" w14:textId="5137AE80" w:rsidR="00EA1E73" w:rsidRPr="00B67F37" w:rsidRDefault="00EA1E73" w:rsidP="002A7D47">
      <w:pPr>
        <w:numPr>
          <w:ilvl w:val="0"/>
          <w:numId w:val="22"/>
        </w:numPr>
        <w:rPr>
          <w:rFonts w:cs="Open Sans"/>
        </w:rPr>
      </w:pPr>
      <w:r w:rsidRPr="00B67F37">
        <w:rPr>
          <w:rFonts w:cs="Open Sans"/>
        </w:rPr>
        <w:t>It is apparent that</w:t>
      </w:r>
      <w:r>
        <w:rPr>
          <w:rFonts w:cs="Open Sans"/>
        </w:rPr>
        <w:t>,</w:t>
      </w:r>
      <w:r w:rsidRPr="00B67F37">
        <w:rPr>
          <w:rFonts w:cs="Open Sans"/>
        </w:rPr>
        <w:t xml:space="preserve"> were it not for the processing delays caused by the COVID-19 pandemic, the Minister would have considered the 2020</w:t>
      </w:r>
      <w:r w:rsidR="00576DCD">
        <w:rPr>
          <w:rFonts w:cs="Open Sans"/>
        </w:rPr>
        <w:t xml:space="preserve"> s</w:t>
      </w:r>
      <w:r w:rsidRPr="00B67F37">
        <w:rPr>
          <w:rFonts w:cs="Open Sans"/>
        </w:rPr>
        <w:t xml:space="preserve"> 195A Ministerial assessment sometime after 27 February 2020. It is unclear, however, on the material before me, why C</w:t>
      </w:r>
      <w:r>
        <w:rPr>
          <w:rFonts w:cs="Open Sans"/>
        </w:rPr>
        <w:t>OVID</w:t>
      </w:r>
      <w:r w:rsidRPr="00B67F37">
        <w:rPr>
          <w:rFonts w:cs="Open Sans"/>
        </w:rPr>
        <w:t xml:space="preserve">-19 caused such significant processing delays. The Department’s response states only that </w:t>
      </w:r>
      <w:r>
        <w:rPr>
          <w:rFonts w:cs="Open Sans"/>
        </w:rPr>
        <w:t>‘</w:t>
      </w:r>
      <w:r w:rsidRPr="00B67F37">
        <w:rPr>
          <w:rFonts w:cs="Open Sans"/>
        </w:rPr>
        <w:t>the Department focused its efforts on the Government’s COVID-19 response and diverted resources to critical functions</w:t>
      </w:r>
      <w:r>
        <w:rPr>
          <w:rFonts w:cs="Open Sans"/>
        </w:rPr>
        <w:t>’</w:t>
      </w:r>
      <w:r w:rsidRPr="00B67F37">
        <w:rPr>
          <w:rFonts w:cs="Open Sans"/>
        </w:rPr>
        <w:t xml:space="preserve">. </w:t>
      </w:r>
    </w:p>
    <w:p w14:paraId="2A599987" w14:textId="28DB8BCE" w:rsidR="00EA1E73" w:rsidRPr="00B67F37" w:rsidRDefault="00EA1E73" w:rsidP="002A7D47">
      <w:pPr>
        <w:numPr>
          <w:ilvl w:val="0"/>
          <w:numId w:val="22"/>
        </w:numPr>
        <w:rPr>
          <w:rStyle w:val="normaltextrun"/>
          <w:rFonts w:cs="Open Sans"/>
        </w:rPr>
      </w:pPr>
      <w:r w:rsidRPr="00B67F37">
        <w:rPr>
          <w:rFonts w:cs="Open Sans"/>
        </w:rPr>
        <w:t xml:space="preserve">In this regard, I wish to highlight </w:t>
      </w:r>
      <w:r w:rsidRPr="00B67F37">
        <w:rPr>
          <w:rStyle w:val="normaltextrun"/>
          <w:rFonts w:cs="Open Sans"/>
          <w:color w:val="000000"/>
          <w:shd w:val="clear" w:color="auto" w:fill="FFFFFF"/>
        </w:rPr>
        <w:t xml:space="preserve">the Commission’s June 2021 report, </w:t>
      </w:r>
      <w:r w:rsidRPr="00B67F37">
        <w:rPr>
          <w:rStyle w:val="normaltextrun"/>
          <w:rFonts w:cs="Open Sans"/>
          <w:i/>
          <w:iCs/>
          <w:color w:val="000000"/>
          <w:shd w:val="clear" w:color="auto" w:fill="FFFFFF"/>
        </w:rPr>
        <w:t xml:space="preserve">Management of </w:t>
      </w:r>
      <w:r w:rsidRPr="00B67F37">
        <w:rPr>
          <w:rStyle w:val="findhit"/>
          <w:rFonts w:cs="Open Sans"/>
          <w:i/>
          <w:iCs/>
          <w:color w:val="000000"/>
          <w:shd w:val="clear" w:color="auto" w:fill="FFFFFF"/>
        </w:rPr>
        <w:t>COVID</w:t>
      </w:r>
      <w:r w:rsidRPr="00B67F37">
        <w:rPr>
          <w:rStyle w:val="normaltextrun"/>
          <w:rFonts w:cs="Open Sans"/>
          <w:i/>
          <w:iCs/>
          <w:color w:val="000000"/>
          <w:shd w:val="clear" w:color="auto" w:fill="FFFFFF"/>
        </w:rPr>
        <w:t>-19 risks in immigration detention</w:t>
      </w:r>
      <w:r w:rsidRPr="00B67F37">
        <w:rPr>
          <w:rStyle w:val="normaltextrun"/>
          <w:rFonts w:cs="Open Sans"/>
          <w:color w:val="000000"/>
          <w:shd w:val="clear" w:color="auto" w:fill="FFFFFF"/>
        </w:rPr>
        <w:t xml:space="preserve">, which noted that under international law, Australia is obliged to adopt measures that address risks associated with </w:t>
      </w:r>
      <w:r w:rsidRPr="00B67F37">
        <w:rPr>
          <w:rStyle w:val="findhit"/>
          <w:rFonts w:cs="Open Sans"/>
          <w:color w:val="000000"/>
          <w:shd w:val="clear" w:color="auto" w:fill="FFFFFF"/>
        </w:rPr>
        <w:t>COVID</w:t>
      </w:r>
      <w:r w:rsidRPr="00B67F37">
        <w:rPr>
          <w:rStyle w:val="normaltextrun"/>
          <w:rFonts w:cs="Open Sans"/>
          <w:color w:val="000000"/>
          <w:shd w:val="clear" w:color="auto" w:fill="FFFFFF"/>
        </w:rPr>
        <w:t>-19 in ways that minimise any negative human rights</w:t>
      </w:r>
      <w:r w:rsidR="00BD717D">
        <w:rPr>
          <w:rStyle w:val="normaltextrun"/>
          <w:rFonts w:cs="Open Sans"/>
          <w:color w:val="000000"/>
          <w:shd w:val="clear" w:color="auto" w:fill="FFFFFF"/>
        </w:rPr>
        <w:t xml:space="preserve"> impacts</w:t>
      </w:r>
      <w:r w:rsidRPr="00B67F37">
        <w:rPr>
          <w:rStyle w:val="normaltextrun"/>
          <w:rFonts w:cs="Open Sans"/>
          <w:color w:val="000000"/>
          <w:shd w:val="clear" w:color="auto" w:fill="FFFFFF"/>
        </w:rPr>
        <w:t>.</w:t>
      </w:r>
      <w:r w:rsidRPr="00B67F37">
        <w:rPr>
          <w:rStyle w:val="EndnoteReference"/>
          <w:rFonts w:cs="Open Sans"/>
          <w:color w:val="000000"/>
          <w:shd w:val="clear" w:color="auto" w:fill="FFFFFF"/>
        </w:rPr>
        <w:endnoteReference w:id="24"/>
      </w:r>
      <w:r w:rsidRPr="00B67F37">
        <w:rPr>
          <w:rStyle w:val="EndnoteReference"/>
          <w:rFonts w:cs="Open Sans"/>
        </w:rPr>
        <w:t xml:space="preserve"> </w:t>
      </w:r>
      <w:r w:rsidRPr="00B67F37">
        <w:rPr>
          <w:rStyle w:val="normaltextrun"/>
          <w:rFonts w:cs="Open Sans"/>
          <w:color w:val="000000"/>
          <w:shd w:val="clear" w:color="auto" w:fill="FFFFFF"/>
        </w:rPr>
        <w:t xml:space="preserve">The pandemic should have been a basis to consider an alternative to held detention for </w:t>
      </w:r>
      <w:r>
        <w:rPr>
          <w:rStyle w:val="normaltextrun"/>
          <w:rFonts w:cs="Open Sans"/>
          <w:color w:val="000000"/>
          <w:shd w:val="clear" w:color="auto" w:fill="FFFFFF"/>
        </w:rPr>
        <w:t>Mr CZ</w:t>
      </w:r>
      <w:r w:rsidRPr="00B67F37">
        <w:rPr>
          <w:rStyle w:val="normaltextrun"/>
          <w:rFonts w:cs="Open Sans"/>
          <w:color w:val="000000"/>
          <w:shd w:val="clear" w:color="auto" w:fill="FFFFFF"/>
        </w:rPr>
        <w:t>, and refer him to the Minister for consideration of the grant of a visa</w:t>
      </w:r>
      <w:r>
        <w:rPr>
          <w:rStyle w:val="normaltextrun"/>
          <w:rFonts w:cs="Open Sans"/>
          <w:color w:val="000000"/>
          <w:shd w:val="clear" w:color="auto" w:fill="FFFFFF"/>
        </w:rPr>
        <w:t xml:space="preserve">, </w:t>
      </w:r>
      <w:r w:rsidRPr="00B67F37">
        <w:rPr>
          <w:rStyle w:val="normaltextrun"/>
          <w:rFonts w:cs="Open Sans"/>
          <w:color w:val="000000"/>
          <w:shd w:val="clear" w:color="auto" w:fill="FFFFFF"/>
        </w:rPr>
        <w:t xml:space="preserve">rather than a reason for the failure to progress his case. I note that according to the ‘IHMS Special Needs Health Assessment’ dated 24 November 2022, </w:t>
      </w:r>
      <w:r>
        <w:rPr>
          <w:rStyle w:val="normaltextrun"/>
          <w:rFonts w:cs="Open Sans"/>
          <w:color w:val="000000"/>
          <w:shd w:val="clear" w:color="auto" w:fill="FFFFFF"/>
        </w:rPr>
        <w:t>Mr CZ</w:t>
      </w:r>
      <w:r w:rsidRPr="00B67F37">
        <w:rPr>
          <w:rStyle w:val="normaltextrun"/>
          <w:rFonts w:cs="Open Sans"/>
          <w:color w:val="000000"/>
          <w:shd w:val="clear" w:color="auto" w:fill="FFFFFF"/>
        </w:rPr>
        <w:t xml:space="preserve"> tested positive for COVID-19 on 25 June 2022 while in detention and had to be placed in isolation. He reported only mild symptoms. </w:t>
      </w:r>
    </w:p>
    <w:p w14:paraId="4A639859" w14:textId="705DC85D" w:rsidR="00EA1E73" w:rsidRPr="00B67F37" w:rsidRDefault="00EA1E73" w:rsidP="002A7D47">
      <w:pPr>
        <w:numPr>
          <w:ilvl w:val="0"/>
          <w:numId w:val="22"/>
        </w:numPr>
        <w:rPr>
          <w:rStyle w:val="normaltextrun"/>
          <w:rFonts w:cs="Open Sans"/>
        </w:rPr>
      </w:pPr>
      <w:r w:rsidRPr="00B67F37">
        <w:rPr>
          <w:rStyle w:val="normaltextrun"/>
          <w:rFonts w:cs="Open Sans"/>
          <w:color w:val="000000"/>
          <w:shd w:val="clear" w:color="auto" w:fill="FFFFFF"/>
        </w:rPr>
        <w:t xml:space="preserve">It is also apparent from the IHMS documents that </w:t>
      </w:r>
      <w:r>
        <w:rPr>
          <w:rStyle w:val="normaltextrun"/>
          <w:rFonts w:cs="Open Sans"/>
          <w:color w:val="000000"/>
          <w:shd w:val="clear" w:color="auto" w:fill="FFFFFF"/>
        </w:rPr>
        <w:t>Mr CZ</w:t>
      </w:r>
      <w:r w:rsidRPr="00B67F37">
        <w:rPr>
          <w:rStyle w:val="normaltextrun"/>
          <w:rFonts w:cs="Open Sans"/>
          <w:color w:val="000000"/>
          <w:shd w:val="clear" w:color="auto" w:fill="FFFFFF"/>
        </w:rPr>
        <w:t xml:space="preserve">’s mental health deteriorated throughout this prolonged period of detention. When </w:t>
      </w:r>
      <w:r>
        <w:rPr>
          <w:rStyle w:val="normaltextrun"/>
          <w:rFonts w:cs="Open Sans"/>
          <w:color w:val="000000"/>
          <w:shd w:val="clear" w:color="auto" w:fill="FFFFFF"/>
        </w:rPr>
        <w:t>Mr CZ</w:t>
      </w:r>
      <w:r w:rsidRPr="00B67F37">
        <w:rPr>
          <w:rStyle w:val="normaltextrun"/>
          <w:rFonts w:cs="Open Sans"/>
          <w:color w:val="000000"/>
          <w:shd w:val="clear" w:color="auto" w:fill="FFFFFF"/>
        </w:rPr>
        <w:t xml:space="preserve"> was first detained in August 2017, he disclosed a history of substance abuse and was on the opioid treatment program while detained. In his first two years of immigration detention, while he was dealing with several physical health issues, little is noted within the IHMS Clinical Records </w:t>
      </w:r>
      <w:r w:rsidRPr="00B67F37">
        <w:rPr>
          <w:rStyle w:val="normaltextrun"/>
          <w:rFonts w:cs="Open Sans"/>
          <w:color w:val="000000"/>
          <w:shd w:val="clear" w:color="auto" w:fill="FFFFFF"/>
        </w:rPr>
        <w:lastRenderedPageBreak/>
        <w:t xml:space="preserve">about his mental health apart from his frustration with being in detention and stress about his legal situation. </w:t>
      </w:r>
    </w:p>
    <w:p w14:paraId="69D87309" w14:textId="77777777" w:rsidR="00EA1E73" w:rsidRPr="00B67F37" w:rsidRDefault="00EA1E73" w:rsidP="002A7D47">
      <w:pPr>
        <w:numPr>
          <w:ilvl w:val="0"/>
          <w:numId w:val="22"/>
        </w:numPr>
        <w:rPr>
          <w:rStyle w:val="normaltextrun"/>
          <w:rFonts w:cs="Open Sans"/>
        </w:rPr>
      </w:pPr>
      <w:r w:rsidRPr="00B67F37">
        <w:rPr>
          <w:rStyle w:val="normaltextrun"/>
          <w:rFonts w:cs="Open Sans"/>
          <w:color w:val="000000"/>
          <w:shd w:val="clear" w:color="auto" w:fill="FFFFFF"/>
        </w:rPr>
        <w:t xml:space="preserve">However, around March 2020, his partner in Australia died and it is noted in the IHMS Clinic Records dated 2 April 2020 that she was someone he depended on for moral support and the only person who visited him. Shortly after, around 13 April 2020, his mother died in Iran from a heart attack. According to the IHMS Clinical Record dated 15 April 2020, he said ‘he doesn’t know what he has done to deserve that and feels like God is punishing him’. </w:t>
      </w:r>
    </w:p>
    <w:p w14:paraId="2FC1FEE8" w14:textId="24D99696" w:rsidR="00EA1E73" w:rsidRPr="00B67F37" w:rsidRDefault="00EA1E73" w:rsidP="002A7D47">
      <w:pPr>
        <w:numPr>
          <w:ilvl w:val="0"/>
          <w:numId w:val="22"/>
        </w:numPr>
        <w:rPr>
          <w:rStyle w:val="normaltextrun"/>
          <w:rFonts w:cs="Open Sans"/>
        </w:rPr>
      </w:pPr>
      <w:r w:rsidRPr="00B67F37">
        <w:rPr>
          <w:rStyle w:val="normaltextrun"/>
          <w:rFonts w:cs="Open Sans"/>
          <w:color w:val="000000"/>
          <w:shd w:val="clear" w:color="auto" w:fill="FFFFFF"/>
        </w:rPr>
        <w:t xml:space="preserve">Following the death of his partner and mother, </w:t>
      </w:r>
      <w:r>
        <w:rPr>
          <w:rStyle w:val="normaltextrun"/>
          <w:rFonts w:cs="Open Sans"/>
          <w:color w:val="000000"/>
          <w:shd w:val="clear" w:color="auto" w:fill="FFFFFF"/>
        </w:rPr>
        <w:t>Mr CZ</w:t>
      </w:r>
      <w:r w:rsidRPr="00B67F37">
        <w:rPr>
          <w:rStyle w:val="normaltextrun"/>
          <w:rFonts w:cs="Open Sans"/>
          <w:color w:val="000000"/>
          <w:shd w:val="clear" w:color="auto" w:fill="FFFFFF"/>
        </w:rPr>
        <w:t xml:space="preserve">’s mental health deteriorated and IHMS referred him to the NSW Service for the Treatment and Rehabilitation of Torture and Trauma Survivors (STARTTS) for his mental state to be evaluated. The STARTTS Psychological Assessment Report dated 13 August 2020 describes </w:t>
      </w:r>
      <w:r>
        <w:rPr>
          <w:rStyle w:val="normaltextrun"/>
          <w:rFonts w:cs="Open Sans"/>
          <w:color w:val="000000"/>
          <w:shd w:val="clear" w:color="auto" w:fill="FFFFFF"/>
        </w:rPr>
        <w:t>Mr CZ</w:t>
      </w:r>
      <w:r w:rsidRPr="00B67F37">
        <w:rPr>
          <w:rStyle w:val="normaltextrun"/>
          <w:rFonts w:cs="Open Sans"/>
          <w:color w:val="000000"/>
          <w:shd w:val="clear" w:color="auto" w:fill="FFFFFF"/>
        </w:rPr>
        <w:t xml:space="preserve"> as ‘de-motivated and at times, sad’, and experiencing anxiety features and depressive symptoms that are ‘further intensified by his visa and protection application complications’. </w:t>
      </w:r>
    </w:p>
    <w:p w14:paraId="405CCD91" w14:textId="2D759039" w:rsidR="00EA1E73" w:rsidRPr="00B67F37" w:rsidRDefault="00EA1E73" w:rsidP="002A7D47">
      <w:pPr>
        <w:numPr>
          <w:ilvl w:val="0"/>
          <w:numId w:val="22"/>
        </w:numPr>
        <w:rPr>
          <w:rStyle w:val="normaltextrun"/>
          <w:rFonts w:cs="Open Sans"/>
        </w:rPr>
      </w:pPr>
      <w:r w:rsidRPr="00B67F37">
        <w:rPr>
          <w:rStyle w:val="normaltextrun"/>
          <w:rFonts w:cs="Open Sans"/>
        </w:rPr>
        <w:t xml:space="preserve">For the remainder of </w:t>
      </w:r>
      <w:r>
        <w:rPr>
          <w:rStyle w:val="normaltextrun"/>
          <w:rFonts w:cs="Open Sans"/>
        </w:rPr>
        <w:t>Mr CZ</w:t>
      </w:r>
      <w:r w:rsidRPr="00B67F37">
        <w:rPr>
          <w:rStyle w:val="normaltextrun"/>
          <w:rFonts w:cs="Open Sans"/>
        </w:rPr>
        <w:t xml:space="preserve">’s detention, IHMS records refer to his detention fatigue and frustration with his immigration situation, as well as his sadness and grief. Multiple IHMS Clinical Records describe the adverse impact of prolonged detention on </w:t>
      </w:r>
      <w:r>
        <w:rPr>
          <w:rStyle w:val="normaltextrun"/>
          <w:rFonts w:cs="Open Sans"/>
        </w:rPr>
        <w:t>Mr CZ</w:t>
      </w:r>
      <w:r w:rsidRPr="00B67F37">
        <w:rPr>
          <w:rStyle w:val="normaltextrun"/>
          <w:rFonts w:cs="Open Sans"/>
        </w:rPr>
        <w:t xml:space="preserve">’s mental health including stress, anxiety, depression and feelings of helplessness. In January 2021, an IHMS psychiatrist diagnosed him with adjustment disorder with depressed mood. </w:t>
      </w:r>
      <w:r>
        <w:rPr>
          <w:rStyle w:val="normaltextrun"/>
          <w:rFonts w:cs="Open Sans"/>
        </w:rPr>
        <w:t>Mr CZ</w:t>
      </w:r>
      <w:r w:rsidRPr="00B67F37">
        <w:rPr>
          <w:rStyle w:val="normaltextrun"/>
          <w:rFonts w:cs="Open Sans"/>
        </w:rPr>
        <w:t xml:space="preserve"> describes, as noted in IHMS Clinical Record dated 18 March 2021, ‘the unknown timeframe of awaiting a positive visa outcome’ as ‘worse than death’. </w:t>
      </w:r>
    </w:p>
    <w:p w14:paraId="434711DC" w14:textId="42ED469D" w:rsidR="00EA1E73" w:rsidRPr="00B67F37" w:rsidRDefault="00EA1E73" w:rsidP="002A7D47">
      <w:pPr>
        <w:numPr>
          <w:ilvl w:val="0"/>
          <w:numId w:val="22"/>
        </w:numPr>
        <w:rPr>
          <w:rStyle w:val="normaltextrun"/>
          <w:rFonts w:cs="Open Sans"/>
        </w:rPr>
      </w:pPr>
      <w:r w:rsidRPr="00B67F37">
        <w:rPr>
          <w:rStyle w:val="normaltextrun"/>
          <w:rFonts w:cs="Open Sans"/>
        </w:rPr>
        <w:t xml:space="preserve">Between August 2020 and his release from detention, </w:t>
      </w:r>
      <w:r>
        <w:rPr>
          <w:rStyle w:val="normaltextrun"/>
          <w:rFonts w:cs="Open Sans"/>
        </w:rPr>
        <w:t>Mr CZ</w:t>
      </w:r>
      <w:r w:rsidRPr="00B67F37">
        <w:rPr>
          <w:rStyle w:val="normaltextrun"/>
          <w:rFonts w:cs="Open Sans"/>
        </w:rPr>
        <w:t xml:space="preserve"> regularly saw a counsellor through STARTTS. STARTTS reports frequently detail the significant negative impact being in detention has had on </w:t>
      </w:r>
      <w:r>
        <w:rPr>
          <w:rStyle w:val="normaltextrun"/>
          <w:rFonts w:cs="Open Sans"/>
        </w:rPr>
        <w:t>Mr CZ</w:t>
      </w:r>
      <w:r w:rsidRPr="00B67F37">
        <w:rPr>
          <w:rStyle w:val="normaltextrun"/>
          <w:rFonts w:cs="Open Sans"/>
        </w:rPr>
        <w:t xml:space="preserve">’s psychological wellbeing, including a sense of hopelessness, despondency and dejection, and his feelings of his wasted years and the arbitrariness of his detention. At his last session with STARTTS before his release in March 2023, </w:t>
      </w:r>
      <w:r>
        <w:rPr>
          <w:rStyle w:val="normaltextrun"/>
          <w:rFonts w:cs="Open Sans"/>
        </w:rPr>
        <w:t>Mr CZ</w:t>
      </w:r>
      <w:r w:rsidRPr="00B67F37">
        <w:rPr>
          <w:rStyle w:val="normaltextrun"/>
          <w:rFonts w:cs="Open Sans"/>
        </w:rPr>
        <w:t xml:space="preserve"> was hopeful for life outside of detention, but acknowledged that he had suffered in detention and was changed by the experience. </w:t>
      </w:r>
    </w:p>
    <w:p w14:paraId="18850B20" w14:textId="633E3502" w:rsidR="00EA1E73" w:rsidRPr="00B67F37" w:rsidRDefault="00EA1E73" w:rsidP="002A7D47">
      <w:pPr>
        <w:numPr>
          <w:ilvl w:val="0"/>
          <w:numId w:val="22"/>
        </w:numPr>
        <w:rPr>
          <w:rStyle w:val="normaltextrun"/>
          <w:rFonts w:cs="Open Sans"/>
        </w:rPr>
      </w:pPr>
      <w:r w:rsidRPr="00B67F37">
        <w:rPr>
          <w:rStyle w:val="normaltextrun"/>
          <w:rFonts w:cs="Open Sans"/>
        </w:rPr>
        <w:t xml:space="preserve">Despite the numerous IHMS and STARTTS records that disclose </w:t>
      </w:r>
      <w:r>
        <w:rPr>
          <w:rStyle w:val="normaltextrun"/>
          <w:rFonts w:cs="Open Sans"/>
        </w:rPr>
        <w:t>Mr CZ</w:t>
      </w:r>
      <w:r w:rsidRPr="00B67F37">
        <w:rPr>
          <w:rStyle w:val="normaltextrun"/>
          <w:rFonts w:cs="Open Sans"/>
        </w:rPr>
        <w:t xml:space="preserve">’s deteriorating mental health, all the assessments carried out by the Department against either s 195A or s 197AB Guidelines assess that </w:t>
      </w:r>
      <w:r>
        <w:rPr>
          <w:rStyle w:val="normaltextrun"/>
          <w:rFonts w:cs="Open Sans"/>
        </w:rPr>
        <w:t>Mr CZ</w:t>
      </w:r>
      <w:r w:rsidRPr="00B67F37">
        <w:rPr>
          <w:rStyle w:val="normaltextrun"/>
          <w:rFonts w:cs="Open Sans"/>
        </w:rPr>
        <w:t xml:space="preserve"> did not have any health or mental health conditions that could not be </w:t>
      </w:r>
      <w:r w:rsidRPr="00B67F37">
        <w:rPr>
          <w:rStyle w:val="normaltextrun"/>
          <w:rFonts w:cs="Open Sans"/>
        </w:rPr>
        <w:lastRenderedPageBreak/>
        <w:t xml:space="preserve">cared for in detention nor were likely to be exacerbated by remaining in a detention centre environment. This was also the assessment of </w:t>
      </w:r>
      <w:r>
        <w:rPr>
          <w:rStyle w:val="normaltextrun"/>
          <w:rFonts w:cs="Open Sans"/>
        </w:rPr>
        <w:t>Mr CZ</w:t>
      </w:r>
      <w:r w:rsidRPr="00B67F37">
        <w:rPr>
          <w:rStyle w:val="normaltextrun"/>
          <w:rFonts w:cs="Open Sans"/>
        </w:rPr>
        <w:t xml:space="preserve">’s mental health in the Department’s Case Reviews. </w:t>
      </w:r>
    </w:p>
    <w:p w14:paraId="43089B2C" w14:textId="7B8EF007" w:rsidR="00EA1E73" w:rsidRPr="00B67F37" w:rsidRDefault="00EA1E73" w:rsidP="002A7D47">
      <w:pPr>
        <w:numPr>
          <w:ilvl w:val="0"/>
          <w:numId w:val="22"/>
        </w:numPr>
        <w:rPr>
          <w:rStyle w:val="normaltextrun"/>
          <w:rFonts w:cs="Open Sans"/>
        </w:rPr>
      </w:pPr>
      <w:r w:rsidRPr="00B67F37">
        <w:rPr>
          <w:rStyle w:val="normaltextrun"/>
          <w:rFonts w:cs="Open Sans"/>
        </w:rPr>
        <w:t>The Department waited almost 18 months between the Minister declining to consider the 2018</w:t>
      </w:r>
      <w:r w:rsidR="00B13E14">
        <w:rPr>
          <w:rStyle w:val="normaltextrun"/>
          <w:rFonts w:cs="Open Sans"/>
        </w:rPr>
        <w:t xml:space="preserve"> s</w:t>
      </w:r>
      <w:r w:rsidRPr="00B67F37">
        <w:rPr>
          <w:rStyle w:val="normaltextrun"/>
          <w:rFonts w:cs="Open Sans"/>
        </w:rPr>
        <w:t xml:space="preserve"> 195A Ministerial submission on 23 October 2018 and finding that </w:t>
      </w:r>
      <w:r>
        <w:rPr>
          <w:rStyle w:val="normaltextrun"/>
          <w:rFonts w:cs="Open Sans"/>
        </w:rPr>
        <w:t>Mr CZ</w:t>
      </w:r>
      <w:r w:rsidRPr="00B67F37">
        <w:rPr>
          <w:rStyle w:val="normaltextrun"/>
          <w:rFonts w:cs="Open Sans"/>
        </w:rPr>
        <w:t xml:space="preserve"> met the guidelines in the 2020</w:t>
      </w:r>
      <w:r w:rsidR="00B13E14">
        <w:rPr>
          <w:rStyle w:val="normaltextrun"/>
          <w:rFonts w:cs="Open Sans"/>
        </w:rPr>
        <w:t xml:space="preserve"> s</w:t>
      </w:r>
      <w:r w:rsidRPr="00B67F37">
        <w:rPr>
          <w:rStyle w:val="normaltextrun"/>
          <w:rFonts w:cs="Open Sans"/>
        </w:rPr>
        <w:t xml:space="preserve"> 195A Ministerial assessment on 27 February 2020. The Department then failed to progress </w:t>
      </w:r>
      <w:r>
        <w:rPr>
          <w:rStyle w:val="normaltextrun"/>
          <w:rFonts w:cs="Open Sans"/>
        </w:rPr>
        <w:t>Mr CZ</w:t>
      </w:r>
      <w:r w:rsidRPr="00B67F37">
        <w:rPr>
          <w:rStyle w:val="normaltextrun"/>
          <w:rFonts w:cs="Open Sans"/>
        </w:rPr>
        <w:t xml:space="preserve">’s case so that it was another almost 18 months before the Department reassessed the case and withdrew it. The Department did not again refer </w:t>
      </w:r>
      <w:r>
        <w:rPr>
          <w:rStyle w:val="normaltextrun"/>
          <w:rFonts w:cs="Open Sans"/>
        </w:rPr>
        <w:t>Mr CZ</w:t>
      </w:r>
      <w:r w:rsidRPr="00B67F37">
        <w:rPr>
          <w:rStyle w:val="normaltextrun"/>
          <w:rFonts w:cs="Open Sans"/>
        </w:rPr>
        <w:t xml:space="preserve">’s case to the Minister for consideration under s 195A of the Migration Act until 24 February 2023, which led to his release from immigration detention through the grant </w:t>
      </w:r>
      <w:r w:rsidR="00490D6C">
        <w:rPr>
          <w:rStyle w:val="normaltextrun"/>
          <w:rFonts w:cs="Open Sans"/>
        </w:rPr>
        <w:t xml:space="preserve">of </w:t>
      </w:r>
      <w:r w:rsidRPr="00B67F37">
        <w:rPr>
          <w:rStyle w:val="normaltextrun"/>
          <w:rFonts w:cs="Open Sans"/>
        </w:rPr>
        <w:t xml:space="preserve">a BVE on 20 March 2023. Prior to this, there were two ministerial intervention processes initiated to assess </w:t>
      </w:r>
      <w:r>
        <w:rPr>
          <w:rStyle w:val="normaltextrun"/>
          <w:rFonts w:cs="Open Sans"/>
        </w:rPr>
        <w:t>Mr CZ</w:t>
      </w:r>
      <w:r w:rsidRPr="00B67F37">
        <w:rPr>
          <w:rStyle w:val="normaltextrun"/>
          <w:rFonts w:cs="Open Sans"/>
        </w:rPr>
        <w:t xml:space="preserve">’s case against both the s 195A and s 197AB Guidelines that were found not to meet the guidelines and therefore not referred to the Minister in March 2022 and June 2022. </w:t>
      </w:r>
    </w:p>
    <w:p w14:paraId="3C35CAF0" w14:textId="62A801B8" w:rsidR="00EA1E73" w:rsidRPr="00B67F37" w:rsidRDefault="00EA1E73" w:rsidP="002A7D47">
      <w:pPr>
        <w:numPr>
          <w:ilvl w:val="0"/>
          <w:numId w:val="22"/>
        </w:numPr>
        <w:rPr>
          <w:rStyle w:val="normaltextrun"/>
          <w:rFonts w:cs="Open Sans"/>
        </w:rPr>
      </w:pPr>
      <w:r w:rsidRPr="00B67F37">
        <w:rPr>
          <w:rStyle w:val="normaltextrun"/>
          <w:rFonts w:cs="Open Sans"/>
        </w:rPr>
        <w:t xml:space="preserve">The Department’s response to my preliminary view notes that in 2022, the Department </w:t>
      </w:r>
      <w:r>
        <w:rPr>
          <w:rStyle w:val="normaltextrun"/>
          <w:rFonts w:cs="Open Sans"/>
        </w:rPr>
        <w:t>‘</w:t>
      </w:r>
      <w:r w:rsidRPr="00B67F37">
        <w:rPr>
          <w:rStyle w:val="normaltextrun"/>
          <w:rFonts w:cs="Open Sans"/>
        </w:rPr>
        <w:t xml:space="preserve">explored a less restrictive form of detention and considered </w:t>
      </w:r>
      <w:r>
        <w:rPr>
          <w:rStyle w:val="normaltextrun"/>
          <w:rFonts w:cs="Open Sans"/>
        </w:rPr>
        <w:t>Mr CZ</w:t>
      </w:r>
      <w:r w:rsidRPr="00B67F37">
        <w:rPr>
          <w:rStyle w:val="normaltextrun"/>
          <w:rFonts w:cs="Open Sans"/>
        </w:rPr>
        <w:t>’s individual circumstances, including that protection obligations were not engaged, he was able to voluntarily return to Iran, has no family in Australia, and no health issues that couldn’t be managed in detention at that time</w:t>
      </w:r>
      <w:r>
        <w:rPr>
          <w:rStyle w:val="normaltextrun"/>
          <w:rFonts w:cs="Open Sans"/>
        </w:rPr>
        <w:t>’</w:t>
      </w:r>
      <w:r w:rsidRPr="00B67F37">
        <w:rPr>
          <w:rStyle w:val="normaltextrun"/>
          <w:rFonts w:cs="Open Sans"/>
        </w:rPr>
        <w:t xml:space="preserve">. </w:t>
      </w:r>
    </w:p>
    <w:p w14:paraId="76B73EDD" w14:textId="65DD1AD1" w:rsidR="00EA1E73" w:rsidRPr="00B67F37" w:rsidRDefault="00EA1E73" w:rsidP="002A7D47">
      <w:pPr>
        <w:numPr>
          <w:ilvl w:val="0"/>
          <w:numId w:val="22"/>
        </w:numPr>
        <w:rPr>
          <w:rStyle w:val="normaltextrun"/>
          <w:rFonts w:cs="Open Sans"/>
        </w:rPr>
      </w:pPr>
      <w:r w:rsidRPr="00B67F37">
        <w:rPr>
          <w:rStyle w:val="normaltextrun"/>
          <w:rFonts w:cs="Open Sans"/>
        </w:rPr>
        <w:t xml:space="preserve">Proper assessment of </w:t>
      </w:r>
      <w:r>
        <w:rPr>
          <w:rStyle w:val="normaltextrun"/>
          <w:rFonts w:cs="Open Sans"/>
        </w:rPr>
        <w:t>Mr CZ</w:t>
      </w:r>
      <w:r w:rsidRPr="00B67F37">
        <w:rPr>
          <w:rStyle w:val="normaltextrun"/>
          <w:rFonts w:cs="Open Sans"/>
        </w:rPr>
        <w:t xml:space="preserve">’s deteriorating mental health as described by IHMS and STARTTS, particularly after the death of his partner and mother in quick succession, should have brought on more prompt decisions by the Department to refer </w:t>
      </w:r>
      <w:r>
        <w:rPr>
          <w:rStyle w:val="normaltextrun"/>
          <w:rFonts w:cs="Open Sans"/>
        </w:rPr>
        <w:t>Mr CZ</w:t>
      </w:r>
      <w:r w:rsidRPr="00B67F37">
        <w:rPr>
          <w:rStyle w:val="normaltextrun"/>
          <w:rFonts w:cs="Open Sans"/>
        </w:rPr>
        <w:t xml:space="preserve">’s case to the Minister. This is especially </w:t>
      </w:r>
      <w:r>
        <w:rPr>
          <w:rStyle w:val="normaltextrun"/>
          <w:rFonts w:cs="Open Sans"/>
        </w:rPr>
        <w:t xml:space="preserve">so, </w:t>
      </w:r>
      <w:r w:rsidRPr="00B67F37">
        <w:rPr>
          <w:rStyle w:val="normaltextrun"/>
          <w:rFonts w:cs="Open Sans"/>
        </w:rPr>
        <w:t xml:space="preserve">given there did not appear to be any character or security concerns throughout his detention, and the period of </w:t>
      </w:r>
      <w:r>
        <w:rPr>
          <w:rStyle w:val="normaltextrun"/>
          <w:rFonts w:cs="Open Sans"/>
        </w:rPr>
        <w:t>Mr CZ</w:t>
      </w:r>
      <w:r w:rsidRPr="00B67F37">
        <w:rPr>
          <w:rStyle w:val="normaltextrun"/>
          <w:rFonts w:cs="Open Sans"/>
        </w:rPr>
        <w:t xml:space="preserve">’s detention was prolonged. Apart from 3 CPAT reports between August 2018 and March 2019, all the CPAT reports assessed </w:t>
      </w:r>
      <w:r>
        <w:rPr>
          <w:rStyle w:val="normaltextrun"/>
          <w:rFonts w:cs="Open Sans"/>
        </w:rPr>
        <w:t>Mr CZ</w:t>
      </w:r>
      <w:r w:rsidRPr="00B67F37">
        <w:rPr>
          <w:rStyle w:val="normaltextrun"/>
          <w:rFonts w:cs="Open Sans"/>
        </w:rPr>
        <w:t xml:space="preserve"> as a low risk of harm to the community and recommended a Tier 1 – Bridging Visa with conditions. That </w:t>
      </w:r>
      <w:r>
        <w:rPr>
          <w:rStyle w:val="normaltextrun"/>
          <w:rFonts w:cs="Open Sans"/>
        </w:rPr>
        <w:t>Mr CZ</w:t>
      </w:r>
      <w:r w:rsidRPr="00B67F37">
        <w:rPr>
          <w:rStyle w:val="normaltextrun"/>
          <w:rFonts w:cs="Open Sans"/>
        </w:rPr>
        <w:t xml:space="preserve"> was not willing to voluntarily depart</w:t>
      </w:r>
      <w:r w:rsidR="00895C91">
        <w:rPr>
          <w:rStyle w:val="normaltextrun"/>
          <w:rFonts w:cs="Open Sans"/>
        </w:rPr>
        <w:t>,</w:t>
      </w:r>
      <w:r w:rsidRPr="00B67F37">
        <w:rPr>
          <w:rStyle w:val="normaltextrun"/>
          <w:rFonts w:cs="Open Sans"/>
        </w:rPr>
        <w:t xml:space="preserve"> which, given Iran’s policy regarding involuntary returns meant that his removal from Australia was not practicable, was not sufficient reason to make his prolonged detention necessary, proportionate, or reasonable. </w:t>
      </w:r>
    </w:p>
    <w:p w14:paraId="6EF390C7" w14:textId="538EDC79" w:rsidR="00EA1E73" w:rsidRPr="00B67F37" w:rsidRDefault="00EA1E73" w:rsidP="002A7D47">
      <w:pPr>
        <w:numPr>
          <w:ilvl w:val="0"/>
          <w:numId w:val="22"/>
        </w:numPr>
        <w:rPr>
          <w:rStyle w:val="normaltextrun"/>
          <w:rFonts w:cs="Open Sans"/>
        </w:rPr>
      </w:pPr>
      <w:r w:rsidRPr="00B67F37">
        <w:rPr>
          <w:rStyle w:val="normaltextrun"/>
          <w:rFonts w:cs="Open Sans"/>
        </w:rPr>
        <w:t xml:space="preserve">The Department’s response to my preliminary view also notes that there </w:t>
      </w:r>
      <w:r w:rsidRPr="00B67F37">
        <w:rPr>
          <w:rFonts w:cs="Open Sans"/>
        </w:rPr>
        <w:t xml:space="preserve">are </w:t>
      </w:r>
      <w:r w:rsidRPr="00B67F37">
        <w:rPr>
          <w:rStyle w:val="normaltextrun"/>
          <w:rFonts w:cs="Open Sans"/>
        </w:rPr>
        <w:t xml:space="preserve">potential implications of the High Court’s decision in </w:t>
      </w:r>
      <w:r w:rsidRPr="00B67F37">
        <w:rPr>
          <w:rFonts w:cs="Open Sans"/>
          <w:i/>
          <w:iCs/>
        </w:rPr>
        <w:t>Davis v Minister for Immigration, Citizenship, Migrant Services and Multicultural Affairs</w:t>
      </w:r>
      <w:r w:rsidRPr="00B67F37">
        <w:rPr>
          <w:rFonts w:cs="Open Sans"/>
        </w:rPr>
        <w:t xml:space="preserve"> [2023] HCA 10 (</w:t>
      </w:r>
      <w:r w:rsidRPr="00B67F37">
        <w:rPr>
          <w:rFonts w:cs="Open Sans"/>
          <w:i/>
          <w:iCs/>
        </w:rPr>
        <w:t>Davis</w:t>
      </w:r>
      <w:r w:rsidRPr="00B67F37">
        <w:rPr>
          <w:rFonts w:cs="Open Sans"/>
        </w:rPr>
        <w:t xml:space="preserve">). </w:t>
      </w:r>
      <w:r w:rsidRPr="00B67F37">
        <w:rPr>
          <w:rStyle w:val="normaltextrun"/>
          <w:rFonts w:cs="Open Sans"/>
        </w:rPr>
        <w:t xml:space="preserve">This is particularly relevant to </w:t>
      </w:r>
      <w:r>
        <w:rPr>
          <w:rStyle w:val="normaltextrun"/>
          <w:rFonts w:cs="Open Sans"/>
        </w:rPr>
        <w:t>Mr CZ</w:t>
      </w:r>
      <w:r w:rsidRPr="00B67F37">
        <w:rPr>
          <w:rStyle w:val="normaltextrun"/>
          <w:rFonts w:cs="Open Sans"/>
        </w:rPr>
        <w:t xml:space="preserve">’s case given the number of times the Department assessed his situation and made a decision not to refer his case to the Minister. </w:t>
      </w:r>
      <w:r>
        <w:rPr>
          <w:rStyle w:val="normaltextrun"/>
          <w:rFonts w:cs="Open Sans"/>
        </w:rPr>
        <w:t xml:space="preserve">In light of the High Court’s </w:t>
      </w:r>
      <w:r>
        <w:rPr>
          <w:rStyle w:val="normaltextrun"/>
          <w:rFonts w:cs="Open Sans"/>
        </w:rPr>
        <w:lastRenderedPageBreak/>
        <w:t xml:space="preserve">decision in </w:t>
      </w:r>
      <w:r w:rsidRPr="00F94F51">
        <w:rPr>
          <w:rStyle w:val="normaltextrun"/>
          <w:rFonts w:cs="Open Sans"/>
          <w:i/>
          <w:iCs/>
        </w:rPr>
        <w:t>Davis</w:t>
      </w:r>
      <w:r>
        <w:rPr>
          <w:rStyle w:val="normaltextrun"/>
          <w:rFonts w:cs="Open Sans"/>
        </w:rPr>
        <w:t>, there must now be real doubt about whether those decisions not to refer Mr CZ’s case to the Minister were lawful.</w:t>
      </w:r>
    </w:p>
    <w:p w14:paraId="11062319" w14:textId="3AE85F0F" w:rsidR="00EA1E73" w:rsidRPr="00B67F37" w:rsidRDefault="00EA1E73" w:rsidP="002A7D47">
      <w:pPr>
        <w:numPr>
          <w:ilvl w:val="0"/>
          <w:numId w:val="22"/>
        </w:numPr>
        <w:rPr>
          <w:rStyle w:val="normaltextrun"/>
          <w:rFonts w:cs="Open Sans"/>
        </w:rPr>
      </w:pPr>
      <w:r w:rsidRPr="00B67F37">
        <w:rPr>
          <w:rStyle w:val="normaltextrun"/>
          <w:rFonts w:cs="Open Sans"/>
        </w:rPr>
        <w:t xml:space="preserve">I also note that from December 2020, the Department considered that </w:t>
      </w:r>
      <w:r w:rsidR="00363277">
        <w:rPr>
          <w:rStyle w:val="normaltextrun"/>
          <w:rFonts w:cs="Open Sans"/>
        </w:rPr>
        <w:t>Mr </w:t>
      </w:r>
      <w:r>
        <w:rPr>
          <w:rStyle w:val="normaltextrun"/>
          <w:rFonts w:cs="Open Sans"/>
        </w:rPr>
        <w:t>CZ</w:t>
      </w:r>
      <w:r w:rsidRPr="00B67F37">
        <w:rPr>
          <w:rStyle w:val="normaltextrun"/>
          <w:rFonts w:cs="Open Sans"/>
        </w:rPr>
        <w:t xml:space="preserve"> had no ongoing immigration processes and his Case Reviews suggest an objective of involuntary removal, which was not practical because of Iran’s policy regarding involuntary returns. Detention in circumstances where removal from Australia is not practicable in the reasonably foreseeable future may in some circumstances be unlawful,</w:t>
      </w:r>
      <w:r w:rsidRPr="00B67F37">
        <w:rPr>
          <w:rStyle w:val="EndnoteReference"/>
          <w:rFonts w:cs="Open Sans"/>
        </w:rPr>
        <w:endnoteReference w:id="25"/>
      </w:r>
      <w:r w:rsidRPr="00B67F37">
        <w:rPr>
          <w:rStyle w:val="EndnoteReference"/>
          <w:rFonts w:cs="Open Sans"/>
        </w:rPr>
        <w:t xml:space="preserve"> </w:t>
      </w:r>
      <w:r w:rsidRPr="00B67F37">
        <w:rPr>
          <w:rStyle w:val="normaltextrun"/>
          <w:rFonts w:cs="Open Sans"/>
        </w:rPr>
        <w:t xml:space="preserve">although I express no views as to whether </w:t>
      </w:r>
      <w:r>
        <w:rPr>
          <w:rStyle w:val="normaltextrun"/>
          <w:rFonts w:cs="Open Sans"/>
        </w:rPr>
        <w:t>Mr CZ</w:t>
      </w:r>
      <w:r w:rsidRPr="00B67F37">
        <w:rPr>
          <w:rStyle w:val="normaltextrun"/>
          <w:rFonts w:cs="Open Sans"/>
        </w:rPr>
        <w:t>’s detention was at any stage unlawful.</w:t>
      </w:r>
    </w:p>
    <w:p w14:paraId="337D32DA" w14:textId="622C42B9" w:rsidR="00EA1E73" w:rsidRPr="00B67F37" w:rsidRDefault="00EA1E73" w:rsidP="002A7D47">
      <w:pPr>
        <w:numPr>
          <w:ilvl w:val="0"/>
          <w:numId w:val="22"/>
        </w:numPr>
        <w:rPr>
          <w:rFonts w:cs="Open Sans"/>
        </w:rPr>
      </w:pPr>
      <w:r w:rsidRPr="00B67F37">
        <w:rPr>
          <w:rFonts w:cs="Open Sans"/>
        </w:rPr>
        <w:t xml:space="preserve">I find that the delay in progressing </w:t>
      </w:r>
      <w:r>
        <w:rPr>
          <w:rFonts w:cs="Open Sans"/>
        </w:rPr>
        <w:t>Mr CZ</w:t>
      </w:r>
      <w:r w:rsidRPr="00B67F37">
        <w:rPr>
          <w:rFonts w:cs="Open Sans"/>
        </w:rPr>
        <w:t xml:space="preserve">’s case once he was assessed to meet the s 195A Guidelines on 27 February 2020 contributed to the detention of </w:t>
      </w:r>
      <w:r>
        <w:rPr>
          <w:rFonts w:cs="Open Sans"/>
        </w:rPr>
        <w:t>Mr CZ</w:t>
      </w:r>
      <w:r w:rsidRPr="00B67F37">
        <w:rPr>
          <w:rFonts w:cs="Open Sans"/>
        </w:rPr>
        <w:t xml:space="preserve"> without consideration of whether that detention was justified in the particular circumstances of his case. </w:t>
      </w:r>
    </w:p>
    <w:p w14:paraId="65149495" w14:textId="3FE22B05" w:rsidR="00EA1E73" w:rsidRPr="00B67F37" w:rsidRDefault="00EA1E73" w:rsidP="002A7D47">
      <w:pPr>
        <w:numPr>
          <w:ilvl w:val="0"/>
          <w:numId w:val="22"/>
        </w:numPr>
        <w:rPr>
          <w:rFonts w:cs="Open Sans"/>
        </w:rPr>
      </w:pPr>
      <w:r w:rsidRPr="00B67F37">
        <w:rPr>
          <w:rFonts w:cs="Open Sans"/>
        </w:rPr>
        <w:t>I find that, after the 2020</w:t>
      </w:r>
      <w:r w:rsidR="00B13E14">
        <w:rPr>
          <w:rFonts w:cs="Open Sans"/>
        </w:rPr>
        <w:t xml:space="preserve"> s</w:t>
      </w:r>
      <w:r w:rsidRPr="00B67F37">
        <w:rPr>
          <w:rFonts w:cs="Open Sans"/>
        </w:rPr>
        <w:t xml:space="preserve"> 195A Ministerial assessment was finalised without referral in July 2021, the failure of the Department to refer </w:t>
      </w:r>
      <w:r>
        <w:rPr>
          <w:rFonts w:cs="Open Sans"/>
        </w:rPr>
        <w:t>Mr CZ</w:t>
      </w:r>
      <w:r w:rsidRPr="00B67F37">
        <w:rPr>
          <w:rFonts w:cs="Open Sans"/>
        </w:rPr>
        <w:t xml:space="preserve">’s case to the Minister again under s 195A of the Migration Act until 24 February 2023 also contributed to the continued detention of </w:t>
      </w:r>
      <w:r>
        <w:rPr>
          <w:rFonts w:cs="Open Sans"/>
        </w:rPr>
        <w:t>Mr CZ</w:t>
      </w:r>
      <w:r w:rsidRPr="00B67F37">
        <w:rPr>
          <w:rFonts w:cs="Open Sans"/>
        </w:rPr>
        <w:t xml:space="preserve"> without consideration of whether that detention was justified in the particular circumstances of his case. </w:t>
      </w:r>
    </w:p>
    <w:p w14:paraId="61950B97" w14:textId="66EB5851" w:rsidR="00EA1E73" w:rsidRPr="00B67F37" w:rsidRDefault="00EA1E73" w:rsidP="002A7D47">
      <w:pPr>
        <w:numPr>
          <w:ilvl w:val="0"/>
          <w:numId w:val="22"/>
        </w:numPr>
        <w:rPr>
          <w:rFonts w:cs="Open Sans"/>
        </w:rPr>
      </w:pPr>
      <w:r w:rsidRPr="00B67F37">
        <w:rPr>
          <w:rFonts w:cs="Open Sans"/>
        </w:rPr>
        <w:t xml:space="preserve">I find that </w:t>
      </w:r>
      <w:r>
        <w:rPr>
          <w:rFonts w:cs="Open Sans"/>
        </w:rPr>
        <w:t>Mr CZ</w:t>
      </w:r>
      <w:r w:rsidRPr="00B67F37">
        <w:rPr>
          <w:rFonts w:cs="Open Sans"/>
        </w:rPr>
        <w:t xml:space="preserve">’s detention was not reasonable, necessary or proportionate in the context of his particular circumstances and, as a result, his detention </w:t>
      </w:r>
      <w:r>
        <w:rPr>
          <w:rFonts w:cs="Open Sans"/>
        </w:rPr>
        <w:t xml:space="preserve">during the periods identified above </w:t>
      </w:r>
      <w:r w:rsidRPr="00B67F37">
        <w:rPr>
          <w:rFonts w:cs="Open Sans"/>
        </w:rPr>
        <w:t>was arbitrary for the purposes of article 9(1) of the ICCPR.</w:t>
      </w:r>
    </w:p>
    <w:p w14:paraId="2DEA9C8A" w14:textId="6064B8C5" w:rsidR="00EA1E73" w:rsidRPr="00FA5A7A" w:rsidRDefault="00EA1E73" w:rsidP="00EA1E73">
      <w:pPr>
        <w:pStyle w:val="Heading3"/>
        <w:rPr>
          <w:rFonts w:cs="Open Sans"/>
          <w:i/>
          <w:iCs/>
        </w:rPr>
      </w:pPr>
      <w:bookmarkStart w:id="84" w:name="_Toc156817227"/>
      <w:bookmarkStart w:id="85" w:name="_Toc164705900"/>
      <w:r w:rsidRPr="00FA5A7A">
        <w:rPr>
          <w:rFonts w:cs="Open Sans"/>
          <w:b/>
          <w:bCs w:val="0"/>
          <w:i/>
          <w:iCs/>
        </w:rPr>
        <w:t>Failure by the Department to refer Mr CZ’s case to the Minister for intervention under s 197AB of the Migration Act</w:t>
      </w:r>
      <w:bookmarkEnd w:id="84"/>
      <w:bookmarkEnd w:id="85"/>
    </w:p>
    <w:p w14:paraId="1C841734" w14:textId="5DC53A7C" w:rsidR="00EA1E73" w:rsidRPr="00B67F37" w:rsidRDefault="00EA1E73" w:rsidP="002A7D47">
      <w:pPr>
        <w:numPr>
          <w:ilvl w:val="0"/>
          <w:numId w:val="22"/>
        </w:numPr>
        <w:rPr>
          <w:rFonts w:cs="Open Sans"/>
        </w:rPr>
      </w:pPr>
      <w:r w:rsidRPr="00B67F37">
        <w:rPr>
          <w:rFonts w:cs="Open Sans"/>
        </w:rPr>
        <w:t xml:space="preserve">As an alternative to s 195A of the Migration Act, the Department could have referred </w:t>
      </w:r>
      <w:r>
        <w:rPr>
          <w:rFonts w:cs="Open Sans"/>
        </w:rPr>
        <w:t>Mr CZ</w:t>
      </w:r>
      <w:r w:rsidRPr="00B67F37">
        <w:rPr>
          <w:rFonts w:cs="Open Sans"/>
        </w:rPr>
        <w:t xml:space="preserve">’s case to the Minister for consideration under s 197AB of the Migration Act for the making of a residence determination to allow </w:t>
      </w:r>
      <w:r>
        <w:rPr>
          <w:rFonts w:cs="Open Sans"/>
        </w:rPr>
        <w:t>Mr CZ</w:t>
      </w:r>
      <w:r w:rsidRPr="00B67F37">
        <w:rPr>
          <w:rFonts w:cs="Open Sans"/>
        </w:rPr>
        <w:t xml:space="preserve"> to reside in community detention. The Department failed to do this. </w:t>
      </w:r>
    </w:p>
    <w:p w14:paraId="127ADACB" w14:textId="2E345042" w:rsidR="00EA1E73" w:rsidRPr="00B67F37" w:rsidRDefault="00EA1E73" w:rsidP="002A7D47">
      <w:pPr>
        <w:numPr>
          <w:ilvl w:val="0"/>
          <w:numId w:val="22"/>
        </w:numPr>
        <w:rPr>
          <w:rFonts w:cs="Open Sans"/>
        </w:rPr>
      </w:pPr>
      <w:r w:rsidRPr="00B67F37">
        <w:rPr>
          <w:rFonts w:cs="Open Sans"/>
        </w:rPr>
        <w:t xml:space="preserve">On 15 March 2021, the Department commenced an assessment of </w:t>
      </w:r>
      <w:r>
        <w:rPr>
          <w:rFonts w:cs="Open Sans"/>
        </w:rPr>
        <w:t>Mr CZ</w:t>
      </w:r>
      <w:r w:rsidRPr="00B67F37">
        <w:rPr>
          <w:rFonts w:cs="Open Sans"/>
        </w:rPr>
        <w:t xml:space="preserve">’s case against both s 195A and s 197AB Guidelines, but on 2 March 2022, found that </w:t>
      </w:r>
      <w:r>
        <w:rPr>
          <w:rFonts w:cs="Open Sans"/>
        </w:rPr>
        <w:t>Mr CZ</w:t>
      </w:r>
      <w:r w:rsidRPr="00B67F37">
        <w:rPr>
          <w:rFonts w:cs="Open Sans"/>
        </w:rPr>
        <w:t xml:space="preserve">’s case did not meet either set of guidelines for referral to the Minister. </w:t>
      </w:r>
    </w:p>
    <w:p w14:paraId="0E285A5E" w14:textId="40CB7BA2" w:rsidR="00EA1E73" w:rsidRPr="00B67F37" w:rsidRDefault="00EA1E73" w:rsidP="002A7D47">
      <w:pPr>
        <w:numPr>
          <w:ilvl w:val="0"/>
          <w:numId w:val="22"/>
        </w:numPr>
        <w:rPr>
          <w:rFonts w:cs="Open Sans"/>
        </w:rPr>
      </w:pPr>
      <w:r w:rsidRPr="00B67F37">
        <w:rPr>
          <w:rFonts w:cs="Open Sans"/>
        </w:rPr>
        <w:t xml:space="preserve">On 11 June 2022, the Department again initiated a ministerial intervention process to assess </w:t>
      </w:r>
      <w:r>
        <w:rPr>
          <w:rFonts w:cs="Open Sans"/>
        </w:rPr>
        <w:t>Mr CZ</w:t>
      </w:r>
      <w:r w:rsidRPr="00B67F37">
        <w:rPr>
          <w:rFonts w:cs="Open Sans"/>
        </w:rPr>
        <w:t xml:space="preserve">’s case against both s 195A and s 197AB </w:t>
      </w:r>
      <w:r w:rsidRPr="00B67F37">
        <w:rPr>
          <w:rFonts w:cs="Open Sans"/>
        </w:rPr>
        <w:lastRenderedPageBreak/>
        <w:t xml:space="preserve">Guidelines, but again on 29 June 2022, the Department decided that </w:t>
      </w:r>
      <w:r>
        <w:rPr>
          <w:rFonts w:cs="Open Sans"/>
        </w:rPr>
        <w:t>Mr CZ</w:t>
      </w:r>
      <w:r w:rsidRPr="00B67F37">
        <w:rPr>
          <w:rFonts w:cs="Open Sans"/>
        </w:rPr>
        <w:t xml:space="preserve">’s case did not meet either set of guidelines and he was not referred. </w:t>
      </w:r>
    </w:p>
    <w:p w14:paraId="3D1F799A" w14:textId="1002DFC6" w:rsidR="00EA1E73" w:rsidRPr="00B67F37" w:rsidRDefault="00EA1E73" w:rsidP="002A7D47">
      <w:pPr>
        <w:numPr>
          <w:ilvl w:val="0"/>
          <w:numId w:val="22"/>
        </w:numPr>
        <w:rPr>
          <w:rFonts w:cs="Open Sans"/>
        </w:rPr>
      </w:pPr>
      <w:r w:rsidRPr="00B67F37">
        <w:rPr>
          <w:rFonts w:cs="Open Sans"/>
        </w:rPr>
        <w:t xml:space="preserve">After </w:t>
      </w:r>
      <w:r>
        <w:rPr>
          <w:rFonts w:cs="Open Sans"/>
        </w:rPr>
        <w:t>Mr CZ</w:t>
      </w:r>
      <w:r w:rsidRPr="00B67F37">
        <w:rPr>
          <w:rFonts w:cs="Open Sans"/>
        </w:rPr>
        <w:t xml:space="preserve"> was detained in August 2017, the Department waited over three and a half years before assessing </w:t>
      </w:r>
      <w:r>
        <w:rPr>
          <w:rFonts w:cs="Open Sans"/>
        </w:rPr>
        <w:t>Mr CZ</w:t>
      </w:r>
      <w:r w:rsidRPr="00B67F37">
        <w:rPr>
          <w:rFonts w:cs="Open Sans"/>
        </w:rPr>
        <w:t xml:space="preserve">’s case against the s 197AB Guidelines in March 2021. </w:t>
      </w:r>
    </w:p>
    <w:p w14:paraId="7B88DE49" w14:textId="544BC033" w:rsidR="00EA1E73" w:rsidRPr="00B67F37" w:rsidRDefault="00EA1E73" w:rsidP="002A7D47">
      <w:pPr>
        <w:numPr>
          <w:ilvl w:val="0"/>
          <w:numId w:val="22"/>
        </w:numPr>
        <w:rPr>
          <w:rFonts w:cs="Open Sans"/>
        </w:rPr>
      </w:pPr>
      <w:r w:rsidRPr="00B67F37">
        <w:rPr>
          <w:rFonts w:cs="Open Sans"/>
        </w:rPr>
        <w:t xml:space="preserve">By the Minister’s guidelines, between 5 August 2017 and 13 April 2018, </w:t>
      </w:r>
      <w:r>
        <w:rPr>
          <w:rFonts w:cs="Open Sans"/>
        </w:rPr>
        <w:t>Mr CZ</w:t>
      </w:r>
      <w:r w:rsidRPr="00B67F37">
        <w:rPr>
          <w:rFonts w:cs="Open Sans"/>
        </w:rPr>
        <w:t xml:space="preserve">’s criminal matters were still pending, which mean that the Minister would not expect </w:t>
      </w:r>
      <w:r>
        <w:rPr>
          <w:rFonts w:cs="Open Sans"/>
        </w:rPr>
        <w:t>Mr CZ</w:t>
      </w:r>
      <w:r w:rsidRPr="00B67F37">
        <w:rPr>
          <w:rFonts w:cs="Open Sans"/>
        </w:rPr>
        <w:t xml:space="preserve">’s case to be referred to him for consideration of his power under s 197AB of the Migration Act, unless there were ‘exceptional reasons’. However, by 13 April 2018, it was clear that </w:t>
      </w:r>
      <w:r>
        <w:rPr>
          <w:rFonts w:cs="Open Sans"/>
        </w:rPr>
        <w:t>Mr CZ</w:t>
      </w:r>
      <w:r w:rsidRPr="00B67F37">
        <w:rPr>
          <w:rFonts w:cs="Open Sans"/>
        </w:rPr>
        <w:t xml:space="preserve">’s criminal matters were resolved and that there was no indication that he might fail the character test under s 501 of the </w:t>
      </w:r>
      <w:r>
        <w:rPr>
          <w:rFonts w:cs="Open Sans"/>
        </w:rPr>
        <w:t xml:space="preserve">Migration </w:t>
      </w:r>
      <w:r w:rsidRPr="00B67F37">
        <w:rPr>
          <w:rFonts w:cs="Open Sans"/>
        </w:rPr>
        <w:t xml:space="preserve">Act. </w:t>
      </w:r>
    </w:p>
    <w:p w14:paraId="4CC49273" w14:textId="594F2440" w:rsidR="00EA1E73" w:rsidRPr="00B67F37" w:rsidRDefault="00EA1E73" w:rsidP="002A7D47">
      <w:pPr>
        <w:numPr>
          <w:ilvl w:val="0"/>
          <w:numId w:val="22"/>
        </w:numPr>
        <w:rPr>
          <w:rFonts w:cs="Open Sans"/>
        </w:rPr>
      </w:pPr>
      <w:r w:rsidRPr="00B67F37">
        <w:rPr>
          <w:rFonts w:cs="Open Sans"/>
        </w:rPr>
        <w:t xml:space="preserve">By the time the Department eventually initiated a ministerial intervention process under s 197AB, the Minister had already intervened under s 46A of the Migration Act to lift the bar and allow </w:t>
      </w:r>
      <w:r>
        <w:rPr>
          <w:rFonts w:cs="Open Sans"/>
        </w:rPr>
        <w:t>Mr CZ</w:t>
      </w:r>
      <w:r w:rsidRPr="00B67F37">
        <w:rPr>
          <w:rFonts w:cs="Open Sans"/>
        </w:rPr>
        <w:t xml:space="preserve"> to lodge a valid TPV or SHEV. He had done so and had his protection claims assessed by the Department and the AAT in merits review. He was ultimately found not to engage Australia’s protection obligations. He therefore had no outstanding immigration process preventing his removal from Australia. The s 197AB Guidelines provide that a person who has had their protection claims rejected at primary and review stages should not be referred to the Minister. </w:t>
      </w:r>
    </w:p>
    <w:p w14:paraId="2C333067" w14:textId="2FEE1271" w:rsidR="00EA1E73" w:rsidRPr="00B67F37" w:rsidRDefault="00EA1E73" w:rsidP="002A7D47">
      <w:pPr>
        <w:numPr>
          <w:ilvl w:val="0"/>
          <w:numId w:val="22"/>
        </w:numPr>
        <w:rPr>
          <w:rFonts w:cs="Open Sans"/>
        </w:rPr>
      </w:pPr>
      <w:r w:rsidRPr="00B67F37">
        <w:rPr>
          <w:rFonts w:cs="Open Sans"/>
        </w:rPr>
        <w:t xml:space="preserve">In both the Department’s ‘Assessment Against the s195A and s197AB Ministerial Guidelines For a Person in s189 Held Detention’ documents, the following were considered when determining that </w:t>
      </w:r>
      <w:r>
        <w:rPr>
          <w:rFonts w:cs="Open Sans"/>
        </w:rPr>
        <w:t>Mr CZ</w:t>
      </w:r>
      <w:r w:rsidRPr="00B67F37">
        <w:rPr>
          <w:rFonts w:cs="Open Sans"/>
        </w:rPr>
        <w:t xml:space="preserve"> did not meet the guidelines for referral under ss 195A or 197AB of the Migration Act:</w:t>
      </w:r>
    </w:p>
    <w:p w14:paraId="42D4A51A" w14:textId="32FB111B" w:rsidR="00EA1E73" w:rsidRPr="00B67F37" w:rsidRDefault="00EA1E73" w:rsidP="008B7F77">
      <w:pPr>
        <w:pStyle w:val="Style2"/>
      </w:pPr>
      <w:r w:rsidRPr="00B67F37">
        <w:t xml:space="preserve">that </w:t>
      </w:r>
      <w:r>
        <w:t>Mr CZ</w:t>
      </w:r>
      <w:r w:rsidRPr="00B67F37">
        <w:t xml:space="preserve"> has an ongoing illness, including mental health illness, requiring ongoing medical intervention</w:t>
      </w:r>
    </w:p>
    <w:p w14:paraId="72CEAD6F" w14:textId="77777777" w:rsidR="00EA1E73" w:rsidRPr="00B67F37" w:rsidRDefault="00EA1E73" w:rsidP="008B7F77">
      <w:pPr>
        <w:pStyle w:val="Style2"/>
      </w:pPr>
      <w:r w:rsidRPr="00B67F37">
        <w:t>IHMS reports he does not have any diagnosed condition that cannot be properly cared for in current situation</w:t>
      </w:r>
    </w:p>
    <w:p w14:paraId="7DE0771A" w14:textId="77777777" w:rsidR="00EA1E73" w:rsidRPr="00B67F37" w:rsidRDefault="00EA1E73" w:rsidP="008B7F77">
      <w:pPr>
        <w:pStyle w:val="Style2"/>
      </w:pPr>
      <w:r w:rsidRPr="00B67F37">
        <w:t>there are no unique or exceptional circumstances</w:t>
      </w:r>
    </w:p>
    <w:p w14:paraId="27462359" w14:textId="77777777" w:rsidR="00EA1E73" w:rsidRPr="00B67F37" w:rsidRDefault="00EA1E73" w:rsidP="008B7F77">
      <w:pPr>
        <w:pStyle w:val="Style2"/>
      </w:pPr>
      <w:r w:rsidRPr="00B67F37">
        <w:t>under the s 197AB guidelines, this case should not be referred for Ministerial consideration because his protection visa application has been finally determined.</w:t>
      </w:r>
    </w:p>
    <w:p w14:paraId="48C6CD65" w14:textId="02C9496E" w:rsidR="00EA1E73" w:rsidRPr="00B67F37" w:rsidRDefault="00EA1E73" w:rsidP="002A7D47">
      <w:pPr>
        <w:numPr>
          <w:ilvl w:val="0"/>
          <w:numId w:val="22"/>
        </w:numPr>
        <w:rPr>
          <w:rFonts w:cs="Open Sans"/>
        </w:rPr>
      </w:pPr>
      <w:r w:rsidRPr="00B67F37">
        <w:rPr>
          <w:rFonts w:cs="Open Sans"/>
        </w:rPr>
        <w:t xml:space="preserve">Consequently, the Department decided not to refer </w:t>
      </w:r>
      <w:r>
        <w:rPr>
          <w:rFonts w:cs="Open Sans"/>
        </w:rPr>
        <w:t>Mr CZ</w:t>
      </w:r>
      <w:r w:rsidRPr="00B67F37">
        <w:rPr>
          <w:rFonts w:cs="Open Sans"/>
        </w:rPr>
        <w:t xml:space="preserve"> to the Minister for consideration under s 197AB of the Migration Act. </w:t>
      </w:r>
    </w:p>
    <w:p w14:paraId="0DC28126" w14:textId="1D397F8E" w:rsidR="00EA1E73" w:rsidRPr="00B67F37" w:rsidRDefault="00EA1E73" w:rsidP="002A7D47">
      <w:pPr>
        <w:numPr>
          <w:ilvl w:val="0"/>
          <w:numId w:val="22"/>
        </w:numPr>
        <w:rPr>
          <w:rFonts w:cs="Open Sans"/>
        </w:rPr>
      </w:pPr>
      <w:r w:rsidRPr="00B67F37">
        <w:rPr>
          <w:rFonts w:cs="Open Sans"/>
        </w:rPr>
        <w:lastRenderedPageBreak/>
        <w:t xml:space="preserve">It is uncertain why the Department found that there were no unique or exceptional circumstances in </w:t>
      </w:r>
      <w:r>
        <w:rPr>
          <w:rFonts w:cs="Open Sans"/>
        </w:rPr>
        <w:t>Mr CZ</w:t>
      </w:r>
      <w:r w:rsidRPr="00B67F37">
        <w:rPr>
          <w:rFonts w:cs="Open Sans"/>
        </w:rPr>
        <w:t xml:space="preserve">’s case. The above assessment does not provide any further detail on this point. I noted above that ‘unique or exceptional circumstances’ is also not defined in the s 197AB Guidelines but referred to other definitions in similar Ministerial guidelines under the Migration Act. Given </w:t>
      </w:r>
      <w:r>
        <w:rPr>
          <w:rFonts w:cs="Open Sans"/>
        </w:rPr>
        <w:t>Mr CZ</w:t>
      </w:r>
      <w:r w:rsidRPr="00B67F37">
        <w:rPr>
          <w:rFonts w:cs="Open Sans"/>
        </w:rPr>
        <w:t>’s length of time in immigration detention, the significant barriers to his removal from Australia given Iran’s policy regarding involuntary returns, and his mental health issues</w:t>
      </w:r>
      <w:r w:rsidR="0070547A">
        <w:rPr>
          <w:rFonts w:cs="Open Sans"/>
        </w:rPr>
        <w:t>,</w:t>
      </w:r>
      <w:r w:rsidRPr="00B67F37">
        <w:rPr>
          <w:rFonts w:cs="Open Sans"/>
        </w:rPr>
        <w:t xml:space="preserve"> it appears that </w:t>
      </w:r>
      <w:r>
        <w:rPr>
          <w:rFonts w:cs="Open Sans"/>
        </w:rPr>
        <w:t>Mr CZ</w:t>
      </w:r>
      <w:r w:rsidRPr="00B67F37">
        <w:rPr>
          <w:rFonts w:cs="Open Sans"/>
        </w:rPr>
        <w:t xml:space="preserve"> may have met the criteria for ‘unique or exceptional circumstances’, particularly in reference to Australia’s obligations as a party to the ICCPR. </w:t>
      </w:r>
    </w:p>
    <w:p w14:paraId="79E14008" w14:textId="487EB74F" w:rsidR="00EA1E73" w:rsidRPr="00B67F37" w:rsidRDefault="00EA1E73" w:rsidP="002A7D47">
      <w:pPr>
        <w:numPr>
          <w:ilvl w:val="0"/>
          <w:numId w:val="22"/>
        </w:numPr>
        <w:rPr>
          <w:rFonts w:cs="Open Sans"/>
        </w:rPr>
      </w:pPr>
      <w:r w:rsidRPr="00B67F37">
        <w:rPr>
          <w:rFonts w:cs="Open Sans"/>
        </w:rPr>
        <w:t xml:space="preserve">As noted above, the Department’s decision not to refer </w:t>
      </w:r>
      <w:r>
        <w:rPr>
          <w:rFonts w:cs="Open Sans"/>
        </w:rPr>
        <w:t>Mr CZ</w:t>
      </w:r>
      <w:r w:rsidRPr="00B67F37">
        <w:rPr>
          <w:rFonts w:cs="Open Sans"/>
        </w:rPr>
        <w:t>’s case to the Minister under s 197AB of the Migration Act may also have been a decision made in excess of the executive power of the Commonwealth.</w:t>
      </w:r>
      <w:r w:rsidRPr="00B67F37">
        <w:rPr>
          <w:rStyle w:val="EndnoteReference"/>
          <w:rFonts w:cs="Open Sans"/>
        </w:rPr>
        <w:endnoteReference w:id="26"/>
      </w:r>
    </w:p>
    <w:p w14:paraId="516259B5" w14:textId="1793B067" w:rsidR="00EA1E73" w:rsidRPr="00B67F37" w:rsidRDefault="00EA1E73" w:rsidP="002A7D47">
      <w:pPr>
        <w:numPr>
          <w:ilvl w:val="0"/>
          <w:numId w:val="22"/>
        </w:numPr>
        <w:rPr>
          <w:rFonts w:cs="Open Sans"/>
        </w:rPr>
      </w:pPr>
      <w:r w:rsidRPr="00B67F37">
        <w:rPr>
          <w:rFonts w:cs="Open Sans"/>
        </w:rPr>
        <w:t xml:space="preserve">Consequently, I find that the failure of the Department to refer </w:t>
      </w:r>
      <w:r>
        <w:rPr>
          <w:rFonts w:cs="Open Sans"/>
        </w:rPr>
        <w:t>Mr CZ</w:t>
      </w:r>
      <w:r w:rsidRPr="00B67F37">
        <w:rPr>
          <w:rFonts w:cs="Open Sans"/>
        </w:rPr>
        <w:t xml:space="preserve">’s case to the Minister, to consider exercising his discretion under s 197AB of the Migration Act, contributed to the detention of </w:t>
      </w:r>
      <w:r>
        <w:rPr>
          <w:rFonts w:cs="Open Sans"/>
        </w:rPr>
        <w:t>Mr CZ</w:t>
      </w:r>
      <w:r w:rsidRPr="00B67F37">
        <w:rPr>
          <w:rFonts w:cs="Open Sans"/>
        </w:rPr>
        <w:t xml:space="preserve"> without consideration of whether that detention was justified in the particular circumstances of his case. I find that </w:t>
      </w:r>
      <w:r>
        <w:rPr>
          <w:rFonts w:cs="Open Sans"/>
        </w:rPr>
        <w:t>Mr CZ</w:t>
      </w:r>
      <w:r w:rsidRPr="00B67F37">
        <w:rPr>
          <w:rFonts w:cs="Open Sans"/>
        </w:rPr>
        <w:t xml:space="preserve">’s detention from 13 April 2018 was not reasonable, necessary or proportionate in the context of his particular circumstances and, as a result, </w:t>
      </w:r>
      <w:r>
        <w:rPr>
          <w:rFonts w:cs="Open Sans"/>
        </w:rPr>
        <w:t xml:space="preserve">was </w:t>
      </w:r>
      <w:r w:rsidRPr="00B67F37">
        <w:rPr>
          <w:rFonts w:cs="Open Sans"/>
        </w:rPr>
        <w:t>arbitrary for the purposes of article 9(1) of the ICCPR.</w:t>
      </w:r>
    </w:p>
    <w:p w14:paraId="451856AF" w14:textId="77777777" w:rsidR="00EA1E73" w:rsidRPr="00B67F37" w:rsidRDefault="00EA1E73" w:rsidP="00EA1E73">
      <w:pPr>
        <w:pStyle w:val="Heading1"/>
        <w:rPr>
          <w:rFonts w:cs="Open Sans"/>
        </w:rPr>
      </w:pPr>
      <w:bookmarkStart w:id="86" w:name="_Toc156817228"/>
      <w:bookmarkStart w:id="87" w:name="_Toc164705901"/>
      <w:r w:rsidRPr="00B67F37">
        <w:rPr>
          <w:rFonts w:cs="Open Sans"/>
        </w:rPr>
        <w:t>Recommendations</w:t>
      </w:r>
      <w:bookmarkEnd w:id="86"/>
      <w:bookmarkEnd w:id="87"/>
    </w:p>
    <w:p w14:paraId="51C260EC" w14:textId="1FA92D66" w:rsidR="00EA1E73" w:rsidRPr="00B67F37" w:rsidRDefault="00EA1E73" w:rsidP="002A7D47">
      <w:pPr>
        <w:numPr>
          <w:ilvl w:val="0"/>
          <w:numId w:val="22"/>
        </w:numPr>
        <w:rPr>
          <w:rFonts w:cs="Open Sans"/>
        </w:rPr>
      </w:pPr>
      <w:r w:rsidRPr="00B67F37">
        <w:rPr>
          <w:rFonts w:cs="Open Sans"/>
        </w:rPr>
        <w:t>Where, after conducting an inquiry, the Commission finds that an act or practice engaged in by a respondent is inconsistent with</w:t>
      </w:r>
      <w:r w:rsidR="000955E9">
        <w:rPr>
          <w:rFonts w:cs="Open Sans"/>
        </w:rPr>
        <w:t>,</w:t>
      </w:r>
      <w:r w:rsidRPr="00B67F37">
        <w:rPr>
          <w:rFonts w:cs="Open Sans"/>
        </w:rPr>
        <w:t xml:space="preserve"> or contrary to any human right, the Commission is required to serve notice on the respondent setting out its findings and reasons for those findings.</w:t>
      </w:r>
      <w:r w:rsidRPr="000658A2">
        <w:rPr>
          <w:rStyle w:val="EndnoteReference"/>
          <w:rFonts w:cs="Open Sans"/>
        </w:rPr>
        <w:endnoteReference w:id="27"/>
      </w:r>
      <w:r w:rsidRPr="00B67F37">
        <w:rPr>
          <w:rFonts w:cs="Open Sans"/>
        </w:rPr>
        <w:t xml:space="preserve"> The Commission may include in the notice any recommendations for preventing a repetition of the act or a continuation of the practice.</w:t>
      </w:r>
      <w:r w:rsidRPr="000658A2">
        <w:rPr>
          <w:rStyle w:val="EndnoteReference"/>
          <w:rFonts w:cs="Open Sans"/>
        </w:rPr>
        <w:endnoteReference w:id="28"/>
      </w:r>
      <w:r w:rsidRPr="00B67F37">
        <w:rPr>
          <w:rFonts w:cs="Open Sans"/>
        </w:rPr>
        <w:t xml:space="preserve"> The Commission may also recommend other action to remedy or reduce the loss or damage suffered by a person.</w:t>
      </w:r>
      <w:r w:rsidRPr="000658A2">
        <w:rPr>
          <w:rStyle w:val="EndnoteReference"/>
          <w:rFonts w:cs="Open Sans"/>
        </w:rPr>
        <w:endnoteReference w:id="29"/>
      </w:r>
    </w:p>
    <w:p w14:paraId="290D2669" w14:textId="77777777" w:rsidR="00EA1E73" w:rsidRPr="00B67F37" w:rsidRDefault="00EA1E73" w:rsidP="00EA1E73">
      <w:pPr>
        <w:pStyle w:val="Heading2"/>
        <w:rPr>
          <w:rFonts w:cs="Open Sans"/>
        </w:rPr>
      </w:pPr>
      <w:bookmarkStart w:id="88" w:name="_Toc156817229"/>
      <w:bookmarkStart w:id="89" w:name="_Toc164705902"/>
      <w:r w:rsidRPr="00B67F37">
        <w:rPr>
          <w:rFonts w:cs="Open Sans"/>
        </w:rPr>
        <w:t>Alternatives to held detention</w:t>
      </w:r>
      <w:bookmarkEnd w:id="88"/>
      <w:bookmarkEnd w:id="89"/>
      <w:r w:rsidRPr="00B67F37">
        <w:rPr>
          <w:rFonts w:cs="Open Sans"/>
        </w:rPr>
        <w:t xml:space="preserve"> </w:t>
      </w:r>
    </w:p>
    <w:p w14:paraId="78875A77" w14:textId="77777777" w:rsidR="00EA1E73" w:rsidRPr="00B67F37" w:rsidRDefault="00EA1E73" w:rsidP="002A7D47">
      <w:pPr>
        <w:numPr>
          <w:ilvl w:val="0"/>
          <w:numId w:val="22"/>
        </w:numPr>
        <w:rPr>
          <w:rFonts w:cs="Open Sans"/>
        </w:rPr>
      </w:pPr>
      <w:r w:rsidRPr="00B67F37">
        <w:rPr>
          <w:rFonts w:cs="Open Sans"/>
        </w:rPr>
        <w:t xml:space="preserve">As previously highlighted by the Commission, the detention review process currently conducted by the Department considers whether there are circumstances that indicate that a detainee cannot be appropriately managed within a detention centre environment. They do not consider whether detention is reasonable, necessary or proportionate on the basis </w:t>
      </w:r>
      <w:r w:rsidRPr="00B67F37">
        <w:rPr>
          <w:rFonts w:cs="Open Sans"/>
        </w:rPr>
        <w:lastRenderedPageBreak/>
        <w:t>of particular reasons specific to the individual, and in light of the available alternatives to closed detention. The Commission has expressed concern that this process does not adequately safeguard against arbitrary detention.</w:t>
      </w:r>
      <w:r w:rsidRPr="000658A2">
        <w:rPr>
          <w:rStyle w:val="EndnoteReference"/>
          <w:rFonts w:cs="Open Sans"/>
        </w:rPr>
        <w:endnoteReference w:id="30"/>
      </w:r>
    </w:p>
    <w:p w14:paraId="7BA67CA4" w14:textId="77777777" w:rsidR="00EA1E73" w:rsidRPr="00B67F37" w:rsidRDefault="00EA1E73" w:rsidP="002A7D47">
      <w:pPr>
        <w:numPr>
          <w:ilvl w:val="0"/>
          <w:numId w:val="22"/>
        </w:numPr>
        <w:rPr>
          <w:rFonts w:cs="Open Sans"/>
        </w:rPr>
      </w:pPr>
      <w:r w:rsidRPr="00B67F37">
        <w:rPr>
          <w:rFonts w:cs="Open Sans"/>
        </w:rPr>
        <w:t xml:space="preserve">In August 2022, the Department conducted a stakeholder briefing about its Alternatives to Held Detention program. It subsequently published a briefing note and slide deck in relation to that </w:t>
      </w:r>
      <w:r w:rsidRPr="00B67F37" w:rsidDel="004D57CD">
        <w:rPr>
          <w:rFonts w:cs="Open Sans"/>
        </w:rPr>
        <w:t>briefing</w:t>
      </w:r>
      <w:r w:rsidRPr="00B67F37">
        <w:rPr>
          <w:rFonts w:cs="Open Sans"/>
        </w:rPr>
        <w:t>.</w:t>
      </w:r>
      <w:r w:rsidRPr="000658A2">
        <w:rPr>
          <w:rStyle w:val="EndnoteReference"/>
          <w:rFonts w:cs="Open Sans"/>
        </w:rPr>
        <w:endnoteReference w:id="31"/>
      </w:r>
      <w:r w:rsidRPr="00B67F37">
        <w:rPr>
          <w:rFonts w:cs="Open Sans"/>
        </w:rPr>
        <w:t xml:space="preserve"> These documents described a range of important initiatives that were being explored by the Department, including:</w:t>
      </w:r>
    </w:p>
    <w:p w14:paraId="3D0891B2" w14:textId="77777777" w:rsidR="00EA1E73" w:rsidRPr="00B67F37" w:rsidRDefault="00EA1E73" w:rsidP="002A7D47">
      <w:pPr>
        <w:pStyle w:val="ListParagraph"/>
        <w:numPr>
          <w:ilvl w:val="1"/>
          <w:numId w:val="28"/>
        </w:numPr>
        <w:spacing w:line="300" w:lineRule="exact"/>
        <w:rPr>
          <w:rFonts w:cs="Open Sans"/>
        </w:rPr>
      </w:pPr>
      <w:r w:rsidRPr="00B67F37">
        <w:rPr>
          <w:rFonts w:cs="Open Sans"/>
          <w:b/>
          <w:bCs/>
        </w:rPr>
        <w:t>Risk assessment tools:</w:t>
      </w:r>
      <w:r w:rsidRPr="00B67F37">
        <w:rPr>
          <w:rFonts w:cs="Open Sans"/>
        </w:rPr>
        <w:t xml:space="preserve"> reviewing current tools and developing a revised risk assessment framework and tools that enable a dynamic and nuanced assessment of risk across the status resolution continuum</w:t>
      </w:r>
    </w:p>
    <w:p w14:paraId="0CCA25B8" w14:textId="77777777" w:rsidR="00EA1E73" w:rsidRPr="00B67F37" w:rsidRDefault="00EA1E73" w:rsidP="002A7D47">
      <w:pPr>
        <w:pStyle w:val="ListParagraph"/>
        <w:numPr>
          <w:ilvl w:val="1"/>
          <w:numId w:val="28"/>
        </w:numPr>
        <w:spacing w:line="300" w:lineRule="exact"/>
        <w:rPr>
          <w:rFonts w:cs="Open Sans"/>
        </w:rPr>
      </w:pPr>
      <w:r w:rsidRPr="00B67F37">
        <w:rPr>
          <w:rFonts w:cs="Open Sans"/>
          <w:b/>
          <w:bCs/>
        </w:rPr>
        <w:t>An ‘independent panel’:</w:t>
      </w:r>
      <w:r w:rsidRPr="00B67F37">
        <w:rPr>
          <w:rFonts w:cs="Open Sans"/>
        </w:rPr>
        <w:t xml:space="preserve"> establishing a qualified independent panel of experts to conduct a more nuanced assessment of a detainee’s risk, including risks related to their physical and mental health, and provide advice about community-based placement for detainees with complex circumstances and residual risk</w:t>
      </w:r>
    </w:p>
    <w:p w14:paraId="4215C555" w14:textId="77777777" w:rsidR="00EA1E73" w:rsidRPr="00B67F37" w:rsidRDefault="00EA1E73" w:rsidP="002A7D47">
      <w:pPr>
        <w:pStyle w:val="ListParagraph"/>
        <w:numPr>
          <w:ilvl w:val="1"/>
          <w:numId w:val="28"/>
        </w:numPr>
        <w:spacing w:line="300" w:lineRule="exact"/>
        <w:rPr>
          <w:rFonts w:cs="Open Sans"/>
        </w:rPr>
      </w:pPr>
      <w:r w:rsidRPr="00B67F37">
        <w:rPr>
          <w:rFonts w:cs="Open Sans"/>
          <w:b/>
          <w:bCs/>
        </w:rPr>
        <w:t>Increasing community based placements:</w:t>
      </w:r>
      <w:r w:rsidRPr="00B67F37">
        <w:rPr>
          <w:rFonts w:cs="Open Sans"/>
        </w:rPr>
        <w:t xml:space="preserve"> in particular, by focusing on detainees who pose a low to medium risk to the community, and managing residual risk through the imposition of bail-like conditions and the provision of post-release support services</w:t>
      </w:r>
    </w:p>
    <w:p w14:paraId="58401E47" w14:textId="77777777" w:rsidR="00EA1E73" w:rsidRPr="00B67F37" w:rsidRDefault="00EA1E73" w:rsidP="002A7D47">
      <w:pPr>
        <w:pStyle w:val="ListParagraph"/>
        <w:numPr>
          <w:ilvl w:val="1"/>
          <w:numId w:val="28"/>
        </w:numPr>
        <w:spacing w:line="300" w:lineRule="exact"/>
        <w:rPr>
          <w:rFonts w:cs="Open Sans"/>
        </w:rPr>
      </w:pPr>
      <w:r w:rsidRPr="00B67F37">
        <w:rPr>
          <w:rFonts w:cs="Open Sans"/>
          <w:b/>
          <w:bCs/>
        </w:rPr>
        <w:t>A ‘step-down’ model:</w:t>
      </w:r>
      <w:r w:rsidRPr="00B67F37">
        <w:rPr>
          <w:rFonts w:cs="Open Sans"/>
        </w:rPr>
        <w:t xml:space="preserve"> considering transfer from held detention to a residence determination as part of a transition to living in the community.</w:t>
      </w:r>
    </w:p>
    <w:p w14:paraId="2ED65FD0" w14:textId="77777777" w:rsidR="00EA1E73" w:rsidRPr="00B67F37" w:rsidRDefault="00EA1E73" w:rsidP="002A7D47">
      <w:pPr>
        <w:numPr>
          <w:ilvl w:val="0"/>
          <w:numId w:val="22"/>
        </w:numPr>
        <w:rPr>
          <w:rFonts w:cs="Open Sans"/>
        </w:rPr>
      </w:pPr>
      <w:r w:rsidRPr="00B67F37">
        <w:rPr>
          <w:rFonts w:cs="Open Sans"/>
        </w:rPr>
        <w:t>Those initiatives were prompted by two reviews:</w:t>
      </w:r>
    </w:p>
    <w:p w14:paraId="7126761E" w14:textId="77777777" w:rsidR="00EA1E73" w:rsidRPr="00B67F37" w:rsidRDefault="00EA1E73" w:rsidP="002A7D47">
      <w:pPr>
        <w:pStyle w:val="ListParagraph"/>
        <w:numPr>
          <w:ilvl w:val="1"/>
          <w:numId w:val="28"/>
        </w:numPr>
        <w:spacing w:line="300" w:lineRule="exact"/>
        <w:rPr>
          <w:rFonts w:cs="Open Sans"/>
        </w:rPr>
      </w:pPr>
      <w:r w:rsidRPr="00B67F37">
        <w:rPr>
          <w:rFonts w:cs="Open Sans"/>
        </w:rPr>
        <w:t>the Independent Detention Case Review conducted for the Department in March 2020</w:t>
      </w:r>
      <w:r>
        <w:rPr>
          <w:rFonts w:cs="Open Sans"/>
        </w:rPr>
        <w:t xml:space="preserve"> </w:t>
      </w:r>
      <w:r w:rsidRPr="00B67F37">
        <w:rPr>
          <w:rFonts w:cs="Open Sans"/>
        </w:rPr>
        <w:t>by Robert Cornall AO</w:t>
      </w:r>
      <w:r w:rsidRPr="000658A2">
        <w:rPr>
          <w:rStyle w:val="EndnoteReference"/>
          <w:rFonts w:cs="Open Sans"/>
        </w:rPr>
        <w:endnoteReference w:id="32"/>
      </w:r>
    </w:p>
    <w:p w14:paraId="6B8E48A5" w14:textId="3BEFCD12" w:rsidR="00EA1E73" w:rsidRPr="00B67F37" w:rsidRDefault="00EA1E73" w:rsidP="002A7D47">
      <w:pPr>
        <w:pStyle w:val="ListParagraph"/>
        <w:numPr>
          <w:ilvl w:val="1"/>
          <w:numId w:val="28"/>
        </w:numPr>
        <w:spacing w:line="300" w:lineRule="exact"/>
        <w:rPr>
          <w:rFonts w:cs="Open Sans"/>
        </w:rPr>
      </w:pPr>
      <w:r w:rsidRPr="00B67F37">
        <w:rPr>
          <w:rFonts w:cs="Open Sans"/>
        </w:rPr>
        <w:t>the Commission’s report to the Attorney-General</w:t>
      </w:r>
      <w:r>
        <w:rPr>
          <w:rFonts w:cs="Open Sans"/>
        </w:rPr>
        <w:t>,</w:t>
      </w:r>
      <w:r w:rsidRPr="00B67F37">
        <w:rPr>
          <w:rFonts w:cs="Open Sans"/>
        </w:rPr>
        <w:t xml:space="preserve"> </w:t>
      </w:r>
      <w:r w:rsidRPr="00B67F37">
        <w:rPr>
          <w:rFonts w:cs="Open Sans"/>
          <w:i/>
          <w:iCs/>
        </w:rPr>
        <w:t xml:space="preserve">Immigration detention following visa refusal or cancellation under section 501 of the Migration Act 1958 </w:t>
      </w:r>
      <w:r w:rsidRPr="00B67F37">
        <w:rPr>
          <w:rFonts w:cs="Open Sans"/>
        </w:rPr>
        <w:t>(Cth) [2021] AusHRC 141 in February 2021.</w:t>
      </w:r>
    </w:p>
    <w:p w14:paraId="4C85C393" w14:textId="469AD880" w:rsidR="00EA1E73" w:rsidRPr="00B67F37" w:rsidRDefault="00EA1E73" w:rsidP="002A7D47">
      <w:pPr>
        <w:numPr>
          <w:ilvl w:val="0"/>
          <w:numId w:val="22"/>
        </w:numPr>
        <w:rPr>
          <w:rFonts w:cs="Open Sans"/>
        </w:rPr>
      </w:pPr>
      <w:r w:rsidRPr="00B67F37">
        <w:rPr>
          <w:rFonts w:cs="Open Sans"/>
        </w:rPr>
        <w:t>The Commission welcomes these initiatives</w:t>
      </w:r>
      <w:r w:rsidR="003C2062">
        <w:rPr>
          <w:rFonts w:cs="Open Sans"/>
        </w:rPr>
        <w:t>,</w:t>
      </w:r>
      <w:r w:rsidRPr="00B67F37">
        <w:rPr>
          <w:rFonts w:cs="Open Sans"/>
        </w:rPr>
        <w:t xml:space="preserve"> which reflect and build on recommendations it has made in a number of previous reports </w:t>
      </w:r>
      <w:r w:rsidR="003C2062">
        <w:rPr>
          <w:rFonts w:cs="Open Sans"/>
        </w:rPr>
        <w:t xml:space="preserve">– </w:t>
      </w:r>
      <w:r w:rsidRPr="00B67F37">
        <w:rPr>
          <w:rFonts w:cs="Open Sans"/>
        </w:rPr>
        <w:t>including the one identified above. Implementation of these initiatives would increase the prospect that decisions to administratively detain an individual are limited to circumstances where detention is reasonable, necessary and proportionate on the basis of particular reasons specific to the individual, and in light of the available alternatives to closed detention.</w:t>
      </w:r>
    </w:p>
    <w:p w14:paraId="42ACABF4" w14:textId="77777777" w:rsidR="00EA1E73" w:rsidRPr="00B67F37" w:rsidRDefault="00EA1E73" w:rsidP="002A7D47">
      <w:pPr>
        <w:numPr>
          <w:ilvl w:val="0"/>
          <w:numId w:val="22"/>
        </w:numPr>
        <w:rPr>
          <w:rFonts w:cs="Open Sans"/>
        </w:rPr>
      </w:pPr>
      <w:r w:rsidRPr="00B67F37">
        <w:rPr>
          <w:rFonts w:cs="Open Sans"/>
        </w:rPr>
        <w:lastRenderedPageBreak/>
        <w:t>The Department’s response to my preliminary view describes processes in place for quality assurance of the CPATs. According to the Department, each month 5% of CPAT</w:t>
      </w:r>
      <w:r>
        <w:rPr>
          <w:rFonts w:cs="Open Sans"/>
        </w:rPr>
        <w:t>s</w:t>
      </w:r>
      <w:r w:rsidRPr="00B67F37">
        <w:rPr>
          <w:rFonts w:cs="Open Sans"/>
        </w:rPr>
        <w:t xml:space="preserve"> completed in the previous month are subject to quality assurance reviews with detailed feedback provided, and where critical errors are found, the CPAT is reviewed as a matter of priority. The Department has also implemented a mandatory CPAT e-learning course. While the Commission welcomes these improvements, the Commission understands from conversations with the Department that </w:t>
      </w:r>
      <w:r>
        <w:rPr>
          <w:rFonts w:cs="Open Sans"/>
        </w:rPr>
        <w:t xml:space="preserve">progress in implementing </w:t>
      </w:r>
      <w:r w:rsidRPr="00B67F37">
        <w:rPr>
          <w:rFonts w:cs="Open Sans"/>
        </w:rPr>
        <w:t xml:space="preserve">the Alternatives to Held Detention program </w:t>
      </w:r>
      <w:r>
        <w:rPr>
          <w:rFonts w:cs="Open Sans"/>
        </w:rPr>
        <w:t xml:space="preserve">has slowed following the High Court’s decision in </w:t>
      </w:r>
      <w:r w:rsidRPr="000658A2">
        <w:rPr>
          <w:rFonts w:cs="Open Sans"/>
          <w:i/>
          <w:iCs/>
        </w:rPr>
        <w:t>NZYQ v Minister for Immigration, Citizenship and Multicultural Affairs</w:t>
      </w:r>
      <w:r>
        <w:rPr>
          <w:rFonts w:cs="Open Sans"/>
        </w:rPr>
        <w:t xml:space="preserve"> [2023] HCA 37</w:t>
      </w:r>
      <w:r w:rsidRPr="00B67F37">
        <w:rPr>
          <w:rFonts w:cs="Open Sans"/>
        </w:rPr>
        <w:t xml:space="preserve">. </w:t>
      </w:r>
    </w:p>
    <w:p w14:paraId="754D8967" w14:textId="77777777" w:rsidR="00EA1E73" w:rsidRPr="00B67F37" w:rsidRDefault="00EA1E73" w:rsidP="002A7D47">
      <w:pPr>
        <w:numPr>
          <w:ilvl w:val="0"/>
          <w:numId w:val="22"/>
        </w:numPr>
        <w:rPr>
          <w:rFonts w:cs="Open Sans"/>
        </w:rPr>
      </w:pPr>
      <w:r w:rsidRPr="00B67F37">
        <w:rPr>
          <w:rFonts w:cs="Open Sans"/>
        </w:rPr>
        <w:t>The Commission encourages further work to be undertaken by the Department in each of the areas identified in the Alternatives to Held Detention program.</w:t>
      </w:r>
    </w:p>
    <w:p w14:paraId="3A9D257C" w14:textId="77777777" w:rsidR="00EA1E73" w:rsidRPr="00B67F37" w:rsidRDefault="00EA1E73" w:rsidP="00EA1E73">
      <w:pPr>
        <w:keepNext/>
        <w:spacing w:line="300" w:lineRule="exact"/>
        <w:ind w:left="737"/>
        <w:rPr>
          <w:rFonts w:cs="Open Sans"/>
          <w:b/>
          <w:bCs/>
        </w:rPr>
      </w:pPr>
      <w:r w:rsidRPr="00B67F37">
        <w:rPr>
          <w:rFonts w:cs="Open Sans"/>
          <w:b/>
          <w:bCs/>
        </w:rPr>
        <w:t>Recommendation 1</w:t>
      </w:r>
    </w:p>
    <w:p w14:paraId="39B3E3A2" w14:textId="77777777" w:rsidR="00EA1E73" w:rsidRPr="00B67F37" w:rsidRDefault="00EA1E73" w:rsidP="00EA1E73">
      <w:pPr>
        <w:ind w:left="737"/>
        <w:rPr>
          <w:rFonts w:cs="Open Sans"/>
        </w:rPr>
      </w:pPr>
      <w:r w:rsidRPr="00B67F37">
        <w:rPr>
          <w:rFonts w:cs="Open Sans"/>
        </w:rPr>
        <w:t>The Commission recommends that the Department progress each of the elements of the Alternatives to Held Detention program, including:</w:t>
      </w:r>
    </w:p>
    <w:p w14:paraId="453092AC" w14:textId="77777777" w:rsidR="00EA1E73" w:rsidRPr="00B67F37" w:rsidDel="00476D1E" w:rsidRDefault="00EA1E73" w:rsidP="002A7D47">
      <w:pPr>
        <w:pStyle w:val="ListParagraph"/>
        <w:numPr>
          <w:ilvl w:val="1"/>
          <w:numId w:val="28"/>
        </w:numPr>
        <w:spacing w:line="300" w:lineRule="exact"/>
        <w:rPr>
          <w:rFonts w:cs="Open Sans"/>
        </w:rPr>
      </w:pPr>
      <w:r w:rsidRPr="00B67F37" w:rsidDel="00476D1E">
        <w:rPr>
          <w:rFonts w:cs="Open Sans"/>
        </w:rPr>
        <w:t>the development of a more nuanced, dynamic risk assessment tool to assess the degree of risk posed by a detainee to the community and how such risk could be mitigated</w:t>
      </w:r>
    </w:p>
    <w:p w14:paraId="73779BA2" w14:textId="77777777" w:rsidR="00EA1E73" w:rsidRPr="00B67F37" w:rsidDel="00476D1E" w:rsidRDefault="00EA1E73" w:rsidP="002A7D47">
      <w:pPr>
        <w:pStyle w:val="ListParagraph"/>
        <w:numPr>
          <w:ilvl w:val="1"/>
          <w:numId w:val="28"/>
        </w:numPr>
        <w:spacing w:line="300" w:lineRule="exact"/>
        <w:rPr>
          <w:rFonts w:cs="Open Sans"/>
        </w:rPr>
      </w:pPr>
      <w:r w:rsidRPr="00B67F37" w:rsidDel="00476D1E">
        <w:rPr>
          <w:rFonts w:cs="Open Sans"/>
        </w:rPr>
        <w:t xml:space="preserve">the establishment of </w:t>
      </w:r>
      <w:r w:rsidRPr="00B67F37">
        <w:rPr>
          <w:rFonts w:cs="Open Sans"/>
        </w:rPr>
        <w:t xml:space="preserve">an </w:t>
      </w:r>
      <w:r w:rsidRPr="00B67F37" w:rsidDel="00476D1E">
        <w:rPr>
          <w:rFonts w:cs="Open Sans"/>
        </w:rPr>
        <w:t xml:space="preserve">independent panel of experts to assess the risk posed by a detainee and provide advice about community-based placement </w:t>
      </w:r>
    </w:p>
    <w:p w14:paraId="4E9A9D2C" w14:textId="77777777" w:rsidR="00EA1E73" w:rsidRPr="00B67F37" w:rsidDel="00476D1E" w:rsidRDefault="00EA1E73" w:rsidP="002A7D47">
      <w:pPr>
        <w:pStyle w:val="ListParagraph"/>
        <w:numPr>
          <w:ilvl w:val="1"/>
          <w:numId w:val="28"/>
        </w:numPr>
        <w:spacing w:line="300" w:lineRule="exact"/>
        <w:rPr>
          <w:rFonts w:cs="Open Sans"/>
        </w:rPr>
      </w:pPr>
      <w:r w:rsidRPr="00B67F37" w:rsidDel="00476D1E">
        <w:rPr>
          <w:rFonts w:cs="Open Sans"/>
        </w:rPr>
        <w:t xml:space="preserve">increasing community-based placements for low and medium risk detainees, through necessary conditions and support services </w:t>
      </w:r>
    </w:p>
    <w:p w14:paraId="1C8C7CA0" w14:textId="77777777" w:rsidR="00EA1E73" w:rsidRPr="00B67F37" w:rsidDel="00476D1E" w:rsidRDefault="00EA1E73" w:rsidP="002A7D47">
      <w:pPr>
        <w:pStyle w:val="ListParagraph"/>
        <w:numPr>
          <w:ilvl w:val="1"/>
          <w:numId w:val="28"/>
        </w:numPr>
        <w:spacing w:line="300" w:lineRule="exact"/>
        <w:rPr>
          <w:rFonts w:cs="Open Sans"/>
        </w:rPr>
      </w:pPr>
      <w:r w:rsidRPr="00B67F37" w:rsidDel="00476D1E">
        <w:rPr>
          <w:rFonts w:cs="Open Sans"/>
        </w:rPr>
        <w:t>utilising residence determinations as part of a step-down model of reintegration into the community.</w:t>
      </w:r>
    </w:p>
    <w:p w14:paraId="5495BF38" w14:textId="77777777" w:rsidR="00EA1E73" w:rsidRPr="00B67F37" w:rsidRDefault="00EA1E73" w:rsidP="00EA1E73">
      <w:pPr>
        <w:pStyle w:val="Heading2"/>
        <w:rPr>
          <w:rFonts w:cs="Open Sans"/>
          <w:szCs w:val="20"/>
        </w:rPr>
      </w:pPr>
      <w:bookmarkStart w:id="90" w:name="_Toc152166944"/>
      <w:bookmarkStart w:id="91" w:name="_Toc156817230"/>
      <w:bookmarkStart w:id="92" w:name="_Toc164705903"/>
      <w:r w:rsidRPr="00B67F37">
        <w:rPr>
          <w:rFonts w:cs="Open Sans"/>
          <w:szCs w:val="20"/>
        </w:rPr>
        <w:t>Guidelines for referrals to the Minister</w:t>
      </w:r>
      <w:bookmarkEnd w:id="90"/>
      <w:bookmarkEnd w:id="91"/>
      <w:bookmarkEnd w:id="92"/>
    </w:p>
    <w:p w14:paraId="0FD5B0EC" w14:textId="77777777" w:rsidR="00EA1E73" w:rsidRPr="00B67F37" w:rsidRDefault="00EA1E73" w:rsidP="002A7D47">
      <w:pPr>
        <w:numPr>
          <w:ilvl w:val="0"/>
          <w:numId w:val="22"/>
        </w:numPr>
        <w:rPr>
          <w:rFonts w:cs="Open Sans"/>
        </w:rPr>
      </w:pPr>
      <w:r w:rsidRPr="00B67F37">
        <w:rPr>
          <w:rFonts w:cs="Open Sans"/>
        </w:rPr>
        <w:t xml:space="preserve">Following the High Court’s judgment in </w:t>
      </w:r>
      <w:r w:rsidRPr="00B67F37">
        <w:rPr>
          <w:rFonts w:cs="Open Sans"/>
          <w:i/>
          <w:iCs/>
        </w:rPr>
        <w:t>Davis</w:t>
      </w:r>
      <w:r w:rsidRPr="00B67F37">
        <w:rPr>
          <w:rFonts w:cs="Open Sans"/>
        </w:rPr>
        <w:t xml:space="preserve">, there will need to be amendments made to the guidelines issued by the Minister to the Department about the exercise of ministerial intervention powers, including under s 195A and s 197AB. In particular, it is no longer open to the Minister to give the Department the ability </w:t>
      </w:r>
      <w:r w:rsidRPr="00B67F37">
        <w:rPr>
          <w:rFonts w:cs="Open Sans"/>
          <w:i/>
          <w:iCs/>
        </w:rPr>
        <w:t>not</w:t>
      </w:r>
      <w:r w:rsidRPr="00B67F37">
        <w:rPr>
          <w:rFonts w:cs="Open Sans"/>
        </w:rPr>
        <w:t xml:space="preserve"> to refer cases on the basis that the Department has formed the view that the cases do not have ‘unique or exceptional circumstances’ or that it is otherwise not in the </w:t>
      </w:r>
      <w:r w:rsidRPr="00B67F37">
        <w:rPr>
          <w:rFonts w:cs="Open Sans"/>
        </w:rPr>
        <w:lastRenderedPageBreak/>
        <w:t xml:space="preserve">public interest for the Minister to exercise these powers. While </w:t>
      </w:r>
      <w:r w:rsidRPr="00B67F37">
        <w:rPr>
          <w:rFonts w:cs="Open Sans"/>
          <w:i/>
          <w:iCs/>
        </w:rPr>
        <w:t xml:space="preserve">Davis </w:t>
      </w:r>
      <w:r w:rsidRPr="00B67F37">
        <w:rPr>
          <w:rFonts w:cs="Open Sans"/>
        </w:rPr>
        <w:t>focused on referrals made under s 351 of the Migration Act, the Federal Court has indicated that it is reasonably arguable that similar principles will apply to referrals under s 195A,</w:t>
      </w:r>
      <w:r w:rsidRPr="00B67F37">
        <w:rPr>
          <w:rStyle w:val="EndnoteReference"/>
          <w:rFonts w:cs="Open Sans"/>
        </w:rPr>
        <w:endnoteReference w:id="33"/>
      </w:r>
      <w:r w:rsidRPr="00B67F37">
        <w:rPr>
          <w:rFonts w:cs="Open Sans"/>
        </w:rPr>
        <w:t xml:space="preserve"> and the Commission considers that this is likely to apply equally to referrals under s 197AB.</w:t>
      </w:r>
    </w:p>
    <w:p w14:paraId="13F0FE97" w14:textId="77777777" w:rsidR="00EA1E73" w:rsidRPr="00B67F37" w:rsidRDefault="00EA1E73" w:rsidP="002A7D47">
      <w:pPr>
        <w:numPr>
          <w:ilvl w:val="0"/>
          <w:numId w:val="22"/>
        </w:numPr>
        <w:tabs>
          <w:tab w:val="num" w:pos="960"/>
        </w:tabs>
        <w:spacing w:after="160"/>
        <w:rPr>
          <w:rFonts w:cs="Open Sans"/>
        </w:rPr>
      </w:pPr>
      <w:r w:rsidRPr="00B67F37">
        <w:rPr>
          <w:rFonts w:cs="Open Sans"/>
        </w:rPr>
        <w:t xml:space="preserve">The Commission understands that the </w:t>
      </w:r>
      <w:r>
        <w:rPr>
          <w:rFonts w:cs="Open Sans"/>
        </w:rPr>
        <w:t>Minister</w:t>
      </w:r>
      <w:r w:rsidRPr="00B67F37">
        <w:rPr>
          <w:rFonts w:cs="Open Sans"/>
        </w:rPr>
        <w:t xml:space="preserve"> is currently considering potential amendments to the guidelines for referral in relation to ss 351, 417 and 501J of the Migration Act, and that </w:t>
      </w:r>
      <w:r>
        <w:rPr>
          <w:rFonts w:cs="Open Sans"/>
        </w:rPr>
        <w:t>the Department</w:t>
      </w:r>
      <w:r w:rsidRPr="00B67F37">
        <w:rPr>
          <w:rFonts w:cs="Open Sans"/>
        </w:rPr>
        <w:t xml:space="preserve"> will then consider any amendments required in relation to the guidelines for referral in relation to ss 195A and 197AB.</w:t>
      </w:r>
    </w:p>
    <w:p w14:paraId="1F63AAD1" w14:textId="77777777" w:rsidR="00EA1E73" w:rsidRPr="00B67F37" w:rsidRDefault="00EA1E73" w:rsidP="002A7D47">
      <w:pPr>
        <w:numPr>
          <w:ilvl w:val="0"/>
          <w:numId w:val="22"/>
        </w:numPr>
        <w:rPr>
          <w:rFonts w:cs="Open Sans"/>
        </w:rPr>
      </w:pPr>
      <w:r w:rsidRPr="00B67F37">
        <w:rPr>
          <w:rFonts w:cs="Open Sans"/>
        </w:rPr>
        <w:t>Any revised guidelines issued by the Minister should contain clear, objective criteria for referral.</w:t>
      </w:r>
      <w:r w:rsidRPr="000658A2">
        <w:rPr>
          <w:rStyle w:val="EndnoteReference"/>
          <w:rFonts w:cs="Open Sans"/>
        </w:rPr>
        <w:endnoteReference w:id="34"/>
      </w:r>
      <w:r w:rsidRPr="00B67F37">
        <w:rPr>
          <w:rFonts w:cs="Open Sans"/>
        </w:rPr>
        <w:t xml:space="preserve"> It also appears from the documents published by the Department as part of the Alternatives to Held Detention program, identified above, that some intractable cases </w:t>
      </w:r>
      <w:r w:rsidRPr="00B67F37" w:rsidDel="00BB6CAD">
        <w:rPr>
          <w:rFonts w:cs="Open Sans"/>
        </w:rPr>
        <w:t>will</w:t>
      </w:r>
      <w:r w:rsidRPr="00B67F37">
        <w:rPr>
          <w:rFonts w:cs="Open Sans"/>
        </w:rPr>
        <w:t xml:space="preserve"> only be able to be resolved by the Minister. As a result, there is a real need to ensure that these cases are brought to the Minister’s attention so that decisions can be made by the Minister about the potential exercise of their personal intervention powers.</w:t>
      </w:r>
    </w:p>
    <w:p w14:paraId="4D9CE419" w14:textId="77777777" w:rsidR="00EA1E73" w:rsidRPr="00B67F37" w:rsidRDefault="00EA1E73" w:rsidP="002A7D47">
      <w:pPr>
        <w:numPr>
          <w:ilvl w:val="0"/>
          <w:numId w:val="22"/>
        </w:numPr>
        <w:tabs>
          <w:tab w:val="num" w:pos="960"/>
        </w:tabs>
        <w:spacing w:after="160"/>
        <w:rPr>
          <w:rFonts w:cs="Open Sans"/>
        </w:rPr>
      </w:pPr>
      <w:r w:rsidRPr="00B67F37">
        <w:rPr>
          <w:rFonts w:cs="Open Sans"/>
        </w:rPr>
        <w:t xml:space="preserve">The Department’s response to my preliminary view refers to a </w:t>
      </w:r>
      <w:r w:rsidRPr="00B67F37">
        <w:rPr>
          <w:rFonts w:cs="Open Sans"/>
          <w:i/>
          <w:iCs/>
        </w:rPr>
        <w:t>Detention Status Resolution Review</w:t>
      </w:r>
      <w:r w:rsidRPr="00B67F37">
        <w:rPr>
          <w:rFonts w:cs="Open Sans"/>
        </w:rPr>
        <w:t xml:space="preserve"> that was conducted </w:t>
      </w:r>
      <w:r>
        <w:rPr>
          <w:rFonts w:cs="Open Sans"/>
        </w:rPr>
        <w:t>from</w:t>
      </w:r>
      <w:r w:rsidRPr="00B67F37">
        <w:rPr>
          <w:rFonts w:cs="Open Sans"/>
        </w:rPr>
        <w:t xml:space="preserve"> November 2022 that saw the referral of long-term detainees with complex removal barriers to the Minister for possible Ministerial intervention under ss 195A or 197AB of the Migration Act. The Commission also understands that the cohorts of people identified in submission MS22-002407 dated 31 October 2022, released through freedom of information laws, as being referred to the Minister for intervention are:</w:t>
      </w:r>
    </w:p>
    <w:p w14:paraId="16E77A90" w14:textId="77777777" w:rsidR="00EA1E73" w:rsidRPr="00B67F37" w:rsidRDefault="00EA1E73" w:rsidP="002A7D47">
      <w:pPr>
        <w:pStyle w:val="ListParagraph"/>
        <w:numPr>
          <w:ilvl w:val="0"/>
          <w:numId w:val="29"/>
        </w:numPr>
        <w:spacing w:line="300" w:lineRule="exact"/>
        <w:rPr>
          <w:rFonts w:cs="Open Sans"/>
        </w:rPr>
      </w:pPr>
      <w:r w:rsidRPr="00B67F37">
        <w:rPr>
          <w:rFonts w:cs="Open Sans"/>
        </w:rPr>
        <w:t>detainees assessed as low risk of harm to the community through the Community Protection Assessment Tool</w:t>
      </w:r>
    </w:p>
    <w:p w14:paraId="495593DE" w14:textId="77777777" w:rsidR="00EA1E73" w:rsidRPr="00B67F37" w:rsidRDefault="00EA1E73" w:rsidP="002A7D47">
      <w:pPr>
        <w:pStyle w:val="ListParagraph"/>
        <w:numPr>
          <w:ilvl w:val="0"/>
          <w:numId w:val="29"/>
        </w:numPr>
        <w:spacing w:line="300" w:lineRule="exact"/>
        <w:rPr>
          <w:rFonts w:cs="Open Sans"/>
        </w:rPr>
      </w:pPr>
      <w:r w:rsidRPr="00B67F37">
        <w:rPr>
          <w:rFonts w:cs="Open Sans"/>
        </w:rPr>
        <w:t>detainees in respect of whom a protection finding has been made, have no ongoing immigration matters and where it is currently not reasonably practicable to effect their removal to third countries</w:t>
      </w:r>
    </w:p>
    <w:p w14:paraId="73169645" w14:textId="77777777" w:rsidR="00EA1E73" w:rsidRPr="00B67F37" w:rsidRDefault="00EA1E73" w:rsidP="002A7D47">
      <w:pPr>
        <w:pStyle w:val="ListParagraph"/>
        <w:numPr>
          <w:ilvl w:val="0"/>
          <w:numId w:val="29"/>
        </w:numPr>
        <w:spacing w:line="300" w:lineRule="exact"/>
        <w:rPr>
          <w:rFonts w:cs="Open Sans"/>
        </w:rPr>
      </w:pPr>
      <w:r w:rsidRPr="00B67F37">
        <w:rPr>
          <w:rFonts w:cs="Open Sans"/>
        </w:rPr>
        <w:t>detainees who are confirmed to be stateless and have no identified right to reside in another country</w:t>
      </w:r>
    </w:p>
    <w:p w14:paraId="448FC11D" w14:textId="77777777" w:rsidR="00EA1E73" w:rsidRPr="00B67F37" w:rsidRDefault="00EA1E73" w:rsidP="002A7D47">
      <w:pPr>
        <w:pStyle w:val="ListParagraph"/>
        <w:numPr>
          <w:ilvl w:val="0"/>
          <w:numId w:val="29"/>
        </w:numPr>
        <w:spacing w:line="300" w:lineRule="exact"/>
        <w:rPr>
          <w:rFonts w:cs="Open Sans"/>
        </w:rPr>
      </w:pPr>
      <w:r w:rsidRPr="00B67F37">
        <w:rPr>
          <w:rFonts w:cs="Open Sans"/>
        </w:rPr>
        <w:t>detainees in Tier 4 health related specialised held detention placements and/or with complex care needs</w:t>
      </w:r>
    </w:p>
    <w:p w14:paraId="59F04CAD" w14:textId="77777777" w:rsidR="00EA1E73" w:rsidRPr="00B67F37" w:rsidRDefault="00EA1E73" w:rsidP="002A7D47">
      <w:pPr>
        <w:pStyle w:val="ListParagraph"/>
        <w:numPr>
          <w:ilvl w:val="0"/>
          <w:numId w:val="29"/>
        </w:numPr>
        <w:spacing w:line="300" w:lineRule="exact"/>
        <w:rPr>
          <w:rFonts w:cs="Open Sans"/>
        </w:rPr>
      </w:pPr>
      <w:r w:rsidRPr="00B67F37">
        <w:rPr>
          <w:rFonts w:cs="Open Sans"/>
        </w:rPr>
        <w:t>detainees who have been in immigration detention for five years or more (where not already included in any of the above cohorts)</w:t>
      </w:r>
    </w:p>
    <w:p w14:paraId="72BA6C33" w14:textId="77777777" w:rsidR="00EA1E73" w:rsidRPr="00B67F37" w:rsidRDefault="00EA1E73" w:rsidP="002A7D47">
      <w:pPr>
        <w:pStyle w:val="ListParagraph"/>
        <w:numPr>
          <w:ilvl w:val="0"/>
          <w:numId w:val="29"/>
        </w:numPr>
        <w:spacing w:line="300" w:lineRule="exact"/>
        <w:rPr>
          <w:rFonts w:cs="Open Sans"/>
        </w:rPr>
      </w:pPr>
      <w:r w:rsidRPr="00B67F37">
        <w:rPr>
          <w:rFonts w:cs="Open Sans"/>
        </w:rPr>
        <w:lastRenderedPageBreak/>
        <w:t>detainees who are the subject of a Residence Determination (for more than 6 months).</w:t>
      </w:r>
    </w:p>
    <w:p w14:paraId="74D5DB2F" w14:textId="77777777" w:rsidR="00EA1E73" w:rsidRPr="00B67F37" w:rsidRDefault="00EA1E73" w:rsidP="002A7D47">
      <w:pPr>
        <w:numPr>
          <w:ilvl w:val="0"/>
          <w:numId w:val="22"/>
        </w:numPr>
        <w:tabs>
          <w:tab w:val="num" w:pos="960"/>
        </w:tabs>
        <w:spacing w:after="160"/>
        <w:rPr>
          <w:rFonts w:cs="Open Sans"/>
        </w:rPr>
      </w:pPr>
      <w:r w:rsidRPr="00B67F37">
        <w:rPr>
          <w:rFonts w:cs="Open Sans"/>
        </w:rPr>
        <w:t>The Commission welcomes these steps, which it understands has led to the exercise of intervention powers in a significant number of cases. While it is hoped that these interventions will have a positive impact on the number of people subject to prolonged, and potentially arbitrary, detention, the Commission reiterates previous recommendations it has made for amendment of the guidelines for referral to the Minister</w:t>
      </w:r>
      <w:r w:rsidRPr="00B67F37">
        <w:rPr>
          <w:rStyle w:val="EndnoteReference"/>
          <w:rFonts w:cs="Open Sans"/>
        </w:rPr>
        <w:endnoteReference w:id="35"/>
      </w:r>
      <w:r w:rsidRPr="00B67F37">
        <w:rPr>
          <w:rFonts w:cs="Open Sans"/>
        </w:rPr>
        <w:t xml:space="preserve"> to ensure that the cases of all detainees whose detention has become protracted or may continue for a significant period are referred to the Minister for consideration given the temporary nature of this measure</w:t>
      </w:r>
      <w:r>
        <w:rPr>
          <w:rFonts w:cs="Open Sans"/>
        </w:rPr>
        <w:t>.</w:t>
      </w:r>
    </w:p>
    <w:p w14:paraId="4B468140" w14:textId="77777777" w:rsidR="00EA1E73" w:rsidRPr="00B67F37" w:rsidRDefault="00EA1E73" w:rsidP="00EA1E73">
      <w:pPr>
        <w:keepNext/>
        <w:spacing w:line="300" w:lineRule="exact"/>
        <w:ind w:left="737"/>
        <w:rPr>
          <w:rFonts w:cs="Open Sans"/>
          <w:b/>
          <w:bCs/>
        </w:rPr>
      </w:pPr>
      <w:r w:rsidRPr="00B67F37">
        <w:rPr>
          <w:rFonts w:cs="Open Sans"/>
          <w:b/>
          <w:bCs/>
        </w:rPr>
        <w:t>Recommendation 2</w:t>
      </w:r>
    </w:p>
    <w:p w14:paraId="6AD952BB" w14:textId="77777777" w:rsidR="00EA1E73" w:rsidRPr="00B67F37" w:rsidRDefault="00EA1E73" w:rsidP="00EA1E73">
      <w:pPr>
        <w:ind w:left="720"/>
        <w:rPr>
          <w:rFonts w:cs="Open Sans"/>
        </w:rPr>
      </w:pPr>
      <w:r w:rsidRPr="00B67F37">
        <w:rPr>
          <w:rFonts w:cs="Open Sans"/>
        </w:rPr>
        <w:t>The Commission recommends that the Department brief the Minister about amendments to the Minister’s ss 195A and 197AB guidelines, and include in that briefing the Commission’s proposal that the guidelines should be amended to provide that:</w:t>
      </w:r>
    </w:p>
    <w:p w14:paraId="2E47D203" w14:textId="77777777" w:rsidR="00EA1E73" w:rsidRPr="00B67F37" w:rsidRDefault="00EA1E73" w:rsidP="002A7D47">
      <w:pPr>
        <w:pStyle w:val="ListParagraph"/>
        <w:numPr>
          <w:ilvl w:val="0"/>
          <w:numId w:val="29"/>
        </w:numPr>
        <w:spacing w:line="300" w:lineRule="exact"/>
        <w:rPr>
          <w:rFonts w:cs="Open Sans"/>
        </w:rPr>
      </w:pPr>
      <w:r w:rsidRPr="00B67F37">
        <w:rPr>
          <w:rFonts w:cs="Open Sans"/>
        </w:rPr>
        <w:t>all people in closed immigration detention are eligible for referral under ss 195A and 197AB where their detention has been protracted, and/or where it appears likely that their detention will continue for any significant period</w:t>
      </w:r>
    </w:p>
    <w:p w14:paraId="14507D28" w14:textId="77777777" w:rsidR="00EA1E73" w:rsidRPr="00B67F37" w:rsidRDefault="00EA1E73" w:rsidP="002A7D47">
      <w:pPr>
        <w:pStyle w:val="ListParagraph"/>
        <w:numPr>
          <w:ilvl w:val="0"/>
          <w:numId w:val="29"/>
        </w:numPr>
        <w:spacing w:after="160"/>
        <w:rPr>
          <w:rFonts w:cs="Open Sans"/>
        </w:rPr>
      </w:pPr>
      <w:r w:rsidRPr="00B67F37">
        <w:rPr>
          <w:rFonts w:cs="Open Sans"/>
        </w:rPr>
        <w:t>where the Minister has previously decided not to consider exercising the powers under either s 195A or s 197AB in relation to a person, or has considered exercising those powers and declined to do so, the Department may nevertheless re-refer that person to the Minister if the person has remained in closed detention for a further protracted period.</w:t>
      </w:r>
    </w:p>
    <w:p w14:paraId="6EDE269E" w14:textId="77777777" w:rsidR="00EA1E73" w:rsidRPr="00216E48" w:rsidRDefault="00EA1E73" w:rsidP="00EA1E73">
      <w:pPr>
        <w:pStyle w:val="Heading2"/>
        <w:rPr>
          <w:rFonts w:cs="Open Sans"/>
        </w:rPr>
      </w:pPr>
      <w:bookmarkStart w:id="93" w:name="_Toc156817231"/>
      <w:bookmarkStart w:id="94" w:name="_Toc164705904"/>
      <w:r w:rsidRPr="00216E48">
        <w:rPr>
          <w:rFonts w:cs="Open Sans"/>
        </w:rPr>
        <w:t>Written apology</w:t>
      </w:r>
      <w:bookmarkEnd w:id="93"/>
      <w:bookmarkEnd w:id="94"/>
    </w:p>
    <w:p w14:paraId="5B7C795A" w14:textId="7E3BC2A5" w:rsidR="00EA1E73" w:rsidRDefault="00EA1E73" w:rsidP="002A7D47">
      <w:pPr>
        <w:numPr>
          <w:ilvl w:val="0"/>
          <w:numId w:val="22"/>
        </w:numPr>
        <w:tabs>
          <w:tab w:val="num" w:pos="960"/>
        </w:tabs>
        <w:spacing w:after="160"/>
        <w:rPr>
          <w:rFonts w:cs="Open Sans"/>
        </w:rPr>
      </w:pPr>
      <w:r>
        <w:rPr>
          <w:rFonts w:cs="Open Sans"/>
        </w:rPr>
        <w:t xml:space="preserve">Mr CZ was detained and placed in immigration detention on 5 August 2017 after he was arrested and charged with firearm-related offences while living in the community without a valid visa. As he held no visa, he was in Australia unlawfully for over two years and it is unclear why the Department had not sought to legalise his status before this. </w:t>
      </w:r>
    </w:p>
    <w:p w14:paraId="51485892" w14:textId="10A9449F" w:rsidR="00EA1E73" w:rsidRDefault="00EA1E73" w:rsidP="002A7D47">
      <w:pPr>
        <w:numPr>
          <w:ilvl w:val="0"/>
          <w:numId w:val="22"/>
        </w:numPr>
        <w:tabs>
          <w:tab w:val="num" w:pos="960"/>
        </w:tabs>
        <w:spacing w:after="160"/>
        <w:rPr>
          <w:rFonts w:cs="Open Sans"/>
        </w:rPr>
      </w:pPr>
      <w:r>
        <w:rPr>
          <w:rFonts w:cs="Open Sans"/>
        </w:rPr>
        <w:t xml:space="preserve">Mr CZ’s criminal matters were resolved with all firearm-related charges dismissed within 8 months, yet he remained in closed immigration detention for five years and seven months. The Department initiated multiple ministerial intervention processes during this time and, apart </w:t>
      </w:r>
      <w:r>
        <w:rPr>
          <w:rFonts w:cs="Open Sans"/>
        </w:rPr>
        <w:lastRenderedPageBreak/>
        <w:t xml:space="preserve">from one early referral to the Minister which the Minister declined to consider, the Department assessed each time that Mr CZ did not meet the guidelines for referral. In light of </w:t>
      </w:r>
      <w:r w:rsidRPr="004109B0">
        <w:rPr>
          <w:rFonts w:cs="Open Sans"/>
          <w:i/>
          <w:iCs/>
        </w:rPr>
        <w:t>Davis</w:t>
      </w:r>
      <w:r>
        <w:rPr>
          <w:rFonts w:cs="Open Sans"/>
        </w:rPr>
        <w:t>, t</w:t>
      </w:r>
      <w:r w:rsidRPr="004109B0">
        <w:rPr>
          <w:rFonts w:cs="Open Sans"/>
        </w:rPr>
        <w:t>hese</w:t>
      </w:r>
      <w:r>
        <w:rPr>
          <w:rFonts w:cs="Open Sans"/>
        </w:rPr>
        <w:t xml:space="preserve"> assessments may have been made unlawfully</w:t>
      </w:r>
      <w:r>
        <w:rPr>
          <w:rStyle w:val="normaltextrun"/>
          <w:rFonts w:cs="Open Sans"/>
        </w:rPr>
        <w:t>.</w:t>
      </w:r>
      <w:r>
        <w:rPr>
          <w:rFonts w:cs="Open Sans"/>
        </w:rPr>
        <w:t xml:space="preserve"> </w:t>
      </w:r>
    </w:p>
    <w:p w14:paraId="5F7AC1F0" w14:textId="2BBBC21E" w:rsidR="00EA1E73" w:rsidRPr="009F56CC" w:rsidRDefault="00EA1E73" w:rsidP="002A7D47">
      <w:pPr>
        <w:numPr>
          <w:ilvl w:val="0"/>
          <w:numId w:val="22"/>
        </w:numPr>
        <w:tabs>
          <w:tab w:val="num" w:pos="960"/>
        </w:tabs>
        <w:spacing w:after="160"/>
        <w:rPr>
          <w:rFonts w:cs="Open Sans"/>
        </w:rPr>
      </w:pPr>
      <w:r w:rsidRPr="009F56CC">
        <w:rPr>
          <w:rFonts w:cs="Open Sans"/>
        </w:rPr>
        <w:t xml:space="preserve">I consider that the treatment of </w:t>
      </w:r>
      <w:r>
        <w:rPr>
          <w:rFonts w:cs="Open Sans"/>
        </w:rPr>
        <w:t>Mr CZ</w:t>
      </w:r>
      <w:r w:rsidRPr="009F56CC">
        <w:rPr>
          <w:rFonts w:cs="Open Sans"/>
        </w:rPr>
        <w:t xml:space="preserve"> warrants an apology from the Commonwealth for the delay in releasing him from closed detention in view of the clear evidence of his compelling circumstances and the significant impact </w:t>
      </w:r>
      <w:r>
        <w:rPr>
          <w:rFonts w:cs="Open Sans"/>
        </w:rPr>
        <w:t xml:space="preserve">prolonged and unnecessary </w:t>
      </w:r>
      <w:r w:rsidRPr="009F56CC">
        <w:rPr>
          <w:rFonts w:cs="Open Sans"/>
        </w:rPr>
        <w:t xml:space="preserve">immigration detention </w:t>
      </w:r>
      <w:r>
        <w:rPr>
          <w:rFonts w:cs="Open Sans"/>
        </w:rPr>
        <w:t xml:space="preserve">had </w:t>
      </w:r>
      <w:r w:rsidRPr="009F56CC">
        <w:rPr>
          <w:rFonts w:cs="Open Sans"/>
        </w:rPr>
        <w:t>on his health and mental heal</w:t>
      </w:r>
      <w:r>
        <w:rPr>
          <w:rFonts w:cs="Open Sans"/>
        </w:rPr>
        <w:t>th</w:t>
      </w:r>
      <w:r w:rsidRPr="009F56CC">
        <w:rPr>
          <w:rFonts w:cs="Open Sans"/>
        </w:rPr>
        <w:t>. I recommend such an apology be made.</w:t>
      </w:r>
    </w:p>
    <w:p w14:paraId="036EF96B" w14:textId="77777777" w:rsidR="00EA1E73" w:rsidRDefault="00EA1E73" w:rsidP="00EA1E73">
      <w:pPr>
        <w:tabs>
          <w:tab w:val="num" w:pos="960"/>
        </w:tabs>
        <w:spacing w:after="160"/>
        <w:ind w:left="720"/>
        <w:rPr>
          <w:rFonts w:cs="Open Sans"/>
        </w:rPr>
      </w:pPr>
      <w:r>
        <w:rPr>
          <w:rFonts w:cs="Open Sans"/>
          <w:b/>
          <w:bCs/>
        </w:rPr>
        <w:t>Recommendation 3</w:t>
      </w:r>
    </w:p>
    <w:p w14:paraId="5363408E" w14:textId="34A1A00D" w:rsidR="00EA1E73" w:rsidRPr="00AA1E38" w:rsidRDefault="00EA1E73" w:rsidP="00EA1E73">
      <w:pPr>
        <w:tabs>
          <w:tab w:val="num" w:pos="960"/>
        </w:tabs>
        <w:spacing w:after="160"/>
        <w:ind w:left="720"/>
        <w:rPr>
          <w:rFonts w:cs="Open Sans"/>
        </w:rPr>
      </w:pPr>
      <w:r>
        <w:rPr>
          <w:rFonts w:cs="Open Sans"/>
        </w:rPr>
        <w:t xml:space="preserve">The Commonwealth provide a written apology to Mr CZ for the delay in releasing him from closed detention in view of the clear evidence of his compelling circumstances. </w:t>
      </w:r>
    </w:p>
    <w:p w14:paraId="0E148369" w14:textId="34B7912F" w:rsidR="00826B0B" w:rsidRDefault="00127460" w:rsidP="00A27ABE">
      <w:pPr>
        <w:pStyle w:val="Heading1"/>
      </w:pPr>
      <w:bookmarkStart w:id="95" w:name="_Toc164705905"/>
      <w:r>
        <w:t>The Department’s response to my findings and recommendations</w:t>
      </w:r>
      <w:bookmarkEnd w:id="95"/>
      <w:r>
        <w:t xml:space="preserve"> </w:t>
      </w:r>
    </w:p>
    <w:p w14:paraId="65488E9B" w14:textId="364CEA13" w:rsidR="00816CA4" w:rsidRDefault="00816CA4" w:rsidP="00816CA4">
      <w:pPr>
        <w:pStyle w:val="Style3"/>
        <w:numPr>
          <w:ilvl w:val="0"/>
          <w:numId w:val="22"/>
        </w:numPr>
      </w:pPr>
      <w:r>
        <w:t>On 2</w:t>
      </w:r>
      <w:r w:rsidR="00D40420">
        <w:t>3</w:t>
      </w:r>
      <w:r>
        <w:t xml:space="preserve"> </w:t>
      </w:r>
      <w:r w:rsidR="00D40420">
        <w:t>January</w:t>
      </w:r>
      <w:r>
        <w:t xml:space="preserve"> 202</w:t>
      </w:r>
      <w:r w:rsidR="00D40420">
        <w:t>4</w:t>
      </w:r>
      <w:r>
        <w:t xml:space="preserve">, I provided the Department with a notice of my findings and recommendations. </w:t>
      </w:r>
    </w:p>
    <w:p w14:paraId="2B93B0D1" w14:textId="77777777" w:rsidR="00816CA4" w:rsidRDefault="00816CA4" w:rsidP="00816CA4">
      <w:pPr>
        <w:pStyle w:val="Style3"/>
        <w:numPr>
          <w:ilvl w:val="0"/>
          <w:numId w:val="22"/>
        </w:numPr>
      </w:pPr>
      <w:r>
        <w:t xml:space="preserve">On 27 February 2024, the Department provided the following response to my findings and recommendations: </w:t>
      </w:r>
    </w:p>
    <w:p w14:paraId="1C3B17C6" w14:textId="77777777" w:rsidR="00831084" w:rsidRPr="00BF6350" w:rsidRDefault="00831084" w:rsidP="00BF6350">
      <w:pPr>
        <w:pStyle w:val="Quote"/>
        <w:rPr>
          <w:szCs w:val="22"/>
        </w:rPr>
      </w:pPr>
      <w:r w:rsidRPr="00BF6350">
        <w:rPr>
          <w:szCs w:val="22"/>
        </w:rPr>
        <w:t>The Department of Home Affairs (the Department) values the role of the Australian Human Rights Commission</w:t>
      </w:r>
      <w:r w:rsidRPr="00BF6350">
        <w:rPr>
          <w:spacing w:val="-4"/>
          <w:szCs w:val="22"/>
        </w:rPr>
        <w:t xml:space="preserve"> </w:t>
      </w:r>
      <w:r w:rsidRPr="00BF6350">
        <w:rPr>
          <w:szCs w:val="22"/>
        </w:rPr>
        <w:t>(the</w:t>
      </w:r>
      <w:r w:rsidRPr="00BF6350">
        <w:rPr>
          <w:spacing w:val="-3"/>
          <w:szCs w:val="22"/>
        </w:rPr>
        <w:t xml:space="preserve"> </w:t>
      </w:r>
      <w:r w:rsidRPr="00BF6350">
        <w:rPr>
          <w:szCs w:val="22"/>
        </w:rPr>
        <w:t>Commission)</w:t>
      </w:r>
      <w:r w:rsidRPr="00BF6350">
        <w:rPr>
          <w:spacing w:val="-4"/>
          <w:szCs w:val="22"/>
        </w:rPr>
        <w:t xml:space="preserve"> </w:t>
      </w:r>
      <w:r w:rsidRPr="00BF6350">
        <w:rPr>
          <w:szCs w:val="22"/>
        </w:rPr>
        <w:t>to</w:t>
      </w:r>
      <w:r w:rsidRPr="00BF6350">
        <w:rPr>
          <w:spacing w:val="-3"/>
          <w:szCs w:val="22"/>
        </w:rPr>
        <w:t xml:space="preserve"> </w:t>
      </w:r>
      <w:r w:rsidRPr="00BF6350">
        <w:rPr>
          <w:szCs w:val="22"/>
        </w:rPr>
        <w:t>inquire</w:t>
      </w:r>
      <w:r w:rsidRPr="00BF6350">
        <w:rPr>
          <w:spacing w:val="-3"/>
          <w:szCs w:val="22"/>
        </w:rPr>
        <w:t xml:space="preserve"> </w:t>
      </w:r>
      <w:r w:rsidRPr="00BF6350">
        <w:rPr>
          <w:szCs w:val="22"/>
        </w:rPr>
        <w:t>into</w:t>
      </w:r>
      <w:r w:rsidRPr="00BF6350">
        <w:rPr>
          <w:spacing w:val="-4"/>
          <w:szCs w:val="22"/>
        </w:rPr>
        <w:t xml:space="preserve"> </w:t>
      </w:r>
      <w:r w:rsidRPr="00BF6350">
        <w:rPr>
          <w:szCs w:val="22"/>
        </w:rPr>
        <w:t>human</w:t>
      </w:r>
      <w:r w:rsidRPr="00BF6350">
        <w:rPr>
          <w:spacing w:val="-4"/>
          <w:szCs w:val="22"/>
        </w:rPr>
        <w:t xml:space="preserve"> </w:t>
      </w:r>
      <w:r w:rsidRPr="00BF6350">
        <w:rPr>
          <w:szCs w:val="22"/>
        </w:rPr>
        <w:t>rights</w:t>
      </w:r>
      <w:r w:rsidRPr="00BF6350">
        <w:rPr>
          <w:spacing w:val="-4"/>
          <w:szCs w:val="22"/>
        </w:rPr>
        <w:t xml:space="preserve"> </w:t>
      </w:r>
      <w:r w:rsidRPr="00BF6350">
        <w:rPr>
          <w:szCs w:val="22"/>
        </w:rPr>
        <w:t>complaints</w:t>
      </w:r>
      <w:r w:rsidRPr="00BF6350">
        <w:rPr>
          <w:spacing w:val="-1"/>
          <w:szCs w:val="22"/>
        </w:rPr>
        <w:t xml:space="preserve"> </w:t>
      </w:r>
      <w:r w:rsidRPr="00BF6350">
        <w:rPr>
          <w:szCs w:val="22"/>
        </w:rPr>
        <w:t>and</w:t>
      </w:r>
      <w:r w:rsidRPr="00BF6350">
        <w:rPr>
          <w:spacing w:val="-3"/>
          <w:szCs w:val="22"/>
        </w:rPr>
        <w:t xml:space="preserve"> </w:t>
      </w:r>
      <w:r w:rsidRPr="00BF6350">
        <w:rPr>
          <w:szCs w:val="22"/>
        </w:rPr>
        <w:t>acknowledges</w:t>
      </w:r>
      <w:r w:rsidRPr="00BF6350">
        <w:rPr>
          <w:spacing w:val="-4"/>
          <w:szCs w:val="22"/>
        </w:rPr>
        <w:t xml:space="preserve"> </w:t>
      </w:r>
      <w:r w:rsidRPr="00BF6350">
        <w:rPr>
          <w:szCs w:val="22"/>
        </w:rPr>
        <w:t>the</w:t>
      </w:r>
      <w:r w:rsidRPr="00BF6350">
        <w:rPr>
          <w:spacing w:val="-4"/>
          <w:szCs w:val="22"/>
        </w:rPr>
        <w:t xml:space="preserve"> </w:t>
      </w:r>
      <w:r w:rsidRPr="00BF6350">
        <w:rPr>
          <w:szCs w:val="22"/>
        </w:rPr>
        <w:t>findings identified in this report and the recommendations made by the President of the Commission.</w:t>
      </w:r>
    </w:p>
    <w:p w14:paraId="220BC067" w14:textId="5C7530C9" w:rsidR="00831084" w:rsidRPr="00BF6350" w:rsidRDefault="00831084" w:rsidP="00BF6350">
      <w:pPr>
        <w:pStyle w:val="Quote"/>
        <w:rPr>
          <w:szCs w:val="22"/>
        </w:rPr>
      </w:pPr>
      <w:r w:rsidRPr="00BF6350">
        <w:rPr>
          <w:szCs w:val="22"/>
        </w:rPr>
        <w:t>The</w:t>
      </w:r>
      <w:r w:rsidRPr="00BF6350">
        <w:rPr>
          <w:spacing w:val="-4"/>
          <w:szCs w:val="22"/>
        </w:rPr>
        <w:t xml:space="preserve"> </w:t>
      </w:r>
      <w:r w:rsidRPr="00BF6350">
        <w:rPr>
          <w:szCs w:val="22"/>
        </w:rPr>
        <w:t>Department</w:t>
      </w:r>
      <w:r w:rsidRPr="00BF6350">
        <w:rPr>
          <w:spacing w:val="-4"/>
          <w:szCs w:val="22"/>
        </w:rPr>
        <w:t xml:space="preserve"> </w:t>
      </w:r>
      <w:r w:rsidRPr="00BF6350">
        <w:rPr>
          <w:szCs w:val="22"/>
        </w:rPr>
        <w:t>does not</w:t>
      </w:r>
      <w:r w:rsidRPr="00BF6350">
        <w:rPr>
          <w:spacing w:val="-2"/>
          <w:szCs w:val="22"/>
        </w:rPr>
        <w:t xml:space="preserve"> </w:t>
      </w:r>
      <w:r w:rsidRPr="00BF6350">
        <w:rPr>
          <w:szCs w:val="22"/>
        </w:rPr>
        <w:t>accept</w:t>
      </w:r>
      <w:r w:rsidRPr="00BF6350">
        <w:rPr>
          <w:spacing w:val="-4"/>
          <w:szCs w:val="22"/>
        </w:rPr>
        <w:t xml:space="preserve"> </w:t>
      </w:r>
      <w:r w:rsidRPr="00BF6350">
        <w:rPr>
          <w:szCs w:val="22"/>
        </w:rPr>
        <w:t>the</w:t>
      </w:r>
      <w:r w:rsidRPr="00BF6350">
        <w:rPr>
          <w:spacing w:val="-2"/>
          <w:szCs w:val="22"/>
        </w:rPr>
        <w:t xml:space="preserve"> </w:t>
      </w:r>
      <w:r w:rsidRPr="00BF6350">
        <w:rPr>
          <w:szCs w:val="22"/>
        </w:rPr>
        <w:t>Commission’s</w:t>
      </w:r>
      <w:r w:rsidRPr="00BF6350">
        <w:rPr>
          <w:spacing w:val="-3"/>
          <w:szCs w:val="22"/>
        </w:rPr>
        <w:t xml:space="preserve"> </w:t>
      </w:r>
      <w:r w:rsidRPr="00BF6350">
        <w:rPr>
          <w:szCs w:val="22"/>
        </w:rPr>
        <w:t>finding</w:t>
      </w:r>
      <w:r w:rsidRPr="00BF6350">
        <w:rPr>
          <w:spacing w:val="-4"/>
          <w:szCs w:val="22"/>
        </w:rPr>
        <w:t xml:space="preserve"> </w:t>
      </w:r>
      <w:r w:rsidRPr="00BF6350">
        <w:rPr>
          <w:szCs w:val="22"/>
        </w:rPr>
        <w:t>that</w:t>
      </w:r>
      <w:r w:rsidRPr="00BF6350">
        <w:rPr>
          <w:spacing w:val="-4"/>
          <w:szCs w:val="22"/>
        </w:rPr>
        <w:t xml:space="preserve"> </w:t>
      </w:r>
      <w:r w:rsidRPr="00BF6350">
        <w:rPr>
          <w:szCs w:val="22"/>
        </w:rPr>
        <w:t>the</w:t>
      </w:r>
      <w:r w:rsidRPr="00BF6350">
        <w:rPr>
          <w:spacing w:val="-4"/>
          <w:szCs w:val="22"/>
        </w:rPr>
        <w:t xml:space="preserve"> </w:t>
      </w:r>
      <w:r w:rsidRPr="00BF6350">
        <w:rPr>
          <w:szCs w:val="22"/>
        </w:rPr>
        <w:t>detention</w:t>
      </w:r>
      <w:r w:rsidRPr="00BF6350">
        <w:rPr>
          <w:spacing w:val="-4"/>
          <w:szCs w:val="22"/>
        </w:rPr>
        <w:t xml:space="preserve"> </w:t>
      </w:r>
      <w:r w:rsidRPr="00BF6350">
        <w:rPr>
          <w:szCs w:val="22"/>
        </w:rPr>
        <w:t>of</w:t>
      </w:r>
      <w:r w:rsidRPr="00BF6350">
        <w:rPr>
          <w:spacing w:val="-1"/>
          <w:szCs w:val="22"/>
        </w:rPr>
        <w:t xml:space="preserve"> </w:t>
      </w:r>
      <w:r w:rsidR="007C713E">
        <w:rPr>
          <w:szCs w:val="22"/>
        </w:rPr>
        <w:t>Mr CZ</w:t>
      </w:r>
      <w:r w:rsidRPr="00BF6350">
        <w:rPr>
          <w:szCs w:val="22"/>
        </w:rPr>
        <w:t xml:space="preserve"> was</w:t>
      </w:r>
      <w:r w:rsidRPr="00BF6350">
        <w:rPr>
          <w:spacing w:val="-3"/>
          <w:szCs w:val="22"/>
        </w:rPr>
        <w:t xml:space="preserve"> </w:t>
      </w:r>
      <w:r w:rsidRPr="00BF6350">
        <w:rPr>
          <w:szCs w:val="22"/>
        </w:rPr>
        <w:t>arbitrary,</w:t>
      </w:r>
      <w:r w:rsidRPr="00BF6350">
        <w:rPr>
          <w:spacing w:val="-1"/>
          <w:szCs w:val="22"/>
        </w:rPr>
        <w:t xml:space="preserve"> </w:t>
      </w:r>
      <w:r w:rsidRPr="00BF6350">
        <w:rPr>
          <w:szCs w:val="22"/>
        </w:rPr>
        <w:t xml:space="preserve">contrary to Article 9(1) of </w:t>
      </w:r>
      <w:r w:rsidRPr="00BF6350">
        <w:rPr>
          <w:i/>
          <w:szCs w:val="22"/>
        </w:rPr>
        <w:t xml:space="preserve">the International Covenant on Civil and Political Rights </w:t>
      </w:r>
      <w:r w:rsidRPr="00BF6350">
        <w:rPr>
          <w:szCs w:val="22"/>
        </w:rPr>
        <w:t xml:space="preserve">(ICCPR). </w:t>
      </w:r>
      <w:r w:rsidR="007C713E">
        <w:rPr>
          <w:szCs w:val="22"/>
        </w:rPr>
        <w:t>Mr CZ</w:t>
      </w:r>
      <w:r w:rsidRPr="00BF6350">
        <w:rPr>
          <w:szCs w:val="22"/>
        </w:rPr>
        <w:t xml:space="preserve"> was lawfully</w:t>
      </w:r>
      <w:r w:rsidRPr="00BF6350">
        <w:rPr>
          <w:spacing w:val="40"/>
          <w:szCs w:val="22"/>
        </w:rPr>
        <w:t xml:space="preserve"> </w:t>
      </w:r>
      <w:r w:rsidRPr="00BF6350">
        <w:rPr>
          <w:szCs w:val="22"/>
        </w:rPr>
        <w:t xml:space="preserve">detained as an unlawful non-citizen under section 189 of the </w:t>
      </w:r>
      <w:r w:rsidRPr="00BF6350">
        <w:rPr>
          <w:i/>
          <w:szCs w:val="22"/>
        </w:rPr>
        <w:t xml:space="preserve">Migration Act 1958 </w:t>
      </w:r>
      <w:r w:rsidRPr="00BF6350">
        <w:rPr>
          <w:szCs w:val="22"/>
        </w:rPr>
        <w:t>(the Act).</w:t>
      </w:r>
    </w:p>
    <w:p w14:paraId="37E0EF1C" w14:textId="77777777" w:rsidR="00831084" w:rsidRPr="00BF6350" w:rsidRDefault="00831084" w:rsidP="00BF6350">
      <w:pPr>
        <w:pStyle w:val="Quote"/>
        <w:rPr>
          <w:szCs w:val="22"/>
        </w:rPr>
      </w:pPr>
      <w:r w:rsidRPr="00BF6350">
        <w:rPr>
          <w:szCs w:val="22"/>
        </w:rPr>
        <w:t>The</w:t>
      </w:r>
      <w:r w:rsidRPr="00BF6350">
        <w:rPr>
          <w:spacing w:val="-4"/>
          <w:szCs w:val="22"/>
        </w:rPr>
        <w:t xml:space="preserve"> </w:t>
      </w:r>
      <w:r w:rsidRPr="00BF6350">
        <w:rPr>
          <w:szCs w:val="22"/>
        </w:rPr>
        <w:t>Department</w:t>
      </w:r>
      <w:r w:rsidRPr="00BF6350">
        <w:rPr>
          <w:spacing w:val="-4"/>
          <w:szCs w:val="22"/>
        </w:rPr>
        <w:t xml:space="preserve"> </w:t>
      </w:r>
      <w:r w:rsidRPr="00BF6350">
        <w:rPr>
          <w:szCs w:val="22"/>
        </w:rPr>
        <w:t>does not</w:t>
      </w:r>
      <w:r w:rsidRPr="00BF6350">
        <w:rPr>
          <w:spacing w:val="-2"/>
          <w:szCs w:val="22"/>
        </w:rPr>
        <w:t xml:space="preserve"> </w:t>
      </w:r>
      <w:r w:rsidRPr="00BF6350">
        <w:rPr>
          <w:szCs w:val="22"/>
        </w:rPr>
        <w:t>accept</w:t>
      </w:r>
      <w:r w:rsidRPr="00BF6350">
        <w:rPr>
          <w:spacing w:val="-4"/>
          <w:szCs w:val="22"/>
        </w:rPr>
        <w:t xml:space="preserve"> </w:t>
      </w:r>
      <w:r w:rsidRPr="00BF6350">
        <w:rPr>
          <w:szCs w:val="22"/>
        </w:rPr>
        <w:t>the</w:t>
      </w:r>
      <w:r w:rsidRPr="00BF6350">
        <w:rPr>
          <w:spacing w:val="-2"/>
          <w:szCs w:val="22"/>
        </w:rPr>
        <w:t xml:space="preserve"> </w:t>
      </w:r>
      <w:r w:rsidRPr="00BF6350">
        <w:rPr>
          <w:szCs w:val="22"/>
        </w:rPr>
        <w:t>Commission’s</w:t>
      </w:r>
      <w:r w:rsidRPr="00BF6350">
        <w:rPr>
          <w:spacing w:val="-3"/>
          <w:szCs w:val="22"/>
        </w:rPr>
        <w:t xml:space="preserve"> </w:t>
      </w:r>
      <w:r w:rsidRPr="00BF6350">
        <w:rPr>
          <w:szCs w:val="22"/>
        </w:rPr>
        <w:t>finding</w:t>
      </w:r>
      <w:r w:rsidRPr="00BF6350">
        <w:rPr>
          <w:spacing w:val="-4"/>
          <w:szCs w:val="22"/>
        </w:rPr>
        <w:t xml:space="preserve"> </w:t>
      </w:r>
      <w:r w:rsidRPr="00BF6350">
        <w:rPr>
          <w:szCs w:val="22"/>
        </w:rPr>
        <w:t>that</w:t>
      </w:r>
      <w:r w:rsidRPr="00BF6350">
        <w:rPr>
          <w:spacing w:val="-4"/>
          <w:szCs w:val="22"/>
        </w:rPr>
        <w:t xml:space="preserve"> </w:t>
      </w:r>
      <w:r w:rsidRPr="00BF6350">
        <w:rPr>
          <w:szCs w:val="22"/>
        </w:rPr>
        <w:t>the</w:t>
      </w:r>
      <w:r w:rsidRPr="00BF6350">
        <w:rPr>
          <w:spacing w:val="-4"/>
          <w:szCs w:val="22"/>
        </w:rPr>
        <w:t xml:space="preserve"> </w:t>
      </w:r>
      <w:r w:rsidRPr="00BF6350">
        <w:rPr>
          <w:szCs w:val="22"/>
        </w:rPr>
        <w:t>below</w:t>
      </w:r>
      <w:r w:rsidRPr="00BF6350">
        <w:rPr>
          <w:spacing w:val="-3"/>
          <w:szCs w:val="22"/>
        </w:rPr>
        <w:t xml:space="preserve"> </w:t>
      </w:r>
      <w:r w:rsidRPr="00BF6350">
        <w:rPr>
          <w:szCs w:val="22"/>
        </w:rPr>
        <w:t>listed</w:t>
      </w:r>
      <w:r w:rsidRPr="00BF6350">
        <w:rPr>
          <w:spacing w:val="-2"/>
          <w:szCs w:val="22"/>
        </w:rPr>
        <w:t xml:space="preserve"> </w:t>
      </w:r>
      <w:r w:rsidRPr="00BF6350">
        <w:rPr>
          <w:szCs w:val="22"/>
        </w:rPr>
        <w:t>acts</w:t>
      </w:r>
      <w:r w:rsidRPr="00BF6350">
        <w:rPr>
          <w:spacing w:val="-3"/>
          <w:szCs w:val="22"/>
        </w:rPr>
        <w:t xml:space="preserve"> </w:t>
      </w:r>
      <w:r w:rsidRPr="00BF6350">
        <w:rPr>
          <w:szCs w:val="22"/>
        </w:rPr>
        <w:t>are</w:t>
      </w:r>
      <w:r w:rsidRPr="00BF6350">
        <w:rPr>
          <w:spacing w:val="-4"/>
          <w:szCs w:val="22"/>
        </w:rPr>
        <w:t xml:space="preserve"> </w:t>
      </w:r>
      <w:r w:rsidRPr="00BF6350">
        <w:rPr>
          <w:szCs w:val="22"/>
        </w:rPr>
        <w:t>inconsistent with,</w:t>
      </w:r>
      <w:r w:rsidRPr="00BF6350">
        <w:rPr>
          <w:spacing w:val="-4"/>
          <w:szCs w:val="22"/>
        </w:rPr>
        <w:t xml:space="preserve"> </w:t>
      </w:r>
      <w:r w:rsidRPr="00BF6350">
        <w:rPr>
          <w:szCs w:val="22"/>
        </w:rPr>
        <w:t>or contrary to, Article 9(1) of the ICCPR:</w:t>
      </w:r>
    </w:p>
    <w:p w14:paraId="4B41C7C8" w14:textId="493198E4" w:rsidR="00831084" w:rsidRPr="00BF6350" w:rsidRDefault="00831084" w:rsidP="00BF6350">
      <w:pPr>
        <w:pStyle w:val="Quote"/>
        <w:numPr>
          <w:ilvl w:val="0"/>
          <w:numId w:val="33"/>
        </w:numPr>
        <w:rPr>
          <w:i/>
          <w:szCs w:val="22"/>
        </w:rPr>
      </w:pPr>
      <w:r w:rsidRPr="00BF6350">
        <w:rPr>
          <w:i/>
          <w:szCs w:val="22"/>
        </w:rPr>
        <w:t>the</w:t>
      </w:r>
      <w:r w:rsidRPr="00BF6350">
        <w:rPr>
          <w:i/>
          <w:spacing w:val="-5"/>
          <w:szCs w:val="22"/>
        </w:rPr>
        <w:t xml:space="preserve"> </w:t>
      </w:r>
      <w:r w:rsidRPr="00BF6350">
        <w:rPr>
          <w:i/>
          <w:szCs w:val="22"/>
        </w:rPr>
        <w:t>Department’s</w:t>
      </w:r>
      <w:r w:rsidRPr="00BF6350">
        <w:rPr>
          <w:i/>
          <w:spacing w:val="-3"/>
          <w:szCs w:val="22"/>
        </w:rPr>
        <w:t xml:space="preserve"> </w:t>
      </w:r>
      <w:r w:rsidRPr="00BF6350">
        <w:rPr>
          <w:i/>
          <w:szCs w:val="22"/>
        </w:rPr>
        <w:t>delay</w:t>
      </w:r>
      <w:r w:rsidRPr="00BF6350">
        <w:rPr>
          <w:i/>
          <w:spacing w:val="-1"/>
          <w:szCs w:val="22"/>
        </w:rPr>
        <w:t xml:space="preserve"> </w:t>
      </w:r>
      <w:r w:rsidRPr="00BF6350">
        <w:rPr>
          <w:i/>
          <w:szCs w:val="22"/>
        </w:rPr>
        <w:t>in</w:t>
      </w:r>
      <w:r w:rsidRPr="00BF6350">
        <w:rPr>
          <w:i/>
          <w:spacing w:val="-4"/>
          <w:szCs w:val="22"/>
        </w:rPr>
        <w:t xml:space="preserve"> </w:t>
      </w:r>
      <w:r w:rsidRPr="00BF6350">
        <w:rPr>
          <w:i/>
          <w:szCs w:val="22"/>
        </w:rPr>
        <w:t>referring</w:t>
      </w:r>
      <w:r w:rsidRPr="00BF6350">
        <w:rPr>
          <w:i/>
          <w:spacing w:val="-2"/>
          <w:szCs w:val="22"/>
        </w:rPr>
        <w:t xml:space="preserve"> </w:t>
      </w:r>
      <w:r w:rsidR="007C713E">
        <w:rPr>
          <w:i/>
          <w:szCs w:val="22"/>
        </w:rPr>
        <w:t>Mr CZ</w:t>
      </w:r>
      <w:r w:rsidRPr="00BF6350">
        <w:rPr>
          <w:i/>
          <w:szCs w:val="22"/>
        </w:rPr>
        <w:t>’s</w:t>
      </w:r>
      <w:r w:rsidRPr="00BF6350">
        <w:rPr>
          <w:i/>
          <w:spacing w:val="-3"/>
          <w:szCs w:val="22"/>
        </w:rPr>
        <w:t xml:space="preserve"> </w:t>
      </w:r>
      <w:r w:rsidRPr="00BF6350">
        <w:rPr>
          <w:i/>
          <w:szCs w:val="22"/>
        </w:rPr>
        <w:t>case</w:t>
      </w:r>
      <w:r w:rsidRPr="00BF6350">
        <w:rPr>
          <w:i/>
          <w:spacing w:val="-4"/>
          <w:szCs w:val="22"/>
        </w:rPr>
        <w:t xml:space="preserve"> </w:t>
      </w:r>
      <w:r w:rsidRPr="00BF6350">
        <w:rPr>
          <w:i/>
          <w:szCs w:val="22"/>
        </w:rPr>
        <w:t>to</w:t>
      </w:r>
      <w:r w:rsidRPr="00BF6350">
        <w:rPr>
          <w:i/>
          <w:spacing w:val="-2"/>
          <w:szCs w:val="22"/>
        </w:rPr>
        <w:t xml:space="preserve"> </w:t>
      </w:r>
      <w:r w:rsidRPr="00BF6350">
        <w:rPr>
          <w:i/>
          <w:szCs w:val="22"/>
        </w:rPr>
        <w:t>the Minister</w:t>
      </w:r>
      <w:r w:rsidRPr="00BF6350">
        <w:rPr>
          <w:i/>
          <w:spacing w:val="-3"/>
          <w:szCs w:val="22"/>
        </w:rPr>
        <w:t xml:space="preserve"> </w:t>
      </w:r>
      <w:r w:rsidRPr="00BF6350">
        <w:rPr>
          <w:i/>
          <w:szCs w:val="22"/>
        </w:rPr>
        <w:t>for</w:t>
      </w:r>
      <w:r w:rsidRPr="00BF6350">
        <w:rPr>
          <w:i/>
          <w:spacing w:val="-3"/>
          <w:szCs w:val="22"/>
        </w:rPr>
        <w:t xml:space="preserve"> </w:t>
      </w:r>
      <w:r w:rsidRPr="00BF6350">
        <w:rPr>
          <w:i/>
          <w:szCs w:val="22"/>
        </w:rPr>
        <w:t>consideration</w:t>
      </w:r>
      <w:r w:rsidRPr="00BF6350">
        <w:rPr>
          <w:i/>
          <w:spacing w:val="-2"/>
          <w:szCs w:val="22"/>
        </w:rPr>
        <w:t xml:space="preserve"> </w:t>
      </w:r>
      <w:r w:rsidRPr="00BF6350">
        <w:rPr>
          <w:i/>
          <w:szCs w:val="22"/>
        </w:rPr>
        <w:t>under</w:t>
      </w:r>
      <w:r w:rsidRPr="00BF6350">
        <w:rPr>
          <w:i/>
          <w:spacing w:val="-3"/>
          <w:szCs w:val="22"/>
        </w:rPr>
        <w:t xml:space="preserve"> </w:t>
      </w:r>
      <w:r w:rsidRPr="00BF6350">
        <w:rPr>
          <w:i/>
          <w:szCs w:val="22"/>
        </w:rPr>
        <w:t>section</w:t>
      </w:r>
      <w:r w:rsidRPr="00BF6350">
        <w:rPr>
          <w:i/>
          <w:spacing w:val="-2"/>
          <w:szCs w:val="22"/>
        </w:rPr>
        <w:t xml:space="preserve"> </w:t>
      </w:r>
      <w:r w:rsidRPr="00BF6350">
        <w:rPr>
          <w:i/>
          <w:szCs w:val="22"/>
        </w:rPr>
        <w:t>195A of the Migration Act 1958 (Cth) (the Migration Act) until October 2018</w:t>
      </w:r>
    </w:p>
    <w:p w14:paraId="359A2FDB" w14:textId="75AFFE9F" w:rsidR="00831084" w:rsidRPr="00BF6350" w:rsidRDefault="00831084" w:rsidP="00BF6350">
      <w:pPr>
        <w:pStyle w:val="Quote"/>
        <w:numPr>
          <w:ilvl w:val="0"/>
          <w:numId w:val="33"/>
        </w:numPr>
        <w:rPr>
          <w:i/>
          <w:szCs w:val="22"/>
        </w:rPr>
      </w:pPr>
      <w:r w:rsidRPr="00BF6350">
        <w:rPr>
          <w:i/>
          <w:szCs w:val="22"/>
        </w:rPr>
        <w:t>the</w:t>
      </w:r>
      <w:r w:rsidRPr="00BF6350">
        <w:rPr>
          <w:i/>
          <w:spacing w:val="-2"/>
          <w:szCs w:val="22"/>
        </w:rPr>
        <w:t xml:space="preserve"> </w:t>
      </w:r>
      <w:r w:rsidRPr="00BF6350">
        <w:rPr>
          <w:i/>
          <w:szCs w:val="22"/>
        </w:rPr>
        <w:t>Minister’s</w:t>
      </w:r>
      <w:r w:rsidRPr="00BF6350">
        <w:rPr>
          <w:i/>
          <w:spacing w:val="-3"/>
          <w:szCs w:val="22"/>
        </w:rPr>
        <w:t xml:space="preserve"> </w:t>
      </w:r>
      <w:r w:rsidRPr="00BF6350">
        <w:rPr>
          <w:i/>
          <w:szCs w:val="22"/>
        </w:rPr>
        <w:t>decision</w:t>
      </w:r>
      <w:r w:rsidRPr="00BF6350">
        <w:rPr>
          <w:i/>
          <w:spacing w:val="-4"/>
          <w:szCs w:val="22"/>
        </w:rPr>
        <w:t xml:space="preserve"> </w:t>
      </w:r>
      <w:r w:rsidRPr="00BF6350">
        <w:rPr>
          <w:i/>
          <w:szCs w:val="22"/>
        </w:rPr>
        <w:t>on</w:t>
      </w:r>
      <w:r w:rsidRPr="00BF6350">
        <w:rPr>
          <w:i/>
          <w:spacing w:val="-4"/>
          <w:szCs w:val="22"/>
        </w:rPr>
        <w:t xml:space="preserve"> </w:t>
      </w:r>
      <w:r w:rsidRPr="00BF6350">
        <w:rPr>
          <w:i/>
          <w:szCs w:val="22"/>
        </w:rPr>
        <w:t>23</w:t>
      </w:r>
      <w:r w:rsidRPr="00BF6350">
        <w:rPr>
          <w:i/>
          <w:spacing w:val="-4"/>
          <w:szCs w:val="22"/>
        </w:rPr>
        <w:t xml:space="preserve"> </w:t>
      </w:r>
      <w:r w:rsidRPr="00BF6350">
        <w:rPr>
          <w:i/>
          <w:szCs w:val="22"/>
        </w:rPr>
        <w:t>October</w:t>
      </w:r>
      <w:r w:rsidRPr="00BF6350">
        <w:rPr>
          <w:i/>
          <w:spacing w:val="-3"/>
          <w:szCs w:val="22"/>
        </w:rPr>
        <w:t xml:space="preserve"> </w:t>
      </w:r>
      <w:r w:rsidRPr="00BF6350">
        <w:rPr>
          <w:i/>
          <w:szCs w:val="22"/>
        </w:rPr>
        <w:t>2018</w:t>
      </w:r>
      <w:r w:rsidRPr="00BF6350">
        <w:rPr>
          <w:i/>
          <w:spacing w:val="-4"/>
          <w:szCs w:val="22"/>
        </w:rPr>
        <w:t xml:space="preserve"> </w:t>
      </w:r>
      <w:r w:rsidRPr="00BF6350">
        <w:rPr>
          <w:i/>
          <w:szCs w:val="22"/>
        </w:rPr>
        <w:t>to</w:t>
      </w:r>
      <w:r w:rsidRPr="00BF6350">
        <w:rPr>
          <w:i/>
          <w:spacing w:val="-2"/>
          <w:szCs w:val="22"/>
        </w:rPr>
        <w:t xml:space="preserve"> </w:t>
      </w:r>
      <w:r w:rsidRPr="00BF6350">
        <w:rPr>
          <w:i/>
          <w:szCs w:val="22"/>
        </w:rPr>
        <w:t>not</w:t>
      </w:r>
      <w:r w:rsidRPr="00BF6350">
        <w:rPr>
          <w:i/>
          <w:spacing w:val="-2"/>
          <w:szCs w:val="22"/>
        </w:rPr>
        <w:t xml:space="preserve"> </w:t>
      </w:r>
      <w:r w:rsidRPr="00BF6350">
        <w:rPr>
          <w:i/>
          <w:szCs w:val="22"/>
        </w:rPr>
        <w:t>exercise</w:t>
      </w:r>
      <w:r w:rsidRPr="00BF6350">
        <w:rPr>
          <w:i/>
          <w:spacing w:val="-4"/>
          <w:szCs w:val="22"/>
        </w:rPr>
        <w:t xml:space="preserve"> </w:t>
      </w:r>
      <w:r w:rsidRPr="00BF6350">
        <w:rPr>
          <w:i/>
          <w:szCs w:val="22"/>
        </w:rPr>
        <w:t>his</w:t>
      </w:r>
      <w:r w:rsidRPr="00BF6350">
        <w:rPr>
          <w:i/>
          <w:spacing w:val="-3"/>
          <w:szCs w:val="22"/>
        </w:rPr>
        <w:t xml:space="preserve"> </w:t>
      </w:r>
      <w:r w:rsidRPr="00BF6350">
        <w:rPr>
          <w:i/>
          <w:szCs w:val="22"/>
        </w:rPr>
        <w:t>power under</w:t>
      </w:r>
      <w:r w:rsidRPr="00BF6350">
        <w:rPr>
          <w:i/>
          <w:spacing w:val="-3"/>
          <w:szCs w:val="22"/>
        </w:rPr>
        <w:t xml:space="preserve"> </w:t>
      </w:r>
      <w:r w:rsidRPr="00BF6350">
        <w:rPr>
          <w:i/>
          <w:szCs w:val="22"/>
        </w:rPr>
        <w:t>section</w:t>
      </w:r>
      <w:r w:rsidRPr="00BF6350">
        <w:rPr>
          <w:i/>
          <w:spacing w:val="-4"/>
          <w:szCs w:val="22"/>
        </w:rPr>
        <w:t xml:space="preserve"> </w:t>
      </w:r>
      <w:r w:rsidRPr="00BF6350">
        <w:rPr>
          <w:i/>
          <w:szCs w:val="22"/>
        </w:rPr>
        <w:t>195A</w:t>
      </w:r>
      <w:r w:rsidRPr="00BF6350">
        <w:rPr>
          <w:i/>
          <w:spacing w:val="-2"/>
          <w:szCs w:val="22"/>
        </w:rPr>
        <w:t xml:space="preserve"> </w:t>
      </w:r>
      <w:r w:rsidRPr="00BF6350">
        <w:rPr>
          <w:i/>
          <w:szCs w:val="22"/>
        </w:rPr>
        <w:t>of</w:t>
      </w:r>
      <w:r w:rsidRPr="00BF6350">
        <w:rPr>
          <w:i/>
          <w:spacing w:val="-4"/>
          <w:szCs w:val="22"/>
        </w:rPr>
        <w:t xml:space="preserve"> </w:t>
      </w:r>
      <w:r w:rsidRPr="00BF6350">
        <w:rPr>
          <w:i/>
          <w:szCs w:val="22"/>
        </w:rPr>
        <w:t xml:space="preserve">the Migration Act to grant </w:t>
      </w:r>
      <w:r w:rsidR="007C713E">
        <w:rPr>
          <w:i/>
          <w:szCs w:val="22"/>
        </w:rPr>
        <w:t>Mr CZ</w:t>
      </w:r>
      <w:r w:rsidRPr="00BF6350">
        <w:rPr>
          <w:i/>
          <w:szCs w:val="22"/>
        </w:rPr>
        <w:t xml:space="preserve"> a Bridging Visa E (BVE)</w:t>
      </w:r>
    </w:p>
    <w:p w14:paraId="772AA31F" w14:textId="472B83F5" w:rsidR="00831084" w:rsidRPr="00BF6350" w:rsidRDefault="00831084" w:rsidP="00BF6350">
      <w:pPr>
        <w:pStyle w:val="Quote"/>
        <w:numPr>
          <w:ilvl w:val="0"/>
          <w:numId w:val="33"/>
        </w:numPr>
        <w:rPr>
          <w:i/>
          <w:szCs w:val="22"/>
        </w:rPr>
      </w:pPr>
      <w:r w:rsidRPr="00BF6350">
        <w:rPr>
          <w:i/>
          <w:szCs w:val="22"/>
        </w:rPr>
        <w:lastRenderedPageBreak/>
        <w:t>the</w:t>
      </w:r>
      <w:r w:rsidRPr="00BF6350">
        <w:rPr>
          <w:i/>
          <w:spacing w:val="-5"/>
          <w:szCs w:val="22"/>
        </w:rPr>
        <w:t xml:space="preserve"> </w:t>
      </w:r>
      <w:r w:rsidRPr="00BF6350">
        <w:rPr>
          <w:i/>
          <w:szCs w:val="22"/>
        </w:rPr>
        <w:t>Department’s</w:t>
      </w:r>
      <w:r w:rsidRPr="00BF6350">
        <w:rPr>
          <w:i/>
          <w:spacing w:val="-3"/>
          <w:szCs w:val="22"/>
        </w:rPr>
        <w:t xml:space="preserve"> </w:t>
      </w:r>
      <w:r w:rsidRPr="00BF6350">
        <w:rPr>
          <w:i/>
          <w:szCs w:val="22"/>
        </w:rPr>
        <w:t>delay in</w:t>
      </w:r>
      <w:r w:rsidRPr="00BF6350">
        <w:rPr>
          <w:i/>
          <w:spacing w:val="-4"/>
          <w:szCs w:val="22"/>
        </w:rPr>
        <w:t xml:space="preserve"> </w:t>
      </w:r>
      <w:r w:rsidRPr="00BF6350">
        <w:rPr>
          <w:i/>
          <w:szCs w:val="22"/>
        </w:rPr>
        <w:t>referring</w:t>
      </w:r>
      <w:r w:rsidRPr="00BF6350">
        <w:rPr>
          <w:i/>
          <w:spacing w:val="-2"/>
          <w:szCs w:val="22"/>
        </w:rPr>
        <w:t xml:space="preserve"> </w:t>
      </w:r>
      <w:r w:rsidR="007C713E">
        <w:rPr>
          <w:i/>
          <w:szCs w:val="22"/>
        </w:rPr>
        <w:t>Mr CZ</w:t>
      </w:r>
      <w:r w:rsidRPr="00BF6350">
        <w:rPr>
          <w:i/>
          <w:szCs w:val="22"/>
        </w:rPr>
        <w:t>’s</w:t>
      </w:r>
      <w:r w:rsidRPr="00BF6350">
        <w:rPr>
          <w:i/>
          <w:spacing w:val="-3"/>
          <w:szCs w:val="22"/>
        </w:rPr>
        <w:t xml:space="preserve"> </w:t>
      </w:r>
      <w:r w:rsidRPr="00BF6350">
        <w:rPr>
          <w:i/>
          <w:szCs w:val="22"/>
        </w:rPr>
        <w:t>case</w:t>
      </w:r>
      <w:r w:rsidRPr="00BF6350">
        <w:rPr>
          <w:i/>
          <w:spacing w:val="-4"/>
          <w:szCs w:val="22"/>
        </w:rPr>
        <w:t xml:space="preserve"> </w:t>
      </w:r>
      <w:r w:rsidRPr="00BF6350">
        <w:rPr>
          <w:i/>
          <w:szCs w:val="22"/>
        </w:rPr>
        <w:t>to</w:t>
      </w:r>
      <w:r w:rsidRPr="00BF6350">
        <w:rPr>
          <w:i/>
          <w:spacing w:val="-1"/>
          <w:szCs w:val="22"/>
        </w:rPr>
        <w:t xml:space="preserve"> </w:t>
      </w:r>
      <w:r w:rsidRPr="00BF6350">
        <w:rPr>
          <w:i/>
          <w:szCs w:val="22"/>
        </w:rPr>
        <w:t>the Minister</w:t>
      </w:r>
      <w:r w:rsidRPr="00BF6350">
        <w:rPr>
          <w:i/>
          <w:spacing w:val="-3"/>
          <w:szCs w:val="22"/>
        </w:rPr>
        <w:t xml:space="preserve"> </w:t>
      </w:r>
      <w:r w:rsidRPr="00BF6350">
        <w:rPr>
          <w:i/>
          <w:szCs w:val="22"/>
        </w:rPr>
        <w:t>again</w:t>
      </w:r>
      <w:r w:rsidRPr="00BF6350">
        <w:rPr>
          <w:i/>
          <w:spacing w:val="-4"/>
          <w:szCs w:val="22"/>
        </w:rPr>
        <w:t xml:space="preserve"> </w:t>
      </w:r>
      <w:r w:rsidRPr="00BF6350">
        <w:rPr>
          <w:i/>
          <w:szCs w:val="22"/>
        </w:rPr>
        <w:t>for</w:t>
      </w:r>
      <w:r w:rsidRPr="00BF6350">
        <w:rPr>
          <w:i/>
          <w:spacing w:val="-3"/>
          <w:szCs w:val="22"/>
        </w:rPr>
        <w:t xml:space="preserve"> </w:t>
      </w:r>
      <w:r w:rsidRPr="00BF6350">
        <w:rPr>
          <w:i/>
          <w:szCs w:val="22"/>
        </w:rPr>
        <w:t>consideration</w:t>
      </w:r>
      <w:r w:rsidRPr="00BF6350">
        <w:rPr>
          <w:i/>
          <w:spacing w:val="-4"/>
          <w:szCs w:val="22"/>
        </w:rPr>
        <w:t xml:space="preserve"> </w:t>
      </w:r>
      <w:r w:rsidRPr="00BF6350">
        <w:rPr>
          <w:i/>
          <w:szCs w:val="22"/>
        </w:rPr>
        <w:t>under</w:t>
      </w:r>
      <w:r w:rsidRPr="00BF6350">
        <w:rPr>
          <w:i/>
          <w:spacing w:val="-3"/>
          <w:szCs w:val="22"/>
        </w:rPr>
        <w:t xml:space="preserve"> </w:t>
      </w:r>
      <w:r w:rsidRPr="00BF6350">
        <w:rPr>
          <w:i/>
          <w:szCs w:val="22"/>
        </w:rPr>
        <w:t>section 195A of the Migration Act for over four years until February 2023</w:t>
      </w:r>
    </w:p>
    <w:p w14:paraId="39C0CFCD" w14:textId="14B7636C" w:rsidR="00831084" w:rsidRPr="00BF6350" w:rsidRDefault="00831084" w:rsidP="00BF6350">
      <w:pPr>
        <w:pStyle w:val="Quote"/>
        <w:numPr>
          <w:ilvl w:val="0"/>
          <w:numId w:val="33"/>
        </w:numPr>
        <w:rPr>
          <w:i/>
          <w:szCs w:val="22"/>
        </w:rPr>
      </w:pPr>
      <w:r w:rsidRPr="00BF6350">
        <w:rPr>
          <w:i/>
          <w:szCs w:val="22"/>
        </w:rPr>
        <w:t>the</w:t>
      </w:r>
      <w:r w:rsidRPr="00BF6350">
        <w:rPr>
          <w:i/>
          <w:spacing w:val="-5"/>
          <w:szCs w:val="22"/>
        </w:rPr>
        <w:t xml:space="preserve"> </w:t>
      </w:r>
      <w:r w:rsidRPr="00BF6350">
        <w:rPr>
          <w:i/>
          <w:szCs w:val="22"/>
        </w:rPr>
        <w:t>Department’s</w:t>
      </w:r>
      <w:r w:rsidRPr="00BF6350">
        <w:rPr>
          <w:i/>
          <w:spacing w:val="-3"/>
          <w:szCs w:val="22"/>
        </w:rPr>
        <w:t xml:space="preserve"> </w:t>
      </w:r>
      <w:r w:rsidRPr="00BF6350">
        <w:rPr>
          <w:i/>
          <w:szCs w:val="22"/>
        </w:rPr>
        <w:t>failure</w:t>
      </w:r>
      <w:r w:rsidRPr="00BF6350">
        <w:rPr>
          <w:i/>
          <w:spacing w:val="-4"/>
          <w:szCs w:val="22"/>
        </w:rPr>
        <w:t xml:space="preserve"> </w:t>
      </w:r>
      <w:r w:rsidRPr="00BF6350">
        <w:rPr>
          <w:i/>
          <w:szCs w:val="22"/>
        </w:rPr>
        <w:t>to refer</w:t>
      </w:r>
      <w:r w:rsidRPr="00BF6350">
        <w:rPr>
          <w:i/>
          <w:spacing w:val="-1"/>
          <w:szCs w:val="22"/>
        </w:rPr>
        <w:t xml:space="preserve"> </w:t>
      </w:r>
      <w:r w:rsidR="007C713E">
        <w:rPr>
          <w:i/>
          <w:szCs w:val="22"/>
        </w:rPr>
        <w:t>Mr CZ</w:t>
      </w:r>
      <w:r w:rsidRPr="00BF6350">
        <w:rPr>
          <w:i/>
          <w:szCs w:val="22"/>
        </w:rPr>
        <w:t>’s</w:t>
      </w:r>
      <w:r w:rsidRPr="00BF6350">
        <w:rPr>
          <w:i/>
          <w:spacing w:val="-3"/>
          <w:szCs w:val="22"/>
        </w:rPr>
        <w:t xml:space="preserve"> </w:t>
      </w:r>
      <w:r w:rsidRPr="00BF6350">
        <w:rPr>
          <w:i/>
          <w:szCs w:val="22"/>
        </w:rPr>
        <w:t>case</w:t>
      </w:r>
      <w:r w:rsidRPr="00BF6350">
        <w:rPr>
          <w:i/>
          <w:spacing w:val="-2"/>
          <w:szCs w:val="22"/>
        </w:rPr>
        <w:t xml:space="preserve"> </w:t>
      </w:r>
      <w:r w:rsidRPr="00BF6350">
        <w:rPr>
          <w:i/>
          <w:szCs w:val="22"/>
        </w:rPr>
        <w:t>to</w:t>
      </w:r>
      <w:r w:rsidRPr="00BF6350">
        <w:rPr>
          <w:i/>
          <w:spacing w:val="-4"/>
          <w:szCs w:val="22"/>
        </w:rPr>
        <w:t xml:space="preserve"> </w:t>
      </w:r>
      <w:r w:rsidRPr="00BF6350">
        <w:rPr>
          <w:i/>
          <w:szCs w:val="22"/>
        </w:rPr>
        <w:t>the</w:t>
      </w:r>
      <w:r w:rsidRPr="00BF6350">
        <w:rPr>
          <w:i/>
          <w:spacing w:val="-2"/>
          <w:szCs w:val="22"/>
        </w:rPr>
        <w:t xml:space="preserve"> </w:t>
      </w:r>
      <w:r w:rsidRPr="00BF6350">
        <w:rPr>
          <w:i/>
          <w:szCs w:val="22"/>
        </w:rPr>
        <w:t>Minister</w:t>
      </w:r>
      <w:r w:rsidRPr="00BF6350">
        <w:rPr>
          <w:i/>
          <w:spacing w:val="-3"/>
          <w:szCs w:val="22"/>
        </w:rPr>
        <w:t xml:space="preserve"> </w:t>
      </w:r>
      <w:r w:rsidRPr="00BF6350">
        <w:rPr>
          <w:i/>
          <w:szCs w:val="22"/>
        </w:rPr>
        <w:t>for</w:t>
      </w:r>
      <w:r w:rsidRPr="00BF6350">
        <w:rPr>
          <w:i/>
          <w:spacing w:val="-3"/>
          <w:szCs w:val="22"/>
        </w:rPr>
        <w:t xml:space="preserve"> </w:t>
      </w:r>
      <w:r w:rsidRPr="00BF6350">
        <w:rPr>
          <w:i/>
          <w:szCs w:val="22"/>
        </w:rPr>
        <w:t>consideration</w:t>
      </w:r>
      <w:r w:rsidRPr="00BF6350">
        <w:rPr>
          <w:i/>
          <w:spacing w:val="-2"/>
          <w:szCs w:val="22"/>
        </w:rPr>
        <w:t xml:space="preserve"> </w:t>
      </w:r>
      <w:r w:rsidRPr="00BF6350">
        <w:rPr>
          <w:i/>
          <w:szCs w:val="22"/>
        </w:rPr>
        <w:t>under</w:t>
      </w:r>
      <w:r w:rsidRPr="00BF6350">
        <w:rPr>
          <w:i/>
          <w:spacing w:val="-3"/>
          <w:szCs w:val="22"/>
        </w:rPr>
        <w:t xml:space="preserve"> </w:t>
      </w:r>
      <w:r w:rsidRPr="00BF6350">
        <w:rPr>
          <w:i/>
          <w:szCs w:val="22"/>
        </w:rPr>
        <w:t>section</w:t>
      </w:r>
      <w:r w:rsidRPr="00BF6350">
        <w:rPr>
          <w:i/>
          <w:spacing w:val="-2"/>
          <w:szCs w:val="22"/>
        </w:rPr>
        <w:t xml:space="preserve"> </w:t>
      </w:r>
      <w:r w:rsidRPr="00BF6350">
        <w:rPr>
          <w:i/>
          <w:szCs w:val="22"/>
        </w:rPr>
        <w:t>197AB of the Migration Act.</w:t>
      </w:r>
    </w:p>
    <w:p w14:paraId="14585988" w14:textId="77EDB4AD" w:rsidR="00831084" w:rsidRPr="00BF6350" w:rsidRDefault="00831084" w:rsidP="00BF6350">
      <w:pPr>
        <w:pStyle w:val="Quote"/>
        <w:rPr>
          <w:szCs w:val="22"/>
        </w:rPr>
      </w:pPr>
      <w:r w:rsidRPr="00BF6350">
        <w:rPr>
          <w:szCs w:val="22"/>
        </w:rPr>
        <w:t>The Department undertakes regular reviews, escalations and referrals for persons in immigration detention to</w:t>
      </w:r>
      <w:r w:rsidRPr="00BF6350">
        <w:rPr>
          <w:spacing w:val="-3"/>
          <w:szCs w:val="22"/>
        </w:rPr>
        <w:t xml:space="preserve"> </w:t>
      </w:r>
      <w:r w:rsidRPr="00BF6350">
        <w:rPr>
          <w:szCs w:val="22"/>
        </w:rPr>
        <w:t>ensure</w:t>
      </w:r>
      <w:r w:rsidRPr="00BF6350">
        <w:rPr>
          <w:spacing w:val="-2"/>
          <w:szCs w:val="22"/>
        </w:rPr>
        <w:t xml:space="preserve"> </w:t>
      </w:r>
      <w:r w:rsidRPr="00BF6350">
        <w:rPr>
          <w:szCs w:val="22"/>
        </w:rPr>
        <w:t>the</w:t>
      </w:r>
      <w:r w:rsidRPr="00BF6350">
        <w:rPr>
          <w:spacing w:val="-2"/>
          <w:szCs w:val="22"/>
        </w:rPr>
        <w:t xml:space="preserve"> </w:t>
      </w:r>
      <w:r w:rsidRPr="00BF6350">
        <w:rPr>
          <w:szCs w:val="22"/>
        </w:rPr>
        <w:t>most</w:t>
      </w:r>
      <w:r w:rsidRPr="00BF6350">
        <w:rPr>
          <w:spacing w:val="-3"/>
          <w:szCs w:val="22"/>
        </w:rPr>
        <w:t xml:space="preserve"> </w:t>
      </w:r>
      <w:r w:rsidRPr="00BF6350">
        <w:rPr>
          <w:szCs w:val="22"/>
        </w:rPr>
        <w:t>appropriate</w:t>
      </w:r>
      <w:r w:rsidRPr="00BF6350">
        <w:rPr>
          <w:spacing w:val="-3"/>
          <w:szCs w:val="22"/>
        </w:rPr>
        <w:t xml:space="preserve"> </w:t>
      </w:r>
      <w:r w:rsidRPr="00BF6350">
        <w:rPr>
          <w:szCs w:val="22"/>
        </w:rPr>
        <w:t>placement</w:t>
      </w:r>
      <w:r w:rsidRPr="00BF6350">
        <w:rPr>
          <w:spacing w:val="-3"/>
          <w:szCs w:val="22"/>
        </w:rPr>
        <w:t xml:space="preserve"> </w:t>
      </w:r>
      <w:r w:rsidRPr="00BF6350">
        <w:rPr>
          <w:szCs w:val="22"/>
        </w:rPr>
        <w:t>to</w:t>
      </w:r>
      <w:r w:rsidRPr="00BF6350">
        <w:rPr>
          <w:spacing w:val="-3"/>
          <w:szCs w:val="22"/>
        </w:rPr>
        <w:t xml:space="preserve"> </w:t>
      </w:r>
      <w:r w:rsidRPr="00BF6350">
        <w:rPr>
          <w:szCs w:val="22"/>
        </w:rPr>
        <w:t>manage</w:t>
      </w:r>
      <w:r w:rsidRPr="00BF6350">
        <w:rPr>
          <w:spacing w:val="-3"/>
          <w:szCs w:val="22"/>
        </w:rPr>
        <w:t xml:space="preserve"> </w:t>
      </w:r>
      <w:r w:rsidRPr="00BF6350">
        <w:rPr>
          <w:szCs w:val="22"/>
        </w:rPr>
        <w:t>their</w:t>
      </w:r>
      <w:r w:rsidRPr="00BF6350">
        <w:rPr>
          <w:spacing w:val="-2"/>
          <w:szCs w:val="22"/>
        </w:rPr>
        <w:t xml:space="preserve"> </w:t>
      </w:r>
      <w:r w:rsidRPr="00BF6350">
        <w:rPr>
          <w:szCs w:val="22"/>
        </w:rPr>
        <w:t>health</w:t>
      </w:r>
      <w:r w:rsidRPr="00BF6350">
        <w:rPr>
          <w:spacing w:val="-2"/>
          <w:szCs w:val="22"/>
        </w:rPr>
        <w:t xml:space="preserve"> </w:t>
      </w:r>
      <w:r w:rsidRPr="00BF6350">
        <w:rPr>
          <w:szCs w:val="22"/>
        </w:rPr>
        <w:t>and welfare,</w:t>
      </w:r>
      <w:r w:rsidRPr="00BF6350">
        <w:rPr>
          <w:spacing w:val="-3"/>
          <w:szCs w:val="22"/>
        </w:rPr>
        <w:t xml:space="preserve"> </w:t>
      </w:r>
      <w:r w:rsidRPr="00BF6350">
        <w:rPr>
          <w:szCs w:val="22"/>
        </w:rPr>
        <w:t>and</w:t>
      </w:r>
      <w:r w:rsidRPr="00BF6350">
        <w:rPr>
          <w:spacing w:val="-3"/>
          <w:szCs w:val="22"/>
        </w:rPr>
        <w:t xml:space="preserve"> </w:t>
      </w:r>
      <w:r w:rsidRPr="00BF6350">
        <w:rPr>
          <w:szCs w:val="22"/>
        </w:rPr>
        <w:t>to</w:t>
      </w:r>
      <w:r w:rsidRPr="00BF6350">
        <w:rPr>
          <w:spacing w:val="-3"/>
          <w:szCs w:val="22"/>
        </w:rPr>
        <w:t xml:space="preserve"> </w:t>
      </w:r>
      <w:r w:rsidRPr="00BF6350">
        <w:rPr>
          <w:szCs w:val="22"/>
        </w:rPr>
        <w:t>manage</w:t>
      </w:r>
      <w:r w:rsidRPr="00BF6350">
        <w:rPr>
          <w:spacing w:val="-2"/>
          <w:szCs w:val="22"/>
        </w:rPr>
        <w:t xml:space="preserve"> </w:t>
      </w:r>
      <w:r w:rsidRPr="00BF6350">
        <w:rPr>
          <w:szCs w:val="22"/>
        </w:rPr>
        <w:t>the</w:t>
      </w:r>
      <w:r w:rsidRPr="00BF6350">
        <w:rPr>
          <w:spacing w:val="-3"/>
          <w:szCs w:val="22"/>
        </w:rPr>
        <w:t xml:space="preserve"> </w:t>
      </w:r>
      <w:r w:rsidRPr="00BF6350">
        <w:rPr>
          <w:szCs w:val="22"/>
        </w:rPr>
        <w:t>resolution of their immigration status. The Department maintains that its review mechanisms regularly consider the necessity of detention and where appropriate, the identification of alternate means of detention or the grant of a visa, including through Ministerial Intervention.</w:t>
      </w:r>
    </w:p>
    <w:p w14:paraId="78469FE4" w14:textId="4A24AD49" w:rsidR="00831084" w:rsidRPr="00BF6350" w:rsidRDefault="00831084" w:rsidP="00BF6350">
      <w:pPr>
        <w:pStyle w:val="Quote"/>
        <w:rPr>
          <w:szCs w:val="22"/>
        </w:rPr>
      </w:pPr>
      <w:r w:rsidRPr="00BF6350">
        <w:rPr>
          <w:szCs w:val="22"/>
        </w:rPr>
        <w:t>Home Affairs Portfolio Ministers’</w:t>
      </w:r>
      <w:r w:rsidRPr="00BF6350">
        <w:rPr>
          <w:spacing w:val="-1"/>
          <w:szCs w:val="22"/>
        </w:rPr>
        <w:t xml:space="preserve"> </w:t>
      </w:r>
      <w:r w:rsidRPr="00BF6350">
        <w:rPr>
          <w:szCs w:val="22"/>
        </w:rPr>
        <w:t>have personal</w:t>
      </w:r>
      <w:r w:rsidRPr="00BF6350">
        <w:rPr>
          <w:spacing w:val="-1"/>
          <w:szCs w:val="22"/>
        </w:rPr>
        <w:t xml:space="preserve"> </w:t>
      </w:r>
      <w:r w:rsidRPr="00BF6350">
        <w:rPr>
          <w:szCs w:val="22"/>
        </w:rPr>
        <w:t>intervention powers under the Act that allow</w:t>
      </w:r>
      <w:r w:rsidRPr="00BF6350">
        <w:rPr>
          <w:spacing w:val="-2"/>
          <w:szCs w:val="22"/>
        </w:rPr>
        <w:t xml:space="preserve"> </w:t>
      </w:r>
      <w:r w:rsidRPr="00BF6350">
        <w:rPr>
          <w:szCs w:val="22"/>
        </w:rPr>
        <w:t>them to grant a visa</w:t>
      </w:r>
      <w:r w:rsidRPr="00BF6350">
        <w:rPr>
          <w:spacing w:val="-1"/>
          <w:szCs w:val="22"/>
        </w:rPr>
        <w:t xml:space="preserve"> </w:t>
      </w:r>
      <w:r w:rsidRPr="00BF6350">
        <w:rPr>
          <w:szCs w:val="22"/>
        </w:rPr>
        <w:t>to</w:t>
      </w:r>
      <w:r w:rsidRPr="00BF6350">
        <w:rPr>
          <w:spacing w:val="-4"/>
          <w:szCs w:val="22"/>
        </w:rPr>
        <w:t xml:space="preserve"> </w:t>
      </w:r>
      <w:r w:rsidRPr="00BF6350">
        <w:rPr>
          <w:szCs w:val="22"/>
        </w:rPr>
        <w:t>a</w:t>
      </w:r>
      <w:r w:rsidRPr="00BF6350">
        <w:rPr>
          <w:spacing w:val="-1"/>
          <w:szCs w:val="22"/>
        </w:rPr>
        <w:t xml:space="preserve"> </w:t>
      </w:r>
      <w:r w:rsidRPr="00BF6350">
        <w:rPr>
          <w:szCs w:val="22"/>
        </w:rPr>
        <w:t>person</w:t>
      </w:r>
      <w:r w:rsidRPr="00BF6350">
        <w:rPr>
          <w:spacing w:val="-1"/>
          <w:szCs w:val="22"/>
        </w:rPr>
        <w:t xml:space="preserve"> </w:t>
      </w:r>
      <w:r w:rsidRPr="00BF6350">
        <w:rPr>
          <w:szCs w:val="22"/>
        </w:rPr>
        <w:t>in</w:t>
      </w:r>
      <w:r w:rsidRPr="00BF6350">
        <w:rPr>
          <w:spacing w:val="-1"/>
          <w:szCs w:val="22"/>
        </w:rPr>
        <w:t xml:space="preserve"> </w:t>
      </w:r>
      <w:r w:rsidRPr="00BF6350">
        <w:rPr>
          <w:szCs w:val="22"/>
        </w:rPr>
        <w:t>immigration</w:t>
      </w:r>
      <w:r w:rsidRPr="00BF6350">
        <w:rPr>
          <w:spacing w:val="-1"/>
          <w:szCs w:val="22"/>
        </w:rPr>
        <w:t xml:space="preserve"> </w:t>
      </w:r>
      <w:r w:rsidRPr="00BF6350">
        <w:rPr>
          <w:szCs w:val="22"/>
        </w:rPr>
        <w:t>detention</w:t>
      </w:r>
      <w:r w:rsidRPr="00BF6350">
        <w:rPr>
          <w:spacing w:val="-1"/>
          <w:szCs w:val="22"/>
        </w:rPr>
        <w:t xml:space="preserve"> </w:t>
      </w:r>
      <w:r w:rsidRPr="00BF6350">
        <w:rPr>
          <w:szCs w:val="22"/>
        </w:rPr>
        <w:t>or</w:t>
      </w:r>
      <w:r w:rsidRPr="00BF6350">
        <w:rPr>
          <w:spacing w:val="-2"/>
          <w:szCs w:val="22"/>
        </w:rPr>
        <w:t xml:space="preserve"> </w:t>
      </w:r>
      <w:r w:rsidRPr="00BF6350">
        <w:rPr>
          <w:szCs w:val="22"/>
        </w:rPr>
        <w:t>to</w:t>
      </w:r>
      <w:r w:rsidRPr="00BF6350">
        <w:rPr>
          <w:spacing w:val="-3"/>
          <w:szCs w:val="22"/>
        </w:rPr>
        <w:t xml:space="preserve"> </w:t>
      </w:r>
      <w:r w:rsidRPr="00BF6350">
        <w:rPr>
          <w:szCs w:val="22"/>
        </w:rPr>
        <w:t>make</w:t>
      </w:r>
      <w:r w:rsidRPr="00BF6350">
        <w:rPr>
          <w:spacing w:val="-3"/>
          <w:szCs w:val="22"/>
        </w:rPr>
        <w:t xml:space="preserve"> </w:t>
      </w:r>
      <w:r w:rsidRPr="00BF6350">
        <w:rPr>
          <w:szCs w:val="22"/>
        </w:rPr>
        <w:t>a</w:t>
      </w:r>
      <w:r w:rsidRPr="00BF6350">
        <w:rPr>
          <w:spacing w:val="-3"/>
          <w:szCs w:val="22"/>
        </w:rPr>
        <w:t xml:space="preserve"> </w:t>
      </w:r>
      <w:r w:rsidRPr="00BF6350">
        <w:rPr>
          <w:szCs w:val="22"/>
        </w:rPr>
        <w:t>residence</w:t>
      </w:r>
      <w:r w:rsidRPr="00BF6350">
        <w:rPr>
          <w:spacing w:val="-3"/>
          <w:szCs w:val="22"/>
        </w:rPr>
        <w:t xml:space="preserve"> </w:t>
      </w:r>
      <w:r w:rsidRPr="00BF6350">
        <w:rPr>
          <w:szCs w:val="22"/>
        </w:rPr>
        <w:t>determination,</w:t>
      </w:r>
      <w:r w:rsidRPr="00BF6350">
        <w:rPr>
          <w:spacing w:val="-1"/>
          <w:szCs w:val="22"/>
        </w:rPr>
        <w:t xml:space="preserve"> </w:t>
      </w:r>
      <w:r w:rsidRPr="00BF6350">
        <w:rPr>
          <w:szCs w:val="22"/>
        </w:rPr>
        <w:t>if they</w:t>
      </w:r>
      <w:r w:rsidRPr="00BF6350">
        <w:rPr>
          <w:spacing w:val="-4"/>
          <w:szCs w:val="22"/>
        </w:rPr>
        <w:t xml:space="preserve"> </w:t>
      </w:r>
      <w:r w:rsidRPr="00BF6350">
        <w:rPr>
          <w:szCs w:val="22"/>
        </w:rPr>
        <w:t>think it</w:t>
      </w:r>
      <w:r w:rsidRPr="00BF6350">
        <w:rPr>
          <w:spacing w:val="-3"/>
          <w:szCs w:val="22"/>
        </w:rPr>
        <w:t xml:space="preserve"> </w:t>
      </w:r>
      <w:r w:rsidRPr="00BF6350">
        <w:rPr>
          <w:szCs w:val="22"/>
        </w:rPr>
        <w:t>is</w:t>
      </w:r>
      <w:r w:rsidRPr="00BF6350">
        <w:rPr>
          <w:spacing w:val="-2"/>
          <w:szCs w:val="22"/>
        </w:rPr>
        <w:t xml:space="preserve"> </w:t>
      </w:r>
      <w:r w:rsidRPr="00BF6350">
        <w:rPr>
          <w:szCs w:val="22"/>
        </w:rPr>
        <w:t>in</w:t>
      </w:r>
      <w:r w:rsidRPr="00BF6350">
        <w:rPr>
          <w:spacing w:val="-3"/>
          <w:szCs w:val="22"/>
        </w:rPr>
        <w:t xml:space="preserve"> </w:t>
      </w:r>
      <w:r w:rsidRPr="00BF6350">
        <w:rPr>
          <w:szCs w:val="22"/>
        </w:rPr>
        <w:t>the</w:t>
      </w:r>
      <w:r w:rsidRPr="00BF6350">
        <w:rPr>
          <w:spacing w:val="-3"/>
          <w:szCs w:val="22"/>
        </w:rPr>
        <w:t xml:space="preserve"> </w:t>
      </w:r>
      <w:r w:rsidRPr="00BF6350">
        <w:rPr>
          <w:szCs w:val="22"/>
        </w:rPr>
        <w:t>public interest to do so. The powers are non-compellable, that is, the Ministers are not required to exercise, or consider exercising their power. Further, what is in the public interest is a matter for the Minister to determine. The Department cannot comment on how the then Minister formulated their decision.</w:t>
      </w:r>
    </w:p>
    <w:p w14:paraId="30B5EBA7" w14:textId="48687525" w:rsidR="00831084" w:rsidRPr="00BF6350" w:rsidRDefault="00831084" w:rsidP="00BF6350">
      <w:pPr>
        <w:pStyle w:val="Quote"/>
        <w:rPr>
          <w:szCs w:val="22"/>
        </w:rPr>
      </w:pPr>
      <w:r w:rsidRPr="00BF6350">
        <w:rPr>
          <w:szCs w:val="22"/>
        </w:rPr>
        <w:t>It</w:t>
      </w:r>
      <w:r w:rsidRPr="00BF6350">
        <w:rPr>
          <w:spacing w:val="-3"/>
          <w:szCs w:val="22"/>
        </w:rPr>
        <w:t xml:space="preserve"> </w:t>
      </w:r>
      <w:r w:rsidRPr="00BF6350">
        <w:rPr>
          <w:szCs w:val="22"/>
        </w:rPr>
        <w:t>is</w:t>
      </w:r>
      <w:r w:rsidRPr="00BF6350">
        <w:rPr>
          <w:spacing w:val="-2"/>
          <w:szCs w:val="22"/>
        </w:rPr>
        <w:t xml:space="preserve"> </w:t>
      </w:r>
      <w:r w:rsidRPr="00BF6350">
        <w:rPr>
          <w:szCs w:val="22"/>
        </w:rPr>
        <w:t>not</w:t>
      </w:r>
      <w:r w:rsidRPr="00BF6350">
        <w:rPr>
          <w:spacing w:val="-3"/>
          <w:szCs w:val="22"/>
        </w:rPr>
        <w:t xml:space="preserve"> </w:t>
      </w:r>
      <w:r w:rsidRPr="00BF6350">
        <w:rPr>
          <w:szCs w:val="22"/>
        </w:rPr>
        <w:t>a</w:t>
      </w:r>
      <w:r w:rsidRPr="00BF6350">
        <w:rPr>
          <w:spacing w:val="-1"/>
          <w:szCs w:val="22"/>
        </w:rPr>
        <w:t xml:space="preserve"> </w:t>
      </w:r>
      <w:r w:rsidRPr="00BF6350">
        <w:rPr>
          <w:szCs w:val="22"/>
        </w:rPr>
        <w:t>legal</w:t>
      </w:r>
      <w:r w:rsidRPr="00BF6350">
        <w:rPr>
          <w:spacing w:val="-2"/>
          <w:szCs w:val="22"/>
        </w:rPr>
        <w:t xml:space="preserve"> </w:t>
      </w:r>
      <w:r w:rsidRPr="00BF6350">
        <w:rPr>
          <w:szCs w:val="22"/>
        </w:rPr>
        <w:t>requirement</w:t>
      </w:r>
      <w:r w:rsidRPr="00BF6350">
        <w:rPr>
          <w:spacing w:val="-3"/>
          <w:szCs w:val="22"/>
        </w:rPr>
        <w:t xml:space="preserve"> </w:t>
      </w:r>
      <w:r w:rsidRPr="00BF6350">
        <w:rPr>
          <w:szCs w:val="22"/>
        </w:rPr>
        <w:t>that</w:t>
      </w:r>
      <w:r w:rsidRPr="00BF6350">
        <w:rPr>
          <w:spacing w:val="-1"/>
          <w:szCs w:val="22"/>
        </w:rPr>
        <w:t xml:space="preserve"> </w:t>
      </w:r>
      <w:r w:rsidRPr="00BF6350">
        <w:rPr>
          <w:szCs w:val="22"/>
        </w:rPr>
        <w:t>a</w:t>
      </w:r>
      <w:r w:rsidRPr="00BF6350">
        <w:rPr>
          <w:spacing w:val="-3"/>
          <w:szCs w:val="22"/>
        </w:rPr>
        <w:t xml:space="preserve"> </w:t>
      </w:r>
      <w:r w:rsidRPr="00BF6350">
        <w:rPr>
          <w:szCs w:val="22"/>
        </w:rPr>
        <w:t>detention</w:t>
      </w:r>
      <w:r w:rsidRPr="00BF6350">
        <w:rPr>
          <w:spacing w:val="-3"/>
          <w:szCs w:val="22"/>
        </w:rPr>
        <w:t xml:space="preserve"> </w:t>
      </w:r>
      <w:r w:rsidRPr="00BF6350">
        <w:rPr>
          <w:szCs w:val="22"/>
        </w:rPr>
        <w:t>case</w:t>
      </w:r>
      <w:r w:rsidRPr="00BF6350">
        <w:rPr>
          <w:spacing w:val="-3"/>
          <w:szCs w:val="22"/>
        </w:rPr>
        <w:t xml:space="preserve"> </w:t>
      </w:r>
      <w:r w:rsidRPr="00BF6350">
        <w:rPr>
          <w:szCs w:val="22"/>
        </w:rPr>
        <w:t>be</w:t>
      </w:r>
      <w:r w:rsidRPr="00BF6350">
        <w:rPr>
          <w:spacing w:val="-3"/>
          <w:szCs w:val="22"/>
        </w:rPr>
        <w:t xml:space="preserve"> </w:t>
      </w:r>
      <w:r w:rsidRPr="00BF6350">
        <w:rPr>
          <w:szCs w:val="22"/>
        </w:rPr>
        <w:t>considered</w:t>
      </w:r>
      <w:r w:rsidRPr="00BF6350">
        <w:rPr>
          <w:spacing w:val="-3"/>
          <w:szCs w:val="22"/>
        </w:rPr>
        <w:t xml:space="preserve"> </w:t>
      </w:r>
      <w:r w:rsidRPr="00BF6350">
        <w:rPr>
          <w:szCs w:val="22"/>
        </w:rPr>
        <w:t>for</w:t>
      </w:r>
      <w:r w:rsidRPr="00BF6350">
        <w:rPr>
          <w:spacing w:val="-2"/>
          <w:szCs w:val="22"/>
        </w:rPr>
        <w:t xml:space="preserve"> </w:t>
      </w:r>
      <w:r w:rsidRPr="00BF6350">
        <w:rPr>
          <w:szCs w:val="22"/>
        </w:rPr>
        <w:t>Ministerial</w:t>
      </w:r>
      <w:r w:rsidRPr="00BF6350">
        <w:rPr>
          <w:spacing w:val="-4"/>
          <w:szCs w:val="22"/>
        </w:rPr>
        <w:t xml:space="preserve"> </w:t>
      </w:r>
      <w:r w:rsidRPr="00BF6350">
        <w:rPr>
          <w:szCs w:val="22"/>
        </w:rPr>
        <w:t>Intervention,</w:t>
      </w:r>
      <w:r w:rsidRPr="00BF6350">
        <w:rPr>
          <w:spacing w:val="-3"/>
          <w:szCs w:val="22"/>
        </w:rPr>
        <w:t xml:space="preserve"> </w:t>
      </w:r>
      <w:r w:rsidRPr="00BF6350">
        <w:rPr>
          <w:szCs w:val="22"/>
        </w:rPr>
        <w:t>or be</w:t>
      </w:r>
      <w:r w:rsidRPr="00BF6350">
        <w:rPr>
          <w:spacing w:val="-3"/>
          <w:szCs w:val="22"/>
        </w:rPr>
        <w:t xml:space="preserve"> </w:t>
      </w:r>
      <w:r w:rsidRPr="00BF6350">
        <w:rPr>
          <w:szCs w:val="22"/>
        </w:rPr>
        <w:t>referred</w:t>
      </w:r>
      <w:r w:rsidRPr="00BF6350">
        <w:rPr>
          <w:spacing w:val="-3"/>
          <w:szCs w:val="22"/>
        </w:rPr>
        <w:t xml:space="preserve"> </w:t>
      </w:r>
      <w:r w:rsidRPr="00BF6350">
        <w:rPr>
          <w:szCs w:val="22"/>
        </w:rPr>
        <w:t>to the Minister for consideration of their powers. There are no requirements that a case should be referred to the Minister within a certain timeframe or at regular intervals.</w:t>
      </w:r>
    </w:p>
    <w:p w14:paraId="77CAE32A" w14:textId="1539EC54" w:rsidR="00831084" w:rsidRPr="00BF6350" w:rsidRDefault="00831084" w:rsidP="00BF6350">
      <w:pPr>
        <w:pStyle w:val="Quote"/>
        <w:rPr>
          <w:szCs w:val="22"/>
        </w:rPr>
      </w:pPr>
      <w:r w:rsidRPr="00BF6350">
        <w:rPr>
          <w:szCs w:val="22"/>
        </w:rPr>
        <w:t>In November 2022, the Minister for Immigration, Citizenship and Multicultural Affairs agreed to the Department</w:t>
      </w:r>
      <w:r w:rsidRPr="00BF6350">
        <w:rPr>
          <w:spacing w:val="-3"/>
          <w:szCs w:val="22"/>
        </w:rPr>
        <w:t xml:space="preserve"> </w:t>
      </w:r>
      <w:r w:rsidRPr="00BF6350">
        <w:rPr>
          <w:szCs w:val="22"/>
        </w:rPr>
        <w:t>conducting</w:t>
      </w:r>
      <w:r w:rsidRPr="00BF6350">
        <w:rPr>
          <w:spacing w:val="-3"/>
          <w:szCs w:val="22"/>
        </w:rPr>
        <w:t xml:space="preserve"> </w:t>
      </w:r>
      <w:r w:rsidRPr="00BF6350">
        <w:rPr>
          <w:szCs w:val="22"/>
        </w:rPr>
        <w:t xml:space="preserve">a </w:t>
      </w:r>
      <w:r w:rsidRPr="00BF6350">
        <w:rPr>
          <w:i/>
          <w:szCs w:val="22"/>
        </w:rPr>
        <w:t>Detention</w:t>
      </w:r>
      <w:r w:rsidRPr="00BF6350">
        <w:rPr>
          <w:i/>
          <w:spacing w:val="-3"/>
          <w:szCs w:val="22"/>
        </w:rPr>
        <w:t xml:space="preserve"> </w:t>
      </w:r>
      <w:r w:rsidRPr="00BF6350">
        <w:rPr>
          <w:i/>
          <w:szCs w:val="22"/>
        </w:rPr>
        <w:t>Status</w:t>
      </w:r>
      <w:r w:rsidRPr="00BF6350">
        <w:rPr>
          <w:i/>
          <w:spacing w:val="-2"/>
          <w:szCs w:val="22"/>
        </w:rPr>
        <w:t xml:space="preserve"> </w:t>
      </w:r>
      <w:r w:rsidRPr="00BF6350">
        <w:rPr>
          <w:i/>
          <w:szCs w:val="22"/>
        </w:rPr>
        <w:t>Resolution</w:t>
      </w:r>
      <w:r w:rsidRPr="00BF6350">
        <w:rPr>
          <w:i/>
          <w:spacing w:val="-1"/>
          <w:szCs w:val="22"/>
        </w:rPr>
        <w:t xml:space="preserve"> </w:t>
      </w:r>
      <w:r w:rsidRPr="00BF6350">
        <w:rPr>
          <w:i/>
          <w:szCs w:val="22"/>
        </w:rPr>
        <w:t>Review</w:t>
      </w:r>
      <w:r w:rsidRPr="00BF6350">
        <w:rPr>
          <w:szCs w:val="22"/>
        </w:rPr>
        <w:t>.</w:t>
      </w:r>
      <w:r w:rsidRPr="00BF6350">
        <w:rPr>
          <w:spacing w:val="-1"/>
          <w:szCs w:val="22"/>
        </w:rPr>
        <w:t xml:space="preserve"> </w:t>
      </w:r>
      <w:r w:rsidRPr="00BF6350">
        <w:rPr>
          <w:szCs w:val="22"/>
        </w:rPr>
        <w:t>This</w:t>
      </w:r>
      <w:r w:rsidRPr="00BF6350">
        <w:rPr>
          <w:spacing w:val="-2"/>
          <w:szCs w:val="22"/>
        </w:rPr>
        <w:t xml:space="preserve"> </w:t>
      </w:r>
      <w:r w:rsidRPr="00BF6350">
        <w:rPr>
          <w:szCs w:val="22"/>
        </w:rPr>
        <w:t>review</w:t>
      </w:r>
      <w:r w:rsidRPr="00BF6350">
        <w:rPr>
          <w:spacing w:val="-3"/>
          <w:szCs w:val="22"/>
        </w:rPr>
        <w:t xml:space="preserve"> </w:t>
      </w:r>
      <w:r w:rsidRPr="00BF6350">
        <w:rPr>
          <w:szCs w:val="22"/>
        </w:rPr>
        <w:t>involves</w:t>
      </w:r>
      <w:r w:rsidRPr="00BF6350">
        <w:rPr>
          <w:spacing w:val="-2"/>
          <w:szCs w:val="22"/>
        </w:rPr>
        <w:t xml:space="preserve"> </w:t>
      </w:r>
      <w:r w:rsidRPr="00BF6350">
        <w:rPr>
          <w:szCs w:val="22"/>
        </w:rPr>
        <w:t>a</w:t>
      </w:r>
      <w:r w:rsidRPr="00BF6350">
        <w:rPr>
          <w:spacing w:val="-3"/>
          <w:szCs w:val="22"/>
        </w:rPr>
        <w:t xml:space="preserve"> </w:t>
      </w:r>
      <w:r w:rsidRPr="00BF6350">
        <w:rPr>
          <w:szCs w:val="22"/>
        </w:rPr>
        <w:t>streamlined</w:t>
      </w:r>
      <w:r w:rsidRPr="00BF6350">
        <w:rPr>
          <w:spacing w:val="-1"/>
          <w:szCs w:val="22"/>
        </w:rPr>
        <w:t xml:space="preserve"> </w:t>
      </w:r>
      <w:r w:rsidRPr="00BF6350">
        <w:rPr>
          <w:szCs w:val="22"/>
        </w:rPr>
        <w:t>referral</w:t>
      </w:r>
      <w:r w:rsidRPr="00BF6350">
        <w:rPr>
          <w:spacing w:val="-4"/>
          <w:szCs w:val="22"/>
        </w:rPr>
        <w:t xml:space="preserve"> </w:t>
      </w:r>
      <w:r w:rsidRPr="00BF6350">
        <w:rPr>
          <w:szCs w:val="22"/>
        </w:rPr>
        <w:t>of submissions for possible Ministerial intervention under sections 195A and 197AB of the Act for long-term detainees in held detention and those who will likely be subject to protracted detention due to complex removal</w:t>
      </w:r>
      <w:r w:rsidRPr="00BF6350">
        <w:rPr>
          <w:spacing w:val="-5"/>
          <w:szCs w:val="22"/>
        </w:rPr>
        <w:t xml:space="preserve"> </w:t>
      </w:r>
      <w:r w:rsidRPr="00BF6350">
        <w:rPr>
          <w:szCs w:val="22"/>
        </w:rPr>
        <w:t>barriers;</w:t>
      </w:r>
      <w:r w:rsidRPr="00BF6350">
        <w:rPr>
          <w:spacing w:val="-4"/>
          <w:szCs w:val="22"/>
        </w:rPr>
        <w:t xml:space="preserve"> </w:t>
      </w:r>
      <w:r w:rsidRPr="00BF6350">
        <w:rPr>
          <w:szCs w:val="22"/>
        </w:rPr>
        <w:t>such</w:t>
      </w:r>
      <w:r w:rsidRPr="00BF6350">
        <w:rPr>
          <w:spacing w:val="-4"/>
          <w:szCs w:val="22"/>
        </w:rPr>
        <w:t xml:space="preserve"> </w:t>
      </w:r>
      <w:r w:rsidRPr="00BF6350">
        <w:rPr>
          <w:szCs w:val="22"/>
        </w:rPr>
        <w:t>as where</w:t>
      </w:r>
      <w:r w:rsidRPr="00BF6350">
        <w:rPr>
          <w:spacing w:val="-4"/>
          <w:szCs w:val="22"/>
        </w:rPr>
        <w:t xml:space="preserve"> </w:t>
      </w:r>
      <w:r w:rsidRPr="00BF6350">
        <w:rPr>
          <w:szCs w:val="22"/>
        </w:rPr>
        <w:t>there</w:t>
      </w:r>
      <w:r w:rsidRPr="00BF6350">
        <w:rPr>
          <w:spacing w:val="-4"/>
          <w:szCs w:val="22"/>
        </w:rPr>
        <w:t xml:space="preserve"> </w:t>
      </w:r>
      <w:r w:rsidRPr="00BF6350">
        <w:rPr>
          <w:szCs w:val="22"/>
        </w:rPr>
        <w:t>are</w:t>
      </w:r>
      <w:r w:rsidRPr="00BF6350">
        <w:rPr>
          <w:spacing w:val="-4"/>
          <w:szCs w:val="22"/>
        </w:rPr>
        <w:t xml:space="preserve"> </w:t>
      </w:r>
      <w:r w:rsidRPr="00BF6350">
        <w:rPr>
          <w:szCs w:val="22"/>
        </w:rPr>
        <w:t>protection</w:t>
      </w:r>
      <w:r w:rsidRPr="00BF6350">
        <w:rPr>
          <w:spacing w:val="-4"/>
          <w:szCs w:val="22"/>
        </w:rPr>
        <w:t xml:space="preserve"> </w:t>
      </w:r>
      <w:r w:rsidRPr="00BF6350">
        <w:rPr>
          <w:szCs w:val="22"/>
        </w:rPr>
        <w:t>obligations engaged</w:t>
      </w:r>
      <w:r w:rsidRPr="00BF6350">
        <w:rPr>
          <w:spacing w:val="-4"/>
          <w:szCs w:val="22"/>
        </w:rPr>
        <w:t xml:space="preserve"> </w:t>
      </w:r>
      <w:r w:rsidRPr="00BF6350">
        <w:rPr>
          <w:szCs w:val="22"/>
        </w:rPr>
        <w:t>or</w:t>
      </w:r>
      <w:r w:rsidRPr="00BF6350">
        <w:rPr>
          <w:spacing w:val="-4"/>
          <w:szCs w:val="22"/>
        </w:rPr>
        <w:t xml:space="preserve"> </w:t>
      </w:r>
      <w:r w:rsidRPr="00BF6350">
        <w:rPr>
          <w:szCs w:val="22"/>
        </w:rPr>
        <w:t>significant</w:t>
      </w:r>
      <w:r w:rsidRPr="00BF6350">
        <w:rPr>
          <w:spacing w:val="-2"/>
          <w:szCs w:val="22"/>
        </w:rPr>
        <w:t xml:space="preserve"> </w:t>
      </w:r>
      <w:r w:rsidRPr="00BF6350">
        <w:rPr>
          <w:szCs w:val="22"/>
        </w:rPr>
        <w:t>health</w:t>
      </w:r>
      <w:r w:rsidRPr="00BF6350">
        <w:rPr>
          <w:spacing w:val="-2"/>
          <w:szCs w:val="22"/>
        </w:rPr>
        <w:t xml:space="preserve"> </w:t>
      </w:r>
      <w:r w:rsidRPr="00BF6350">
        <w:rPr>
          <w:szCs w:val="22"/>
        </w:rPr>
        <w:t>issues,</w:t>
      </w:r>
      <w:r w:rsidRPr="00BF6350">
        <w:rPr>
          <w:spacing w:val="-4"/>
          <w:szCs w:val="22"/>
        </w:rPr>
        <w:t xml:space="preserve"> </w:t>
      </w:r>
      <w:r w:rsidRPr="00BF6350">
        <w:rPr>
          <w:szCs w:val="22"/>
        </w:rPr>
        <w:t>or</w:t>
      </w:r>
      <w:r w:rsidRPr="00BF6350">
        <w:rPr>
          <w:spacing w:val="-1"/>
          <w:szCs w:val="22"/>
        </w:rPr>
        <w:t xml:space="preserve"> </w:t>
      </w:r>
      <w:r w:rsidRPr="00BF6350">
        <w:rPr>
          <w:szCs w:val="22"/>
        </w:rPr>
        <w:t>due to confirmed statelessness of the individual.</w:t>
      </w:r>
    </w:p>
    <w:p w14:paraId="3D79C23C" w14:textId="357A64DC" w:rsidR="00831084" w:rsidRDefault="00831084" w:rsidP="00BF6350">
      <w:pPr>
        <w:pStyle w:val="Quote"/>
        <w:rPr>
          <w:szCs w:val="22"/>
        </w:rPr>
      </w:pPr>
      <w:r w:rsidRPr="00BF6350">
        <w:rPr>
          <w:szCs w:val="22"/>
        </w:rPr>
        <w:t xml:space="preserve">Consistent with this review, in February 2023 the Department referred </w:t>
      </w:r>
      <w:r w:rsidR="007C713E">
        <w:rPr>
          <w:szCs w:val="22"/>
        </w:rPr>
        <w:t>Mr CZ</w:t>
      </w:r>
      <w:r w:rsidRPr="00BF6350">
        <w:rPr>
          <w:szCs w:val="22"/>
        </w:rPr>
        <w:t>’s case to the Minister under section 195A</w:t>
      </w:r>
      <w:r w:rsidRPr="00BF6350">
        <w:rPr>
          <w:spacing w:val="-2"/>
          <w:szCs w:val="22"/>
        </w:rPr>
        <w:t xml:space="preserve"> </w:t>
      </w:r>
      <w:r w:rsidRPr="00BF6350">
        <w:rPr>
          <w:szCs w:val="22"/>
        </w:rPr>
        <w:t>of the</w:t>
      </w:r>
      <w:r w:rsidRPr="00BF6350">
        <w:rPr>
          <w:spacing w:val="-1"/>
          <w:szCs w:val="22"/>
        </w:rPr>
        <w:t xml:space="preserve"> </w:t>
      </w:r>
      <w:r w:rsidRPr="00BF6350">
        <w:rPr>
          <w:szCs w:val="22"/>
        </w:rPr>
        <w:t>Act, with</w:t>
      </w:r>
      <w:r w:rsidRPr="00BF6350">
        <w:rPr>
          <w:spacing w:val="-1"/>
          <w:szCs w:val="22"/>
        </w:rPr>
        <w:t xml:space="preserve"> </w:t>
      </w:r>
      <w:r w:rsidRPr="00BF6350">
        <w:rPr>
          <w:szCs w:val="22"/>
        </w:rPr>
        <w:t>the Minister agreeing</w:t>
      </w:r>
      <w:r w:rsidRPr="00BF6350">
        <w:rPr>
          <w:spacing w:val="-1"/>
          <w:szCs w:val="22"/>
        </w:rPr>
        <w:t xml:space="preserve"> </w:t>
      </w:r>
      <w:r w:rsidRPr="00BF6350">
        <w:rPr>
          <w:szCs w:val="22"/>
        </w:rPr>
        <w:t>to consider the</w:t>
      </w:r>
      <w:r w:rsidRPr="00BF6350">
        <w:rPr>
          <w:spacing w:val="-1"/>
          <w:szCs w:val="22"/>
        </w:rPr>
        <w:t xml:space="preserve"> </w:t>
      </w:r>
      <w:r w:rsidRPr="00BF6350">
        <w:rPr>
          <w:szCs w:val="22"/>
        </w:rPr>
        <w:t>case.</w:t>
      </w:r>
      <w:r w:rsidRPr="00BF6350">
        <w:rPr>
          <w:spacing w:val="-1"/>
          <w:szCs w:val="22"/>
        </w:rPr>
        <w:t xml:space="preserve"> </w:t>
      </w:r>
      <w:r w:rsidRPr="00BF6350">
        <w:rPr>
          <w:szCs w:val="22"/>
        </w:rPr>
        <w:t>On 16</w:t>
      </w:r>
      <w:r w:rsidRPr="00BF6350">
        <w:rPr>
          <w:spacing w:val="-1"/>
          <w:szCs w:val="22"/>
        </w:rPr>
        <w:t xml:space="preserve"> </w:t>
      </w:r>
      <w:r w:rsidRPr="00BF6350">
        <w:rPr>
          <w:szCs w:val="22"/>
        </w:rPr>
        <w:t>March</w:t>
      </w:r>
      <w:r w:rsidRPr="00BF6350">
        <w:rPr>
          <w:spacing w:val="-1"/>
          <w:szCs w:val="22"/>
        </w:rPr>
        <w:t xml:space="preserve"> </w:t>
      </w:r>
      <w:r w:rsidRPr="00BF6350">
        <w:rPr>
          <w:szCs w:val="22"/>
        </w:rPr>
        <w:t>2023,</w:t>
      </w:r>
      <w:r w:rsidRPr="00BF6350">
        <w:rPr>
          <w:spacing w:val="-1"/>
          <w:szCs w:val="22"/>
        </w:rPr>
        <w:t xml:space="preserve"> </w:t>
      </w:r>
      <w:r w:rsidRPr="00BF6350">
        <w:rPr>
          <w:szCs w:val="22"/>
        </w:rPr>
        <w:t>the</w:t>
      </w:r>
      <w:r w:rsidRPr="00BF6350">
        <w:rPr>
          <w:spacing w:val="-1"/>
          <w:szCs w:val="22"/>
        </w:rPr>
        <w:t xml:space="preserve"> </w:t>
      </w:r>
      <w:r w:rsidRPr="00BF6350">
        <w:rPr>
          <w:szCs w:val="22"/>
        </w:rPr>
        <w:t>Department referred</w:t>
      </w:r>
      <w:r w:rsidRPr="00BF6350">
        <w:rPr>
          <w:spacing w:val="-3"/>
          <w:szCs w:val="22"/>
        </w:rPr>
        <w:t xml:space="preserve"> </w:t>
      </w:r>
      <w:r w:rsidR="007C713E">
        <w:rPr>
          <w:szCs w:val="22"/>
        </w:rPr>
        <w:t>Mr CZ</w:t>
      </w:r>
      <w:r w:rsidRPr="00BF6350">
        <w:rPr>
          <w:szCs w:val="22"/>
        </w:rPr>
        <w:t>’s</w:t>
      </w:r>
      <w:r w:rsidRPr="00BF6350">
        <w:rPr>
          <w:spacing w:val="-2"/>
          <w:szCs w:val="22"/>
        </w:rPr>
        <w:t xml:space="preserve"> </w:t>
      </w:r>
      <w:r w:rsidRPr="00BF6350">
        <w:rPr>
          <w:szCs w:val="22"/>
        </w:rPr>
        <w:t>case</w:t>
      </w:r>
      <w:r w:rsidRPr="00BF6350">
        <w:rPr>
          <w:spacing w:val="-3"/>
          <w:szCs w:val="22"/>
        </w:rPr>
        <w:t xml:space="preserve"> </w:t>
      </w:r>
      <w:r w:rsidRPr="00BF6350">
        <w:rPr>
          <w:szCs w:val="22"/>
        </w:rPr>
        <w:t>to</w:t>
      </w:r>
      <w:r w:rsidRPr="00BF6350">
        <w:rPr>
          <w:spacing w:val="-3"/>
          <w:szCs w:val="22"/>
        </w:rPr>
        <w:t xml:space="preserve"> </w:t>
      </w:r>
      <w:r w:rsidRPr="00BF6350">
        <w:rPr>
          <w:szCs w:val="22"/>
        </w:rPr>
        <w:t>the</w:t>
      </w:r>
      <w:r w:rsidRPr="00BF6350">
        <w:rPr>
          <w:spacing w:val="-3"/>
          <w:szCs w:val="22"/>
        </w:rPr>
        <w:t xml:space="preserve"> </w:t>
      </w:r>
      <w:r w:rsidRPr="00BF6350">
        <w:rPr>
          <w:szCs w:val="22"/>
        </w:rPr>
        <w:t>Minister</w:t>
      </w:r>
      <w:r w:rsidRPr="00BF6350">
        <w:rPr>
          <w:spacing w:val="-2"/>
          <w:szCs w:val="22"/>
        </w:rPr>
        <w:t xml:space="preserve"> </w:t>
      </w:r>
      <w:r w:rsidRPr="00BF6350">
        <w:rPr>
          <w:szCs w:val="22"/>
        </w:rPr>
        <w:t>for</w:t>
      </w:r>
      <w:r w:rsidRPr="00BF6350">
        <w:rPr>
          <w:spacing w:val="-2"/>
          <w:szCs w:val="22"/>
        </w:rPr>
        <w:t xml:space="preserve"> </w:t>
      </w:r>
      <w:r w:rsidRPr="00BF6350">
        <w:rPr>
          <w:szCs w:val="22"/>
        </w:rPr>
        <w:t>consideration under</w:t>
      </w:r>
      <w:r w:rsidRPr="00BF6350">
        <w:rPr>
          <w:spacing w:val="-2"/>
          <w:szCs w:val="22"/>
        </w:rPr>
        <w:t xml:space="preserve"> </w:t>
      </w:r>
      <w:r w:rsidRPr="00BF6350">
        <w:rPr>
          <w:szCs w:val="22"/>
        </w:rPr>
        <w:t>section</w:t>
      </w:r>
      <w:r w:rsidRPr="00BF6350">
        <w:rPr>
          <w:spacing w:val="-3"/>
          <w:szCs w:val="22"/>
        </w:rPr>
        <w:t xml:space="preserve"> </w:t>
      </w:r>
      <w:r w:rsidRPr="00BF6350">
        <w:rPr>
          <w:szCs w:val="22"/>
        </w:rPr>
        <w:t>195A</w:t>
      </w:r>
      <w:r w:rsidRPr="00BF6350">
        <w:rPr>
          <w:spacing w:val="-1"/>
          <w:szCs w:val="22"/>
        </w:rPr>
        <w:t xml:space="preserve"> </w:t>
      </w:r>
      <w:r w:rsidRPr="00BF6350">
        <w:rPr>
          <w:szCs w:val="22"/>
        </w:rPr>
        <w:t>of the</w:t>
      </w:r>
      <w:r w:rsidRPr="00BF6350">
        <w:rPr>
          <w:spacing w:val="-1"/>
          <w:szCs w:val="22"/>
        </w:rPr>
        <w:t xml:space="preserve"> </w:t>
      </w:r>
      <w:r w:rsidRPr="00BF6350">
        <w:rPr>
          <w:szCs w:val="22"/>
        </w:rPr>
        <w:t>Act.</w:t>
      </w:r>
      <w:r w:rsidRPr="00BF6350">
        <w:rPr>
          <w:spacing w:val="-3"/>
          <w:szCs w:val="22"/>
        </w:rPr>
        <w:t xml:space="preserve"> </w:t>
      </w:r>
      <w:r w:rsidRPr="00BF6350">
        <w:rPr>
          <w:szCs w:val="22"/>
        </w:rPr>
        <w:t>On</w:t>
      </w:r>
      <w:r w:rsidRPr="00BF6350">
        <w:rPr>
          <w:spacing w:val="-3"/>
          <w:szCs w:val="22"/>
        </w:rPr>
        <w:t xml:space="preserve"> </w:t>
      </w:r>
      <w:r w:rsidRPr="00BF6350">
        <w:rPr>
          <w:szCs w:val="22"/>
        </w:rPr>
        <w:t>20</w:t>
      </w:r>
      <w:r w:rsidRPr="00BF6350">
        <w:rPr>
          <w:spacing w:val="-3"/>
          <w:szCs w:val="22"/>
        </w:rPr>
        <w:t xml:space="preserve"> </w:t>
      </w:r>
      <w:r w:rsidRPr="00BF6350">
        <w:rPr>
          <w:szCs w:val="22"/>
        </w:rPr>
        <w:t>March</w:t>
      </w:r>
      <w:r w:rsidRPr="00BF6350">
        <w:rPr>
          <w:spacing w:val="-3"/>
          <w:szCs w:val="22"/>
        </w:rPr>
        <w:t xml:space="preserve"> </w:t>
      </w:r>
      <w:r w:rsidRPr="00BF6350">
        <w:rPr>
          <w:szCs w:val="22"/>
        </w:rPr>
        <w:t>2023,</w:t>
      </w:r>
      <w:r w:rsidRPr="00BF6350">
        <w:rPr>
          <w:spacing w:val="-3"/>
          <w:szCs w:val="22"/>
        </w:rPr>
        <w:t xml:space="preserve"> </w:t>
      </w:r>
      <w:r w:rsidRPr="00BF6350">
        <w:rPr>
          <w:szCs w:val="22"/>
        </w:rPr>
        <w:t xml:space="preserve">the Minister intervened in </w:t>
      </w:r>
      <w:r w:rsidR="007C713E">
        <w:rPr>
          <w:szCs w:val="22"/>
        </w:rPr>
        <w:t>Mr CZ</w:t>
      </w:r>
      <w:r w:rsidRPr="00BF6350">
        <w:rPr>
          <w:szCs w:val="22"/>
        </w:rPr>
        <w:t>’s case under section 195A of the Act.</w:t>
      </w:r>
    </w:p>
    <w:p w14:paraId="168CA231" w14:textId="77777777" w:rsidR="0038018B" w:rsidRPr="0038018B" w:rsidRDefault="0038018B" w:rsidP="0038018B"/>
    <w:p w14:paraId="3F834A81" w14:textId="0BB599C4" w:rsidR="00A57272" w:rsidRPr="004A69F8" w:rsidRDefault="00A57272" w:rsidP="00D86AD0">
      <w:pPr>
        <w:pStyle w:val="Quote"/>
        <w:rPr>
          <w:b/>
          <w:bCs/>
          <w:i/>
          <w:iCs w:val="0"/>
        </w:rPr>
      </w:pPr>
      <w:r w:rsidRPr="004A69F8">
        <w:rPr>
          <w:b/>
          <w:bCs/>
          <w:i/>
          <w:iCs w:val="0"/>
        </w:rPr>
        <w:lastRenderedPageBreak/>
        <w:t>Recommendation</w:t>
      </w:r>
      <w:r w:rsidRPr="004A69F8">
        <w:rPr>
          <w:b/>
          <w:bCs/>
          <w:i/>
          <w:iCs w:val="0"/>
          <w:spacing w:val="-8"/>
        </w:rPr>
        <w:t xml:space="preserve"> </w:t>
      </w:r>
      <w:r w:rsidRPr="004A69F8">
        <w:rPr>
          <w:b/>
          <w:bCs/>
          <w:i/>
          <w:iCs w:val="0"/>
        </w:rPr>
        <w:t>1</w:t>
      </w:r>
      <w:r w:rsidRPr="004A69F8">
        <w:rPr>
          <w:b/>
          <w:bCs/>
          <w:i/>
          <w:iCs w:val="0"/>
          <w:spacing w:val="-9"/>
        </w:rPr>
        <w:t xml:space="preserve"> </w:t>
      </w:r>
      <w:r w:rsidRPr="004A69F8">
        <w:rPr>
          <w:b/>
          <w:bCs/>
          <w:i/>
          <w:iCs w:val="0"/>
        </w:rPr>
        <w:t>–</w:t>
      </w:r>
      <w:r w:rsidRPr="004A69F8">
        <w:rPr>
          <w:b/>
          <w:bCs/>
          <w:i/>
          <w:iCs w:val="0"/>
          <w:spacing w:val="-7"/>
        </w:rPr>
        <w:t xml:space="preserve"> </w:t>
      </w:r>
      <w:r w:rsidRPr="004A69F8">
        <w:rPr>
          <w:b/>
          <w:bCs/>
          <w:i/>
          <w:iCs w:val="0"/>
        </w:rPr>
        <w:t>Partially</w:t>
      </w:r>
      <w:r w:rsidRPr="004A69F8">
        <w:rPr>
          <w:b/>
          <w:bCs/>
          <w:i/>
          <w:iCs w:val="0"/>
          <w:spacing w:val="-9"/>
        </w:rPr>
        <w:t xml:space="preserve"> </w:t>
      </w:r>
      <w:r w:rsidRPr="004A69F8">
        <w:rPr>
          <w:b/>
          <w:bCs/>
          <w:i/>
          <w:iCs w:val="0"/>
          <w:spacing w:val="-4"/>
        </w:rPr>
        <w:t>Agree</w:t>
      </w:r>
    </w:p>
    <w:p w14:paraId="2ACE174C" w14:textId="77777777" w:rsidR="00A57272" w:rsidRPr="004A69F8" w:rsidRDefault="00A57272" w:rsidP="00D86AD0">
      <w:pPr>
        <w:pStyle w:val="Quote"/>
        <w:rPr>
          <w:i/>
          <w:iCs w:val="0"/>
        </w:rPr>
      </w:pPr>
      <w:r w:rsidRPr="004A69F8">
        <w:rPr>
          <w:i/>
          <w:iCs w:val="0"/>
        </w:rPr>
        <w:t>The</w:t>
      </w:r>
      <w:r w:rsidRPr="004A69F8">
        <w:rPr>
          <w:i/>
          <w:iCs w:val="0"/>
          <w:spacing w:val="-4"/>
        </w:rPr>
        <w:t xml:space="preserve"> </w:t>
      </w:r>
      <w:r w:rsidRPr="004A69F8">
        <w:rPr>
          <w:i/>
          <w:iCs w:val="0"/>
        </w:rPr>
        <w:t>Commission</w:t>
      </w:r>
      <w:r w:rsidRPr="004A69F8">
        <w:rPr>
          <w:i/>
          <w:iCs w:val="0"/>
          <w:spacing w:val="-3"/>
        </w:rPr>
        <w:t xml:space="preserve"> </w:t>
      </w:r>
      <w:r w:rsidRPr="004A69F8">
        <w:rPr>
          <w:i/>
          <w:iCs w:val="0"/>
        </w:rPr>
        <w:t>recommends</w:t>
      </w:r>
      <w:r w:rsidRPr="004A69F8">
        <w:rPr>
          <w:i/>
          <w:iCs w:val="0"/>
          <w:spacing w:val="-4"/>
        </w:rPr>
        <w:t xml:space="preserve"> </w:t>
      </w:r>
      <w:r w:rsidRPr="004A69F8">
        <w:rPr>
          <w:i/>
          <w:iCs w:val="0"/>
        </w:rPr>
        <w:t>that</w:t>
      </w:r>
      <w:r w:rsidRPr="004A69F8">
        <w:rPr>
          <w:i/>
          <w:iCs w:val="0"/>
          <w:spacing w:val="-3"/>
        </w:rPr>
        <w:t xml:space="preserve"> </w:t>
      </w:r>
      <w:r w:rsidRPr="004A69F8">
        <w:rPr>
          <w:i/>
          <w:iCs w:val="0"/>
        </w:rPr>
        <w:t>the</w:t>
      </w:r>
      <w:r w:rsidRPr="004A69F8">
        <w:rPr>
          <w:i/>
          <w:iCs w:val="0"/>
          <w:spacing w:val="-4"/>
        </w:rPr>
        <w:t xml:space="preserve"> </w:t>
      </w:r>
      <w:r w:rsidRPr="004A69F8">
        <w:rPr>
          <w:i/>
          <w:iCs w:val="0"/>
        </w:rPr>
        <w:t>Department progress</w:t>
      </w:r>
      <w:r w:rsidRPr="004A69F8">
        <w:rPr>
          <w:i/>
          <w:iCs w:val="0"/>
          <w:spacing w:val="-4"/>
        </w:rPr>
        <w:t xml:space="preserve"> </w:t>
      </w:r>
      <w:r w:rsidRPr="004A69F8">
        <w:rPr>
          <w:i/>
          <w:iCs w:val="0"/>
        </w:rPr>
        <w:t>each</w:t>
      </w:r>
      <w:r w:rsidRPr="004A69F8">
        <w:rPr>
          <w:i/>
          <w:iCs w:val="0"/>
          <w:spacing w:val="-3"/>
        </w:rPr>
        <w:t xml:space="preserve"> </w:t>
      </w:r>
      <w:r w:rsidRPr="004A69F8">
        <w:rPr>
          <w:i/>
          <w:iCs w:val="0"/>
        </w:rPr>
        <w:t>of</w:t>
      </w:r>
      <w:r w:rsidRPr="004A69F8">
        <w:rPr>
          <w:i/>
          <w:iCs w:val="0"/>
          <w:spacing w:val="-3"/>
        </w:rPr>
        <w:t xml:space="preserve"> </w:t>
      </w:r>
      <w:r w:rsidRPr="004A69F8">
        <w:rPr>
          <w:i/>
          <w:iCs w:val="0"/>
        </w:rPr>
        <w:t>the</w:t>
      </w:r>
      <w:r w:rsidRPr="004A69F8">
        <w:rPr>
          <w:i/>
          <w:iCs w:val="0"/>
          <w:spacing w:val="-4"/>
        </w:rPr>
        <w:t xml:space="preserve"> </w:t>
      </w:r>
      <w:r w:rsidRPr="004A69F8">
        <w:rPr>
          <w:i/>
          <w:iCs w:val="0"/>
        </w:rPr>
        <w:t>elements</w:t>
      </w:r>
      <w:r w:rsidRPr="004A69F8">
        <w:rPr>
          <w:i/>
          <w:iCs w:val="0"/>
          <w:spacing w:val="-4"/>
        </w:rPr>
        <w:t xml:space="preserve"> </w:t>
      </w:r>
      <w:r w:rsidRPr="004A69F8">
        <w:rPr>
          <w:i/>
          <w:iCs w:val="0"/>
        </w:rPr>
        <w:t>of</w:t>
      </w:r>
      <w:r w:rsidRPr="004A69F8">
        <w:rPr>
          <w:i/>
          <w:iCs w:val="0"/>
          <w:spacing w:val="-3"/>
        </w:rPr>
        <w:t xml:space="preserve"> </w:t>
      </w:r>
      <w:r w:rsidRPr="004A69F8">
        <w:rPr>
          <w:i/>
          <w:iCs w:val="0"/>
        </w:rPr>
        <w:t>the Alternatives to Held Detention program, including:</w:t>
      </w:r>
    </w:p>
    <w:p w14:paraId="3F608FAF" w14:textId="77777777" w:rsidR="00A57272" w:rsidRPr="004A69F8" w:rsidRDefault="00A57272" w:rsidP="004A69F8">
      <w:pPr>
        <w:pStyle w:val="Quote"/>
        <w:numPr>
          <w:ilvl w:val="0"/>
          <w:numId w:val="36"/>
        </w:numPr>
        <w:rPr>
          <w:i/>
          <w:iCs w:val="0"/>
        </w:rPr>
      </w:pPr>
      <w:r w:rsidRPr="004A69F8">
        <w:rPr>
          <w:i/>
          <w:iCs w:val="0"/>
        </w:rPr>
        <w:t>the</w:t>
      </w:r>
      <w:r w:rsidRPr="004A69F8">
        <w:rPr>
          <w:i/>
          <w:iCs w:val="0"/>
          <w:spacing w:val="-3"/>
        </w:rPr>
        <w:t xml:space="preserve"> </w:t>
      </w:r>
      <w:r w:rsidRPr="004A69F8">
        <w:rPr>
          <w:i/>
          <w:iCs w:val="0"/>
        </w:rPr>
        <w:t>development</w:t>
      </w:r>
      <w:r w:rsidRPr="004A69F8">
        <w:rPr>
          <w:i/>
          <w:iCs w:val="0"/>
          <w:spacing w:val="-2"/>
        </w:rPr>
        <w:t xml:space="preserve"> </w:t>
      </w:r>
      <w:r w:rsidRPr="004A69F8">
        <w:rPr>
          <w:i/>
          <w:iCs w:val="0"/>
        </w:rPr>
        <w:t>of</w:t>
      </w:r>
      <w:r w:rsidRPr="004A69F8">
        <w:rPr>
          <w:i/>
          <w:iCs w:val="0"/>
          <w:spacing w:val="-2"/>
        </w:rPr>
        <w:t xml:space="preserve"> </w:t>
      </w:r>
      <w:r w:rsidRPr="004A69F8">
        <w:rPr>
          <w:i/>
          <w:iCs w:val="0"/>
        </w:rPr>
        <w:t>a</w:t>
      </w:r>
      <w:r w:rsidRPr="004A69F8">
        <w:rPr>
          <w:i/>
          <w:iCs w:val="0"/>
          <w:spacing w:val="-3"/>
        </w:rPr>
        <w:t xml:space="preserve"> </w:t>
      </w:r>
      <w:r w:rsidRPr="004A69F8">
        <w:rPr>
          <w:i/>
          <w:iCs w:val="0"/>
        </w:rPr>
        <w:t>more</w:t>
      </w:r>
      <w:r w:rsidRPr="004A69F8">
        <w:rPr>
          <w:i/>
          <w:iCs w:val="0"/>
          <w:spacing w:val="-3"/>
        </w:rPr>
        <w:t xml:space="preserve"> </w:t>
      </w:r>
      <w:r w:rsidRPr="004A69F8">
        <w:rPr>
          <w:i/>
          <w:iCs w:val="0"/>
        </w:rPr>
        <w:t>nuanced,</w:t>
      </w:r>
      <w:r w:rsidRPr="004A69F8">
        <w:rPr>
          <w:i/>
          <w:iCs w:val="0"/>
          <w:spacing w:val="-3"/>
        </w:rPr>
        <w:t xml:space="preserve"> </w:t>
      </w:r>
      <w:r w:rsidRPr="004A69F8">
        <w:rPr>
          <w:i/>
          <w:iCs w:val="0"/>
        </w:rPr>
        <w:t>dynamic</w:t>
      </w:r>
      <w:r w:rsidRPr="004A69F8">
        <w:rPr>
          <w:i/>
          <w:iCs w:val="0"/>
          <w:spacing w:val="-3"/>
        </w:rPr>
        <w:t xml:space="preserve"> </w:t>
      </w:r>
      <w:r w:rsidRPr="004A69F8">
        <w:rPr>
          <w:i/>
          <w:iCs w:val="0"/>
        </w:rPr>
        <w:t>risk</w:t>
      </w:r>
      <w:r w:rsidRPr="004A69F8">
        <w:rPr>
          <w:i/>
          <w:iCs w:val="0"/>
          <w:spacing w:val="-1"/>
        </w:rPr>
        <w:t xml:space="preserve"> </w:t>
      </w:r>
      <w:r w:rsidRPr="004A69F8">
        <w:rPr>
          <w:i/>
          <w:iCs w:val="0"/>
        </w:rPr>
        <w:t>assessment</w:t>
      </w:r>
      <w:r w:rsidRPr="004A69F8">
        <w:rPr>
          <w:i/>
          <w:iCs w:val="0"/>
          <w:spacing w:val="-2"/>
        </w:rPr>
        <w:t xml:space="preserve"> </w:t>
      </w:r>
      <w:r w:rsidRPr="004A69F8">
        <w:rPr>
          <w:i/>
          <w:iCs w:val="0"/>
        </w:rPr>
        <w:t>tool</w:t>
      </w:r>
      <w:r w:rsidRPr="004A69F8">
        <w:rPr>
          <w:i/>
          <w:iCs w:val="0"/>
          <w:spacing w:val="-3"/>
        </w:rPr>
        <w:t xml:space="preserve"> </w:t>
      </w:r>
      <w:r w:rsidRPr="004A69F8">
        <w:rPr>
          <w:i/>
          <w:iCs w:val="0"/>
        </w:rPr>
        <w:t>to</w:t>
      </w:r>
      <w:r w:rsidRPr="004A69F8">
        <w:rPr>
          <w:i/>
          <w:iCs w:val="0"/>
          <w:spacing w:val="-2"/>
        </w:rPr>
        <w:t xml:space="preserve"> </w:t>
      </w:r>
      <w:r w:rsidRPr="004A69F8">
        <w:rPr>
          <w:i/>
          <w:iCs w:val="0"/>
        </w:rPr>
        <w:t>assess</w:t>
      </w:r>
      <w:r w:rsidRPr="004A69F8">
        <w:rPr>
          <w:i/>
          <w:iCs w:val="0"/>
          <w:spacing w:val="-3"/>
        </w:rPr>
        <w:t xml:space="preserve"> </w:t>
      </w:r>
      <w:r w:rsidRPr="004A69F8">
        <w:rPr>
          <w:i/>
          <w:iCs w:val="0"/>
        </w:rPr>
        <w:t>the</w:t>
      </w:r>
      <w:r w:rsidRPr="004A69F8">
        <w:rPr>
          <w:i/>
          <w:iCs w:val="0"/>
          <w:spacing w:val="-3"/>
        </w:rPr>
        <w:t xml:space="preserve"> </w:t>
      </w:r>
      <w:r w:rsidRPr="004A69F8">
        <w:rPr>
          <w:i/>
          <w:iCs w:val="0"/>
        </w:rPr>
        <w:t>degree</w:t>
      </w:r>
      <w:r w:rsidRPr="004A69F8">
        <w:rPr>
          <w:i/>
          <w:iCs w:val="0"/>
          <w:spacing w:val="-3"/>
        </w:rPr>
        <w:t xml:space="preserve"> </w:t>
      </w:r>
      <w:r w:rsidRPr="004A69F8">
        <w:rPr>
          <w:i/>
          <w:iCs w:val="0"/>
        </w:rPr>
        <w:t>of risk posed by a detainee to the community and how such risk could be mitigated</w:t>
      </w:r>
    </w:p>
    <w:p w14:paraId="7674F494" w14:textId="77777777" w:rsidR="00A57272" w:rsidRPr="004A69F8" w:rsidRDefault="00A57272" w:rsidP="004A69F8">
      <w:pPr>
        <w:pStyle w:val="Quote"/>
        <w:numPr>
          <w:ilvl w:val="0"/>
          <w:numId w:val="36"/>
        </w:numPr>
        <w:rPr>
          <w:i/>
          <w:iCs w:val="0"/>
        </w:rPr>
      </w:pPr>
      <w:r w:rsidRPr="004A69F8">
        <w:rPr>
          <w:i/>
          <w:iCs w:val="0"/>
        </w:rPr>
        <w:t>the</w:t>
      </w:r>
      <w:r w:rsidRPr="004A69F8">
        <w:rPr>
          <w:i/>
          <w:iCs w:val="0"/>
          <w:spacing w:val="-3"/>
        </w:rPr>
        <w:t xml:space="preserve"> </w:t>
      </w:r>
      <w:r w:rsidRPr="004A69F8">
        <w:rPr>
          <w:i/>
          <w:iCs w:val="0"/>
        </w:rPr>
        <w:t>establishment</w:t>
      </w:r>
      <w:r w:rsidRPr="004A69F8">
        <w:rPr>
          <w:i/>
          <w:iCs w:val="0"/>
          <w:spacing w:val="-2"/>
        </w:rPr>
        <w:t xml:space="preserve"> </w:t>
      </w:r>
      <w:r w:rsidRPr="004A69F8">
        <w:rPr>
          <w:i/>
          <w:iCs w:val="0"/>
        </w:rPr>
        <w:t>of</w:t>
      </w:r>
      <w:r w:rsidRPr="004A69F8">
        <w:rPr>
          <w:i/>
          <w:iCs w:val="0"/>
          <w:spacing w:val="-2"/>
        </w:rPr>
        <w:t xml:space="preserve"> </w:t>
      </w:r>
      <w:r w:rsidRPr="004A69F8">
        <w:rPr>
          <w:i/>
          <w:iCs w:val="0"/>
        </w:rPr>
        <w:t>an</w:t>
      </w:r>
      <w:r w:rsidRPr="004A69F8">
        <w:rPr>
          <w:i/>
          <w:iCs w:val="0"/>
          <w:spacing w:val="-2"/>
        </w:rPr>
        <w:t xml:space="preserve"> </w:t>
      </w:r>
      <w:r w:rsidRPr="004A69F8">
        <w:rPr>
          <w:i/>
          <w:iCs w:val="0"/>
        </w:rPr>
        <w:t>independent</w:t>
      </w:r>
      <w:r w:rsidRPr="004A69F8">
        <w:rPr>
          <w:i/>
          <w:iCs w:val="0"/>
          <w:spacing w:val="-2"/>
        </w:rPr>
        <w:t xml:space="preserve"> </w:t>
      </w:r>
      <w:r w:rsidRPr="004A69F8">
        <w:rPr>
          <w:i/>
          <w:iCs w:val="0"/>
        </w:rPr>
        <w:t>panel</w:t>
      </w:r>
      <w:r w:rsidRPr="004A69F8">
        <w:rPr>
          <w:i/>
          <w:iCs w:val="0"/>
          <w:spacing w:val="-3"/>
        </w:rPr>
        <w:t xml:space="preserve"> </w:t>
      </w:r>
      <w:r w:rsidRPr="004A69F8">
        <w:rPr>
          <w:i/>
          <w:iCs w:val="0"/>
        </w:rPr>
        <w:t>of</w:t>
      </w:r>
      <w:r w:rsidRPr="004A69F8">
        <w:rPr>
          <w:i/>
          <w:iCs w:val="0"/>
          <w:spacing w:val="-2"/>
        </w:rPr>
        <w:t xml:space="preserve"> </w:t>
      </w:r>
      <w:r w:rsidRPr="004A69F8">
        <w:rPr>
          <w:i/>
          <w:iCs w:val="0"/>
        </w:rPr>
        <w:t>experts</w:t>
      </w:r>
      <w:r w:rsidRPr="004A69F8">
        <w:rPr>
          <w:i/>
          <w:iCs w:val="0"/>
          <w:spacing w:val="-3"/>
        </w:rPr>
        <w:t xml:space="preserve"> </w:t>
      </w:r>
      <w:r w:rsidRPr="004A69F8">
        <w:rPr>
          <w:i/>
          <w:iCs w:val="0"/>
        </w:rPr>
        <w:t>to</w:t>
      </w:r>
      <w:r w:rsidRPr="004A69F8">
        <w:rPr>
          <w:i/>
          <w:iCs w:val="0"/>
          <w:spacing w:val="-2"/>
        </w:rPr>
        <w:t xml:space="preserve"> </w:t>
      </w:r>
      <w:r w:rsidRPr="004A69F8">
        <w:rPr>
          <w:i/>
          <w:iCs w:val="0"/>
        </w:rPr>
        <w:t>assess</w:t>
      </w:r>
      <w:r w:rsidRPr="004A69F8">
        <w:rPr>
          <w:i/>
          <w:iCs w:val="0"/>
          <w:spacing w:val="-3"/>
        </w:rPr>
        <w:t xml:space="preserve"> </w:t>
      </w:r>
      <w:r w:rsidRPr="004A69F8">
        <w:rPr>
          <w:i/>
          <w:iCs w:val="0"/>
        </w:rPr>
        <w:t>the</w:t>
      </w:r>
      <w:r w:rsidRPr="004A69F8">
        <w:rPr>
          <w:i/>
          <w:iCs w:val="0"/>
          <w:spacing w:val="-1"/>
        </w:rPr>
        <w:t xml:space="preserve"> </w:t>
      </w:r>
      <w:r w:rsidRPr="004A69F8">
        <w:rPr>
          <w:i/>
          <w:iCs w:val="0"/>
        </w:rPr>
        <w:t>risk</w:t>
      </w:r>
      <w:r w:rsidRPr="004A69F8">
        <w:rPr>
          <w:i/>
          <w:iCs w:val="0"/>
          <w:spacing w:val="-3"/>
        </w:rPr>
        <w:t xml:space="preserve"> </w:t>
      </w:r>
      <w:r w:rsidRPr="004A69F8">
        <w:rPr>
          <w:i/>
          <w:iCs w:val="0"/>
        </w:rPr>
        <w:t>posed</w:t>
      </w:r>
      <w:r w:rsidRPr="004A69F8">
        <w:rPr>
          <w:i/>
          <w:iCs w:val="0"/>
          <w:spacing w:val="-2"/>
        </w:rPr>
        <w:t xml:space="preserve"> </w:t>
      </w:r>
      <w:r w:rsidRPr="004A69F8">
        <w:rPr>
          <w:i/>
          <w:iCs w:val="0"/>
        </w:rPr>
        <w:t>by</w:t>
      </w:r>
      <w:r w:rsidRPr="004A69F8">
        <w:rPr>
          <w:i/>
          <w:iCs w:val="0"/>
          <w:spacing w:val="-3"/>
        </w:rPr>
        <w:t xml:space="preserve"> </w:t>
      </w:r>
      <w:r w:rsidRPr="004A69F8">
        <w:rPr>
          <w:i/>
          <w:iCs w:val="0"/>
        </w:rPr>
        <w:t>a</w:t>
      </w:r>
      <w:r w:rsidRPr="004A69F8">
        <w:rPr>
          <w:i/>
          <w:iCs w:val="0"/>
          <w:spacing w:val="-3"/>
        </w:rPr>
        <w:t xml:space="preserve"> </w:t>
      </w:r>
      <w:r w:rsidRPr="004A69F8">
        <w:rPr>
          <w:i/>
          <w:iCs w:val="0"/>
        </w:rPr>
        <w:t>detainee and provide advice about community-based placement</w:t>
      </w:r>
    </w:p>
    <w:p w14:paraId="7FD7C0F5" w14:textId="77777777" w:rsidR="00A57272" w:rsidRPr="004A69F8" w:rsidRDefault="00A57272" w:rsidP="004A69F8">
      <w:pPr>
        <w:pStyle w:val="Quote"/>
        <w:numPr>
          <w:ilvl w:val="0"/>
          <w:numId w:val="36"/>
        </w:numPr>
        <w:rPr>
          <w:i/>
          <w:iCs w:val="0"/>
        </w:rPr>
      </w:pPr>
      <w:r w:rsidRPr="004A69F8">
        <w:rPr>
          <w:i/>
          <w:iCs w:val="0"/>
        </w:rPr>
        <w:t>increasing</w:t>
      </w:r>
      <w:r w:rsidRPr="004A69F8">
        <w:rPr>
          <w:i/>
          <w:iCs w:val="0"/>
          <w:spacing w:val="-5"/>
        </w:rPr>
        <w:t xml:space="preserve"> </w:t>
      </w:r>
      <w:r w:rsidRPr="004A69F8">
        <w:rPr>
          <w:i/>
          <w:iCs w:val="0"/>
        </w:rPr>
        <w:t>community-based</w:t>
      </w:r>
      <w:r w:rsidRPr="004A69F8">
        <w:rPr>
          <w:i/>
          <w:iCs w:val="0"/>
          <w:spacing w:val="-5"/>
        </w:rPr>
        <w:t xml:space="preserve"> </w:t>
      </w:r>
      <w:r w:rsidRPr="004A69F8">
        <w:rPr>
          <w:i/>
          <w:iCs w:val="0"/>
        </w:rPr>
        <w:t>placements</w:t>
      </w:r>
      <w:r w:rsidRPr="004A69F8">
        <w:rPr>
          <w:i/>
          <w:iCs w:val="0"/>
          <w:spacing w:val="-6"/>
        </w:rPr>
        <w:t xml:space="preserve"> </w:t>
      </w:r>
      <w:r w:rsidRPr="004A69F8">
        <w:rPr>
          <w:i/>
          <w:iCs w:val="0"/>
        </w:rPr>
        <w:t>for</w:t>
      </w:r>
      <w:r w:rsidRPr="004A69F8">
        <w:rPr>
          <w:i/>
          <w:iCs w:val="0"/>
          <w:spacing w:val="-7"/>
        </w:rPr>
        <w:t xml:space="preserve"> </w:t>
      </w:r>
      <w:r w:rsidRPr="004A69F8">
        <w:rPr>
          <w:i/>
          <w:iCs w:val="0"/>
        </w:rPr>
        <w:t>low</w:t>
      </w:r>
      <w:r w:rsidRPr="004A69F8">
        <w:rPr>
          <w:i/>
          <w:iCs w:val="0"/>
          <w:spacing w:val="-2"/>
        </w:rPr>
        <w:t xml:space="preserve"> </w:t>
      </w:r>
      <w:r w:rsidRPr="004A69F8">
        <w:rPr>
          <w:i/>
          <w:iCs w:val="0"/>
        </w:rPr>
        <w:t>and</w:t>
      </w:r>
      <w:r w:rsidRPr="004A69F8">
        <w:rPr>
          <w:i/>
          <w:iCs w:val="0"/>
          <w:spacing w:val="-5"/>
        </w:rPr>
        <w:t xml:space="preserve"> </w:t>
      </w:r>
      <w:r w:rsidRPr="004A69F8">
        <w:rPr>
          <w:i/>
          <w:iCs w:val="0"/>
        </w:rPr>
        <w:t>medium</w:t>
      </w:r>
      <w:r w:rsidRPr="004A69F8">
        <w:rPr>
          <w:i/>
          <w:iCs w:val="0"/>
          <w:spacing w:val="-5"/>
        </w:rPr>
        <w:t xml:space="preserve"> </w:t>
      </w:r>
      <w:r w:rsidRPr="004A69F8">
        <w:rPr>
          <w:i/>
          <w:iCs w:val="0"/>
        </w:rPr>
        <w:t>risk detainees, through necessary conditions and support services</w:t>
      </w:r>
    </w:p>
    <w:p w14:paraId="13126620" w14:textId="77777777" w:rsidR="00A57272" w:rsidRPr="004A69F8" w:rsidRDefault="00A57272" w:rsidP="004A69F8">
      <w:pPr>
        <w:pStyle w:val="Quote"/>
        <w:numPr>
          <w:ilvl w:val="0"/>
          <w:numId w:val="36"/>
        </w:numPr>
        <w:rPr>
          <w:i/>
          <w:iCs w:val="0"/>
        </w:rPr>
      </w:pPr>
      <w:r w:rsidRPr="004A69F8">
        <w:rPr>
          <w:i/>
          <w:iCs w:val="0"/>
        </w:rPr>
        <w:t>utilising</w:t>
      </w:r>
      <w:r w:rsidRPr="004A69F8">
        <w:rPr>
          <w:i/>
          <w:iCs w:val="0"/>
          <w:spacing w:val="-3"/>
        </w:rPr>
        <w:t xml:space="preserve"> </w:t>
      </w:r>
      <w:r w:rsidRPr="004A69F8">
        <w:rPr>
          <w:i/>
          <w:iCs w:val="0"/>
        </w:rPr>
        <w:t>residence</w:t>
      </w:r>
      <w:r w:rsidRPr="004A69F8">
        <w:rPr>
          <w:i/>
          <w:iCs w:val="0"/>
          <w:spacing w:val="-4"/>
        </w:rPr>
        <w:t xml:space="preserve"> </w:t>
      </w:r>
      <w:r w:rsidRPr="004A69F8">
        <w:rPr>
          <w:i/>
          <w:iCs w:val="0"/>
        </w:rPr>
        <w:t>determinations</w:t>
      </w:r>
      <w:r w:rsidRPr="004A69F8">
        <w:rPr>
          <w:i/>
          <w:iCs w:val="0"/>
          <w:spacing w:val="-4"/>
        </w:rPr>
        <w:t xml:space="preserve"> </w:t>
      </w:r>
      <w:r w:rsidRPr="004A69F8">
        <w:rPr>
          <w:i/>
          <w:iCs w:val="0"/>
        </w:rPr>
        <w:t>as</w:t>
      </w:r>
      <w:r w:rsidRPr="004A69F8">
        <w:rPr>
          <w:i/>
          <w:iCs w:val="0"/>
          <w:spacing w:val="-2"/>
        </w:rPr>
        <w:t xml:space="preserve"> </w:t>
      </w:r>
      <w:r w:rsidRPr="004A69F8">
        <w:rPr>
          <w:i/>
          <w:iCs w:val="0"/>
        </w:rPr>
        <w:t>part</w:t>
      </w:r>
      <w:r w:rsidRPr="004A69F8">
        <w:rPr>
          <w:i/>
          <w:iCs w:val="0"/>
          <w:spacing w:val="-3"/>
        </w:rPr>
        <w:t xml:space="preserve"> </w:t>
      </w:r>
      <w:r w:rsidRPr="004A69F8">
        <w:rPr>
          <w:i/>
          <w:iCs w:val="0"/>
        </w:rPr>
        <w:t>of</w:t>
      </w:r>
      <w:r w:rsidRPr="004A69F8">
        <w:rPr>
          <w:i/>
          <w:iCs w:val="0"/>
          <w:spacing w:val="-3"/>
        </w:rPr>
        <w:t xml:space="preserve"> </w:t>
      </w:r>
      <w:r w:rsidRPr="004A69F8">
        <w:rPr>
          <w:i/>
          <w:iCs w:val="0"/>
        </w:rPr>
        <w:t>a</w:t>
      </w:r>
      <w:r w:rsidRPr="004A69F8">
        <w:rPr>
          <w:i/>
          <w:iCs w:val="0"/>
          <w:spacing w:val="-2"/>
        </w:rPr>
        <w:t xml:space="preserve"> </w:t>
      </w:r>
      <w:r w:rsidRPr="004A69F8">
        <w:rPr>
          <w:i/>
          <w:iCs w:val="0"/>
        </w:rPr>
        <w:t>step-down</w:t>
      </w:r>
      <w:r w:rsidRPr="004A69F8">
        <w:rPr>
          <w:i/>
          <w:iCs w:val="0"/>
          <w:spacing w:val="-3"/>
        </w:rPr>
        <w:t xml:space="preserve"> </w:t>
      </w:r>
      <w:r w:rsidRPr="004A69F8">
        <w:rPr>
          <w:i/>
          <w:iCs w:val="0"/>
        </w:rPr>
        <w:t>model</w:t>
      </w:r>
      <w:r w:rsidRPr="004A69F8">
        <w:rPr>
          <w:i/>
          <w:iCs w:val="0"/>
          <w:spacing w:val="-4"/>
        </w:rPr>
        <w:t xml:space="preserve"> </w:t>
      </w:r>
      <w:r w:rsidRPr="004A69F8">
        <w:rPr>
          <w:i/>
          <w:iCs w:val="0"/>
        </w:rPr>
        <w:t>of</w:t>
      </w:r>
      <w:r w:rsidRPr="004A69F8">
        <w:rPr>
          <w:i/>
          <w:iCs w:val="0"/>
          <w:spacing w:val="-3"/>
        </w:rPr>
        <w:t xml:space="preserve"> </w:t>
      </w:r>
      <w:r w:rsidRPr="004A69F8">
        <w:rPr>
          <w:i/>
          <w:iCs w:val="0"/>
        </w:rPr>
        <w:t>reintegration</w:t>
      </w:r>
      <w:r w:rsidRPr="004A69F8">
        <w:rPr>
          <w:i/>
          <w:iCs w:val="0"/>
          <w:spacing w:val="-3"/>
        </w:rPr>
        <w:t xml:space="preserve"> </w:t>
      </w:r>
      <w:r w:rsidRPr="004A69F8">
        <w:rPr>
          <w:i/>
          <w:iCs w:val="0"/>
        </w:rPr>
        <w:t>into</w:t>
      </w:r>
      <w:r w:rsidRPr="004A69F8">
        <w:rPr>
          <w:i/>
          <w:iCs w:val="0"/>
          <w:spacing w:val="-3"/>
        </w:rPr>
        <w:t xml:space="preserve"> </w:t>
      </w:r>
      <w:r w:rsidRPr="004A69F8">
        <w:rPr>
          <w:i/>
          <w:iCs w:val="0"/>
        </w:rPr>
        <w:t xml:space="preserve">the </w:t>
      </w:r>
      <w:r w:rsidRPr="004A69F8">
        <w:rPr>
          <w:i/>
          <w:iCs w:val="0"/>
          <w:spacing w:val="-2"/>
        </w:rPr>
        <w:t>community.</w:t>
      </w:r>
    </w:p>
    <w:p w14:paraId="43E49B7D" w14:textId="77777777" w:rsidR="00A57272" w:rsidRDefault="00A57272" w:rsidP="00D86AD0">
      <w:pPr>
        <w:pStyle w:val="Quote"/>
      </w:pPr>
      <w:r>
        <w:t>The</w:t>
      </w:r>
      <w:r>
        <w:rPr>
          <w:spacing w:val="-4"/>
        </w:rPr>
        <w:t xml:space="preserve"> </w:t>
      </w:r>
      <w:r>
        <w:t>Department</w:t>
      </w:r>
      <w:r>
        <w:rPr>
          <w:spacing w:val="-4"/>
        </w:rPr>
        <w:t xml:space="preserve"> </w:t>
      </w:r>
      <w:r>
        <w:t>continues to</w:t>
      </w:r>
      <w:r>
        <w:rPr>
          <w:spacing w:val="-4"/>
        </w:rPr>
        <w:t xml:space="preserve"> </w:t>
      </w:r>
      <w:r>
        <w:t>progress</w:t>
      </w:r>
      <w:r>
        <w:rPr>
          <w:spacing w:val="-3"/>
        </w:rPr>
        <w:t xml:space="preserve"> </w:t>
      </w:r>
      <w:r>
        <w:t>the</w:t>
      </w:r>
      <w:r>
        <w:rPr>
          <w:spacing w:val="-2"/>
        </w:rPr>
        <w:t xml:space="preserve"> </w:t>
      </w:r>
      <w:r>
        <w:t>Alternatives</w:t>
      </w:r>
      <w:r>
        <w:rPr>
          <w:spacing w:val="-3"/>
        </w:rPr>
        <w:t xml:space="preserve"> </w:t>
      </w:r>
      <w:r>
        <w:t>to</w:t>
      </w:r>
      <w:r>
        <w:rPr>
          <w:spacing w:val="-4"/>
        </w:rPr>
        <w:t xml:space="preserve"> </w:t>
      </w:r>
      <w:r>
        <w:t>Held</w:t>
      </w:r>
      <w:r>
        <w:rPr>
          <w:spacing w:val="-2"/>
        </w:rPr>
        <w:t xml:space="preserve"> </w:t>
      </w:r>
      <w:r>
        <w:t>Detention</w:t>
      </w:r>
      <w:r>
        <w:rPr>
          <w:spacing w:val="-4"/>
        </w:rPr>
        <w:t xml:space="preserve"> </w:t>
      </w:r>
      <w:r>
        <w:t>(ATHD)</w:t>
      </w:r>
      <w:r>
        <w:rPr>
          <w:spacing w:val="-3"/>
        </w:rPr>
        <w:t xml:space="preserve"> </w:t>
      </w:r>
      <w:r>
        <w:t>program,</w:t>
      </w:r>
      <w:r>
        <w:rPr>
          <w:spacing w:val="-4"/>
        </w:rPr>
        <w:t xml:space="preserve"> </w:t>
      </w:r>
      <w:r>
        <w:t>though</w:t>
      </w:r>
      <w:r>
        <w:rPr>
          <w:spacing w:val="-4"/>
        </w:rPr>
        <w:t xml:space="preserve"> </w:t>
      </w:r>
      <w:r>
        <w:t>the</w:t>
      </w:r>
      <w:r>
        <w:rPr>
          <w:spacing w:val="-4"/>
        </w:rPr>
        <w:t xml:space="preserve"> </w:t>
      </w:r>
      <w:r>
        <w:t>ATHD model is being considered in light of the High Court judgment in NZYQ.</w:t>
      </w:r>
    </w:p>
    <w:p w14:paraId="342DD74A" w14:textId="77777777" w:rsidR="00A57272" w:rsidRDefault="00A57272" w:rsidP="00D86AD0">
      <w:pPr>
        <w:pStyle w:val="Quote"/>
      </w:pPr>
      <w:r>
        <w:t>Under the ATHD program the</w:t>
      </w:r>
      <w:r>
        <w:rPr>
          <w:spacing w:val="-1"/>
        </w:rPr>
        <w:t xml:space="preserve"> </w:t>
      </w:r>
      <w:r>
        <w:t>Department was considering an</w:t>
      </w:r>
      <w:r>
        <w:rPr>
          <w:spacing w:val="-1"/>
        </w:rPr>
        <w:t xml:space="preserve"> </w:t>
      </w:r>
      <w:r>
        <w:t>Independent Assessment</w:t>
      </w:r>
      <w:r>
        <w:rPr>
          <w:spacing w:val="-1"/>
        </w:rPr>
        <w:t xml:space="preserve"> </w:t>
      </w:r>
      <w:r>
        <w:t>Capability</w:t>
      </w:r>
      <w:r>
        <w:rPr>
          <w:spacing w:val="-5"/>
        </w:rPr>
        <w:t xml:space="preserve"> </w:t>
      </w:r>
      <w:r>
        <w:t>(IAC),</w:t>
      </w:r>
      <w:r>
        <w:rPr>
          <w:spacing w:val="-1"/>
        </w:rPr>
        <w:t xml:space="preserve"> </w:t>
      </w:r>
      <w:r>
        <w:t>to advise</w:t>
      </w:r>
      <w:r>
        <w:rPr>
          <w:spacing w:val="-4"/>
        </w:rPr>
        <w:t xml:space="preserve"> </w:t>
      </w:r>
      <w:r>
        <w:t>on</w:t>
      </w:r>
      <w:r>
        <w:rPr>
          <w:spacing w:val="-4"/>
        </w:rPr>
        <w:t xml:space="preserve"> </w:t>
      </w:r>
      <w:r>
        <w:t>risk</w:t>
      </w:r>
      <w:r>
        <w:rPr>
          <w:spacing w:val="-2"/>
        </w:rPr>
        <w:t xml:space="preserve"> </w:t>
      </w:r>
      <w:r>
        <w:t>mitigation</w:t>
      </w:r>
      <w:r>
        <w:rPr>
          <w:spacing w:val="-2"/>
        </w:rPr>
        <w:t xml:space="preserve"> </w:t>
      </w:r>
      <w:r>
        <w:t>(including</w:t>
      </w:r>
      <w:r>
        <w:rPr>
          <w:spacing w:val="-4"/>
        </w:rPr>
        <w:t xml:space="preserve"> </w:t>
      </w:r>
      <w:r>
        <w:t>support</w:t>
      </w:r>
      <w:r>
        <w:rPr>
          <w:spacing w:val="-2"/>
        </w:rPr>
        <w:t xml:space="preserve"> </w:t>
      </w:r>
      <w:r>
        <w:t>needs)</w:t>
      </w:r>
      <w:r>
        <w:rPr>
          <w:spacing w:val="-3"/>
        </w:rPr>
        <w:t xml:space="preserve"> </w:t>
      </w:r>
      <w:r>
        <w:t>for</w:t>
      </w:r>
      <w:r>
        <w:rPr>
          <w:spacing w:val="-3"/>
        </w:rPr>
        <w:t xml:space="preserve"> </w:t>
      </w:r>
      <w:r>
        <w:t>detainees</w:t>
      </w:r>
      <w:r>
        <w:rPr>
          <w:spacing w:val="-3"/>
        </w:rPr>
        <w:t xml:space="preserve"> </w:t>
      </w:r>
      <w:r>
        <w:t>being</w:t>
      </w:r>
      <w:r>
        <w:rPr>
          <w:spacing w:val="-4"/>
        </w:rPr>
        <w:t xml:space="preserve"> </w:t>
      </w:r>
      <w:r>
        <w:t>considered</w:t>
      </w:r>
      <w:r>
        <w:rPr>
          <w:spacing w:val="-2"/>
        </w:rPr>
        <w:t xml:space="preserve"> </w:t>
      </w:r>
      <w:r>
        <w:t>for</w:t>
      </w:r>
      <w:r>
        <w:rPr>
          <w:spacing w:val="-3"/>
        </w:rPr>
        <w:t xml:space="preserve"> </w:t>
      </w:r>
      <w:r>
        <w:t>community</w:t>
      </w:r>
      <w:r>
        <w:rPr>
          <w:spacing w:val="-7"/>
        </w:rPr>
        <w:t xml:space="preserve"> </w:t>
      </w:r>
      <w:r>
        <w:t>placement. Planning for the</w:t>
      </w:r>
      <w:r>
        <w:rPr>
          <w:spacing w:val="-1"/>
        </w:rPr>
        <w:t xml:space="preserve"> </w:t>
      </w:r>
      <w:r>
        <w:t>IAC has paused while</w:t>
      </w:r>
      <w:r>
        <w:rPr>
          <w:spacing w:val="-1"/>
        </w:rPr>
        <w:t xml:space="preserve"> </w:t>
      </w:r>
      <w:r>
        <w:t>the</w:t>
      </w:r>
      <w:r>
        <w:rPr>
          <w:spacing w:val="-1"/>
        </w:rPr>
        <w:t xml:space="preserve"> </w:t>
      </w:r>
      <w:r>
        <w:t>Department considers the</w:t>
      </w:r>
      <w:r>
        <w:rPr>
          <w:spacing w:val="-1"/>
        </w:rPr>
        <w:t xml:space="preserve"> </w:t>
      </w:r>
      <w:r>
        <w:t>implications of the</w:t>
      </w:r>
      <w:r>
        <w:rPr>
          <w:spacing w:val="-1"/>
        </w:rPr>
        <w:t xml:space="preserve"> </w:t>
      </w:r>
      <w:r>
        <w:t>High</w:t>
      </w:r>
      <w:r>
        <w:rPr>
          <w:spacing w:val="-1"/>
        </w:rPr>
        <w:t xml:space="preserve"> </w:t>
      </w:r>
      <w:r>
        <w:t>Court decision on the direction and priorities of ATHD. The Department continues to actively review processes and assess individual cases as appropriate.</w:t>
      </w:r>
    </w:p>
    <w:p w14:paraId="5DA8F34B" w14:textId="77777777" w:rsidR="00A57272" w:rsidRDefault="00A57272" w:rsidP="00D86AD0">
      <w:pPr>
        <w:pStyle w:val="Quote"/>
      </w:pPr>
      <w:r>
        <w:t>Wherever</w:t>
      </w:r>
      <w:r>
        <w:rPr>
          <w:spacing w:val="-4"/>
        </w:rPr>
        <w:t xml:space="preserve"> </w:t>
      </w:r>
      <w:r>
        <w:t>possible,</w:t>
      </w:r>
      <w:r>
        <w:rPr>
          <w:spacing w:val="-2"/>
        </w:rPr>
        <w:t xml:space="preserve"> </w:t>
      </w:r>
      <w:r>
        <w:t>the</w:t>
      </w:r>
      <w:r>
        <w:rPr>
          <w:spacing w:val="-2"/>
        </w:rPr>
        <w:t xml:space="preserve"> </w:t>
      </w:r>
      <w:r>
        <w:t>proposed</w:t>
      </w:r>
      <w:r>
        <w:rPr>
          <w:spacing w:val="-2"/>
        </w:rPr>
        <w:t xml:space="preserve"> </w:t>
      </w:r>
      <w:r>
        <w:t>ATHD</w:t>
      </w:r>
      <w:r>
        <w:rPr>
          <w:spacing w:val="-3"/>
        </w:rPr>
        <w:t xml:space="preserve"> </w:t>
      </w:r>
      <w:r>
        <w:t>model</w:t>
      </w:r>
      <w:r>
        <w:rPr>
          <w:spacing w:val="-2"/>
        </w:rPr>
        <w:t xml:space="preserve"> </w:t>
      </w:r>
      <w:r>
        <w:t>would</w:t>
      </w:r>
      <w:r>
        <w:rPr>
          <w:spacing w:val="-4"/>
        </w:rPr>
        <w:t xml:space="preserve"> </w:t>
      </w:r>
      <w:r>
        <w:t>rely</w:t>
      </w:r>
      <w:r>
        <w:rPr>
          <w:spacing w:val="-6"/>
        </w:rPr>
        <w:t xml:space="preserve"> </w:t>
      </w:r>
      <w:r>
        <w:t>on</w:t>
      </w:r>
      <w:r>
        <w:rPr>
          <w:spacing w:val="-2"/>
        </w:rPr>
        <w:t xml:space="preserve"> </w:t>
      </w:r>
      <w:r>
        <w:t>Criminal</w:t>
      </w:r>
      <w:r>
        <w:rPr>
          <w:spacing w:val="-5"/>
        </w:rPr>
        <w:t xml:space="preserve"> </w:t>
      </w:r>
      <w:r>
        <w:t>Justice</w:t>
      </w:r>
      <w:r>
        <w:rPr>
          <w:spacing w:val="-4"/>
        </w:rPr>
        <w:t xml:space="preserve"> </w:t>
      </w:r>
      <w:r>
        <w:t>System (CJS)</w:t>
      </w:r>
      <w:r>
        <w:rPr>
          <w:spacing w:val="-3"/>
        </w:rPr>
        <w:t xml:space="preserve"> </w:t>
      </w:r>
      <w:r>
        <w:t>processes</w:t>
      </w:r>
      <w:r>
        <w:rPr>
          <w:spacing w:val="-3"/>
        </w:rPr>
        <w:t xml:space="preserve"> </w:t>
      </w:r>
      <w:r>
        <w:t>to inform alternate placements to held detention, as individuals enter the status resolution system.</w:t>
      </w:r>
    </w:p>
    <w:p w14:paraId="358A740A" w14:textId="77777777" w:rsidR="00A57272" w:rsidRDefault="00A57272" w:rsidP="00D86AD0">
      <w:pPr>
        <w:pStyle w:val="Quote"/>
      </w:pPr>
      <w:r>
        <w:t>Increased</w:t>
      </w:r>
      <w:r>
        <w:rPr>
          <w:spacing w:val="-4"/>
        </w:rPr>
        <w:t xml:space="preserve"> </w:t>
      </w:r>
      <w:r>
        <w:t>engagement</w:t>
      </w:r>
      <w:r>
        <w:rPr>
          <w:spacing w:val="-1"/>
        </w:rPr>
        <w:t xml:space="preserve"> </w:t>
      </w:r>
      <w:r>
        <w:t>with</w:t>
      </w:r>
      <w:r>
        <w:rPr>
          <w:spacing w:val="-3"/>
        </w:rPr>
        <w:t xml:space="preserve"> </w:t>
      </w:r>
      <w:r>
        <w:t>the</w:t>
      </w:r>
      <w:r>
        <w:rPr>
          <w:spacing w:val="-1"/>
        </w:rPr>
        <w:t xml:space="preserve"> </w:t>
      </w:r>
      <w:r>
        <w:t>CJS</w:t>
      </w:r>
      <w:r>
        <w:rPr>
          <w:spacing w:val="-1"/>
        </w:rPr>
        <w:t xml:space="preserve"> </w:t>
      </w:r>
      <w:r>
        <w:t>will</w:t>
      </w:r>
      <w:r>
        <w:rPr>
          <w:spacing w:val="-4"/>
        </w:rPr>
        <w:t xml:space="preserve"> </w:t>
      </w:r>
      <w:r>
        <w:t>focus</w:t>
      </w:r>
      <w:r>
        <w:rPr>
          <w:spacing w:val="-2"/>
        </w:rPr>
        <w:t xml:space="preserve"> </w:t>
      </w:r>
      <w:r>
        <w:t>on</w:t>
      </w:r>
      <w:r>
        <w:rPr>
          <w:spacing w:val="-3"/>
        </w:rPr>
        <w:t xml:space="preserve"> </w:t>
      </w:r>
      <w:r>
        <w:t>the</w:t>
      </w:r>
      <w:r>
        <w:rPr>
          <w:spacing w:val="-1"/>
        </w:rPr>
        <w:t xml:space="preserve"> </w:t>
      </w:r>
      <w:r>
        <w:t>operational</w:t>
      </w:r>
      <w:r>
        <w:rPr>
          <w:spacing w:val="-2"/>
        </w:rPr>
        <w:t xml:space="preserve"> </w:t>
      </w:r>
      <w:r>
        <w:t>impacts</w:t>
      </w:r>
      <w:r>
        <w:rPr>
          <w:spacing w:val="-2"/>
        </w:rPr>
        <w:t xml:space="preserve"> </w:t>
      </w:r>
      <w:r>
        <w:t>that</w:t>
      </w:r>
      <w:r>
        <w:rPr>
          <w:spacing w:val="-3"/>
        </w:rPr>
        <w:t xml:space="preserve"> </w:t>
      </w:r>
      <w:r>
        <w:t>processes</w:t>
      </w:r>
      <w:r>
        <w:rPr>
          <w:spacing w:val="-2"/>
        </w:rPr>
        <w:t xml:space="preserve"> </w:t>
      </w:r>
      <w:r>
        <w:t>and</w:t>
      </w:r>
      <w:r>
        <w:rPr>
          <w:spacing w:val="-3"/>
        </w:rPr>
        <w:t xml:space="preserve"> </w:t>
      </w:r>
      <w:r>
        <w:t>decisions</w:t>
      </w:r>
      <w:r>
        <w:rPr>
          <w:spacing w:val="-2"/>
        </w:rPr>
        <w:t xml:space="preserve"> </w:t>
      </w:r>
      <w:r>
        <w:t>have on our respective frameworks and will aim to:</w:t>
      </w:r>
    </w:p>
    <w:p w14:paraId="1B927DC6" w14:textId="77777777" w:rsidR="00A57272" w:rsidRDefault="00A57272" w:rsidP="007F350F">
      <w:pPr>
        <w:pStyle w:val="Quote"/>
        <w:numPr>
          <w:ilvl w:val="0"/>
          <w:numId w:val="37"/>
        </w:numPr>
      </w:pPr>
      <w:r>
        <w:t>enhance</w:t>
      </w:r>
      <w:r>
        <w:rPr>
          <w:spacing w:val="-4"/>
        </w:rPr>
        <w:t xml:space="preserve"> </w:t>
      </w:r>
      <w:r>
        <w:t>information</w:t>
      </w:r>
      <w:r>
        <w:rPr>
          <w:spacing w:val="-5"/>
        </w:rPr>
        <w:t xml:space="preserve"> </w:t>
      </w:r>
      <w:r>
        <w:t>sharing</w:t>
      </w:r>
      <w:r>
        <w:rPr>
          <w:spacing w:val="-4"/>
        </w:rPr>
        <w:t xml:space="preserve"> </w:t>
      </w:r>
      <w:r>
        <w:t>arrangements</w:t>
      </w:r>
      <w:r>
        <w:rPr>
          <w:spacing w:val="-3"/>
        </w:rPr>
        <w:t xml:space="preserve"> </w:t>
      </w:r>
      <w:r>
        <w:t>to</w:t>
      </w:r>
      <w:r>
        <w:rPr>
          <w:spacing w:val="-4"/>
        </w:rPr>
        <w:t xml:space="preserve"> </w:t>
      </w:r>
      <w:r>
        <w:t>better</w:t>
      </w:r>
      <w:r>
        <w:rPr>
          <w:spacing w:val="-3"/>
        </w:rPr>
        <w:t xml:space="preserve"> </w:t>
      </w:r>
      <w:r>
        <w:t>leverage</w:t>
      </w:r>
      <w:r>
        <w:rPr>
          <w:spacing w:val="-4"/>
        </w:rPr>
        <w:t xml:space="preserve"> </w:t>
      </w:r>
      <w:r>
        <w:t>existing</w:t>
      </w:r>
      <w:r>
        <w:rPr>
          <w:spacing w:val="-4"/>
        </w:rPr>
        <w:t xml:space="preserve"> </w:t>
      </w:r>
      <w:r>
        <w:t>information</w:t>
      </w:r>
      <w:r>
        <w:rPr>
          <w:spacing w:val="-2"/>
        </w:rPr>
        <w:t xml:space="preserve"> </w:t>
      </w:r>
      <w:r>
        <w:t>(including</w:t>
      </w:r>
      <w:r>
        <w:rPr>
          <w:spacing w:val="-4"/>
        </w:rPr>
        <w:t xml:space="preserve"> </w:t>
      </w:r>
      <w:r>
        <w:t>risk assessments) and inform community placement decisions</w:t>
      </w:r>
    </w:p>
    <w:p w14:paraId="5DEFDC1C" w14:textId="77777777" w:rsidR="00A57272" w:rsidRDefault="00A57272" w:rsidP="007F350F">
      <w:pPr>
        <w:pStyle w:val="Quote"/>
        <w:numPr>
          <w:ilvl w:val="0"/>
          <w:numId w:val="37"/>
        </w:numPr>
      </w:pPr>
      <w:r>
        <w:t>inform treatment of community protection risks, including recommended support services to enable</w:t>
      </w:r>
      <w:r>
        <w:rPr>
          <w:spacing w:val="-2"/>
        </w:rPr>
        <w:t xml:space="preserve"> </w:t>
      </w:r>
      <w:r>
        <w:t>individuals</w:t>
      </w:r>
      <w:r>
        <w:rPr>
          <w:spacing w:val="-2"/>
        </w:rPr>
        <w:t xml:space="preserve"> </w:t>
      </w:r>
      <w:r>
        <w:t>to</w:t>
      </w:r>
      <w:r>
        <w:rPr>
          <w:spacing w:val="-5"/>
        </w:rPr>
        <w:t xml:space="preserve"> </w:t>
      </w:r>
      <w:r>
        <w:t>successfully</w:t>
      </w:r>
      <w:r>
        <w:rPr>
          <w:spacing w:val="-7"/>
        </w:rPr>
        <w:t xml:space="preserve"> </w:t>
      </w:r>
      <w:r>
        <w:t>transition</w:t>
      </w:r>
      <w:r>
        <w:rPr>
          <w:spacing w:val="-4"/>
        </w:rPr>
        <w:t xml:space="preserve"> </w:t>
      </w:r>
      <w:r>
        <w:t>from prison</w:t>
      </w:r>
      <w:r>
        <w:rPr>
          <w:spacing w:val="-4"/>
        </w:rPr>
        <w:t xml:space="preserve"> </w:t>
      </w:r>
      <w:r>
        <w:t>and/or</w:t>
      </w:r>
      <w:r>
        <w:rPr>
          <w:spacing w:val="-3"/>
        </w:rPr>
        <w:t xml:space="preserve"> </w:t>
      </w:r>
      <w:r>
        <w:t>held</w:t>
      </w:r>
      <w:r>
        <w:rPr>
          <w:spacing w:val="-4"/>
        </w:rPr>
        <w:t xml:space="preserve"> </w:t>
      </w:r>
      <w:r>
        <w:t>detention</w:t>
      </w:r>
      <w:r>
        <w:rPr>
          <w:spacing w:val="-4"/>
        </w:rPr>
        <w:t xml:space="preserve"> </w:t>
      </w:r>
      <w:r>
        <w:t>into</w:t>
      </w:r>
      <w:r>
        <w:rPr>
          <w:spacing w:val="-2"/>
        </w:rPr>
        <w:t xml:space="preserve"> </w:t>
      </w:r>
      <w:r>
        <w:t>the</w:t>
      </w:r>
      <w:r>
        <w:rPr>
          <w:spacing w:val="-4"/>
        </w:rPr>
        <w:t xml:space="preserve"> </w:t>
      </w:r>
      <w:r>
        <w:t>community</w:t>
      </w:r>
    </w:p>
    <w:p w14:paraId="55DC0D70" w14:textId="77777777" w:rsidR="00A57272" w:rsidRDefault="00A57272" w:rsidP="007F350F">
      <w:pPr>
        <w:pStyle w:val="Quote"/>
        <w:numPr>
          <w:ilvl w:val="0"/>
          <w:numId w:val="37"/>
        </w:numPr>
      </w:pPr>
      <w:r>
        <w:t>explore</w:t>
      </w:r>
      <w:r>
        <w:rPr>
          <w:spacing w:val="-4"/>
        </w:rPr>
        <w:t xml:space="preserve"> </w:t>
      </w:r>
      <w:r>
        <w:t>jurisdictional</w:t>
      </w:r>
      <w:r>
        <w:rPr>
          <w:spacing w:val="-5"/>
        </w:rPr>
        <w:t xml:space="preserve"> </w:t>
      </w:r>
      <w:r>
        <w:t>consistency</w:t>
      </w:r>
      <w:r>
        <w:rPr>
          <w:spacing w:val="-7"/>
        </w:rPr>
        <w:t xml:space="preserve"> </w:t>
      </w:r>
      <w:r>
        <w:t>relating</w:t>
      </w:r>
      <w:r>
        <w:rPr>
          <w:spacing w:val="-4"/>
        </w:rPr>
        <w:t xml:space="preserve"> </w:t>
      </w:r>
      <w:r>
        <w:t>to</w:t>
      </w:r>
      <w:r>
        <w:rPr>
          <w:spacing w:val="-2"/>
        </w:rPr>
        <w:t xml:space="preserve"> </w:t>
      </w:r>
      <w:r>
        <w:t>parole</w:t>
      </w:r>
      <w:r>
        <w:rPr>
          <w:spacing w:val="-2"/>
        </w:rPr>
        <w:t xml:space="preserve"> </w:t>
      </w:r>
      <w:r>
        <w:t>arrangements</w:t>
      </w:r>
      <w:r>
        <w:rPr>
          <w:spacing w:val="-3"/>
        </w:rPr>
        <w:t xml:space="preserve"> </w:t>
      </w:r>
      <w:r>
        <w:t>(including</w:t>
      </w:r>
      <w:r>
        <w:rPr>
          <w:spacing w:val="-4"/>
        </w:rPr>
        <w:t xml:space="preserve"> </w:t>
      </w:r>
      <w:r>
        <w:t>provision</w:t>
      </w:r>
      <w:r>
        <w:rPr>
          <w:spacing w:val="-4"/>
        </w:rPr>
        <w:t xml:space="preserve"> </w:t>
      </w:r>
      <w:r>
        <w:t>of</w:t>
      </w:r>
      <w:r>
        <w:rPr>
          <w:spacing w:val="-2"/>
        </w:rPr>
        <w:t xml:space="preserve"> </w:t>
      </w:r>
      <w:r>
        <w:t>support) for unlawful non-citizens.</w:t>
      </w:r>
    </w:p>
    <w:p w14:paraId="718BCAF5" w14:textId="12D949FF" w:rsidR="00A57272" w:rsidRDefault="00A57272" w:rsidP="00F77779">
      <w:pPr>
        <w:pStyle w:val="Quote"/>
      </w:pPr>
      <w:r>
        <w:lastRenderedPageBreak/>
        <w:t>The</w:t>
      </w:r>
      <w:r>
        <w:rPr>
          <w:spacing w:val="-2"/>
        </w:rPr>
        <w:t xml:space="preserve"> </w:t>
      </w:r>
      <w:r>
        <w:t>Department</w:t>
      </w:r>
      <w:r>
        <w:rPr>
          <w:spacing w:val="-2"/>
        </w:rPr>
        <w:t xml:space="preserve"> </w:t>
      </w:r>
      <w:r>
        <w:t>continues to</w:t>
      </w:r>
      <w:r>
        <w:rPr>
          <w:spacing w:val="-2"/>
        </w:rPr>
        <w:t xml:space="preserve"> </w:t>
      </w:r>
      <w:r>
        <w:t>consider</w:t>
      </w:r>
      <w:r>
        <w:rPr>
          <w:spacing w:val="-1"/>
        </w:rPr>
        <w:t xml:space="preserve"> </w:t>
      </w:r>
      <w:r>
        <w:t>the</w:t>
      </w:r>
      <w:r>
        <w:rPr>
          <w:spacing w:val="-2"/>
        </w:rPr>
        <w:t xml:space="preserve"> </w:t>
      </w:r>
      <w:r>
        <w:t>impact</w:t>
      </w:r>
      <w:r>
        <w:rPr>
          <w:spacing w:val="-2"/>
        </w:rPr>
        <w:t xml:space="preserve"> </w:t>
      </w:r>
      <w:r>
        <w:t>of the</w:t>
      </w:r>
      <w:r>
        <w:rPr>
          <w:spacing w:val="-2"/>
        </w:rPr>
        <w:t xml:space="preserve"> </w:t>
      </w:r>
      <w:r>
        <w:t>High</w:t>
      </w:r>
      <w:r>
        <w:rPr>
          <w:spacing w:val="-2"/>
        </w:rPr>
        <w:t xml:space="preserve"> </w:t>
      </w:r>
      <w:r>
        <w:t>Court</w:t>
      </w:r>
      <w:r>
        <w:rPr>
          <w:spacing w:val="-2"/>
        </w:rPr>
        <w:t xml:space="preserve"> </w:t>
      </w:r>
      <w:r>
        <w:t>decision</w:t>
      </w:r>
      <w:r>
        <w:rPr>
          <w:spacing w:val="-2"/>
        </w:rPr>
        <w:t xml:space="preserve"> </w:t>
      </w:r>
      <w:r>
        <w:t>in</w:t>
      </w:r>
      <w:r>
        <w:rPr>
          <w:spacing w:val="-1"/>
        </w:rPr>
        <w:t xml:space="preserve"> </w:t>
      </w:r>
      <w:r>
        <w:t>NZYQ</w:t>
      </w:r>
      <w:r>
        <w:rPr>
          <w:spacing w:val="-1"/>
        </w:rPr>
        <w:t xml:space="preserve"> </w:t>
      </w:r>
      <w:r>
        <w:t>on the</w:t>
      </w:r>
      <w:r>
        <w:rPr>
          <w:spacing w:val="-2"/>
        </w:rPr>
        <w:t xml:space="preserve"> </w:t>
      </w:r>
      <w:r>
        <w:t>future</w:t>
      </w:r>
      <w:r>
        <w:rPr>
          <w:spacing w:val="-2"/>
        </w:rPr>
        <w:t xml:space="preserve"> </w:t>
      </w:r>
      <w:r>
        <w:t>direction of</w:t>
      </w:r>
      <w:r>
        <w:rPr>
          <w:spacing w:val="-2"/>
        </w:rPr>
        <w:t xml:space="preserve"> </w:t>
      </w:r>
      <w:r>
        <w:t>the</w:t>
      </w:r>
      <w:r>
        <w:rPr>
          <w:spacing w:val="-3"/>
        </w:rPr>
        <w:t xml:space="preserve"> </w:t>
      </w:r>
      <w:r>
        <w:t>ATHD</w:t>
      </w:r>
      <w:r>
        <w:rPr>
          <w:spacing w:val="-2"/>
        </w:rPr>
        <w:t xml:space="preserve"> </w:t>
      </w:r>
      <w:r>
        <w:t>program.</w:t>
      </w:r>
      <w:r>
        <w:rPr>
          <w:spacing w:val="-3"/>
        </w:rPr>
        <w:t xml:space="preserve"> </w:t>
      </w:r>
      <w:r>
        <w:t>Development</w:t>
      </w:r>
      <w:r>
        <w:rPr>
          <w:spacing w:val="-3"/>
        </w:rPr>
        <w:t xml:space="preserve"> </w:t>
      </w:r>
      <w:r>
        <w:t>of</w:t>
      </w:r>
      <w:r>
        <w:rPr>
          <w:spacing w:val="-1"/>
        </w:rPr>
        <w:t xml:space="preserve"> </w:t>
      </w:r>
      <w:r>
        <w:t>longer-term options</w:t>
      </w:r>
      <w:r>
        <w:rPr>
          <w:spacing w:val="-2"/>
        </w:rPr>
        <w:t xml:space="preserve"> </w:t>
      </w:r>
      <w:r>
        <w:t>for</w:t>
      </w:r>
      <w:r>
        <w:rPr>
          <w:spacing w:val="-2"/>
        </w:rPr>
        <w:t xml:space="preserve"> </w:t>
      </w:r>
      <w:r>
        <w:t>ATHD</w:t>
      </w:r>
      <w:r>
        <w:rPr>
          <w:spacing w:val="-2"/>
        </w:rPr>
        <w:t xml:space="preserve"> </w:t>
      </w:r>
      <w:r>
        <w:t>may</w:t>
      </w:r>
      <w:r>
        <w:rPr>
          <w:spacing w:val="-9"/>
        </w:rPr>
        <w:t xml:space="preserve"> </w:t>
      </w:r>
      <w:r>
        <w:t>require</w:t>
      </w:r>
      <w:r>
        <w:rPr>
          <w:spacing w:val="-2"/>
        </w:rPr>
        <w:t xml:space="preserve"> </w:t>
      </w:r>
      <w:r>
        <w:t>changes</w:t>
      </w:r>
      <w:r>
        <w:rPr>
          <w:spacing w:val="-2"/>
        </w:rPr>
        <w:t xml:space="preserve"> </w:t>
      </w:r>
      <w:r>
        <w:t>to</w:t>
      </w:r>
      <w:r>
        <w:rPr>
          <w:spacing w:val="-2"/>
        </w:rPr>
        <w:t xml:space="preserve"> </w:t>
      </w:r>
      <w:r>
        <w:t>legislative</w:t>
      </w:r>
      <w:r>
        <w:rPr>
          <w:spacing w:val="-2"/>
        </w:rPr>
        <w:t xml:space="preserve"> </w:t>
      </w:r>
      <w:r>
        <w:t xml:space="preserve">and policy settings. Options for ATHD remain under development and will be subject to policy authority from </w:t>
      </w:r>
      <w:r>
        <w:rPr>
          <w:spacing w:val="-2"/>
        </w:rPr>
        <w:t>Government.</w:t>
      </w:r>
    </w:p>
    <w:p w14:paraId="1AF605BA" w14:textId="77777777" w:rsidR="00A57272" w:rsidRPr="00F77779" w:rsidRDefault="00A57272" w:rsidP="00921036">
      <w:pPr>
        <w:pStyle w:val="Quote"/>
        <w:keepNext/>
        <w:rPr>
          <w:b/>
          <w:bCs/>
          <w:i/>
          <w:iCs w:val="0"/>
        </w:rPr>
      </w:pPr>
      <w:r w:rsidRPr="00F77779">
        <w:rPr>
          <w:b/>
          <w:bCs/>
          <w:i/>
          <w:iCs w:val="0"/>
        </w:rPr>
        <w:t>Recommendation</w:t>
      </w:r>
      <w:r w:rsidRPr="00F77779">
        <w:rPr>
          <w:b/>
          <w:bCs/>
          <w:i/>
          <w:iCs w:val="0"/>
          <w:spacing w:val="-9"/>
        </w:rPr>
        <w:t xml:space="preserve"> </w:t>
      </w:r>
      <w:r w:rsidRPr="00F77779">
        <w:rPr>
          <w:b/>
          <w:bCs/>
          <w:i/>
          <w:iCs w:val="0"/>
        </w:rPr>
        <w:t>2</w:t>
      </w:r>
      <w:r w:rsidRPr="00F77779">
        <w:rPr>
          <w:b/>
          <w:bCs/>
          <w:i/>
          <w:iCs w:val="0"/>
          <w:spacing w:val="-8"/>
        </w:rPr>
        <w:t xml:space="preserve"> </w:t>
      </w:r>
      <w:r w:rsidRPr="00F77779">
        <w:rPr>
          <w:b/>
          <w:bCs/>
          <w:i/>
          <w:iCs w:val="0"/>
        </w:rPr>
        <w:t>–</w:t>
      </w:r>
      <w:r w:rsidRPr="00F77779">
        <w:rPr>
          <w:b/>
          <w:bCs/>
          <w:i/>
          <w:iCs w:val="0"/>
          <w:spacing w:val="-6"/>
        </w:rPr>
        <w:t xml:space="preserve"> </w:t>
      </w:r>
      <w:r w:rsidRPr="00F77779">
        <w:rPr>
          <w:b/>
          <w:bCs/>
          <w:i/>
          <w:iCs w:val="0"/>
          <w:spacing w:val="-4"/>
        </w:rPr>
        <w:t>Agree</w:t>
      </w:r>
    </w:p>
    <w:p w14:paraId="6B4679A0" w14:textId="77777777" w:rsidR="00A57272" w:rsidRPr="00B71968" w:rsidRDefault="00A57272" w:rsidP="00D86AD0">
      <w:pPr>
        <w:pStyle w:val="Quote"/>
        <w:rPr>
          <w:i/>
          <w:iCs w:val="0"/>
        </w:rPr>
      </w:pPr>
      <w:r w:rsidRPr="00B71968">
        <w:rPr>
          <w:i/>
          <w:iCs w:val="0"/>
        </w:rPr>
        <w:t>The Commission recommends that the Department brief the Minister about amendments to the Minister’s</w:t>
      </w:r>
      <w:r w:rsidRPr="00B71968">
        <w:rPr>
          <w:i/>
          <w:iCs w:val="0"/>
          <w:spacing w:val="-1"/>
        </w:rPr>
        <w:t xml:space="preserve"> </w:t>
      </w:r>
      <w:r w:rsidRPr="00B71968">
        <w:rPr>
          <w:i/>
          <w:iCs w:val="0"/>
        </w:rPr>
        <w:t>s</w:t>
      </w:r>
      <w:r w:rsidRPr="00B71968">
        <w:rPr>
          <w:i/>
          <w:iCs w:val="0"/>
          <w:spacing w:val="-3"/>
        </w:rPr>
        <w:t xml:space="preserve"> </w:t>
      </w:r>
      <w:r w:rsidRPr="00B71968">
        <w:rPr>
          <w:i/>
          <w:iCs w:val="0"/>
        </w:rPr>
        <w:t>195A</w:t>
      </w:r>
      <w:r w:rsidRPr="00B71968">
        <w:rPr>
          <w:i/>
          <w:iCs w:val="0"/>
          <w:spacing w:val="-7"/>
        </w:rPr>
        <w:t xml:space="preserve"> </w:t>
      </w:r>
      <w:r w:rsidRPr="00B71968">
        <w:rPr>
          <w:i/>
          <w:iCs w:val="0"/>
        </w:rPr>
        <w:t>and s</w:t>
      </w:r>
      <w:r w:rsidRPr="00B71968">
        <w:rPr>
          <w:i/>
          <w:iCs w:val="0"/>
          <w:spacing w:val="-3"/>
        </w:rPr>
        <w:t xml:space="preserve"> </w:t>
      </w:r>
      <w:r w:rsidRPr="00B71968">
        <w:rPr>
          <w:i/>
          <w:iCs w:val="0"/>
        </w:rPr>
        <w:t>197AB</w:t>
      </w:r>
      <w:r w:rsidRPr="00B71968">
        <w:rPr>
          <w:i/>
          <w:iCs w:val="0"/>
          <w:spacing w:val="-3"/>
        </w:rPr>
        <w:t xml:space="preserve"> </w:t>
      </w:r>
      <w:r w:rsidRPr="00B71968">
        <w:rPr>
          <w:i/>
          <w:iCs w:val="0"/>
        </w:rPr>
        <w:t>guidelines,</w:t>
      </w:r>
      <w:r w:rsidRPr="00B71968">
        <w:rPr>
          <w:i/>
          <w:iCs w:val="0"/>
          <w:spacing w:val="-3"/>
        </w:rPr>
        <w:t xml:space="preserve"> </w:t>
      </w:r>
      <w:r w:rsidRPr="00B71968">
        <w:rPr>
          <w:i/>
          <w:iCs w:val="0"/>
        </w:rPr>
        <w:t>and</w:t>
      </w:r>
      <w:r w:rsidRPr="00B71968">
        <w:rPr>
          <w:i/>
          <w:iCs w:val="0"/>
          <w:spacing w:val="-2"/>
        </w:rPr>
        <w:t xml:space="preserve"> </w:t>
      </w:r>
      <w:r w:rsidRPr="00B71968">
        <w:rPr>
          <w:i/>
          <w:iCs w:val="0"/>
        </w:rPr>
        <w:t>include</w:t>
      </w:r>
      <w:r w:rsidRPr="00B71968">
        <w:rPr>
          <w:i/>
          <w:iCs w:val="0"/>
          <w:spacing w:val="-3"/>
        </w:rPr>
        <w:t xml:space="preserve"> </w:t>
      </w:r>
      <w:r w:rsidRPr="00B71968">
        <w:rPr>
          <w:i/>
          <w:iCs w:val="0"/>
        </w:rPr>
        <w:t>in</w:t>
      </w:r>
      <w:r w:rsidRPr="00B71968">
        <w:rPr>
          <w:i/>
          <w:iCs w:val="0"/>
          <w:spacing w:val="-2"/>
        </w:rPr>
        <w:t xml:space="preserve"> </w:t>
      </w:r>
      <w:r w:rsidRPr="00B71968">
        <w:rPr>
          <w:i/>
          <w:iCs w:val="0"/>
        </w:rPr>
        <w:t>that</w:t>
      </w:r>
      <w:r w:rsidRPr="00B71968">
        <w:rPr>
          <w:i/>
          <w:iCs w:val="0"/>
          <w:spacing w:val="-2"/>
        </w:rPr>
        <w:t xml:space="preserve"> </w:t>
      </w:r>
      <w:r w:rsidRPr="00B71968">
        <w:rPr>
          <w:i/>
          <w:iCs w:val="0"/>
        </w:rPr>
        <w:t>briefing</w:t>
      </w:r>
      <w:r w:rsidRPr="00B71968">
        <w:rPr>
          <w:i/>
          <w:iCs w:val="0"/>
          <w:spacing w:val="-2"/>
        </w:rPr>
        <w:t xml:space="preserve"> </w:t>
      </w:r>
      <w:r w:rsidRPr="00B71968">
        <w:rPr>
          <w:i/>
          <w:iCs w:val="0"/>
        </w:rPr>
        <w:t>the</w:t>
      </w:r>
      <w:r w:rsidRPr="00B71968">
        <w:rPr>
          <w:i/>
          <w:iCs w:val="0"/>
          <w:spacing w:val="-1"/>
        </w:rPr>
        <w:t xml:space="preserve"> </w:t>
      </w:r>
      <w:r w:rsidRPr="00B71968">
        <w:rPr>
          <w:i/>
          <w:iCs w:val="0"/>
        </w:rPr>
        <w:t>Commission’s</w:t>
      </w:r>
      <w:r w:rsidRPr="00B71968">
        <w:rPr>
          <w:i/>
          <w:iCs w:val="0"/>
          <w:spacing w:val="-1"/>
        </w:rPr>
        <w:t xml:space="preserve"> </w:t>
      </w:r>
      <w:r w:rsidRPr="00B71968">
        <w:rPr>
          <w:i/>
          <w:iCs w:val="0"/>
        </w:rPr>
        <w:t>proposal that the guidelines should be amended to provide that:</w:t>
      </w:r>
    </w:p>
    <w:p w14:paraId="09B4CCCA" w14:textId="77777777" w:rsidR="00A57272" w:rsidRPr="00B71968" w:rsidRDefault="00A57272" w:rsidP="00B71968">
      <w:pPr>
        <w:pStyle w:val="Quote"/>
        <w:numPr>
          <w:ilvl w:val="0"/>
          <w:numId w:val="38"/>
        </w:numPr>
        <w:rPr>
          <w:i/>
          <w:iCs w:val="0"/>
        </w:rPr>
      </w:pPr>
      <w:r w:rsidRPr="00B71968">
        <w:rPr>
          <w:i/>
          <w:iCs w:val="0"/>
        </w:rPr>
        <w:t>all people in closed immigration detention are eligible for referral under ss 195A</w:t>
      </w:r>
      <w:r w:rsidRPr="00B71968">
        <w:rPr>
          <w:i/>
          <w:iCs w:val="0"/>
          <w:spacing w:val="-1"/>
        </w:rPr>
        <w:t xml:space="preserve"> </w:t>
      </w:r>
      <w:r w:rsidRPr="00B71968">
        <w:rPr>
          <w:i/>
          <w:iCs w:val="0"/>
        </w:rPr>
        <w:t>and 197AB where</w:t>
      </w:r>
      <w:r w:rsidRPr="00B71968">
        <w:rPr>
          <w:i/>
          <w:iCs w:val="0"/>
          <w:spacing w:val="-4"/>
        </w:rPr>
        <w:t xml:space="preserve"> </w:t>
      </w:r>
      <w:r w:rsidRPr="00B71968">
        <w:rPr>
          <w:i/>
          <w:iCs w:val="0"/>
        </w:rPr>
        <w:t>their</w:t>
      </w:r>
      <w:r w:rsidRPr="00B71968">
        <w:rPr>
          <w:i/>
          <w:iCs w:val="0"/>
          <w:spacing w:val="-5"/>
        </w:rPr>
        <w:t xml:space="preserve"> </w:t>
      </w:r>
      <w:r w:rsidRPr="00B71968">
        <w:rPr>
          <w:i/>
          <w:iCs w:val="0"/>
        </w:rPr>
        <w:t>detention</w:t>
      </w:r>
      <w:r w:rsidRPr="00B71968">
        <w:rPr>
          <w:i/>
          <w:iCs w:val="0"/>
          <w:spacing w:val="-3"/>
        </w:rPr>
        <w:t xml:space="preserve"> </w:t>
      </w:r>
      <w:r w:rsidRPr="00B71968">
        <w:rPr>
          <w:i/>
          <w:iCs w:val="0"/>
        </w:rPr>
        <w:t>has</w:t>
      </w:r>
      <w:r w:rsidRPr="00B71968">
        <w:rPr>
          <w:i/>
          <w:iCs w:val="0"/>
          <w:spacing w:val="-2"/>
        </w:rPr>
        <w:t xml:space="preserve"> </w:t>
      </w:r>
      <w:r w:rsidRPr="00B71968">
        <w:rPr>
          <w:i/>
          <w:iCs w:val="0"/>
        </w:rPr>
        <w:t>been</w:t>
      </w:r>
      <w:r w:rsidRPr="00B71968">
        <w:rPr>
          <w:i/>
          <w:iCs w:val="0"/>
          <w:spacing w:val="-4"/>
        </w:rPr>
        <w:t xml:space="preserve"> </w:t>
      </w:r>
      <w:r w:rsidRPr="00B71968">
        <w:rPr>
          <w:i/>
          <w:iCs w:val="0"/>
        </w:rPr>
        <w:t>protracted,</w:t>
      </w:r>
      <w:r w:rsidRPr="00B71968">
        <w:rPr>
          <w:i/>
          <w:iCs w:val="0"/>
          <w:spacing w:val="-2"/>
        </w:rPr>
        <w:t xml:space="preserve"> </w:t>
      </w:r>
      <w:r w:rsidRPr="00B71968">
        <w:rPr>
          <w:i/>
          <w:iCs w:val="0"/>
        </w:rPr>
        <w:t>and/or</w:t>
      </w:r>
      <w:r w:rsidRPr="00B71968">
        <w:rPr>
          <w:i/>
          <w:iCs w:val="0"/>
          <w:spacing w:val="-2"/>
        </w:rPr>
        <w:t xml:space="preserve"> </w:t>
      </w:r>
      <w:r w:rsidRPr="00B71968">
        <w:rPr>
          <w:i/>
          <w:iCs w:val="0"/>
        </w:rPr>
        <w:t>where</w:t>
      </w:r>
      <w:r w:rsidRPr="00B71968">
        <w:rPr>
          <w:i/>
          <w:iCs w:val="0"/>
          <w:spacing w:val="-4"/>
        </w:rPr>
        <w:t xml:space="preserve"> </w:t>
      </w:r>
      <w:r w:rsidRPr="00B71968">
        <w:rPr>
          <w:i/>
          <w:iCs w:val="0"/>
        </w:rPr>
        <w:t>it</w:t>
      </w:r>
      <w:r w:rsidRPr="00B71968">
        <w:rPr>
          <w:i/>
          <w:iCs w:val="0"/>
          <w:spacing w:val="-3"/>
        </w:rPr>
        <w:t xml:space="preserve"> </w:t>
      </w:r>
      <w:r w:rsidRPr="00B71968">
        <w:rPr>
          <w:i/>
          <w:iCs w:val="0"/>
        </w:rPr>
        <w:t>appears</w:t>
      </w:r>
      <w:r w:rsidRPr="00B71968">
        <w:rPr>
          <w:i/>
          <w:iCs w:val="0"/>
          <w:spacing w:val="-4"/>
        </w:rPr>
        <w:t xml:space="preserve"> </w:t>
      </w:r>
      <w:r w:rsidRPr="00B71968">
        <w:rPr>
          <w:i/>
          <w:iCs w:val="0"/>
        </w:rPr>
        <w:t>likely</w:t>
      </w:r>
      <w:r w:rsidRPr="00B71968">
        <w:rPr>
          <w:i/>
          <w:iCs w:val="0"/>
          <w:spacing w:val="-4"/>
        </w:rPr>
        <w:t xml:space="preserve"> </w:t>
      </w:r>
      <w:r w:rsidRPr="00B71968">
        <w:rPr>
          <w:i/>
          <w:iCs w:val="0"/>
        </w:rPr>
        <w:t>that</w:t>
      </w:r>
      <w:r w:rsidRPr="00B71968">
        <w:rPr>
          <w:i/>
          <w:iCs w:val="0"/>
          <w:spacing w:val="-3"/>
        </w:rPr>
        <w:t xml:space="preserve"> </w:t>
      </w:r>
      <w:r w:rsidRPr="00B71968">
        <w:rPr>
          <w:i/>
          <w:iCs w:val="0"/>
        </w:rPr>
        <w:t>their</w:t>
      </w:r>
      <w:r w:rsidRPr="00B71968">
        <w:rPr>
          <w:i/>
          <w:iCs w:val="0"/>
          <w:spacing w:val="-4"/>
        </w:rPr>
        <w:t xml:space="preserve"> </w:t>
      </w:r>
      <w:r w:rsidRPr="00B71968">
        <w:rPr>
          <w:i/>
          <w:iCs w:val="0"/>
        </w:rPr>
        <w:t>detention will continue for any significant period</w:t>
      </w:r>
    </w:p>
    <w:p w14:paraId="782116F4" w14:textId="77777777" w:rsidR="00A57272" w:rsidRPr="00B71968" w:rsidRDefault="00A57272" w:rsidP="00B71968">
      <w:pPr>
        <w:pStyle w:val="Quote"/>
        <w:numPr>
          <w:ilvl w:val="0"/>
          <w:numId w:val="38"/>
        </w:numPr>
        <w:rPr>
          <w:i/>
          <w:iCs w:val="0"/>
        </w:rPr>
      </w:pPr>
      <w:r w:rsidRPr="00B71968">
        <w:rPr>
          <w:i/>
          <w:iCs w:val="0"/>
        </w:rPr>
        <w:t>where</w:t>
      </w:r>
      <w:r w:rsidRPr="00B71968">
        <w:rPr>
          <w:i/>
          <w:iCs w:val="0"/>
          <w:spacing w:val="-3"/>
        </w:rPr>
        <w:t xml:space="preserve"> </w:t>
      </w:r>
      <w:r w:rsidRPr="00B71968">
        <w:rPr>
          <w:i/>
          <w:iCs w:val="0"/>
        </w:rPr>
        <w:t>the</w:t>
      </w:r>
      <w:r w:rsidRPr="00B71968">
        <w:rPr>
          <w:i/>
          <w:iCs w:val="0"/>
          <w:spacing w:val="-3"/>
        </w:rPr>
        <w:t xml:space="preserve"> </w:t>
      </w:r>
      <w:r w:rsidRPr="00B71968">
        <w:rPr>
          <w:i/>
          <w:iCs w:val="0"/>
        </w:rPr>
        <w:t>Minister</w:t>
      </w:r>
      <w:r w:rsidRPr="00B71968">
        <w:rPr>
          <w:i/>
          <w:iCs w:val="0"/>
          <w:spacing w:val="-4"/>
        </w:rPr>
        <w:t xml:space="preserve"> </w:t>
      </w:r>
      <w:r w:rsidRPr="00B71968">
        <w:rPr>
          <w:i/>
          <w:iCs w:val="0"/>
        </w:rPr>
        <w:t>has</w:t>
      </w:r>
      <w:r w:rsidRPr="00B71968">
        <w:rPr>
          <w:i/>
          <w:iCs w:val="0"/>
          <w:spacing w:val="-3"/>
        </w:rPr>
        <w:t xml:space="preserve"> </w:t>
      </w:r>
      <w:r w:rsidRPr="00B71968">
        <w:rPr>
          <w:i/>
          <w:iCs w:val="0"/>
        </w:rPr>
        <w:t>previously</w:t>
      </w:r>
      <w:r w:rsidRPr="00B71968">
        <w:rPr>
          <w:i/>
          <w:iCs w:val="0"/>
          <w:spacing w:val="-6"/>
        </w:rPr>
        <w:t xml:space="preserve"> </w:t>
      </w:r>
      <w:r w:rsidRPr="00B71968">
        <w:rPr>
          <w:i/>
          <w:iCs w:val="0"/>
        </w:rPr>
        <w:t>decided</w:t>
      </w:r>
      <w:r w:rsidRPr="00B71968">
        <w:rPr>
          <w:i/>
          <w:iCs w:val="0"/>
          <w:spacing w:val="-2"/>
        </w:rPr>
        <w:t xml:space="preserve"> </w:t>
      </w:r>
      <w:r w:rsidRPr="00B71968">
        <w:rPr>
          <w:i/>
          <w:iCs w:val="0"/>
        </w:rPr>
        <w:t>not</w:t>
      </w:r>
      <w:r w:rsidRPr="00B71968">
        <w:rPr>
          <w:i/>
          <w:iCs w:val="0"/>
          <w:spacing w:val="-2"/>
        </w:rPr>
        <w:t xml:space="preserve"> </w:t>
      </w:r>
      <w:r w:rsidRPr="00B71968">
        <w:rPr>
          <w:i/>
          <w:iCs w:val="0"/>
        </w:rPr>
        <w:t>to</w:t>
      </w:r>
      <w:r w:rsidRPr="00B71968">
        <w:rPr>
          <w:i/>
          <w:iCs w:val="0"/>
          <w:spacing w:val="-2"/>
        </w:rPr>
        <w:t xml:space="preserve"> </w:t>
      </w:r>
      <w:r w:rsidRPr="00B71968">
        <w:rPr>
          <w:i/>
          <w:iCs w:val="0"/>
        </w:rPr>
        <w:t>consider</w:t>
      </w:r>
      <w:r w:rsidRPr="00B71968">
        <w:rPr>
          <w:i/>
          <w:iCs w:val="0"/>
          <w:spacing w:val="-1"/>
        </w:rPr>
        <w:t xml:space="preserve"> </w:t>
      </w:r>
      <w:r w:rsidRPr="00B71968">
        <w:rPr>
          <w:i/>
          <w:iCs w:val="0"/>
        </w:rPr>
        <w:t>exercising</w:t>
      </w:r>
      <w:r w:rsidRPr="00B71968">
        <w:rPr>
          <w:i/>
          <w:iCs w:val="0"/>
          <w:spacing w:val="-2"/>
        </w:rPr>
        <w:t xml:space="preserve"> </w:t>
      </w:r>
      <w:r w:rsidRPr="00B71968">
        <w:rPr>
          <w:i/>
          <w:iCs w:val="0"/>
        </w:rPr>
        <w:t>the</w:t>
      </w:r>
      <w:r w:rsidRPr="00B71968">
        <w:rPr>
          <w:i/>
          <w:iCs w:val="0"/>
          <w:spacing w:val="-3"/>
        </w:rPr>
        <w:t xml:space="preserve"> </w:t>
      </w:r>
      <w:r w:rsidRPr="00B71968">
        <w:rPr>
          <w:i/>
          <w:iCs w:val="0"/>
        </w:rPr>
        <w:t>powers</w:t>
      </w:r>
      <w:r w:rsidRPr="00B71968">
        <w:rPr>
          <w:i/>
          <w:iCs w:val="0"/>
          <w:spacing w:val="-3"/>
        </w:rPr>
        <w:t xml:space="preserve"> </w:t>
      </w:r>
      <w:r w:rsidRPr="00B71968">
        <w:rPr>
          <w:i/>
          <w:iCs w:val="0"/>
        </w:rPr>
        <w:t>under</w:t>
      </w:r>
      <w:r w:rsidRPr="00B71968">
        <w:rPr>
          <w:i/>
          <w:iCs w:val="0"/>
          <w:spacing w:val="-3"/>
        </w:rPr>
        <w:t xml:space="preserve"> </w:t>
      </w:r>
      <w:r w:rsidRPr="00B71968">
        <w:rPr>
          <w:i/>
          <w:iCs w:val="0"/>
        </w:rPr>
        <w:t>either s 195A or s 197AB in relation to a person, or has considered exercising those powers and declined to do so, the Department may nevertheless re-refer that person to the Minister if the person has remained in closed detention for a further protracted period.</w:t>
      </w:r>
    </w:p>
    <w:p w14:paraId="661DD97F" w14:textId="77777777" w:rsidR="00B71968" w:rsidRDefault="00B71968" w:rsidP="00B71968">
      <w:pPr>
        <w:pStyle w:val="Quote"/>
      </w:pPr>
      <w:r>
        <w:t xml:space="preserve">The Department is currently considering the implications of the High Court’s decision in </w:t>
      </w:r>
      <w:r>
        <w:rPr>
          <w:i/>
        </w:rPr>
        <w:t>Davis v Minister for Immigration,</w:t>
      </w:r>
      <w:r>
        <w:rPr>
          <w:i/>
          <w:spacing w:val="-3"/>
        </w:rPr>
        <w:t xml:space="preserve"> </w:t>
      </w:r>
      <w:r>
        <w:rPr>
          <w:i/>
        </w:rPr>
        <w:t>Citizenship, Migrant</w:t>
      </w:r>
      <w:r>
        <w:rPr>
          <w:i/>
          <w:spacing w:val="-3"/>
        </w:rPr>
        <w:t xml:space="preserve"> </w:t>
      </w:r>
      <w:r>
        <w:rPr>
          <w:i/>
        </w:rPr>
        <w:t>Services</w:t>
      </w:r>
      <w:r>
        <w:rPr>
          <w:i/>
          <w:spacing w:val="-4"/>
        </w:rPr>
        <w:t xml:space="preserve"> </w:t>
      </w:r>
      <w:r>
        <w:rPr>
          <w:i/>
        </w:rPr>
        <w:t>and</w:t>
      </w:r>
      <w:r>
        <w:rPr>
          <w:i/>
          <w:spacing w:val="-1"/>
        </w:rPr>
        <w:t xml:space="preserve"> </w:t>
      </w:r>
      <w:r>
        <w:rPr>
          <w:i/>
        </w:rPr>
        <w:t>Multicultural</w:t>
      </w:r>
      <w:r>
        <w:rPr>
          <w:i/>
          <w:spacing w:val="-4"/>
        </w:rPr>
        <w:t xml:space="preserve"> </w:t>
      </w:r>
      <w:r>
        <w:rPr>
          <w:i/>
        </w:rPr>
        <w:t>Affairs</w:t>
      </w:r>
      <w:r>
        <w:rPr>
          <w:i/>
          <w:spacing w:val="-4"/>
        </w:rPr>
        <w:t xml:space="preserve"> </w:t>
      </w:r>
      <w:r>
        <w:t>[2023]</w:t>
      </w:r>
      <w:r>
        <w:rPr>
          <w:spacing w:val="-3"/>
        </w:rPr>
        <w:t xml:space="preserve"> </w:t>
      </w:r>
      <w:r>
        <w:t>HCA</w:t>
      </w:r>
      <w:r>
        <w:rPr>
          <w:spacing w:val="-3"/>
        </w:rPr>
        <w:t xml:space="preserve"> </w:t>
      </w:r>
      <w:r>
        <w:t>10</w:t>
      </w:r>
      <w:r>
        <w:rPr>
          <w:spacing w:val="-3"/>
        </w:rPr>
        <w:t xml:space="preserve"> </w:t>
      </w:r>
      <w:r>
        <w:t>on</w:t>
      </w:r>
      <w:r>
        <w:rPr>
          <w:spacing w:val="-5"/>
        </w:rPr>
        <w:t xml:space="preserve"> </w:t>
      </w:r>
      <w:r>
        <w:t>ministerial</w:t>
      </w:r>
      <w:r>
        <w:rPr>
          <w:spacing w:val="-4"/>
        </w:rPr>
        <w:t xml:space="preserve"> </w:t>
      </w:r>
      <w:r>
        <w:t>intervention processes. Further information about the Department’s approach will be made available in due course.</w:t>
      </w:r>
    </w:p>
    <w:p w14:paraId="222DD998" w14:textId="77777777" w:rsidR="00B71968" w:rsidRDefault="00B71968" w:rsidP="00B71968">
      <w:pPr>
        <w:pStyle w:val="Quote"/>
      </w:pPr>
      <w:r>
        <w:t>The</w:t>
      </w:r>
      <w:r>
        <w:rPr>
          <w:spacing w:val="-1"/>
        </w:rPr>
        <w:t xml:space="preserve"> </w:t>
      </w:r>
      <w:r>
        <w:t>Department will provide</w:t>
      </w:r>
      <w:r>
        <w:rPr>
          <w:spacing w:val="-1"/>
        </w:rPr>
        <w:t xml:space="preserve"> </w:t>
      </w:r>
      <w:r>
        <w:t>the Commission’s recommendations to</w:t>
      </w:r>
      <w:r>
        <w:rPr>
          <w:spacing w:val="-1"/>
        </w:rPr>
        <w:t xml:space="preserve"> </w:t>
      </w:r>
      <w:r>
        <w:t>the</w:t>
      </w:r>
      <w:r>
        <w:rPr>
          <w:spacing w:val="-1"/>
        </w:rPr>
        <w:t xml:space="preserve"> </w:t>
      </w:r>
      <w:r>
        <w:t>Minister’s office</w:t>
      </w:r>
      <w:r>
        <w:rPr>
          <w:spacing w:val="-1"/>
        </w:rPr>
        <w:t xml:space="preserve"> </w:t>
      </w:r>
      <w:r>
        <w:t>and will attach them for the Minister’s consideration when briefing the Minister on options to review</w:t>
      </w:r>
      <w:r>
        <w:rPr>
          <w:spacing w:val="-2"/>
        </w:rPr>
        <w:t xml:space="preserve"> </w:t>
      </w:r>
      <w:r>
        <w:t>the sections 195A</w:t>
      </w:r>
      <w:r>
        <w:rPr>
          <w:spacing w:val="-1"/>
        </w:rPr>
        <w:t xml:space="preserve"> </w:t>
      </w:r>
      <w:r>
        <w:t>and 197AB Ministerial</w:t>
      </w:r>
      <w:r>
        <w:rPr>
          <w:spacing w:val="-4"/>
        </w:rPr>
        <w:t xml:space="preserve"> </w:t>
      </w:r>
      <w:r>
        <w:t>Intervention</w:t>
      </w:r>
      <w:r>
        <w:rPr>
          <w:spacing w:val="-3"/>
        </w:rPr>
        <w:t xml:space="preserve"> </w:t>
      </w:r>
      <w:r>
        <w:t>guidelines.</w:t>
      </w:r>
      <w:r>
        <w:rPr>
          <w:spacing w:val="40"/>
        </w:rPr>
        <w:t xml:space="preserve"> </w:t>
      </w:r>
      <w:r>
        <w:t>It</w:t>
      </w:r>
      <w:r>
        <w:rPr>
          <w:spacing w:val="-3"/>
        </w:rPr>
        <w:t xml:space="preserve"> </w:t>
      </w:r>
      <w:r>
        <w:t>is</w:t>
      </w:r>
      <w:r>
        <w:rPr>
          <w:spacing w:val="-1"/>
        </w:rPr>
        <w:t xml:space="preserve"> </w:t>
      </w:r>
      <w:r>
        <w:t>a</w:t>
      </w:r>
      <w:r>
        <w:rPr>
          <w:spacing w:val="-1"/>
        </w:rPr>
        <w:t xml:space="preserve"> </w:t>
      </w:r>
      <w:r>
        <w:t>matter</w:t>
      </w:r>
      <w:r>
        <w:rPr>
          <w:spacing w:val="-2"/>
        </w:rPr>
        <w:t xml:space="preserve"> </w:t>
      </w:r>
      <w:r>
        <w:t>for</w:t>
      </w:r>
      <w:r>
        <w:rPr>
          <w:spacing w:val="-2"/>
        </w:rPr>
        <w:t xml:space="preserve"> </w:t>
      </w:r>
      <w:r>
        <w:t>the</w:t>
      </w:r>
      <w:r>
        <w:rPr>
          <w:spacing w:val="-3"/>
        </w:rPr>
        <w:t xml:space="preserve"> </w:t>
      </w:r>
      <w:r>
        <w:t>Minister what</w:t>
      </w:r>
      <w:r>
        <w:rPr>
          <w:spacing w:val="-3"/>
        </w:rPr>
        <w:t xml:space="preserve"> </w:t>
      </w:r>
      <w:r>
        <w:t>criteria</w:t>
      </w:r>
      <w:r>
        <w:rPr>
          <w:spacing w:val="-3"/>
        </w:rPr>
        <w:t xml:space="preserve"> </w:t>
      </w:r>
      <w:r>
        <w:t>should</w:t>
      </w:r>
      <w:r>
        <w:rPr>
          <w:spacing w:val="-3"/>
        </w:rPr>
        <w:t xml:space="preserve"> </w:t>
      </w:r>
      <w:r>
        <w:t>be</w:t>
      </w:r>
      <w:r>
        <w:rPr>
          <w:spacing w:val="-1"/>
        </w:rPr>
        <w:t xml:space="preserve"> </w:t>
      </w:r>
      <w:r>
        <w:t>included</w:t>
      </w:r>
      <w:r>
        <w:rPr>
          <w:spacing w:val="-3"/>
        </w:rPr>
        <w:t xml:space="preserve"> </w:t>
      </w:r>
      <w:r>
        <w:t>in</w:t>
      </w:r>
      <w:r>
        <w:rPr>
          <w:spacing w:val="-3"/>
        </w:rPr>
        <w:t xml:space="preserve"> </w:t>
      </w:r>
      <w:r>
        <w:t>Ministerial Intervention instructions.</w:t>
      </w:r>
    </w:p>
    <w:p w14:paraId="54016ABE" w14:textId="77777777" w:rsidR="00B71968" w:rsidRDefault="00B71968" w:rsidP="00B71968">
      <w:pPr>
        <w:pStyle w:val="Quote"/>
        <w:rPr>
          <w:b/>
          <w:i/>
        </w:rPr>
      </w:pPr>
      <w:r>
        <w:rPr>
          <w:b/>
          <w:i/>
        </w:rPr>
        <w:t>Recommendation</w:t>
      </w:r>
      <w:r>
        <w:rPr>
          <w:b/>
          <w:i/>
          <w:spacing w:val="-7"/>
        </w:rPr>
        <w:t xml:space="preserve"> </w:t>
      </w:r>
      <w:r>
        <w:rPr>
          <w:b/>
          <w:i/>
        </w:rPr>
        <w:t>3</w:t>
      </w:r>
      <w:r>
        <w:rPr>
          <w:b/>
          <w:i/>
          <w:spacing w:val="-8"/>
        </w:rPr>
        <w:t xml:space="preserve"> </w:t>
      </w:r>
      <w:r>
        <w:rPr>
          <w:b/>
          <w:i/>
        </w:rPr>
        <w:t>-</w:t>
      </w:r>
      <w:r>
        <w:rPr>
          <w:b/>
          <w:i/>
          <w:spacing w:val="-7"/>
        </w:rPr>
        <w:t xml:space="preserve"> </w:t>
      </w:r>
      <w:r>
        <w:rPr>
          <w:b/>
          <w:i/>
          <w:spacing w:val="-2"/>
        </w:rPr>
        <w:t>Disagree</w:t>
      </w:r>
    </w:p>
    <w:p w14:paraId="5568E2A6" w14:textId="3BF84491" w:rsidR="00B71968" w:rsidRPr="00B71968" w:rsidRDefault="00B71968" w:rsidP="00B71968">
      <w:pPr>
        <w:pStyle w:val="Quote"/>
        <w:rPr>
          <w:bCs/>
          <w:i/>
          <w:iCs w:val="0"/>
        </w:rPr>
      </w:pPr>
      <w:r w:rsidRPr="00B71968">
        <w:rPr>
          <w:bCs/>
          <w:i/>
          <w:iCs w:val="0"/>
        </w:rPr>
        <w:t>The</w:t>
      </w:r>
      <w:r w:rsidRPr="00B71968">
        <w:rPr>
          <w:bCs/>
          <w:i/>
          <w:iCs w:val="0"/>
          <w:spacing w:val="-3"/>
        </w:rPr>
        <w:t xml:space="preserve"> </w:t>
      </w:r>
      <w:r w:rsidRPr="00B71968">
        <w:rPr>
          <w:bCs/>
          <w:i/>
          <w:iCs w:val="0"/>
        </w:rPr>
        <w:t>Commonwealth</w:t>
      </w:r>
      <w:r w:rsidRPr="00B71968">
        <w:rPr>
          <w:bCs/>
          <w:i/>
          <w:iCs w:val="0"/>
          <w:spacing w:val="-2"/>
        </w:rPr>
        <w:t xml:space="preserve"> </w:t>
      </w:r>
      <w:r w:rsidRPr="00B71968">
        <w:rPr>
          <w:bCs/>
          <w:i/>
          <w:iCs w:val="0"/>
        </w:rPr>
        <w:t>provide</w:t>
      </w:r>
      <w:r w:rsidRPr="00B71968">
        <w:rPr>
          <w:bCs/>
          <w:i/>
          <w:iCs w:val="0"/>
          <w:spacing w:val="-3"/>
        </w:rPr>
        <w:t xml:space="preserve"> </w:t>
      </w:r>
      <w:r w:rsidRPr="00B71968">
        <w:rPr>
          <w:bCs/>
          <w:i/>
          <w:iCs w:val="0"/>
        </w:rPr>
        <w:t>a</w:t>
      </w:r>
      <w:r w:rsidRPr="00B71968">
        <w:rPr>
          <w:bCs/>
          <w:i/>
          <w:iCs w:val="0"/>
          <w:spacing w:val="-3"/>
        </w:rPr>
        <w:t xml:space="preserve"> </w:t>
      </w:r>
      <w:r w:rsidRPr="00B71968">
        <w:rPr>
          <w:bCs/>
          <w:i/>
          <w:iCs w:val="0"/>
        </w:rPr>
        <w:t>written</w:t>
      </w:r>
      <w:r w:rsidRPr="00B71968">
        <w:rPr>
          <w:bCs/>
          <w:i/>
          <w:iCs w:val="0"/>
          <w:spacing w:val="-2"/>
        </w:rPr>
        <w:t xml:space="preserve"> </w:t>
      </w:r>
      <w:r w:rsidRPr="00B71968">
        <w:rPr>
          <w:bCs/>
          <w:i/>
          <w:iCs w:val="0"/>
        </w:rPr>
        <w:t>apology</w:t>
      </w:r>
      <w:r w:rsidRPr="00B71968">
        <w:rPr>
          <w:bCs/>
          <w:i/>
          <w:iCs w:val="0"/>
          <w:spacing w:val="-6"/>
        </w:rPr>
        <w:t xml:space="preserve"> </w:t>
      </w:r>
      <w:r w:rsidRPr="00B71968">
        <w:rPr>
          <w:bCs/>
          <w:i/>
          <w:iCs w:val="0"/>
        </w:rPr>
        <w:t>to</w:t>
      </w:r>
      <w:r w:rsidRPr="00B71968">
        <w:rPr>
          <w:bCs/>
          <w:i/>
          <w:iCs w:val="0"/>
          <w:spacing w:val="-2"/>
        </w:rPr>
        <w:t xml:space="preserve"> </w:t>
      </w:r>
      <w:r w:rsidR="007C713E">
        <w:rPr>
          <w:bCs/>
          <w:i/>
          <w:iCs w:val="0"/>
        </w:rPr>
        <w:t>Mr CZ</w:t>
      </w:r>
      <w:r w:rsidRPr="00B71968">
        <w:rPr>
          <w:bCs/>
          <w:i/>
          <w:iCs w:val="0"/>
          <w:spacing w:val="-3"/>
        </w:rPr>
        <w:t xml:space="preserve"> </w:t>
      </w:r>
      <w:r w:rsidRPr="00B71968">
        <w:rPr>
          <w:bCs/>
          <w:i/>
          <w:iCs w:val="0"/>
        </w:rPr>
        <w:t>for</w:t>
      </w:r>
      <w:r w:rsidRPr="00B71968">
        <w:rPr>
          <w:bCs/>
          <w:i/>
          <w:iCs w:val="0"/>
          <w:spacing w:val="-1"/>
        </w:rPr>
        <w:t xml:space="preserve"> </w:t>
      </w:r>
      <w:r w:rsidRPr="00B71968">
        <w:rPr>
          <w:bCs/>
          <w:i/>
          <w:iCs w:val="0"/>
        </w:rPr>
        <w:t>the</w:t>
      </w:r>
      <w:r w:rsidRPr="00B71968">
        <w:rPr>
          <w:bCs/>
          <w:i/>
          <w:iCs w:val="0"/>
          <w:spacing w:val="-3"/>
        </w:rPr>
        <w:t xml:space="preserve"> </w:t>
      </w:r>
      <w:r w:rsidRPr="00B71968">
        <w:rPr>
          <w:bCs/>
          <w:i/>
          <w:iCs w:val="0"/>
        </w:rPr>
        <w:t>delay</w:t>
      </w:r>
      <w:r w:rsidRPr="00B71968">
        <w:rPr>
          <w:bCs/>
          <w:i/>
          <w:iCs w:val="0"/>
          <w:spacing w:val="-3"/>
        </w:rPr>
        <w:t xml:space="preserve"> </w:t>
      </w:r>
      <w:r w:rsidRPr="00B71968">
        <w:rPr>
          <w:bCs/>
          <w:i/>
          <w:iCs w:val="0"/>
        </w:rPr>
        <w:t>in releasing</w:t>
      </w:r>
      <w:r w:rsidRPr="00B71968">
        <w:rPr>
          <w:bCs/>
          <w:i/>
          <w:iCs w:val="0"/>
          <w:spacing w:val="-2"/>
        </w:rPr>
        <w:t xml:space="preserve"> </w:t>
      </w:r>
      <w:r w:rsidRPr="00B71968">
        <w:rPr>
          <w:bCs/>
          <w:i/>
          <w:iCs w:val="0"/>
        </w:rPr>
        <w:t>him</w:t>
      </w:r>
      <w:r w:rsidRPr="00B71968">
        <w:rPr>
          <w:bCs/>
          <w:i/>
          <w:iCs w:val="0"/>
          <w:spacing w:val="-3"/>
        </w:rPr>
        <w:t xml:space="preserve"> </w:t>
      </w:r>
      <w:r w:rsidRPr="00B71968">
        <w:rPr>
          <w:bCs/>
          <w:i/>
          <w:iCs w:val="0"/>
        </w:rPr>
        <w:t>from</w:t>
      </w:r>
      <w:r w:rsidRPr="00B71968">
        <w:rPr>
          <w:bCs/>
          <w:i/>
          <w:iCs w:val="0"/>
          <w:spacing w:val="-2"/>
        </w:rPr>
        <w:t xml:space="preserve"> </w:t>
      </w:r>
      <w:r w:rsidRPr="00B71968">
        <w:rPr>
          <w:bCs/>
          <w:i/>
          <w:iCs w:val="0"/>
        </w:rPr>
        <w:t>closed detention in view of the clear evidence of his compelling circumstances.</w:t>
      </w:r>
    </w:p>
    <w:p w14:paraId="46885D98" w14:textId="5560DA70" w:rsidR="00CA54B5" w:rsidRDefault="00B71968" w:rsidP="00B03265">
      <w:pPr>
        <w:pStyle w:val="Quote"/>
      </w:pPr>
      <w:r>
        <w:t>While</w:t>
      </w:r>
      <w:r>
        <w:rPr>
          <w:spacing w:val="-3"/>
        </w:rPr>
        <w:t xml:space="preserve"> </w:t>
      </w:r>
      <w:r>
        <w:t>the</w:t>
      </w:r>
      <w:r>
        <w:rPr>
          <w:spacing w:val="-4"/>
        </w:rPr>
        <w:t xml:space="preserve"> </w:t>
      </w:r>
      <w:r>
        <w:t>Department</w:t>
      </w:r>
      <w:r>
        <w:rPr>
          <w:spacing w:val="-3"/>
        </w:rPr>
        <w:t xml:space="preserve"> </w:t>
      </w:r>
      <w:r>
        <w:t>acknowledges</w:t>
      </w:r>
      <w:r>
        <w:rPr>
          <w:spacing w:val="-2"/>
        </w:rPr>
        <w:t xml:space="preserve"> </w:t>
      </w:r>
      <w:r>
        <w:t>the</w:t>
      </w:r>
      <w:r>
        <w:rPr>
          <w:spacing w:val="-3"/>
        </w:rPr>
        <w:t xml:space="preserve"> </w:t>
      </w:r>
      <w:r>
        <w:t>circumstances</w:t>
      </w:r>
      <w:r>
        <w:rPr>
          <w:spacing w:val="-2"/>
        </w:rPr>
        <w:t xml:space="preserve"> </w:t>
      </w:r>
      <w:r>
        <w:t>raised</w:t>
      </w:r>
      <w:r>
        <w:rPr>
          <w:spacing w:val="-3"/>
        </w:rPr>
        <w:t xml:space="preserve"> </w:t>
      </w:r>
      <w:r>
        <w:t>in</w:t>
      </w:r>
      <w:r>
        <w:rPr>
          <w:spacing w:val="-3"/>
        </w:rPr>
        <w:t xml:space="preserve"> </w:t>
      </w:r>
      <w:r>
        <w:t>the</w:t>
      </w:r>
      <w:r>
        <w:rPr>
          <w:spacing w:val="-3"/>
        </w:rPr>
        <w:t xml:space="preserve"> </w:t>
      </w:r>
      <w:r>
        <w:t>complaint,</w:t>
      </w:r>
      <w:r>
        <w:rPr>
          <w:spacing w:val="-3"/>
        </w:rPr>
        <w:t xml:space="preserve"> </w:t>
      </w:r>
      <w:r>
        <w:t>the</w:t>
      </w:r>
      <w:r>
        <w:rPr>
          <w:spacing w:val="-3"/>
        </w:rPr>
        <w:t xml:space="preserve"> </w:t>
      </w:r>
      <w:r>
        <w:t>Department</w:t>
      </w:r>
      <w:r>
        <w:rPr>
          <w:spacing w:val="-3"/>
        </w:rPr>
        <w:t xml:space="preserve"> </w:t>
      </w:r>
      <w:r>
        <w:t>does</w:t>
      </w:r>
      <w:r>
        <w:rPr>
          <w:spacing w:val="-2"/>
        </w:rPr>
        <w:t xml:space="preserve"> </w:t>
      </w:r>
      <w:r>
        <w:t>not consider it appropriate to issue an apology at this time.</w:t>
      </w:r>
    </w:p>
    <w:p w14:paraId="13AED22A" w14:textId="77777777" w:rsidR="00FF6768" w:rsidRDefault="00FF6768" w:rsidP="00FF6768"/>
    <w:p w14:paraId="78352D44" w14:textId="77777777" w:rsidR="00FF6768" w:rsidRPr="00FF6768" w:rsidRDefault="00FF6768" w:rsidP="00FF6768"/>
    <w:p w14:paraId="16D2BC4F" w14:textId="77777777" w:rsidR="00B43442" w:rsidRPr="00D60B17" w:rsidRDefault="00B43442" w:rsidP="00B43442">
      <w:pPr>
        <w:pStyle w:val="Quote"/>
        <w:ind w:left="720" w:firstLine="720"/>
        <w:rPr>
          <w:szCs w:val="22"/>
        </w:rPr>
      </w:pPr>
      <w:r>
        <w:rPr>
          <w:b/>
        </w:rPr>
        <w:t>Table</w:t>
      </w:r>
      <w:r>
        <w:rPr>
          <w:b/>
          <w:spacing w:val="-4"/>
        </w:rPr>
        <w:t xml:space="preserve"> </w:t>
      </w:r>
      <w:r>
        <w:rPr>
          <w:b/>
        </w:rPr>
        <w:t>1</w:t>
      </w:r>
      <w:r>
        <w:rPr>
          <w:b/>
          <w:spacing w:val="-3"/>
        </w:rPr>
        <w:t xml:space="preserve"> </w:t>
      </w:r>
      <w:r>
        <w:rPr>
          <w:b/>
        </w:rPr>
        <w:t>-</w:t>
      </w:r>
      <w:r>
        <w:rPr>
          <w:b/>
          <w:spacing w:val="-4"/>
        </w:rPr>
        <w:t xml:space="preserve"> </w:t>
      </w:r>
      <w:r>
        <w:rPr>
          <w:b/>
        </w:rPr>
        <w:t>Summary</w:t>
      </w:r>
      <w:r>
        <w:rPr>
          <w:b/>
          <w:spacing w:val="-6"/>
        </w:rPr>
        <w:t xml:space="preserve"> </w:t>
      </w:r>
      <w:r>
        <w:rPr>
          <w:b/>
        </w:rPr>
        <w:t>of</w:t>
      </w:r>
      <w:r>
        <w:rPr>
          <w:b/>
          <w:spacing w:val="-1"/>
        </w:rPr>
        <w:t xml:space="preserve"> </w:t>
      </w:r>
      <w:r>
        <w:rPr>
          <w:b/>
        </w:rPr>
        <w:t>Department’s</w:t>
      </w:r>
      <w:r>
        <w:rPr>
          <w:b/>
          <w:spacing w:val="-5"/>
        </w:rPr>
        <w:t xml:space="preserve"> </w:t>
      </w:r>
      <w:r>
        <w:rPr>
          <w:b/>
        </w:rPr>
        <w:t>response</w:t>
      </w:r>
      <w:r>
        <w:rPr>
          <w:b/>
          <w:spacing w:val="-5"/>
        </w:rPr>
        <w:t xml:space="preserve"> </w:t>
      </w:r>
      <w:r>
        <w:rPr>
          <w:b/>
        </w:rPr>
        <w:t>to</w:t>
      </w:r>
      <w:r>
        <w:rPr>
          <w:b/>
          <w:spacing w:val="-2"/>
        </w:rPr>
        <w:t xml:space="preserve"> recommendations</w:t>
      </w:r>
    </w:p>
    <w:tbl>
      <w:tblPr>
        <w:tblStyle w:val="TableGrid"/>
        <w:tblW w:w="0" w:type="auto"/>
        <w:tblInd w:w="1440" w:type="dxa"/>
        <w:tblLook w:val="04A0" w:firstRow="1" w:lastRow="0" w:firstColumn="1" w:lastColumn="0" w:noHBand="0" w:noVBand="1"/>
      </w:tblPr>
      <w:tblGrid>
        <w:gridCol w:w="3233"/>
        <w:gridCol w:w="4387"/>
      </w:tblGrid>
      <w:tr w:rsidR="00B43442" w:rsidRPr="00A61D4B" w14:paraId="688372A3" w14:textId="77777777" w:rsidTr="00EA7870">
        <w:tc>
          <w:tcPr>
            <w:tcW w:w="3233" w:type="dxa"/>
            <w:shd w:val="clear" w:color="auto" w:fill="E7E6E6" w:themeFill="background2"/>
          </w:tcPr>
          <w:p w14:paraId="2D8EE862" w14:textId="77777777" w:rsidR="00B43442" w:rsidRPr="00FC1A06" w:rsidRDefault="00B43442" w:rsidP="00B43442">
            <w:pPr>
              <w:pStyle w:val="Style2"/>
              <w:numPr>
                <w:ilvl w:val="0"/>
                <w:numId w:val="30"/>
              </w:numPr>
              <w:tabs>
                <w:tab w:val="clear" w:pos="720"/>
              </w:tabs>
              <w:spacing w:before="0" w:after="0" w:line="300" w:lineRule="exact"/>
              <w:ind w:left="0" w:hanging="360"/>
              <w:rPr>
                <w:sz w:val="22"/>
                <w:szCs w:val="22"/>
              </w:rPr>
            </w:pPr>
            <w:r w:rsidRPr="00FC1A06">
              <w:rPr>
                <w:sz w:val="22"/>
                <w:szCs w:val="22"/>
              </w:rPr>
              <w:t>Recommendation number</w:t>
            </w:r>
          </w:p>
        </w:tc>
        <w:tc>
          <w:tcPr>
            <w:tcW w:w="4387" w:type="dxa"/>
            <w:shd w:val="clear" w:color="auto" w:fill="E7E6E6" w:themeFill="background2"/>
          </w:tcPr>
          <w:p w14:paraId="5E75CE97" w14:textId="77777777" w:rsidR="00B43442" w:rsidRPr="00FC1A06" w:rsidRDefault="00B43442" w:rsidP="00B43442">
            <w:pPr>
              <w:pStyle w:val="Style2"/>
              <w:numPr>
                <w:ilvl w:val="0"/>
                <w:numId w:val="30"/>
              </w:numPr>
              <w:tabs>
                <w:tab w:val="clear" w:pos="720"/>
              </w:tabs>
              <w:spacing w:before="0" w:after="0" w:line="300" w:lineRule="exact"/>
              <w:ind w:left="0" w:hanging="360"/>
              <w:rPr>
                <w:sz w:val="22"/>
                <w:szCs w:val="22"/>
              </w:rPr>
            </w:pPr>
            <w:r w:rsidRPr="00FC1A06">
              <w:rPr>
                <w:sz w:val="22"/>
                <w:szCs w:val="22"/>
              </w:rPr>
              <w:t>Department’s response</w:t>
            </w:r>
          </w:p>
        </w:tc>
      </w:tr>
      <w:tr w:rsidR="00B43442" w14:paraId="2888CAEF" w14:textId="77777777" w:rsidTr="00EA7870">
        <w:tc>
          <w:tcPr>
            <w:tcW w:w="3233" w:type="dxa"/>
          </w:tcPr>
          <w:p w14:paraId="15D1B3C1" w14:textId="77777777" w:rsidR="00B43442" w:rsidRPr="00FC1A06" w:rsidRDefault="00B43442" w:rsidP="00B43442">
            <w:pPr>
              <w:pStyle w:val="Style2"/>
              <w:numPr>
                <w:ilvl w:val="0"/>
                <w:numId w:val="30"/>
              </w:numPr>
              <w:tabs>
                <w:tab w:val="clear" w:pos="720"/>
              </w:tabs>
              <w:spacing w:before="0" w:after="0" w:line="300" w:lineRule="exact"/>
              <w:ind w:left="0" w:hanging="360"/>
              <w:rPr>
                <w:sz w:val="22"/>
                <w:szCs w:val="22"/>
              </w:rPr>
            </w:pPr>
            <w:r w:rsidRPr="00FC1A06">
              <w:rPr>
                <w:sz w:val="22"/>
                <w:szCs w:val="22"/>
              </w:rPr>
              <w:t>1</w:t>
            </w:r>
          </w:p>
        </w:tc>
        <w:tc>
          <w:tcPr>
            <w:tcW w:w="4387" w:type="dxa"/>
          </w:tcPr>
          <w:p w14:paraId="28E9B31B" w14:textId="77777777" w:rsidR="00B43442" w:rsidRPr="00FC1A06" w:rsidRDefault="00B43442" w:rsidP="00B43442">
            <w:pPr>
              <w:pStyle w:val="Style2"/>
              <w:numPr>
                <w:ilvl w:val="0"/>
                <w:numId w:val="30"/>
              </w:numPr>
              <w:tabs>
                <w:tab w:val="clear" w:pos="720"/>
              </w:tabs>
              <w:spacing w:before="0" w:after="0" w:line="300" w:lineRule="exact"/>
              <w:ind w:left="0" w:hanging="360"/>
              <w:rPr>
                <w:sz w:val="22"/>
                <w:szCs w:val="22"/>
              </w:rPr>
            </w:pPr>
            <w:r>
              <w:rPr>
                <w:sz w:val="22"/>
                <w:szCs w:val="22"/>
              </w:rPr>
              <w:t>Partially Agree</w:t>
            </w:r>
          </w:p>
        </w:tc>
      </w:tr>
      <w:tr w:rsidR="00B43442" w14:paraId="22688F99" w14:textId="77777777" w:rsidTr="00EA7870">
        <w:tc>
          <w:tcPr>
            <w:tcW w:w="3233" w:type="dxa"/>
          </w:tcPr>
          <w:p w14:paraId="22DDE82D" w14:textId="77777777" w:rsidR="00B43442" w:rsidRPr="00FC1A06" w:rsidRDefault="00B43442" w:rsidP="00B43442">
            <w:pPr>
              <w:pStyle w:val="Style2"/>
              <w:numPr>
                <w:ilvl w:val="0"/>
                <w:numId w:val="30"/>
              </w:numPr>
              <w:tabs>
                <w:tab w:val="clear" w:pos="720"/>
              </w:tabs>
              <w:spacing w:before="0" w:after="0" w:line="300" w:lineRule="exact"/>
              <w:ind w:left="0" w:hanging="360"/>
              <w:rPr>
                <w:sz w:val="22"/>
                <w:szCs w:val="22"/>
              </w:rPr>
            </w:pPr>
            <w:r w:rsidRPr="00FC1A06">
              <w:rPr>
                <w:sz w:val="22"/>
                <w:szCs w:val="22"/>
              </w:rPr>
              <w:t>2</w:t>
            </w:r>
          </w:p>
        </w:tc>
        <w:tc>
          <w:tcPr>
            <w:tcW w:w="4387" w:type="dxa"/>
          </w:tcPr>
          <w:p w14:paraId="3620C66A" w14:textId="77777777" w:rsidR="00B43442" w:rsidRPr="00FC1A06" w:rsidRDefault="00B43442" w:rsidP="00B43442">
            <w:pPr>
              <w:pStyle w:val="Style2"/>
              <w:numPr>
                <w:ilvl w:val="0"/>
                <w:numId w:val="30"/>
              </w:numPr>
              <w:tabs>
                <w:tab w:val="clear" w:pos="720"/>
              </w:tabs>
              <w:spacing w:before="0" w:after="0" w:line="300" w:lineRule="exact"/>
              <w:ind w:left="0" w:hanging="360"/>
              <w:rPr>
                <w:sz w:val="22"/>
                <w:szCs w:val="22"/>
              </w:rPr>
            </w:pPr>
            <w:r w:rsidRPr="00FC1A06">
              <w:rPr>
                <w:sz w:val="22"/>
                <w:szCs w:val="22"/>
              </w:rPr>
              <w:t>Agree</w:t>
            </w:r>
          </w:p>
        </w:tc>
      </w:tr>
      <w:tr w:rsidR="00B43442" w14:paraId="413D3EF3" w14:textId="77777777" w:rsidTr="00EA7870">
        <w:tc>
          <w:tcPr>
            <w:tcW w:w="3233" w:type="dxa"/>
          </w:tcPr>
          <w:p w14:paraId="2059B82D" w14:textId="77777777" w:rsidR="00B43442" w:rsidRPr="00FC1A06" w:rsidRDefault="00B43442" w:rsidP="00B43442">
            <w:pPr>
              <w:pStyle w:val="Style2"/>
              <w:numPr>
                <w:ilvl w:val="0"/>
                <w:numId w:val="30"/>
              </w:numPr>
              <w:tabs>
                <w:tab w:val="clear" w:pos="720"/>
              </w:tabs>
              <w:spacing w:before="0" w:after="0" w:line="300" w:lineRule="exact"/>
              <w:ind w:left="0" w:hanging="360"/>
              <w:rPr>
                <w:sz w:val="22"/>
                <w:szCs w:val="22"/>
              </w:rPr>
            </w:pPr>
            <w:r w:rsidRPr="00FC1A06">
              <w:rPr>
                <w:sz w:val="22"/>
                <w:szCs w:val="22"/>
              </w:rPr>
              <w:t>3</w:t>
            </w:r>
          </w:p>
        </w:tc>
        <w:tc>
          <w:tcPr>
            <w:tcW w:w="4387" w:type="dxa"/>
          </w:tcPr>
          <w:p w14:paraId="2CFB56CA" w14:textId="77777777" w:rsidR="00B43442" w:rsidRPr="00FC1A06" w:rsidRDefault="00B43442" w:rsidP="00B43442">
            <w:pPr>
              <w:pStyle w:val="Style2"/>
              <w:numPr>
                <w:ilvl w:val="0"/>
                <w:numId w:val="30"/>
              </w:numPr>
              <w:tabs>
                <w:tab w:val="clear" w:pos="720"/>
              </w:tabs>
              <w:spacing w:before="0" w:after="0" w:line="300" w:lineRule="exact"/>
              <w:ind w:left="0" w:hanging="360"/>
              <w:rPr>
                <w:sz w:val="22"/>
                <w:szCs w:val="22"/>
              </w:rPr>
            </w:pPr>
            <w:r>
              <w:rPr>
                <w:sz w:val="22"/>
                <w:szCs w:val="22"/>
              </w:rPr>
              <w:t>Disagree</w:t>
            </w:r>
          </w:p>
        </w:tc>
      </w:tr>
    </w:tbl>
    <w:p w14:paraId="05047F58" w14:textId="77777777" w:rsidR="00DC28F5" w:rsidRDefault="00DC28F5" w:rsidP="00B71968"/>
    <w:p w14:paraId="726A9E57" w14:textId="2A6D8B59" w:rsidR="000B5FD6" w:rsidRDefault="000B5FD6" w:rsidP="000B5FD6">
      <w:pPr>
        <w:pStyle w:val="ListParagraph"/>
        <w:numPr>
          <w:ilvl w:val="0"/>
          <w:numId w:val="22"/>
        </w:numPr>
      </w:pPr>
      <w:r>
        <w:t>I report accordingly to the Attorney-General.</w:t>
      </w:r>
    </w:p>
    <w:p w14:paraId="538EA815" w14:textId="77777777" w:rsidR="00466AD0" w:rsidRDefault="00466AD0" w:rsidP="000B5FD6"/>
    <w:p w14:paraId="3C3199CE" w14:textId="06C16284" w:rsidR="002D1B6C" w:rsidRDefault="057EDD64" w:rsidP="000B5FD6">
      <w:r>
        <w:rPr>
          <w:noProof/>
        </w:rPr>
        <w:drawing>
          <wp:inline distT="0" distB="0" distL="0" distR="0" wp14:anchorId="2443A823" wp14:editId="48889775">
            <wp:extent cx="2971802" cy="737279"/>
            <wp:effectExtent l="0" t="0" r="0" b="0"/>
            <wp:docPr id="1111841754" name="Picture 111184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71802" cy="737279"/>
                    </a:xfrm>
                    <a:prstGeom prst="rect">
                      <a:avLst/>
                    </a:prstGeom>
                  </pic:spPr>
                </pic:pic>
              </a:graphicData>
            </a:graphic>
          </wp:inline>
        </w:drawing>
      </w:r>
    </w:p>
    <w:p w14:paraId="1DE22217" w14:textId="77777777" w:rsidR="002D1B6C" w:rsidRPr="000C5540" w:rsidRDefault="002D1B6C" w:rsidP="002D1B6C">
      <w:pPr>
        <w:contextualSpacing/>
        <w:rPr>
          <w:rFonts w:cs="Open Sans"/>
        </w:rPr>
      </w:pPr>
      <w:r w:rsidRPr="000C5540">
        <w:rPr>
          <w:rFonts w:cs="Open Sans"/>
        </w:rPr>
        <w:t>Emeritus Professor Rosalind Croucher AM</w:t>
      </w:r>
      <w:r>
        <w:rPr>
          <w:rFonts w:cs="Open Sans"/>
        </w:rPr>
        <w:t xml:space="preserve"> FAAL</w:t>
      </w:r>
    </w:p>
    <w:p w14:paraId="074286CE" w14:textId="77777777" w:rsidR="002D1B6C" w:rsidRPr="000C5540" w:rsidRDefault="002D1B6C" w:rsidP="002D1B6C">
      <w:pPr>
        <w:contextualSpacing/>
        <w:rPr>
          <w:rFonts w:cs="Open Sans"/>
        </w:rPr>
      </w:pPr>
      <w:r w:rsidRPr="000C5540">
        <w:rPr>
          <w:rFonts w:cs="Open Sans"/>
          <w:b/>
        </w:rPr>
        <w:t>President</w:t>
      </w:r>
      <w:r w:rsidRPr="000C5540">
        <w:rPr>
          <w:rFonts w:cs="Open Sans"/>
        </w:rPr>
        <w:t xml:space="preserve"> </w:t>
      </w:r>
    </w:p>
    <w:p w14:paraId="1E3A3F87" w14:textId="77777777" w:rsidR="002D1B6C" w:rsidRDefault="002D1B6C" w:rsidP="002D1B6C">
      <w:pPr>
        <w:contextualSpacing/>
        <w:rPr>
          <w:rFonts w:cs="Open Sans"/>
        </w:rPr>
      </w:pPr>
      <w:r w:rsidRPr="000C5540">
        <w:rPr>
          <w:rFonts w:cs="Open Sans"/>
        </w:rPr>
        <w:t>Australian Human Rights Commission</w:t>
      </w:r>
    </w:p>
    <w:p w14:paraId="3BA3E018" w14:textId="3A3A8D8D" w:rsidR="002D1B6C" w:rsidRDefault="00FF6768" w:rsidP="002D1B6C">
      <w:pPr>
        <w:contextualSpacing/>
        <w:rPr>
          <w:rFonts w:cs="Open Sans"/>
        </w:rPr>
      </w:pPr>
      <w:r>
        <w:rPr>
          <w:rFonts w:cs="Open Sans"/>
        </w:rPr>
        <w:t xml:space="preserve">May </w:t>
      </w:r>
      <w:r w:rsidR="002D1B6C" w:rsidRPr="000C5540">
        <w:rPr>
          <w:rFonts w:cs="Open Sans"/>
        </w:rPr>
        <w:t>202</w:t>
      </w:r>
      <w:r w:rsidR="002D1B6C">
        <w:rPr>
          <w:rFonts w:cs="Open Sans"/>
        </w:rPr>
        <w:t>4</w:t>
      </w:r>
    </w:p>
    <w:p w14:paraId="00F3A3DE" w14:textId="77777777" w:rsidR="002D1B6C" w:rsidRDefault="002D1B6C" w:rsidP="000B5FD6"/>
    <w:p w14:paraId="0B6D673C" w14:textId="77777777" w:rsidR="000B5FD6" w:rsidRDefault="000B5FD6" w:rsidP="000B5FD6"/>
    <w:p w14:paraId="40F5FDB0" w14:textId="77777777" w:rsidR="000B5FD6" w:rsidRDefault="000B5FD6" w:rsidP="000B5FD6"/>
    <w:p w14:paraId="17AA5E01" w14:textId="77777777" w:rsidR="00FF6768" w:rsidRDefault="00FF6768" w:rsidP="000B5FD6"/>
    <w:p w14:paraId="55CA462E" w14:textId="77777777" w:rsidR="00FF6768" w:rsidRDefault="00FF6768" w:rsidP="000B5FD6"/>
    <w:p w14:paraId="4DF20D03" w14:textId="77777777" w:rsidR="00FF6768" w:rsidRDefault="00FF6768" w:rsidP="000B5FD6"/>
    <w:p w14:paraId="010C577C" w14:textId="77777777" w:rsidR="00FF6768" w:rsidRDefault="00FF6768" w:rsidP="000B5FD6"/>
    <w:p w14:paraId="6FB23907" w14:textId="77777777" w:rsidR="00FF6768" w:rsidRDefault="00FF6768" w:rsidP="000B5FD6"/>
    <w:p w14:paraId="4EE51E0A" w14:textId="77777777" w:rsidR="00FF6768" w:rsidRDefault="00FF6768" w:rsidP="000B5FD6"/>
    <w:p w14:paraId="6472D1CD" w14:textId="77777777" w:rsidR="0038018B" w:rsidRDefault="0038018B" w:rsidP="000B5FD6"/>
    <w:p w14:paraId="6E17DEF3" w14:textId="77777777" w:rsidR="001A342D" w:rsidRDefault="001A342D" w:rsidP="000B5FD6"/>
    <w:p w14:paraId="20B08858" w14:textId="77777777" w:rsidR="001A342D" w:rsidRDefault="001A342D" w:rsidP="000B5FD6"/>
    <w:p w14:paraId="63D2FB2B" w14:textId="77777777" w:rsidR="005E169E" w:rsidRDefault="005E169E" w:rsidP="00F92C46">
      <w:pPr>
        <w:pStyle w:val="Style3"/>
        <w:tabs>
          <w:tab w:val="clear" w:pos="720"/>
        </w:tabs>
        <w:ind w:left="0" w:firstLine="0"/>
      </w:pPr>
    </w:p>
    <w:p w14:paraId="150F0567" w14:textId="5437AE82" w:rsidR="003423F4" w:rsidRPr="005E169E" w:rsidRDefault="00DD604A" w:rsidP="005E169E">
      <w:pPr>
        <w:rPr>
          <w:b/>
          <w:bCs/>
        </w:rPr>
      </w:pPr>
      <w:r w:rsidRPr="00DD604A">
        <w:rPr>
          <w:b/>
          <w:bCs/>
        </w:rPr>
        <w:lastRenderedPageBreak/>
        <w:t>Endnotes</w:t>
      </w:r>
      <w:bookmarkEnd w:id="2"/>
      <w:bookmarkEnd w:id="3"/>
      <w:bookmarkEnd w:id="4"/>
    </w:p>
    <w:sectPr w:rsidR="003423F4" w:rsidRPr="005E169E" w:rsidSect="004B587E">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58C7" w14:textId="77777777" w:rsidR="000D1FA7" w:rsidRDefault="000D1FA7" w:rsidP="00F14C6D">
      <w:r>
        <w:separator/>
      </w:r>
    </w:p>
  </w:endnote>
  <w:endnote w:type="continuationSeparator" w:id="0">
    <w:p w14:paraId="3A49DF8F" w14:textId="77777777" w:rsidR="000D1FA7" w:rsidRDefault="000D1FA7" w:rsidP="00F14C6D">
      <w:r>
        <w:continuationSeparator/>
      </w:r>
    </w:p>
  </w:endnote>
  <w:endnote w:type="continuationNotice" w:id="1">
    <w:p w14:paraId="3C646934" w14:textId="77777777" w:rsidR="000D1FA7" w:rsidRDefault="000D1FA7">
      <w:pPr>
        <w:spacing w:before="0" w:after="0"/>
      </w:pPr>
    </w:p>
  </w:endnote>
  <w:endnote w:id="2">
    <w:p w14:paraId="0A61F890" w14:textId="77777777" w:rsidR="00EA1E73" w:rsidRPr="00B67F37" w:rsidRDefault="00EA1E73" w:rsidP="00EA1E73">
      <w:pPr>
        <w:pStyle w:val="EndnoteText"/>
        <w:ind w:left="284" w:hanging="284"/>
        <w:rPr>
          <w:rFonts w:cs="Open Sans"/>
          <w:sz w:val="18"/>
          <w:szCs w:val="18"/>
        </w:rPr>
      </w:pPr>
      <w:r w:rsidRPr="00B67F37">
        <w:rPr>
          <w:rStyle w:val="EndnoteReference"/>
          <w:rFonts w:cs="Open Sans"/>
          <w:sz w:val="18"/>
          <w:szCs w:val="18"/>
        </w:rPr>
        <w:endnoteRef/>
      </w:r>
      <w:r w:rsidRPr="00B67F37">
        <w:rPr>
          <w:rFonts w:cs="Open Sans"/>
          <w:sz w:val="18"/>
          <w:szCs w:val="18"/>
        </w:rPr>
        <w:t xml:space="preserve"> </w:t>
      </w:r>
      <w:r w:rsidRPr="00B67F37">
        <w:rPr>
          <w:rFonts w:cs="Open Sans"/>
          <w:sz w:val="18"/>
          <w:szCs w:val="18"/>
        </w:rPr>
        <w:tab/>
      </w:r>
      <w:r w:rsidRPr="00B67F37">
        <w:rPr>
          <w:rFonts w:cs="Open Sans"/>
          <w:i/>
          <w:iCs/>
        </w:rPr>
        <w:t>International Covenant on Civil and Political Rights,</w:t>
      </w:r>
      <w:r w:rsidRPr="00B67F37">
        <w:rPr>
          <w:rFonts w:cs="Open Sans"/>
        </w:rPr>
        <w:t> opened for signature 16 December 1966, 999 UNTS 171 (entered into force 23 March 1976).</w:t>
      </w:r>
    </w:p>
  </w:endnote>
  <w:endnote w:id="3">
    <w:p w14:paraId="6B89537F"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Pr="00B67F37">
        <w:rPr>
          <w:rFonts w:cs="Open Sans"/>
          <w:i/>
          <w:iCs/>
        </w:rPr>
        <w:t xml:space="preserve">NZYQ v Minister for Immigration, Citizenship and Multicultural Affairs &amp; Anor </w:t>
      </w:r>
      <w:r w:rsidRPr="00B67F37">
        <w:rPr>
          <w:rFonts w:cs="Open Sans"/>
        </w:rPr>
        <w:t>[2023] HCA 37.</w:t>
      </w:r>
    </w:p>
  </w:endnote>
  <w:endnote w:id="4">
    <w:p w14:paraId="0E552F44"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[2013] FCAFC 33.</w:t>
      </w:r>
    </w:p>
  </w:endnote>
  <w:endnote w:id="5">
    <w:p w14:paraId="75030E8E"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See</w:t>
      </w:r>
      <w:r w:rsidRPr="00B67F37">
        <w:rPr>
          <w:rFonts w:cs="Open Sans"/>
          <w:spacing w:val="-4"/>
        </w:rPr>
        <w:t xml:space="preserve"> </w:t>
      </w:r>
      <w:r w:rsidRPr="00B67F37">
        <w:rPr>
          <w:rFonts w:cs="Open Sans"/>
          <w:i/>
        </w:rPr>
        <w:t>Secretary,</w:t>
      </w:r>
      <w:r w:rsidRPr="00B67F37">
        <w:rPr>
          <w:rFonts w:cs="Open Sans"/>
          <w:i/>
          <w:spacing w:val="-4"/>
        </w:rPr>
        <w:t xml:space="preserve"> </w:t>
      </w:r>
      <w:r w:rsidRPr="00B67F37">
        <w:rPr>
          <w:rFonts w:cs="Open Sans"/>
          <w:i/>
        </w:rPr>
        <w:t>Department of Defence v</w:t>
      </w:r>
      <w:r w:rsidRPr="00B67F37">
        <w:rPr>
          <w:rFonts w:cs="Open Sans"/>
          <w:i/>
          <w:spacing w:val="-4"/>
        </w:rPr>
        <w:t xml:space="preserve"> </w:t>
      </w:r>
      <w:r w:rsidRPr="00B67F37">
        <w:rPr>
          <w:rFonts w:cs="Open Sans"/>
          <w:i/>
        </w:rPr>
        <w:t>HREOC, Burgess</w:t>
      </w:r>
      <w:r w:rsidRPr="00B67F37">
        <w:rPr>
          <w:rFonts w:cs="Open Sans"/>
          <w:i/>
          <w:spacing w:val="-4"/>
        </w:rPr>
        <w:t xml:space="preserve"> </w:t>
      </w:r>
      <w:r w:rsidRPr="00B67F37">
        <w:rPr>
          <w:rFonts w:cs="Open Sans"/>
          <w:i/>
        </w:rPr>
        <w:t>&amp;</w:t>
      </w:r>
      <w:r w:rsidRPr="00B67F37">
        <w:rPr>
          <w:rFonts w:cs="Open Sans"/>
          <w:i/>
          <w:spacing w:val="-4"/>
        </w:rPr>
        <w:t xml:space="preserve"> </w:t>
      </w:r>
      <w:r w:rsidRPr="00B67F37">
        <w:rPr>
          <w:rFonts w:cs="Open Sans"/>
          <w:i/>
        </w:rPr>
        <w:t>Ors</w:t>
      </w:r>
      <w:r w:rsidRPr="00B67F37">
        <w:rPr>
          <w:rFonts w:cs="Open Sans"/>
          <w:i/>
          <w:spacing w:val="-3"/>
        </w:rPr>
        <w:t xml:space="preserve"> </w:t>
      </w:r>
      <w:r w:rsidRPr="00B67F37">
        <w:rPr>
          <w:rFonts w:cs="Open Sans"/>
        </w:rPr>
        <w:t>(1997)</w:t>
      </w:r>
      <w:r w:rsidRPr="00B67F37">
        <w:rPr>
          <w:rFonts w:cs="Open Sans"/>
          <w:spacing w:val="-4"/>
        </w:rPr>
        <w:t xml:space="preserve"> </w:t>
      </w:r>
      <w:r w:rsidRPr="00B67F37">
        <w:rPr>
          <w:rFonts w:cs="Open Sans"/>
        </w:rPr>
        <w:t>78 FCR</w:t>
      </w:r>
      <w:r w:rsidRPr="00B67F37">
        <w:rPr>
          <w:rFonts w:cs="Open Sans"/>
          <w:spacing w:val="-4"/>
        </w:rPr>
        <w:t xml:space="preserve"> </w:t>
      </w:r>
      <w:r w:rsidRPr="00B67F37">
        <w:rPr>
          <w:rFonts w:cs="Open Sans"/>
        </w:rPr>
        <w:t>208, where Branson J found that the Commission could not, in conducting its inquiry, disregard the legal obligations of the Secretary in exercising a statutory power. Note in particular 212–3 and 214–5.</w:t>
      </w:r>
    </w:p>
  </w:endnote>
  <w:endnote w:id="6">
    <w:p w14:paraId="11524909"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 xml:space="preserve">UN Human Rights Committee, </w:t>
      </w:r>
      <w:r w:rsidRPr="00B67F37">
        <w:rPr>
          <w:rFonts w:cs="Open Sans"/>
          <w:i/>
        </w:rPr>
        <w:t>General Comment No. 35:</w:t>
      </w:r>
      <w:r w:rsidRPr="00B67F37">
        <w:rPr>
          <w:rFonts w:cs="Open Sans"/>
        </w:rPr>
        <w:t xml:space="preserve"> </w:t>
      </w:r>
      <w:r w:rsidRPr="00B67F37">
        <w:rPr>
          <w:rFonts w:cs="Open Sans"/>
          <w:i/>
        </w:rPr>
        <w:t>Article 9 (Liberty and security of person)</w:t>
      </w:r>
      <w:r w:rsidRPr="00B67F37">
        <w:rPr>
          <w:rFonts w:cs="Open Sans"/>
        </w:rPr>
        <w:t>, 112</w:t>
      </w:r>
      <w:r w:rsidRPr="00B67F37">
        <w:rPr>
          <w:rFonts w:cs="Open Sans"/>
          <w:vertAlign w:val="superscript"/>
        </w:rPr>
        <w:t>th</w:t>
      </w:r>
      <w:r w:rsidRPr="00B67F37">
        <w:rPr>
          <w:rFonts w:cs="Open Sans"/>
        </w:rPr>
        <w:t xml:space="preserve"> sess, UN Doc CCPR/C/GC/35</w:t>
      </w:r>
      <w:r w:rsidRPr="00B67F37">
        <w:rPr>
          <w:rFonts w:cs="Open Sans"/>
          <w:i/>
        </w:rPr>
        <w:t xml:space="preserve"> </w:t>
      </w:r>
      <w:r w:rsidRPr="00B67F37">
        <w:rPr>
          <w:rFonts w:cs="Open Sans"/>
        </w:rPr>
        <w:t>(16 December 2014)</w:t>
      </w:r>
      <w:r w:rsidRPr="00B67F37">
        <w:rPr>
          <w:rFonts w:cs="Open Sans"/>
          <w:i/>
          <w:color w:val="231F20"/>
        </w:rPr>
        <w:t xml:space="preserve">. </w:t>
      </w:r>
      <w:r w:rsidRPr="00B67F37">
        <w:rPr>
          <w:rFonts w:cs="Open Sans"/>
          <w:color w:val="231F20"/>
        </w:rPr>
        <w:t xml:space="preserve">See also </w:t>
      </w:r>
      <w:r w:rsidRPr="00B67F37">
        <w:rPr>
          <w:rFonts w:cs="Open Sans"/>
        </w:rPr>
        <w:t xml:space="preserve">UN Human Rights Committee, </w:t>
      </w:r>
      <w:r w:rsidRPr="00B67F37">
        <w:rPr>
          <w:rFonts w:cs="Open Sans"/>
          <w:i/>
        </w:rPr>
        <w:t xml:space="preserve">Views: </w:t>
      </w:r>
      <w:r w:rsidRPr="00B67F37">
        <w:rPr>
          <w:rFonts w:cs="Open Sans"/>
          <w:bCs/>
          <w:i/>
        </w:rPr>
        <w:t>Communication No. 560/1993</w:t>
      </w:r>
      <w:r w:rsidRPr="00B67F37">
        <w:rPr>
          <w:rFonts w:cs="Open Sans"/>
          <w:bCs/>
        </w:rPr>
        <w:t>, 59</w:t>
      </w:r>
      <w:r w:rsidRPr="00B67F37">
        <w:rPr>
          <w:rFonts w:cs="Open Sans"/>
          <w:bCs/>
          <w:vertAlign w:val="superscript"/>
        </w:rPr>
        <w:t>th</w:t>
      </w:r>
      <w:r w:rsidRPr="00B67F37">
        <w:rPr>
          <w:rFonts w:cs="Open Sans"/>
          <w:bCs/>
        </w:rPr>
        <w:t xml:space="preserve"> sess,</w:t>
      </w:r>
      <w:r w:rsidRPr="00B67F37">
        <w:rPr>
          <w:rFonts w:cs="Open Sans"/>
          <w:b/>
          <w:bCs/>
        </w:rPr>
        <w:t xml:space="preserve"> </w:t>
      </w:r>
      <w:r w:rsidRPr="00B67F37">
        <w:rPr>
          <w:rFonts w:cs="Open Sans"/>
        </w:rPr>
        <w:t>UN</w:t>
      </w:r>
      <w:r w:rsidRPr="00B67F37">
        <w:rPr>
          <w:rFonts w:cs="Open Sans"/>
          <w:spacing w:val="-4"/>
        </w:rPr>
        <w:t xml:space="preserve"> </w:t>
      </w:r>
      <w:r w:rsidRPr="00B67F37">
        <w:rPr>
          <w:rFonts w:cs="Open Sans"/>
        </w:rPr>
        <w:t>Doc</w:t>
      </w:r>
      <w:r w:rsidRPr="00B67F37">
        <w:rPr>
          <w:rFonts w:cs="Open Sans"/>
          <w:spacing w:val="-4"/>
        </w:rPr>
        <w:t xml:space="preserve"> </w:t>
      </w:r>
      <w:r w:rsidRPr="00B67F37">
        <w:rPr>
          <w:rFonts w:cs="Open Sans"/>
        </w:rPr>
        <w:t>CCPR/C/59/D/560/1993 (3 April 1997) (‘</w:t>
      </w:r>
      <w:r w:rsidRPr="00B67F37">
        <w:rPr>
          <w:rFonts w:cs="Open Sans"/>
          <w:i/>
        </w:rPr>
        <w:t>A</w:t>
      </w:r>
      <w:r w:rsidRPr="00B67F37">
        <w:rPr>
          <w:rFonts w:cs="Open Sans"/>
          <w:i/>
          <w:spacing w:val="-10"/>
        </w:rPr>
        <w:t xml:space="preserve"> </w:t>
      </w:r>
      <w:r w:rsidRPr="00B67F37">
        <w:rPr>
          <w:rFonts w:cs="Open Sans"/>
          <w:i/>
        </w:rPr>
        <w:t>v</w:t>
      </w:r>
      <w:r w:rsidRPr="00B67F37">
        <w:rPr>
          <w:rFonts w:cs="Open Sans"/>
          <w:i/>
          <w:spacing w:val="-10"/>
        </w:rPr>
        <w:t xml:space="preserve"> </w:t>
      </w:r>
      <w:r w:rsidRPr="00B67F37">
        <w:rPr>
          <w:rFonts w:cs="Open Sans"/>
          <w:i/>
        </w:rPr>
        <w:t>Australia</w:t>
      </w:r>
      <w:r w:rsidRPr="00B67F37">
        <w:rPr>
          <w:rFonts w:cs="Open Sans"/>
          <w:spacing w:val="-4"/>
        </w:rPr>
        <w:t xml:space="preserve">’); </w:t>
      </w:r>
      <w:r w:rsidRPr="00B67F37">
        <w:rPr>
          <w:rFonts w:cs="Open Sans"/>
        </w:rPr>
        <w:t xml:space="preserve">UN Human Rights Committee, </w:t>
      </w:r>
      <w:r w:rsidRPr="00B67F37">
        <w:rPr>
          <w:rFonts w:cs="Open Sans"/>
          <w:i/>
        </w:rPr>
        <w:t xml:space="preserve">Views: </w:t>
      </w:r>
      <w:r w:rsidRPr="00B67F37">
        <w:rPr>
          <w:rFonts w:cs="Open Sans"/>
          <w:bCs/>
          <w:i/>
          <w:lang w:val="en"/>
        </w:rPr>
        <w:t>Communication No. 900/1999</w:t>
      </w:r>
      <w:r w:rsidRPr="00B67F37">
        <w:rPr>
          <w:rFonts w:cs="Open Sans"/>
          <w:bCs/>
          <w:lang w:val="en"/>
        </w:rPr>
        <w:t>, 67</w:t>
      </w:r>
      <w:r w:rsidRPr="00B67F37">
        <w:rPr>
          <w:rFonts w:cs="Open Sans"/>
          <w:bCs/>
          <w:vertAlign w:val="superscript"/>
          <w:lang w:val="en"/>
        </w:rPr>
        <w:t>th</w:t>
      </w:r>
      <w:r w:rsidRPr="00B67F37">
        <w:rPr>
          <w:rFonts w:cs="Open Sans"/>
          <w:bCs/>
          <w:lang w:val="en"/>
        </w:rPr>
        <w:t xml:space="preserve"> sess, </w:t>
      </w:r>
      <w:r w:rsidRPr="00B67F37">
        <w:rPr>
          <w:rFonts w:cs="Open Sans"/>
        </w:rPr>
        <w:t>UN Doc CCPR/C/76/D/900/1999 (13 November 2002)</w:t>
      </w:r>
      <w:r w:rsidRPr="00B67F37">
        <w:rPr>
          <w:rFonts w:cs="Open Sans"/>
          <w:i/>
        </w:rPr>
        <w:t xml:space="preserve"> </w:t>
      </w:r>
      <w:r w:rsidRPr="00B67F37">
        <w:rPr>
          <w:rFonts w:cs="Open Sans"/>
        </w:rPr>
        <w:t>(‘</w:t>
      </w:r>
      <w:r w:rsidRPr="00B67F37">
        <w:rPr>
          <w:rFonts w:cs="Open Sans"/>
          <w:i/>
        </w:rPr>
        <w:t>C v</w:t>
      </w:r>
      <w:r w:rsidRPr="00B67F37">
        <w:rPr>
          <w:rFonts w:cs="Open Sans"/>
          <w:i/>
          <w:spacing w:val="-10"/>
        </w:rPr>
        <w:t xml:space="preserve"> </w:t>
      </w:r>
      <w:r w:rsidRPr="00B67F37">
        <w:rPr>
          <w:rFonts w:cs="Open Sans"/>
          <w:i/>
        </w:rPr>
        <w:t>Australia</w:t>
      </w:r>
      <w:r w:rsidRPr="00B67F37">
        <w:rPr>
          <w:rFonts w:cs="Open Sans"/>
        </w:rPr>
        <w:t xml:space="preserve">’); UN Human Rights Committee, </w:t>
      </w:r>
      <w:r w:rsidRPr="00B67F37">
        <w:rPr>
          <w:rFonts w:cs="Open Sans"/>
          <w:i/>
        </w:rPr>
        <w:t>Views: Communication No 1014/2001</w:t>
      </w:r>
      <w:r w:rsidRPr="00B67F37">
        <w:rPr>
          <w:rFonts w:cs="Open Sans"/>
        </w:rPr>
        <w:t>, 78</w:t>
      </w:r>
      <w:r w:rsidRPr="00B67F37">
        <w:rPr>
          <w:rFonts w:cs="Open Sans"/>
          <w:vertAlign w:val="superscript"/>
        </w:rPr>
        <w:t>th</w:t>
      </w:r>
      <w:r w:rsidRPr="00B67F37">
        <w:rPr>
          <w:rFonts w:cs="Open Sans"/>
        </w:rPr>
        <w:t xml:space="preserve"> sess, CCPR/C/78/D/1014/2001 (18 September 2003) (‘</w:t>
      </w:r>
      <w:r w:rsidRPr="00B67F37">
        <w:rPr>
          <w:rFonts w:cs="Open Sans"/>
          <w:i/>
        </w:rPr>
        <w:t>Baban v</w:t>
      </w:r>
      <w:r w:rsidRPr="00B67F37">
        <w:rPr>
          <w:rFonts w:cs="Open Sans"/>
          <w:i/>
          <w:spacing w:val="-11"/>
        </w:rPr>
        <w:t xml:space="preserve"> </w:t>
      </w:r>
      <w:r w:rsidRPr="00B67F37">
        <w:rPr>
          <w:rFonts w:cs="Open Sans"/>
          <w:i/>
        </w:rPr>
        <w:t>Australia</w:t>
      </w:r>
      <w:r w:rsidRPr="00B67F37">
        <w:rPr>
          <w:rFonts w:cs="Open Sans"/>
        </w:rPr>
        <w:t xml:space="preserve">’). </w:t>
      </w:r>
    </w:p>
  </w:endnote>
  <w:endnote w:id="7">
    <w:p w14:paraId="1CC8A408" w14:textId="77777777" w:rsidR="00EA1E73" w:rsidRPr="00B67F37" w:rsidRDefault="00EA1E73" w:rsidP="005E169E">
      <w:pPr>
        <w:pStyle w:val="TOC7"/>
        <w:spacing w:before="0" w:after="0"/>
        <w:ind w:left="284" w:hanging="284"/>
        <w:rPr>
          <w:rFonts w:cs="Open Sans"/>
          <w:sz w:val="20"/>
        </w:rPr>
      </w:pPr>
      <w:r w:rsidRPr="00B67F37">
        <w:rPr>
          <w:rStyle w:val="EndnoteReference"/>
          <w:rFonts w:cs="Open Sans"/>
        </w:rPr>
        <w:endnoteRef/>
      </w:r>
      <w:r w:rsidRPr="00B67F37">
        <w:rPr>
          <w:rFonts w:cs="Open Sans"/>
          <w:sz w:val="20"/>
        </w:rPr>
        <w:t xml:space="preserve"> </w:t>
      </w:r>
      <w:r w:rsidRPr="00B67F37">
        <w:rPr>
          <w:rFonts w:cs="Open Sans"/>
          <w:sz w:val="20"/>
        </w:rPr>
        <w:tab/>
        <w:t xml:space="preserve">UN Human Rights Committee, </w:t>
      </w:r>
      <w:r w:rsidRPr="00B67F37">
        <w:rPr>
          <w:rFonts w:cs="Open Sans"/>
          <w:i/>
          <w:sz w:val="20"/>
        </w:rPr>
        <w:t>General Comment No. 35</w:t>
      </w:r>
      <w:r w:rsidRPr="00B67F37">
        <w:rPr>
          <w:rFonts w:cs="Open Sans"/>
          <w:sz w:val="20"/>
        </w:rPr>
        <w:t xml:space="preserve"> </w:t>
      </w:r>
      <w:r w:rsidRPr="00B67F37">
        <w:rPr>
          <w:rFonts w:cs="Open Sans"/>
          <w:i/>
          <w:sz w:val="20"/>
        </w:rPr>
        <w:t>Article 9 (Liberty and security of person)</w:t>
      </w:r>
      <w:r w:rsidRPr="00B67F37">
        <w:rPr>
          <w:rFonts w:cs="Open Sans"/>
          <w:sz w:val="20"/>
        </w:rPr>
        <w:t>, 112</w:t>
      </w:r>
      <w:r w:rsidRPr="00B67F37">
        <w:rPr>
          <w:rFonts w:cs="Open Sans"/>
          <w:sz w:val="20"/>
          <w:vertAlign w:val="superscript"/>
        </w:rPr>
        <w:t>th</w:t>
      </w:r>
      <w:r w:rsidRPr="00B67F37">
        <w:rPr>
          <w:rFonts w:cs="Open Sans"/>
          <w:sz w:val="20"/>
        </w:rPr>
        <w:t xml:space="preserve"> sess, UN Doc CCPR/C/GC/35</w:t>
      </w:r>
      <w:r w:rsidRPr="00B67F37">
        <w:rPr>
          <w:rFonts w:cs="Open Sans"/>
          <w:i/>
          <w:sz w:val="20"/>
        </w:rPr>
        <w:t xml:space="preserve"> </w:t>
      </w:r>
      <w:r w:rsidRPr="00B67F37">
        <w:rPr>
          <w:rFonts w:cs="Open Sans"/>
          <w:sz w:val="20"/>
        </w:rPr>
        <w:t xml:space="preserve">(16 December 2014) 5–6 </w:t>
      </w:r>
      <w:r w:rsidRPr="00B67F37">
        <w:rPr>
          <w:rFonts w:cs="Open Sans"/>
          <w:color w:val="231F20"/>
          <w:sz w:val="20"/>
        </w:rPr>
        <w:t xml:space="preserve">[18]; </w:t>
      </w:r>
      <w:r w:rsidRPr="00B67F37">
        <w:rPr>
          <w:rFonts w:cs="Open Sans"/>
          <w:sz w:val="20"/>
        </w:rPr>
        <w:t xml:space="preserve">UN Human Rights Committee, </w:t>
      </w:r>
      <w:r w:rsidRPr="00B67F37">
        <w:rPr>
          <w:rFonts w:cs="Open Sans"/>
          <w:i/>
          <w:sz w:val="20"/>
        </w:rPr>
        <w:t>General Comment No. 31: The</w:t>
      </w:r>
      <w:r w:rsidRPr="00B67F37">
        <w:rPr>
          <w:rFonts w:cs="Open Sans"/>
          <w:sz w:val="20"/>
        </w:rPr>
        <w:t xml:space="preserve"> </w:t>
      </w:r>
      <w:r w:rsidRPr="00B67F37">
        <w:rPr>
          <w:rFonts w:cs="Open Sans"/>
          <w:i/>
          <w:sz w:val="20"/>
        </w:rPr>
        <w:t>Nature of the General Legal Obligation Imposed on States Parties to the Covenant</w:t>
      </w:r>
      <w:r w:rsidRPr="00B67F37">
        <w:rPr>
          <w:rFonts w:cs="Open Sans"/>
          <w:sz w:val="20"/>
        </w:rPr>
        <w:t>, 80</w:t>
      </w:r>
      <w:r w:rsidRPr="00B67F37">
        <w:rPr>
          <w:rFonts w:cs="Open Sans"/>
          <w:sz w:val="20"/>
          <w:vertAlign w:val="superscript"/>
        </w:rPr>
        <w:t>th</w:t>
      </w:r>
      <w:r w:rsidRPr="00B67F37">
        <w:rPr>
          <w:rFonts w:cs="Open Sans"/>
          <w:sz w:val="20"/>
        </w:rPr>
        <w:t xml:space="preserve"> sess, UN Doc CCPR/C/21/Rev.1/Add.13 (26 May 2004) 1 [6].</w:t>
      </w:r>
    </w:p>
  </w:endnote>
  <w:endnote w:id="8">
    <w:p w14:paraId="58497E80"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Pr="00B67F37">
        <w:rPr>
          <w:rFonts w:cs="Open Sans"/>
          <w:i/>
        </w:rPr>
        <w:t xml:space="preserve">Manga v Attorney-General </w:t>
      </w:r>
      <w:r w:rsidRPr="00B67F37">
        <w:rPr>
          <w:rFonts w:cs="Open Sans"/>
        </w:rPr>
        <w:t xml:space="preserve">[2000] 2 NZLR 65, 71 [40]–[42] (Hammond J). See also the views of the UN Human Rights Committee in </w:t>
      </w:r>
      <w:r w:rsidRPr="00B67F37">
        <w:rPr>
          <w:rFonts w:cs="Open Sans"/>
          <w:i/>
        </w:rPr>
        <w:t xml:space="preserve">Views: </w:t>
      </w:r>
      <w:r w:rsidRPr="00B67F37">
        <w:rPr>
          <w:rFonts w:cs="Open Sans"/>
          <w:i/>
          <w:iCs/>
        </w:rPr>
        <w:t>Communication No. 305/1988,</w:t>
      </w:r>
      <w:r w:rsidRPr="00B67F37">
        <w:rPr>
          <w:rFonts w:cs="Open Sans"/>
          <w:i/>
          <w:spacing w:val="-3"/>
        </w:rPr>
        <w:t xml:space="preserve"> </w:t>
      </w:r>
      <w:r w:rsidRPr="00B67F37">
        <w:rPr>
          <w:rFonts w:cs="Open Sans"/>
          <w:spacing w:val="-3"/>
        </w:rPr>
        <w:t>39</w:t>
      </w:r>
      <w:r w:rsidRPr="00B67F37">
        <w:rPr>
          <w:rFonts w:cs="Open Sans"/>
          <w:spacing w:val="-3"/>
          <w:vertAlign w:val="superscript"/>
        </w:rPr>
        <w:t>th</w:t>
      </w:r>
      <w:r w:rsidRPr="00B67F37">
        <w:rPr>
          <w:rFonts w:cs="Open Sans"/>
          <w:spacing w:val="-3"/>
        </w:rPr>
        <w:t xml:space="preserve"> sess, </w:t>
      </w:r>
      <w:r w:rsidRPr="00B67F37">
        <w:rPr>
          <w:rFonts w:cs="Open Sans"/>
        </w:rPr>
        <w:t>UN Doc CCPR/C/39/D/305/1988 (23 July 1990) (‘</w:t>
      </w:r>
      <w:r w:rsidRPr="00B67F37">
        <w:rPr>
          <w:rFonts w:cs="Open Sans"/>
          <w:i/>
          <w:spacing w:val="-3"/>
        </w:rPr>
        <w:t xml:space="preserve">Van </w:t>
      </w:r>
      <w:r w:rsidRPr="00B67F37">
        <w:rPr>
          <w:rFonts w:cs="Open Sans"/>
          <w:i/>
        </w:rPr>
        <w:t>Alphen v The Netherlands</w:t>
      </w:r>
      <w:r w:rsidRPr="00B67F37">
        <w:rPr>
          <w:rFonts w:cs="Open Sans"/>
        </w:rPr>
        <w:t xml:space="preserve">’); UN Human Rights Committee, </w:t>
      </w:r>
      <w:r w:rsidRPr="00B67F37">
        <w:rPr>
          <w:rFonts w:cs="Open Sans"/>
          <w:i/>
        </w:rPr>
        <w:t xml:space="preserve">Views: </w:t>
      </w:r>
      <w:r w:rsidRPr="00B67F37">
        <w:rPr>
          <w:rFonts w:cs="Open Sans"/>
          <w:bCs/>
          <w:i/>
        </w:rPr>
        <w:t>Communication No. 560/1993</w:t>
      </w:r>
      <w:r w:rsidRPr="00B67F37">
        <w:rPr>
          <w:rFonts w:cs="Open Sans"/>
          <w:bCs/>
        </w:rPr>
        <w:t>, 59</w:t>
      </w:r>
      <w:r w:rsidRPr="00B67F37">
        <w:rPr>
          <w:rFonts w:cs="Open Sans"/>
          <w:bCs/>
          <w:vertAlign w:val="superscript"/>
        </w:rPr>
        <w:t>th</w:t>
      </w:r>
      <w:r w:rsidRPr="00B67F37">
        <w:rPr>
          <w:rFonts w:cs="Open Sans"/>
          <w:bCs/>
        </w:rPr>
        <w:t xml:space="preserve"> sess,</w:t>
      </w:r>
      <w:r w:rsidRPr="00B67F37">
        <w:rPr>
          <w:rFonts w:cs="Open Sans"/>
          <w:b/>
          <w:bCs/>
        </w:rPr>
        <w:t xml:space="preserve"> </w:t>
      </w:r>
      <w:r w:rsidRPr="00B67F37">
        <w:rPr>
          <w:rFonts w:cs="Open Sans"/>
        </w:rPr>
        <w:t>UN</w:t>
      </w:r>
      <w:r w:rsidRPr="00B67F37">
        <w:rPr>
          <w:rFonts w:cs="Open Sans"/>
          <w:spacing w:val="-4"/>
        </w:rPr>
        <w:t xml:space="preserve"> </w:t>
      </w:r>
      <w:r w:rsidRPr="00B67F37">
        <w:rPr>
          <w:rFonts w:cs="Open Sans"/>
        </w:rPr>
        <w:t>Doc</w:t>
      </w:r>
      <w:r w:rsidRPr="00B67F37">
        <w:rPr>
          <w:rFonts w:cs="Open Sans"/>
          <w:spacing w:val="-4"/>
        </w:rPr>
        <w:t xml:space="preserve"> </w:t>
      </w:r>
      <w:r w:rsidRPr="00B67F37">
        <w:rPr>
          <w:rFonts w:cs="Open Sans"/>
        </w:rPr>
        <w:t>CCPR/C/59/D/560/1993 (3 April 1997) (‘</w:t>
      </w:r>
      <w:r w:rsidRPr="00B67F37">
        <w:rPr>
          <w:rFonts w:cs="Open Sans"/>
          <w:i/>
        </w:rPr>
        <w:t>A</w:t>
      </w:r>
      <w:r w:rsidRPr="00B67F37">
        <w:rPr>
          <w:rFonts w:cs="Open Sans"/>
          <w:i/>
          <w:spacing w:val="-10"/>
        </w:rPr>
        <w:t xml:space="preserve"> </w:t>
      </w:r>
      <w:r w:rsidRPr="00B67F37">
        <w:rPr>
          <w:rFonts w:cs="Open Sans"/>
          <w:i/>
        </w:rPr>
        <w:t>v</w:t>
      </w:r>
      <w:r w:rsidRPr="00B67F37">
        <w:rPr>
          <w:rFonts w:cs="Open Sans"/>
          <w:i/>
          <w:spacing w:val="-10"/>
        </w:rPr>
        <w:t xml:space="preserve"> </w:t>
      </w:r>
      <w:r w:rsidRPr="00B67F37">
        <w:rPr>
          <w:rFonts w:cs="Open Sans"/>
          <w:i/>
        </w:rPr>
        <w:t>Australia</w:t>
      </w:r>
      <w:r w:rsidRPr="00B67F37">
        <w:rPr>
          <w:rFonts w:cs="Open Sans"/>
          <w:spacing w:val="-4"/>
        </w:rPr>
        <w:t>’)</w:t>
      </w:r>
      <w:r w:rsidRPr="00B67F37">
        <w:rPr>
          <w:rFonts w:cs="Open Sans"/>
        </w:rPr>
        <w:t xml:space="preserve">; UN Human Rights Committee, </w:t>
      </w:r>
      <w:r w:rsidRPr="00B67F37">
        <w:rPr>
          <w:rFonts w:cs="Open Sans"/>
          <w:bCs/>
          <w:i/>
        </w:rPr>
        <w:t xml:space="preserve">Communication No. 631/1995, </w:t>
      </w:r>
      <w:r w:rsidRPr="00B67F37">
        <w:rPr>
          <w:rFonts w:cs="Open Sans"/>
          <w:bCs/>
        </w:rPr>
        <w:t>67</w:t>
      </w:r>
      <w:r w:rsidRPr="00B67F37">
        <w:rPr>
          <w:rFonts w:cs="Open Sans"/>
          <w:bCs/>
          <w:vertAlign w:val="superscript"/>
        </w:rPr>
        <w:t>th</w:t>
      </w:r>
      <w:r w:rsidRPr="00B67F37">
        <w:rPr>
          <w:rFonts w:cs="Open Sans"/>
          <w:bCs/>
        </w:rPr>
        <w:t xml:space="preserve"> sess,</w:t>
      </w:r>
      <w:r w:rsidRPr="00B67F37">
        <w:rPr>
          <w:rFonts w:cs="Open Sans"/>
          <w:b/>
          <w:bCs/>
        </w:rPr>
        <w:t xml:space="preserve"> </w:t>
      </w:r>
      <w:r w:rsidRPr="00B67F37">
        <w:rPr>
          <w:rFonts w:cs="Open Sans"/>
        </w:rPr>
        <w:t>UN Doc</w:t>
      </w:r>
      <w:r w:rsidRPr="00B67F37">
        <w:rPr>
          <w:rFonts w:cs="Open Sans"/>
          <w:spacing w:val="-24"/>
        </w:rPr>
        <w:t xml:space="preserve"> </w:t>
      </w:r>
      <w:bookmarkStart w:id="70" w:name="_bookmark15"/>
      <w:bookmarkEnd w:id="70"/>
      <w:r w:rsidRPr="00B67F37">
        <w:rPr>
          <w:rFonts w:cs="Open Sans"/>
        </w:rPr>
        <w:t>CCPR/C/67/D/631/1995 (11 November 1999)</w:t>
      </w:r>
      <w:r w:rsidRPr="00B67F37">
        <w:rPr>
          <w:rFonts w:cs="Open Sans"/>
          <w:i/>
        </w:rPr>
        <w:t xml:space="preserve"> </w:t>
      </w:r>
      <w:r w:rsidRPr="00B67F37">
        <w:rPr>
          <w:rFonts w:cs="Open Sans"/>
        </w:rPr>
        <w:t>(‘</w:t>
      </w:r>
      <w:r w:rsidRPr="00B67F37">
        <w:rPr>
          <w:rFonts w:cs="Open Sans"/>
          <w:i/>
        </w:rPr>
        <w:t>Spakmo</w:t>
      </w:r>
      <w:r w:rsidRPr="00B67F37">
        <w:rPr>
          <w:rFonts w:cs="Open Sans"/>
          <w:i/>
          <w:spacing w:val="-3"/>
        </w:rPr>
        <w:t xml:space="preserve"> </w:t>
      </w:r>
      <w:r w:rsidRPr="00B67F37">
        <w:rPr>
          <w:rFonts w:cs="Open Sans"/>
          <w:i/>
        </w:rPr>
        <w:t>v</w:t>
      </w:r>
      <w:r w:rsidRPr="00B67F37">
        <w:rPr>
          <w:rFonts w:cs="Open Sans"/>
          <w:i/>
          <w:spacing w:val="-3"/>
        </w:rPr>
        <w:t xml:space="preserve"> </w:t>
      </w:r>
      <w:r w:rsidRPr="00B67F37">
        <w:rPr>
          <w:rFonts w:cs="Open Sans"/>
          <w:i/>
        </w:rPr>
        <w:t>Norway</w:t>
      </w:r>
      <w:r w:rsidRPr="00B67F37">
        <w:rPr>
          <w:rFonts w:cs="Open Sans"/>
        </w:rPr>
        <w:t>’).</w:t>
      </w:r>
    </w:p>
  </w:endnote>
  <w:endnote w:id="9">
    <w:p w14:paraId="1686EC2A"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 xml:space="preserve">UN Human Rights Committee, </w:t>
      </w:r>
      <w:r w:rsidRPr="00B67F37">
        <w:rPr>
          <w:rFonts w:cs="Open Sans"/>
          <w:i/>
        </w:rPr>
        <w:t>General Comment 31:</w:t>
      </w:r>
      <w:r w:rsidRPr="00B67F37">
        <w:rPr>
          <w:rFonts w:cs="Open Sans"/>
        </w:rPr>
        <w:t xml:space="preserve"> </w:t>
      </w:r>
      <w:r w:rsidRPr="00B67F37">
        <w:rPr>
          <w:rFonts w:cs="Open Sans"/>
          <w:i/>
        </w:rPr>
        <w:t>The Nature of the General Legal Obligation Imposed on States Parties to the Covenant</w:t>
      </w:r>
      <w:r w:rsidRPr="00B67F37">
        <w:rPr>
          <w:rFonts w:cs="Open Sans"/>
        </w:rPr>
        <w:t>, UN Doc CCPR/C/21/Rev.1/Add.13 (26 May 2004) 1 [6]</w:t>
      </w:r>
      <w:r w:rsidRPr="00B67F37">
        <w:rPr>
          <w:rFonts w:cs="Open Sans"/>
          <w:color w:val="231F20"/>
        </w:rPr>
        <w:t xml:space="preserve">; </w:t>
      </w:r>
      <w:r w:rsidRPr="00B67F37">
        <w:rPr>
          <w:rFonts w:cs="Open Sans"/>
        </w:rPr>
        <w:t xml:space="preserve">UN Human Rights Committee, </w:t>
      </w:r>
      <w:r w:rsidRPr="00B67F37">
        <w:rPr>
          <w:rFonts w:cs="Open Sans"/>
          <w:i/>
        </w:rPr>
        <w:t>General Comment No. 35</w:t>
      </w:r>
      <w:r w:rsidRPr="00B67F37">
        <w:rPr>
          <w:rFonts w:cs="Open Sans"/>
        </w:rPr>
        <w:t xml:space="preserve"> </w:t>
      </w:r>
      <w:r w:rsidRPr="00B67F37">
        <w:rPr>
          <w:rFonts w:cs="Open Sans"/>
          <w:i/>
        </w:rPr>
        <w:t>Article 9 (Liberty and security of person)</w:t>
      </w:r>
      <w:r w:rsidRPr="00B67F37">
        <w:rPr>
          <w:rFonts w:cs="Open Sans"/>
        </w:rPr>
        <w:t>, 112</w:t>
      </w:r>
      <w:r w:rsidRPr="00B67F37">
        <w:rPr>
          <w:rFonts w:cs="Open Sans"/>
          <w:vertAlign w:val="superscript"/>
        </w:rPr>
        <w:t>th</w:t>
      </w:r>
      <w:r w:rsidRPr="00B67F37">
        <w:rPr>
          <w:rFonts w:cs="Open Sans"/>
        </w:rPr>
        <w:t xml:space="preserve"> sess, UN Doc CCPR/C/GC/35</w:t>
      </w:r>
      <w:r w:rsidRPr="00B67F37">
        <w:rPr>
          <w:rFonts w:cs="Open Sans"/>
          <w:i/>
        </w:rPr>
        <w:t xml:space="preserve"> </w:t>
      </w:r>
      <w:r w:rsidRPr="00B67F37">
        <w:rPr>
          <w:rFonts w:cs="Open Sans"/>
        </w:rPr>
        <w:t xml:space="preserve">(16 December 2014); UN Human Rights Committee, </w:t>
      </w:r>
      <w:r w:rsidRPr="00B67F37">
        <w:rPr>
          <w:rFonts w:cs="Open Sans"/>
          <w:i/>
        </w:rPr>
        <w:t xml:space="preserve">Views: </w:t>
      </w:r>
      <w:r w:rsidRPr="00B67F37">
        <w:rPr>
          <w:rFonts w:cs="Open Sans"/>
          <w:bCs/>
          <w:i/>
        </w:rPr>
        <w:t>Communication No. 560/1993</w:t>
      </w:r>
      <w:r w:rsidRPr="00B67F37">
        <w:rPr>
          <w:rFonts w:cs="Open Sans"/>
          <w:bCs/>
        </w:rPr>
        <w:t>, 59</w:t>
      </w:r>
      <w:r w:rsidRPr="00B67F37">
        <w:rPr>
          <w:rFonts w:cs="Open Sans"/>
          <w:bCs/>
          <w:vertAlign w:val="superscript"/>
        </w:rPr>
        <w:t>th</w:t>
      </w:r>
      <w:r w:rsidRPr="00B67F37">
        <w:rPr>
          <w:rFonts w:cs="Open Sans"/>
          <w:bCs/>
        </w:rPr>
        <w:t xml:space="preserve"> sess,</w:t>
      </w:r>
      <w:r w:rsidRPr="00B67F37">
        <w:rPr>
          <w:rFonts w:cs="Open Sans"/>
          <w:b/>
          <w:bCs/>
        </w:rPr>
        <w:t xml:space="preserve"> </w:t>
      </w:r>
      <w:r w:rsidRPr="00B67F37">
        <w:rPr>
          <w:rFonts w:cs="Open Sans"/>
        </w:rPr>
        <w:t>UN</w:t>
      </w:r>
      <w:r w:rsidRPr="00B67F37">
        <w:rPr>
          <w:rFonts w:cs="Open Sans"/>
          <w:spacing w:val="-4"/>
        </w:rPr>
        <w:t xml:space="preserve"> </w:t>
      </w:r>
      <w:r w:rsidRPr="00B67F37">
        <w:rPr>
          <w:rFonts w:cs="Open Sans"/>
        </w:rPr>
        <w:t>Doc</w:t>
      </w:r>
      <w:r w:rsidRPr="00B67F37">
        <w:rPr>
          <w:rFonts w:cs="Open Sans"/>
          <w:spacing w:val="-4"/>
        </w:rPr>
        <w:t xml:space="preserve"> </w:t>
      </w:r>
      <w:r w:rsidRPr="00B67F37">
        <w:rPr>
          <w:rFonts w:cs="Open Sans"/>
        </w:rPr>
        <w:t>CCPR/C/59/D/560/1993 (3 April 1997) (‘</w:t>
      </w:r>
      <w:r w:rsidRPr="00B67F37">
        <w:rPr>
          <w:rFonts w:cs="Open Sans"/>
          <w:i/>
        </w:rPr>
        <w:t>A</w:t>
      </w:r>
      <w:r w:rsidRPr="00B67F37">
        <w:rPr>
          <w:rFonts w:cs="Open Sans"/>
          <w:i/>
          <w:spacing w:val="-10"/>
        </w:rPr>
        <w:t xml:space="preserve"> </w:t>
      </w:r>
      <w:r w:rsidRPr="00B67F37">
        <w:rPr>
          <w:rFonts w:cs="Open Sans"/>
          <w:i/>
        </w:rPr>
        <w:t>v</w:t>
      </w:r>
      <w:r w:rsidRPr="00B67F37">
        <w:rPr>
          <w:rFonts w:cs="Open Sans"/>
          <w:i/>
          <w:spacing w:val="-10"/>
        </w:rPr>
        <w:t xml:space="preserve"> </w:t>
      </w:r>
      <w:r w:rsidRPr="00B67F37">
        <w:rPr>
          <w:rFonts w:cs="Open Sans"/>
          <w:i/>
        </w:rPr>
        <w:t>Australia</w:t>
      </w:r>
      <w:r w:rsidRPr="00B67F37">
        <w:rPr>
          <w:rFonts w:cs="Open Sans"/>
          <w:spacing w:val="-4"/>
        </w:rPr>
        <w:t xml:space="preserve">’) </w:t>
      </w:r>
      <w:r w:rsidRPr="00B67F37">
        <w:rPr>
          <w:rFonts w:cs="Open Sans"/>
          <w:color w:val="231F20"/>
        </w:rPr>
        <w:t>(the fact that the author may abscond if released into the community was not sufficient reason to justify holding the author in immigration detention for four</w:t>
      </w:r>
      <w:r w:rsidRPr="00B67F37">
        <w:rPr>
          <w:rFonts w:cs="Open Sans"/>
          <w:color w:val="231F20"/>
          <w:spacing w:val="-4"/>
        </w:rPr>
        <w:t xml:space="preserve"> </w:t>
      </w:r>
      <w:r w:rsidRPr="00B67F37">
        <w:rPr>
          <w:rFonts w:cs="Open Sans"/>
          <w:color w:val="231F20"/>
        </w:rPr>
        <w:t xml:space="preserve">years); </w:t>
      </w:r>
      <w:r w:rsidRPr="00B67F37">
        <w:rPr>
          <w:rFonts w:cs="Open Sans"/>
        </w:rPr>
        <w:t xml:space="preserve">UN Human Rights Committee, </w:t>
      </w:r>
      <w:r w:rsidRPr="00B67F37">
        <w:rPr>
          <w:rFonts w:cs="Open Sans"/>
          <w:i/>
        </w:rPr>
        <w:t xml:space="preserve">Views: </w:t>
      </w:r>
      <w:r w:rsidRPr="00B67F37">
        <w:rPr>
          <w:rFonts w:cs="Open Sans"/>
          <w:bCs/>
          <w:i/>
          <w:lang w:val="en"/>
        </w:rPr>
        <w:t>Communication No. 900/1999</w:t>
      </w:r>
      <w:r w:rsidRPr="00B67F37">
        <w:rPr>
          <w:rFonts w:cs="Open Sans"/>
          <w:bCs/>
          <w:lang w:val="en"/>
        </w:rPr>
        <w:t>, 67</w:t>
      </w:r>
      <w:r w:rsidRPr="00B67F37">
        <w:rPr>
          <w:rFonts w:cs="Open Sans"/>
          <w:bCs/>
          <w:vertAlign w:val="superscript"/>
          <w:lang w:val="en"/>
        </w:rPr>
        <w:t>th</w:t>
      </w:r>
      <w:r w:rsidRPr="00B67F37">
        <w:rPr>
          <w:rFonts w:cs="Open Sans"/>
          <w:bCs/>
          <w:lang w:val="en"/>
        </w:rPr>
        <w:t xml:space="preserve"> sess, </w:t>
      </w:r>
      <w:r w:rsidRPr="00B67F37">
        <w:rPr>
          <w:rFonts w:cs="Open Sans"/>
        </w:rPr>
        <w:t>UN Doc CCPR/C/76/D/900/1999 (13 November 2002)</w:t>
      </w:r>
      <w:r w:rsidRPr="00B67F37">
        <w:rPr>
          <w:rFonts w:cs="Open Sans"/>
          <w:i/>
        </w:rPr>
        <w:t xml:space="preserve"> </w:t>
      </w:r>
      <w:r w:rsidRPr="00B67F37">
        <w:rPr>
          <w:rFonts w:cs="Open Sans"/>
        </w:rPr>
        <w:t>(‘</w:t>
      </w:r>
      <w:r w:rsidRPr="00B67F37">
        <w:rPr>
          <w:rFonts w:cs="Open Sans"/>
          <w:i/>
        </w:rPr>
        <w:t>C v</w:t>
      </w:r>
      <w:r w:rsidRPr="00B67F37">
        <w:rPr>
          <w:rFonts w:cs="Open Sans"/>
          <w:i/>
          <w:spacing w:val="-10"/>
        </w:rPr>
        <w:t xml:space="preserve"> </w:t>
      </w:r>
      <w:r w:rsidRPr="00B67F37">
        <w:rPr>
          <w:rFonts w:cs="Open Sans"/>
          <w:i/>
        </w:rPr>
        <w:t>Australia</w:t>
      </w:r>
      <w:r w:rsidRPr="00B67F37">
        <w:rPr>
          <w:rFonts w:cs="Open Sans"/>
        </w:rPr>
        <w:t xml:space="preserve">’). </w:t>
      </w:r>
      <w:bookmarkStart w:id="71" w:name="_bookmark16"/>
      <w:bookmarkEnd w:id="71"/>
    </w:p>
  </w:endnote>
  <w:endnote w:id="10">
    <w:p w14:paraId="511EBDCE"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 xml:space="preserve">UN Human Rights Committee, </w:t>
      </w:r>
      <w:r w:rsidRPr="00B67F37">
        <w:rPr>
          <w:rFonts w:cs="Open Sans"/>
          <w:i/>
        </w:rPr>
        <w:t xml:space="preserve">Views: </w:t>
      </w:r>
      <w:r w:rsidRPr="00B67F37">
        <w:rPr>
          <w:rFonts w:cs="Open Sans"/>
          <w:i/>
          <w:iCs/>
        </w:rPr>
        <w:t>Communication No. 305/1988,</w:t>
      </w:r>
      <w:r w:rsidRPr="00B67F37">
        <w:rPr>
          <w:rFonts w:cs="Open Sans"/>
          <w:i/>
          <w:spacing w:val="-3"/>
        </w:rPr>
        <w:t xml:space="preserve"> </w:t>
      </w:r>
      <w:r w:rsidRPr="00B67F37">
        <w:rPr>
          <w:rFonts w:cs="Open Sans"/>
          <w:spacing w:val="-3"/>
        </w:rPr>
        <w:t>39</w:t>
      </w:r>
      <w:r w:rsidRPr="00B67F37">
        <w:rPr>
          <w:rFonts w:cs="Open Sans"/>
          <w:spacing w:val="-3"/>
          <w:vertAlign w:val="superscript"/>
        </w:rPr>
        <w:t>th</w:t>
      </w:r>
      <w:r w:rsidRPr="00B67F37">
        <w:rPr>
          <w:rFonts w:cs="Open Sans"/>
          <w:spacing w:val="-3"/>
        </w:rPr>
        <w:t xml:space="preserve"> sess, </w:t>
      </w:r>
      <w:r w:rsidRPr="00B67F37">
        <w:rPr>
          <w:rFonts w:cs="Open Sans"/>
        </w:rPr>
        <w:t>UN Doc CCPR/C/39/D/305/1988 (23 July 1990) (‘</w:t>
      </w:r>
      <w:r w:rsidRPr="00B67F37">
        <w:rPr>
          <w:rFonts w:cs="Open Sans"/>
          <w:i/>
          <w:spacing w:val="-3"/>
        </w:rPr>
        <w:t xml:space="preserve">Van </w:t>
      </w:r>
      <w:r w:rsidRPr="00B67F37">
        <w:rPr>
          <w:rFonts w:cs="Open Sans"/>
          <w:i/>
        </w:rPr>
        <w:t>Alphen v The Netherlands</w:t>
      </w:r>
      <w:r w:rsidRPr="00B67F37">
        <w:rPr>
          <w:rFonts w:cs="Open Sans"/>
        </w:rPr>
        <w:t>’).</w:t>
      </w:r>
    </w:p>
  </w:endnote>
  <w:endnote w:id="11">
    <w:p w14:paraId="23646AAB"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 xml:space="preserve">UN Human Rights Committee, </w:t>
      </w:r>
      <w:r w:rsidRPr="00B67F37">
        <w:rPr>
          <w:rFonts w:cs="Open Sans"/>
          <w:i/>
        </w:rPr>
        <w:t xml:space="preserve">Views: </w:t>
      </w:r>
      <w:r w:rsidRPr="00B67F37">
        <w:rPr>
          <w:rFonts w:cs="Open Sans"/>
          <w:bCs/>
          <w:i/>
          <w:lang w:val="en"/>
        </w:rPr>
        <w:t>Communication No. 900/1999</w:t>
      </w:r>
      <w:r w:rsidRPr="00B67F37">
        <w:rPr>
          <w:rFonts w:cs="Open Sans"/>
          <w:bCs/>
          <w:lang w:val="en"/>
        </w:rPr>
        <w:t>, 67</w:t>
      </w:r>
      <w:r w:rsidRPr="00B67F37">
        <w:rPr>
          <w:rFonts w:cs="Open Sans"/>
          <w:bCs/>
          <w:vertAlign w:val="superscript"/>
          <w:lang w:val="en"/>
        </w:rPr>
        <w:t>th</w:t>
      </w:r>
      <w:r w:rsidRPr="00B67F37">
        <w:rPr>
          <w:rFonts w:cs="Open Sans"/>
          <w:bCs/>
          <w:lang w:val="en"/>
        </w:rPr>
        <w:t xml:space="preserve"> sess, </w:t>
      </w:r>
      <w:r w:rsidRPr="00B67F37">
        <w:rPr>
          <w:rFonts w:cs="Open Sans"/>
        </w:rPr>
        <w:t>UN Doc CCPR/C/76/D/900/1999 (13 November 2002)</w:t>
      </w:r>
      <w:r w:rsidRPr="00B67F37">
        <w:rPr>
          <w:rFonts w:cs="Open Sans"/>
          <w:i/>
        </w:rPr>
        <w:t xml:space="preserve"> </w:t>
      </w:r>
      <w:r w:rsidRPr="00B67F37">
        <w:rPr>
          <w:rFonts w:cs="Open Sans"/>
        </w:rPr>
        <w:t>(‘</w:t>
      </w:r>
      <w:r w:rsidRPr="00B67F37">
        <w:rPr>
          <w:rFonts w:cs="Open Sans"/>
          <w:i/>
        </w:rPr>
        <w:t>C v</w:t>
      </w:r>
      <w:r w:rsidRPr="00B67F37">
        <w:rPr>
          <w:rFonts w:cs="Open Sans"/>
          <w:i/>
          <w:spacing w:val="-10"/>
        </w:rPr>
        <w:t xml:space="preserve"> </w:t>
      </w:r>
      <w:r w:rsidRPr="00B67F37">
        <w:rPr>
          <w:rFonts w:cs="Open Sans"/>
          <w:i/>
        </w:rPr>
        <w:t>Australia</w:t>
      </w:r>
      <w:r w:rsidRPr="00B67F37">
        <w:rPr>
          <w:rFonts w:cs="Open Sans"/>
        </w:rPr>
        <w:t>’)</w:t>
      </w:r>
      <w:r w:rsidRPr="00B67F37">
        <w:rPr>
          <w:rFonts w:cs="Open Sans"/>
          <w:color w:val="231F20"/>
        </w:rPr>
        <w:t>;</w:t>
      </w:r>
      <w:r w:rsidRPr="00B67F37">
        <w:rPr>
          <w:rFonts w:cs="Open Sans"/>
        </w:rPr>
        <w:t xml:space="preserve"> UN Human Rights Committee, </w:t>
      </w:r>
      <w:r w:rsidRPr="00B67F37">
        <w:rPr>
          <w:rFonts w:cs="Open Sans"/>
          <w:i/>
        </w:rPr>
        <w:t xml:space="preserve">Views: </w:t>
      </w:r>
      <w:r w:rsidRPr="00B67F37">
        <w:rPr>
          <w:rFonts w:cs="Open Sans"/>
          <w:bCs/>
          <w:i/>
        </w:rPr>
        <w:t>Communications Nos. 1255,1256,1259,1260,1266,1268,1270,1288/2004</w:t>
      </w:r>
      <w:r w:rsidRPr="00B67F37">
        <w:rPr>
          <w:rFonts w:cs="Open Sans"/>
          <w:bCs/>
        </w:rPr>
        <w:t>, 90</w:t>
      </w:r>
      <w:r w:rsidRPr="00B67F37">
        <w:rPr>
          <w:rFonts w:cs="Open Sans"/>
          <w:bCs/>
          <w:vertAlign w:val="superscript"/>
        </w:rPr>
        <w:t>th</w:t>
      </w:r>
      <w:r w:rsidRPr="00B67F37">
        <w:rPr>
          <w:rFonts w:cs="Open Sans"/>
          <w:bCs/>
        </w:rPr>
        <w:t xml:space="preserve"> sess, </w:t>
      </w:r>
      <w:r w:rsidRPr="00B67F37">
        <w:rPr>
          <w:rFonts w:cs="Open Sans"/>
        </w:rPr>
        <w:t>UN</w:t>
      </w:r>
      <w:r w:rsidRPr="00B67F37">
        <w:rPr>
          <w:rFonts w:cs="Open Sans"/>
          <w:spacing w:val="-6"/>
        </w:rPr>
        <w:t xml:space="preserve"> </w:t>
      </w:r>
      <w:r w:rsidRPr="00B67F37">
        <w:rPr>
          <w:rFonts w:cs="Open Sans"/>
        </w:rPr>
        <w:t>Doc</w:t>
      </w:r>
      <w:r w:rsidRPr="00B67F37">
        <w:rPr>
          <w:rFonts w:cs="Open Sans"/>
          <w:spacing w:val="-6"/>
        </w:rPr>
        <w:t xml:space="preserve"> </w:t>
      </w:r>
      <w:r w:rsidRPr="00B67F37">
        <w:rPr>
          <w:rFonts w:cs="Open Sans"/>
        </w:rPr>
        <w:t>CCPR/C/90/D/1255/2004 (20 July 2007) (‘</w:t>
      </w:r>
      <w:r w:rsidRPr="00B67F37">
        <w:rPr>
          <w:rFonts w:cs="Open Sans"/>
          <w:i/>
        </w:rPr>
        <w:t>Shams &amp; Ors v Australia</w:t>
      </w:r>
      <w:r w:rsidRPr="00B67F37">
        <w:rPr>
          <w:rFonts w:cs="Open Sans"/>
        </w:rPr>
        <w:t xml:space="preserve">’); UN Human Rights Committee, </w:t>
      </w:r>
      <w:r w:rsidRPr="00B67F37">
        <w:rPr>
          <w:rFonts w:cs="Open Sans"/>
          <w:i/>
        </w:rPr>
        <w:t>Views: Communication No 1014/2001</w:t>
      </w:r>
      <w:r w:rsidRPr="00B67F37">
        <w:rPr>
          <w:rFonts w:cs="Open Sans"/>
        </w:rPr>
        <w:t>, 78</w:t>
      </w:r>
      <w:r w:rsidRPr="00B67F37">
        <w:rPr>
          <w:rFonts w:cs="Open Sans"/>
          <w:vertAlign w:val="superscript"/>
        </w:rPr>
        <w:t>th</w:t>
      </w:r>
      <w:r w:rsidRPr="00B67F37">
        <w:rPr>
          <w:rFonts w:cs="Open Sans"/>
        </w:rPr>
        <w:t xml:space="preserve"> sess, CCPR/C/78/D/1014/2001 (18 September 2003) (‘</w:t>
      </w:r>
      <w:r w:rsidRPr="00B67F37">
        <w:rPr>
          <w:rFonts w:cs="Open Sans"/>
          <w:i/>
        </w:rPr>
        <w:t>Baban v</w:t>
      </w:r>
      <w:r w:rsidRPr="00B67F37">
        <w:rPr>
          <w:rFonts w:cs="Open Sans"/>
          <w:i/>
          <w:spacing w:val="-11"/>
        </w:rPr>
        <w:t xml:space="preserve"> </w:t>
      </w:r>
      <w:r w:rsidRPr="00B67F37">
        <w:rPr>
          <w:rFonts w:cs="Open Sans"/>
          <w:i/>
        </w:rPr>
        <w:t>Australia</w:t>
      </w:r>
      <w:r w:rsidRPr="00B67F37">
        <w:rPr>
          <w:rFonts w:cs="Open Sans"/>
        </w:rPr>
        <w:t>’);</w:t>
      </w:r>
      <w:r w:rsidRPr="00B67F37">
        <w:rPr>
          <w:rFonts w:cs="Open Sans"/>
          <w:i/>
        </w:rPr>
        <w:t xml:space="preserve"> </w:t>
      </w:r>
      <w:r w:rsidRPr="00B67F37">
        <w:rPr>
          <w:rFonts w:cs="Open Sans"/>
        </w:rPr>
        <w:t xml:space="preserve">UN Human Rights Committee, </w:t>
      </w:r>
      <w:r w:rsidRPr="00B67F37">
        <w:rPr>
          <w:rFonts w:cs="Open Sans"/>
          <w:i/>
        </w:rPr>
        <w:t xml:space="preserve">Views: </w:t>
      </w:r>
      <w:r w:rsidRPr="00B67F37">
        <w:rPr>
          <w:rFonts w:cs="Open Sans"/>
          <w:bCs/>
          <w:i/>
          <w:lang w:val="en"/>
        </w:rPr>
        <w:t>Communication No. 1050/2002</w:t>
      </w:r>
      <w:r w:rsidRPr="00B67F37">
        <w:rPr>
          <w:rFonts w:cs="Open Sans"/>
          <w:bCs/>
          <w:lang w:val="en"/>
        </w:rPr>
        <w:t>, 87</w:t>
      </w:r>
      <w:r w:rsidRPr="00B67F37">
        <w:rPr>
          <w:rFonts w:cs="Open Sans"/>
          <w:bCs/>
          <w:vertAlign w:val="superscript"/>
          <w:lang w:val="en"/>
        </w:rPr>
        <w:t>th</w:t>
      </w:r>
      <w:r w:rsidRPr="00B67F37">
        <w:rPr>
          <w:rFonts w:cs="Open Sans"/>
          <w:bCs/>
          <w:lang w:val="en"/>
        </w:rPr>
        <w:t xml:space="preserve"> sess,</w:t>
      </w:r>
      <w:r w:rsidRPr="00B67F37">
        <w:rPr>
          <w:rFonts w:cs="Open Sans"/>
          <w:lang w:val="en"/>
        </w:rPr>
        <w:t xml:space="preserve"> </w:t>
      </w:r>
      <w:r w:rsidRPr="00B67F37">
        <w:rPr>
          <w:rFonts w:cs="Open Sans"/>
        </w:rPr>
        <w:t>CCPR/C/87/D/1050/2002 (9 August 2006)</w:t>
      </w:r>
      <w:r w:rsidRPr="00B67F37">
        <w:rPr>
          <w:rFonts w:cs="Open Sans"/>
          <w:i/>
        </w:rPr>
        <w:t xml:space="preserve"> </w:t>
      </w:r>
      <w:r w:rsidRPr="00B67F37">
        <w:rPr>
          <w:rFonts w:cs="Open Sans"/>
        </w:rPr>
        <w:t>(‘</w:t>
      </w:r>
      <w:r w:rsidRPr="00B67F37">
        <w:rPr>
          <w:rFonts w:cs="Open Sans"/>
          <w:i/>
        </w:rPr>
        <w:t>D</w:t>
      </w:r>
      <w:r w:rsidRPr="00B67F37">
        <w:rPr>
          <w:rFonts w:cs="Open Sans"/>
          <w:i/>
          <w:spacing w:val="-6"/>
        </w:rPr>
        <w:t xml:space="preserve"> </w:t>
      </w:r>
      <w:r w:rsidRPr="00B67F37">
        <w:rPr>
          <w:rFonts w:cs="Open Sans"/>
          <w:i/>
        </w:rPr>
        <w:t>and E and their two children v</w:t>
      </w:r>
      <w:r w:rsidRPr="00B67F37">
        <w:rPr>
          <w:rFonts w:cs="Open Sans"/>
          <w:i/>
          <w:spacing w:val="-38"/>
        </w:rPr>
        <w:t xml:space="preserve">  </w:t>
      </w:r>
      <w:r w:rsidRPr="00B67F37">
        <w:rPr>
          <w:rFonts w:cs="Open Sans"/>
          <w:i/>
        </w:rPr>
        <w:t>Australia</w:t>
      </w:r>
      <w:r w:rsidRPr="00B67F37">
        <w:rPr>
          <w:rFonts w:cs="Open Sans"/>
        </w:rPr>
        <w:t>’).</w:t>
      </w:r>
    </w:p>
  </w:endnote>
  <w:endnote w:id="12">
    <w:p w14:paraId="5E5CEC00" w14:textId="77777777" w:rsidR="00EA1E73" w:rsidRPr="00B67F37" w:rsidRDefault="00EA1E73" w:rsidP="00EA7870">
      <w:pPr>
        <w:tabs>
          <w:tab w:val="left" w:pos="567"/>
        </w:tabs>
        <w:spacing w:before="0" w:after="0"/>
        <w:ind w:left="284" w:right="556" w:hanging="284"/>
        <w:rPr>
          <w:rFonts w:cs="Open Sans"/>
          <w:sz w:val="20"/>
        </w:rPr>
      </w:pPr>
      <w:r w:rsidRPr="00B67F37">
        <w:rPr>
          <w:rStyle w:val="EndnoteReference"/>
          <w:rFonts w:cs="Open Sans"/>
        </w:rPr>
        <w:endnoteRef/>
      </w:r>
      <w:r w:rsidRPr="00B67F37">
        <w:rPr>
          <w:rFonts w:cs="Open Sans"/>
          <w:sz w:val="20"/>
        </w:rPr>
        <w:t xml:space="preserve"> </w:t>
      </w:r>
      <w:r w:rsidRPr="00B67F37">
        <w:rPr>
          <w:rFonts w:cs="Open Sans"/>
          <w:sz w:val="20"/>
        </w:rPr>
        <w:tab/>
        <w:t xml:space="preserve">UN Human Rights Committee, </w:t>
      </w:r>
      <w:r w:rsidRPr="00B67F37">
        <w:rPr>
          <w:rFonts w:cs="Open Sans"/>
          <w:i/>
          <w:sz w:val="20"/>
        </w:rPr>
        <w:t>General Comment No. 35:</w:t>
      </w:r>
      <w:r w:rsidRPr="00B67F37">
        <w:rPr>
          <w:rFonts w:cs="Open Sans"/>
          <w:sz w:val="20"/>
        </w:rPr>
        <w:t xml:space="preserve"> </w:t>
      </w:r>
      <w:r w:rsidRPr="00B67F37">
        <w:rPr>
          <w:rFonts w:cs="Open Sans"/>
          <w:i/>
          <w:sz w:val="20"/>
        </w:rPr>
        <w:t>Article 9 (Liberty and security of person)</w:t>
      </w:r>
      <w:r w:rsidRPr="00B67F37">
        <w:rPr>
          <w:rFonts w:cs="Open Sans"/>
          <w:sz w:val="20"/>
        </w:rPr>
        <w:t>, 112</w:t>
      </w:r>
      <w:r w:rsidRPr="00B67F37">
        <w:rPr>
          <w:rFonts w:cs="Open Sans"/>
          <w:sz w:val="20"/>
          <w:vertAlign w:val="superscript"/>
        </w:rPr>
        <w:t>th</w:t>
      </w:r>
      <w:r w:rsidRPr="00B67F37">
        <w:rPr>
          <w:rFonts w:cs="Open Sans"/>
          <w:sz w:val="20"/>
        </w:rPr>
        <w:t xml:space="preserve"> sess, UN Doc CCPR/C/GC/35</w:t>
      </w:r>
      <w:r w:rsidRPr="00B67F37">
        <w:rPr>
          <w:rFonts w:cs="Open Sans"/>
          <w:i/>
          <w:sz w:val="20"/>
        </w:rPr>
        <w:t xml:space="preserve"> </w:t>
      </w:r>
      <w:r w:rsidRPr="00B67F37">
        <w:rPr>
          <w:rFonts w:cs="Open Sans"/>
          <w:sz w:val="20"/>
        </w:rPr>
        <w:t>(16 December 2014) 5–6 [18], footnotes omitted.</w:t>
      </w:r>
    </w:p>
  </w:endnote>
  <w:endnote w:id="13">
    <w:p w14:paraId="2DD69996"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ab/>
      </w:r>
      <w:r w:rsidRPr="00B67F37">
        <w:rPr>
          <w:rStyle w:val="Emphasis"/>
          <w:rFonts w:cs="Open Sans"/>
        </w:rPr>
        <w:t>Report of the Working Group on Arbitrary Detention</w:t>
      </w:r>
      <w:r w:rsidRPr="00B67F37">
        <w:rPr>
          <w:rFonts w:cs="Open Sans"/>
        </w:rPr>
        <w:t>, UN Doc E/CN.4/2005/6, 1 December 2004 at [77].</w:t>
      </w:r>
    </w:p>
  </w:endnote>
  <w:endnote w:id="14">
    <w:p w14:paraId="1CCEE450"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ab/>
        <w:t xml:space="preserve">UN Human Rights Committee, </w:t>
      </w:r>
      <w:r w:rsidRPr="00B67F37">
        <w:rPr>
          <w:rFonts w:cs="Open Sans"/>
          <w:i/>
          <w:iCs/>
        </w:rPr>
        <w:t>General Comment No 8:</w:t>
      </w:r>
      <w:r w:rsidRPr="00B67F37">
        <w:rPr>
          <w:rFonts w:cs="Open Sans"/>
        </w:rPr>
        <w:t xml:space="preserve"> </w:t>
      </w:r>
      <w:r w:rsidRPr="00B67F37">
        <w:rPr>
          <w:rFonts w:cs="Open Sans"/>
          <w:i/>
          <w:iCs/>
        </w:rPr>
        <w:t xml:space="preserve">Article 9 (Right to Liberty and Security of Persons), </w:t>
      </w:r>
      <w:r w:rsidRPr="00B67F37">
        <w:rPr>
          <w:rFonts w:cs="Open Sans"/>
        </w:rPr>
        <w:t>60</w:t>
      </w:r>
      <w:r w:rsidRPr="00B67F37">
        <w:rPr>
          <w:rFonts w:cs="Open Sans"/>
          <w:vertAlign w:val="superscript"/>
        </w:rPr>
        <w:t>th</w:t>
      </w:r>
      <w:r w:rsidRPr="00B67F37">
        <w:rPr>
          <w:rFonts w:cs="Open Sans"/>
        </w:rPr>
        <w:t xml:space="preserve"> sess, UN Doc HRI/GEN/1/Rev.1 (1982) [4]. See also UN Commission on Human Rights, </w:t>
      </w:r>
      <w:r w:rsidRPr="00B67F37">
        <w:rPr>
          <w:rStyle w:val="Emphasis"/>
          <w:rFonts w:cs="Open Sans"/>
        </w:rPr>
        <w:t>Study of the Right of Everyone to be Free from Arbitrary Arrest, Detention and Exile</w:t>
      </w:r>
      <w:r w:rsidRPr="00B67F37">
        <w:rPr>
          <w:rFonts w:cs="Open Sans"/>
        </w:rPr>
        <w:t>, UN Doc E/CN.4/826/Rev.1 (1962) [783]–[787].</w:t>
      </w:r>
    </w:p>
  </w:endnote>
  <w:endnote w:id="15">
    <w:p w14:paraId="48199C37"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ab/>
        <w:t xml:space="preserve">UN Human Rights Committee, </w:t>
      </w:r>
      <w:r w:rsidRPr="00B67F37">
        <w:rPr>
          <w:rFonts w:cs="Open Sans"/>
          <w:i/>
        </w:rPr>
        <w:t>Communication No 1051/2002</w:t>
      </w:r>
      <w:r w:rsidRPr="00B67F37">
        <w:rPr>
          <w:rFonts w:cs="Open Sans"/>
        </w:rPr>
        <w:t>, 80</w:t>
      </w:r>
      <w:r w:rsidRPr="00B67F37">
        <w:rPr>
          <w:rFonts w:cs="Open Sans"/>
          <w:vertAlign w:val="superscript"/>
        </w:rPr>
        <w:t>th</w:t>
      </w:r>
      <w:r w:rsidRPr="00B67F37">
        <w:rPr>
          <w:rFonts w:cs="Open Sans"/>
        </w:rPr>
        <w:t xml:space="preserve"> sess,</w:t>
      </w:r>
      <w:r w:rsidRPr="00B67F37">
        <w:rPr>
          <w:rFonts w:cs="Open Sans"/>
          <w:i/>
        </w:rPr>
        <w:t xml:space="preserve"> </w:t>
      </w:r>
      <w:r w:rsidRPr="00B67F37">
        <w:rPr>
          <w:rFonts w:cs="Open Sans"/>
        </w:rPr>
        <w:t>UN Doc CCPR/C/80/D/1051/2002 (2004) (‘</w:t>
      </w:r>
      <w:r w:rsidRPr="00B67F37">
        <w:rPr>
          <w:rStyle w:val="Emphasis"/>
          <w:rFonts w:cs="Open Sans"/>
        </w:rPr>
        <w:t>Mansour Ahani v Canada’)</w:t>
      </w:r>
      <w:r w:rsidRPr="00B67F37">
        <w:rPr>
          <w:rFonts w:cs="Open Sans"/>
        </w:rPr>
        <w:t xml:space="preserve"> [10.2].</w:t>
      </w:r>
    </w:p>
  </w:endnote>
  <w:endnote w:id="16">
    <w:p w14:paraId="198ACAF1"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ab/>
        <w:t xml:space="preserve">UN Human Rights Committee, </w:t>
      </w:r>
      <w:r w:rsidRPr="00B67F37">
        <w:rPr>
          <w:rFonts w:cs="Open Sans"/>
          <w:i/>
        </w:rPr>
        <w:t>Communication No 794/1998</w:t>
      </w:r>
      <w:r w:rsidRPr="00B67F37">
        <w:rPr>
          <w:rFonts w:cs="Open Sans"/>
        </w:rPr>
        <w:t>, 74</w:t>
      </w:r>
      <w:r w:rsidRPr="00B67F37">
        <w:rPr>
          <w:rFonts w:cs="Open Sans"/>
          <w:vertAlign w:val="superscript"/>
        </w:rPr>
        <w:t>th</w:t>
      </w:r>
      <w:r w:rsidRPr="00B67F37">
        <w:rPr>
          <w:rFonts w:cs="Open Sans"/>
        </w:rPr>
        <w:t xml:space="preserve"> sess,</w:t>
      </w:r>
      <w:r w:rsidRPr="00B67F37">
        <w:rPr>
          <w:rFonts w:cs="Open Sans"/>
          <w:i/>
        </w:rPr>
        <w:t xml:space="preserve"> </w:t>
      </w:r>
      <w:r w:rsidRPr="00B67F37">
        <w:rPr>
          <w:rFonts w:cs="Open Sans"/>
        </w:rPr>
        <w:t>UN Doc CCPR/C/74/D/794/1998 (2002) (‘</w:t>
      </w:r>
      <w:r w:rsidRPr="00B67F37">
        <w:rPr>
          <w:rFonts w:cs="Open Sans"/>
          <w:i/>
        </w:rPr>
        <w:t>Jalloh v the Netherlands</w:t>
      </w:r>
      <w:r w:rsidRPr="00B67F37">
        <w:rPr>
          <w:rFonts w:cs="Open Sans"/>
        </w:rPr>
        <w:t xml:space="preserve">’); </w:t>
      </w:r>
      <w:r w:rsidRPr="00B67F37">
        <w:rPr>
          <w:rStyle w:val="Emphasis"/>
          <w:rFonts w:cs="Open Sans"/>
        </w:rPr>
        <w:t>Baban v Australia,</w:t>
      </w:r>
      <w:r w:rsidRPr="00B67F37">
        <w:rPr>
          <w:rFonts w:cs="Open Sans"/>
        </w:rPr>
        <w:t xml:space="preserve"> UN Doc CCPR/C/78/D/1014/2001.</w:t>
      </w:r>
    </w:p>
  </w:endnote>
  <w:endnote w:id="17">
    <w:p w14:paraId="7C9834AC" w14:textId="77777777" w:rsidR="00EA1E73" w:rsidRPr="00B67F37" w:rsidRDefault="00EA1E73" w:rsidP="00F92C46">
      <w:pPr>
        <w:tabs>
          <w:tab w:val="left" w:pos="567"/>
        </w:tabs>
        <w:spacing w:before="0" w:after="0"/>
        <w:ind w:left="284" w:hanging="284"/>
        <w:rPr>
          <w:rFonts w:cs="Open Sans"/>
          <w:sz w:val="20"/>
        </w:rPr>
      </w:pPr>
      <w:r w:rsidRPr="00B67F37">
        <w:rPr>
          <w:rStyle w:val="EndnoteReference"/>
          <w:rFonts w:cs="Open Sans"/>
        </w:rPr>
        <w:endnoteRef/>
      </w:r>
      <w:r w:rsidRPr="00B67F37">
        <w:rPr>
          <w:rFonts w:cs="Open Sans"/>
          <w:sz w:val="20"/>
        </w:rPr>
        <w:t xml:space="preserve"> </w:t>
      </w:r>
      <w:r w:rsidRPr="00B67F37">
        <w:rPr>
          <w:rFonts w:cs="Open Sans"/>
          <w:sz w:val="20"/>
        </w:rPr>
        <w:tab/>
        <w:t xml:space="preserve">UN Human Rights Committee, </w:t>
      </w:r>
      <w:r w:rsidRPr="00B67F37">
        <w:rPr>
          <w:rFonts w:cs="Open Sans"/>
          <w:i/>
          <w:sz w:val="20"/>
        </w:rPr>
        <w:t>General Comment 31: The</w:t>
      </w:r>
      <w:r w:rsidRPr="00B67F37">
        <w:rPr>
          <w:rFonts w:cs="Open Sans"/>
          <w:sz w:val="20"/>
        </w:rPr>
        <w:t xml:space="preserve"> </w:t>
      </w:r>
      <w:r w:rsidRPr="00B67F37">
        <w:rPr>
          <w:rFonts w:cs="Open Sans"/>
          <w:i/>
          <w:sz w:val="20"/>
        </w:rPr>
        <w:t>Nature of the General Legal Obligation Imposed on States Parties to the Covenant</w:t>
      </w:r>
      <w:r w:rsidRPr="00B67F37">
        <w:rPr>
          <w:rFonts w:cs="Open Sans"/>
          <w:sz w:val="20"/>
        </w:rPr>
        <w:t xml:space="preserve">, UN Doc CCPR/C/21/Rev.1/Add.13 (26 May 2004) 1 [6]; UN Human Rights Committee, </w:t>
      </w:r>
      <w:r w:rsidRPr="00B67F37">
        <w:rPr>
          <w:rFonts w:cs="Open Sans"/>
          <w:i/>
          <w:sz w:val="20"/>
        </w:rPr>
        <w:t xml:space="preserve">Views: </w:t>
      </w:r>
      <w:r w:rsidRPr="00B67F37">
        <w:rPr>
          <w:rFonts w:cs="Open Sans"/>
          <w:i/>
          <w:iCs/>
          <w:sz w:val="20"/>
        </w:rPr>
        <w:t>Communication No. 305/1988,</w:t>
      </w:r>
      <w:r w:rsidRPr="00B67F37">
        <w:rPr>
          <w:rFonts w:cs="Open Sans"/>
          <w:i/>
          <w:spacing w:val="-3"/>
          <w:sz w:val="20"/>
        </w:rPr>
        <w:t xml:space="preserve"> </w:t>
      </w:r>
      <w:r w:rsidRPr="00B67F37">
        <w:rPr>
          <w:rFonts w:cs="Open Sans"/>
          <w:spacing w:val="-3"/>
          <w:sz w:val="20"/>
        </w:rPr>
        <w:t>39</w:t>
      </w:r>
      <w:r w:rsidRPr="00B67F37">
        <w:rPr>
          <w:rFonts w:cs="Open Sans"/>
          <w:spacing w:val="-3"/>
          <w:sz w:val="20"/>
          <w:vertAlign w:val="superscript"/>
        </w:rPr>
        <w:t>th</w:t>
      </w:r>
      <w:r w:rsidRPr="00B67F37">
        <w:rPr>
          <w:rFonts w:cs="Open Sans"/>
          <w:spacing w:val="-3"/>
          <w:sz w:val="20"/>
        </w:rPr>
        <w:t xml:space="preserve"> sess, </w:t>
      </w:r>
      <w:r w:rsidRPr="00B67F37">
        <w:rPr>
          <w:rFonts w:cs="Open Sans"/>
          <w:sz w:val="20"/>
        </w:rPr>
        <w:t>UN Doc CCPR/C/39/D/305/1988 (23 July 1990) (‘</w:t>
      </w:r>
      <w:r w:rsidRPr="00B67F37">
        <w:rPr>
          <w:rFonts w:cs="Open Sans"/>
          <w:i/>
          <w:spacing w:val="-3"/>
          <w:sz w:val="20"/>
        </w:rPr>
        <w:t xml:space="preserve">Van </w:t>
      </w:r>
      <w:r w:rsidRPr="00B67F37">
        <w:rPr>
          <w:rFonts w:cs="Open Sans"/>
          <w:i/>
          <w:sz w:val="20"/>
        </w:rPr>
        <w:t>Alphen v The Netherlands</w:t>
      </w:r>
      <w:r w:rsidRPr="00B67F37">
        <w:rPr>
          <w:rFonts w:cs="Open Sans"/>
          <w:sz w:val="20"/>
        </w:rPr>
        <w:t xml:space="preserve">’); UN Human Rights Committee, </w:t>
      </w:r>
      <w:r w:rsidRPr="00B67F37">
        <w:rPr>
          <w:rFonts w:cs="Open Sans"/>
          <w:i/>
          <w:sz w:val="20"/>
        </w:rPr>
        <w:t xml:space="preserve">Views: </w:t>
      </w:r>
      <w:r w:rsidRPr="00B67F37">
        <w:rPr>
          <w:rFonts w:cs="Open Sans"/>
          <w:bCs/>
          <w:i/>
          <w:sz w:val="20"/>
        </w:rPr>
        <w:t>Communication No. 560/1993</w:t>
      </w:r>
      <w:r w:rsidRPr="00B67F37">
        <w:rPr>
          <w:rFonts w:cs="Open Sans"/>
          <w:bCs/>
          <w:sz w:val="20"/>
        </w:rPr>
        <w:t>, 59</w:t>
      </w:r>
      <w:r w:rsidRPr="00B67F37">
        <w:rPr>
          <w:rFonts w:cs="Open Sans"/>
          <w:bCs/>
          <w:sz w:val="20"/>
          <w:vertAlign w:val="superscript"/>
        </w:rPr>
        <w:t>th</w:t>
      </w:r>
      <w:r w:rsidRPr="00B67F37">
        <w:rPr>
          <w:rFonts w:cs="Open Sans"/>
          <w:bCs/>
          <w:sz w:val="20"/>
        </w:rPr>
        <w:t xml:space="preserve"> sess,</w:t>
      </w:r>
      <w:r w:rsidRPr="00B67F37">
        <w:rPr>
          <w:rFonts w:cs="Open Sans"/>
          <w:b/>
          <w:bCs/>
          <w:sz w:val="20"/>
        </w:rPr>
        <w:t xml:space="preserve"> </w:t>
      </w:r>
      <w:r w:rsidRPr="00B67F37">
        <w:rPr>
          <w:rFonts w:cs="Open Sans"/>
          <w:sz w:val="20"/>
        </w:rPr>
        <w:t>UN</w:t>
      </w:r>
      <w:r w:rsidRPr="00B67F37">
        <w:rPr>
          <w:rFonts w:cs="Open Sans"/>
          <w:spacing w:val="-4"/>
          <w:sz w:val="20"/>
        </w:rPr>
        <w:t xml:space="preserve"> </w:t>
      </w:r>
      <w:r w:rsidRPr="00B67F37">
        <w:rPr>
          <w:rFonts w:cs="Open Sans"/>
          <w:sz w:val="20"/>
        </w:rPr>
        <w:t>Doc</w:t>
      </w:r>
      <w:r w:rsidRPr="00B67F37">
        <w:rPr>
          <w:rFonts w:cs="Open Sans"/>
          <w:spacing w:val="-4"/>
          <w:sz w:val="20"/>
        </w:rPr>
        <w:t xml:space="preserve"> </w:t>
      </w:r>
      <w:r w:rsidRPr="00B67F37">
        <w:rPr>
          <w:rFonts w:cs="Open Sans"/>
          <w:sz w:val="20"/>
        </w:rPr>
        <w:t>CCPR/C/59/D/560/1993 (3 April 1997) (‘</w:t>
      </w:r>
      <w:r w:rsidRPr="00B67F37">
        <w:rPr>
          <w:rFonts w:cs="Open Sans"/>
          <w:i/>
          <w:sz w:val="20"/>
        </w:rPr>
        <w:t>A</w:t>
      </w:r>
      <w:r w:rsidRPr="00B67F37">
        <w:rPr>
          <w:rFonts w:cs="Open Sans"/>
          <w:i/>
          <w:spacing w:val="-10"/>
          <w:sz w:val="20"/>
        </w:rPr>
        <w:t xml:space="preserve"> </w:t>
      </w:r>
      <w:r w:rsidRPr="00B67F37">
        <w:rPr>
          <w:rFonts w:cs="Open Sans"/>
          <w:i/>
          <w:sz w:val="20"/>
        </w:rPr>
        <w:t>v</w:t>
      </w:r>
      <w:r w:rsidRPr="00B67F37">
        <w:rPr>
          <w:rFonts w:cs="Open Sans"/>
          <w:i/>
          <w:spacing w:val="-10"/>
          <w:sz w:val="20"/>
        </w:rPr>
        <w:t xml:space="preserve"> </w:t>
      </w:r>
      <w:r w:rsidRPr="00B67F37">
        <w:rPr>
          <w:rFonts w:cs="Open Sans"/>
          <w:i/>
          <w:sz w:val="20"/>
        </w:rPr>
        <w:t>Australia</w:t>
      </w:r>
      <w:r w:rsidRPr="00B67F37">
        <w:rPr>
          <w:rFonts w:cs="Open Sans"/>
          <w:spacing w:val="-4"/>
          <w:sz w:val="20"/>
        </w:rPr>
        <w:t>’)</w:t>
      </w:r>
      <w:r w:rsidRPr="00B67F37">
        <w:rPr>
          <w:rFonts w:cs="Open Sans"/>
          <w:sz w:val="20"/>
        </w:rPr>
        <w:t xml:space="preserve">; UN Human Rights Committee, </w:t>
      </w:r>
      <w:r w:rsidRPr="00B67F37">
        <w:rPr>
          <w:rFonts w:cs="Open Sans"/>
          <w:i/>
          <w:sz w:val="20"/>
        </w:rPr>
        <w:t xml:space="preserve">Views </w:t>
      </w:r>
      <w:r w:rsidRPr="00B67F37">
        <w:rPr>
          <w:rFonts w:cs="Open Sans"/>
          <w:bCs/>
          <w:i/>
          <w:sz w:val="20"/>
          <w:lang w:val="en"/>
        </w:rPr>
        <w:t>Communication No. 900/1999</w:t>
      </w:r>
      <w:r w:rsidRPr="00B67F37">
        <w:rPr>
          <w:rFonts w:cs="Open Sans"/>
          <w:bCs/>
          <w:sz w:val="20"/>
          <w:lang w:val="en"/>
        </w:rPr>
        <w:t>, 67</w:t>
      </w:r>
      <w:r w:rsidRPr="00B67F37">
        <w:rPr>
          <w:rFonts w:cs="Open Sans"/>
          <w:bCs/>
          <w:sz w:val="20"/>
          <w:vertAlign w:val="superscript"/>
          <w:lang w:val="en"/>
        </w:rPr>
        <w:t>th</w:t>
      </w:r>
      <w:r w:rsidRPr="00B67F37">
        <w:rPr>
          <w:rFonts w:cs="Open Sans"/>
          <w:bCs/>
          <w:sz w:val="20"/>
          <w:lang w:val="en"/>
        </w:rPr>
        <w:t xml:space="preserve"> sess, </w:t>
      </w:r>
      <w:r w:rsidRPr="00B67F37">
        <w:rPr>
          <w:rFonts w:cs="Open Sans"/>
          <w:sz w:val="20"/>
        </w:rPr>
        <w:t>UN Doc CCPR/C/76/D/900/1999 (13 November 2002)</w:t>
      </w:r>
      <w:r w:rsidRPr="00B67F37">
        <w:rPr>
          <w:rFonts w:cs="Open Sans"/>
          <w:i/>
          <w:sz w:val="20"/>
        </w:rPr>
        <w:t xml:space="preserve"> </w:t>
      </w:r>
      <w:r w:rsidRPr="00B67F37">
        <w:rPr>
          <w:rFonts w:cs="Open Sans"/>
          <w:sz w:val="20"/>
        </w:rPr>
        <w:t>(‘</w:t>
      </w:r>
      <w:r w:rsidRPr="00B67F37">
        <w:rPr>
          <w:rFonts w:cs="Open Sans"/>
          <w:i/>
          <w:sz w:val="20"/>
        </w:rPr>
        <w:t>C v</w:t>
      </w:r>
      <w:r w:rsidRPr="00B67F37">
        <w:rPr>
          <w:rFonts w:cs="Open Sans"/>
          <w:i/>
          <w:spacing w:val="-10"/>
          <w:sz w:val="20"/>
        </w:rPr>
        <w:t xml:space="preserve"> </w:t>
      </w:r>
      <w:r w:rsidRPr="00B67F37">
        <w:rPr>
          <w:rFonts w:cs="Open Sans"/>
          <w:i/>
          <w:sz w:val="20"/>
        </w:rPr>
        <w:t>Australia</w:t>
      </w:r>
      <w:r w:rsidRPr="00B67F37">
        <w:rPr>
          <w:rFonts w:cs="Open Sans"/>
          <w:sz w:val="20"/>
        </w:rPr>
        <w:t xml:space="preserve">’). </w:t>
      </w:r>
    </w:p>
  </w:endnote>
  <w:endnote w:id="18">
    <w:p w14:paraId="7629A25E" w14:textId="77777777" w:rsidR="00EA1E73" w:rsidRPr="00B67F37" w:rsidRDefault="00EA1E73" w:rsidP="00EA1E73">
      <w:pPr>
        <w:pStyle w:val="EndnoteText"/>
        <w:ind w:left="284" w:hanging="270"/>
        <w:rPr>
          <w:rFonts w:cs="Open Sans"/>
          <w:lang w:val="en-US"/>
        </w:rPr>
      </w:pPr>
      <w:r w:rsidRPr="00B67F37">
        <w:rPr>
          <w:rStyle w:val="EndnoteReference"/>
          <w:rFonts w:cs="Open Sans"/>
        </w:rPr>
        <w:endnoteRef/>
      </w:r>
      <w:r w:rsidRPr="00B67F37">
        <w:rPr>
          <w:rFonts w:cs="Open Sans"/>
        </w:rPr>
        <w:t xml:space="preserve"> </w:t>
      </w:r>
      <w:r w:rsidRPr="00B67F37">
        <w:rPr>
          <w:rFonts w:cs="Open Sans"/>
        </w:rPr>
        <w:tab/>
        <w:t xml:space="preserve">The Hon Peter Dutton MP, Minister for Immigration and Border Protection, </w:t>
      </w:r>
      <w:r w:rsidRPr="00B67F37">
        <w:rPr>
          <w:rFonts w:cs="Open Sans"/>
          <w:i/>
          <w:iCs/>
        </w:rPr>
        <w:t>Minister for Immigration and Border Protection’s Residence Determination Power under section 197AB and section 197AD of the Migration Act 1958</w:t>
      </w:r>
      <w:r w:rsidRPr="00B67F37">
        <w:rPr>
          <w:rFonts w:cs="Open Sans"/>
        </w:rPr>
        <w:t>, 29 March 2015. The guidelines are incorporated into the Department’s Procedures Advice Manual.</w:t>
      </w:r>
    </w:p>
  </w:endnote>
  <w:endnote w:id="19">
    <w:p w14:paraId="3646E1F7" w14:textId="77777777" w:rsidR="00EA1E73" w:rsidRPr="00B67F37" w:rsidRDefault="00EA1E73" w:rsidP="00EA1E73">
      <w:pPr>
        <w:pStyle w:val="EndnoteText"/>
        <w:ind w:left="284" w:hanging="270"/>
        <w:rPr>
          <w:rFonts w:cs="Open Sans"/>
          <w:lang w:val="en-US"/>
        </w:rPr>
      </w:pPr>
      <w:r w:rsidRPr="00B67F37">
        <w:rPr>
          <w:rStyle w:val="EndnoteReference"/>
          <w:rFonts w:cs="Open Sans"/>
        </w:rPr>
        <w:endnoteRef/>
      </w:r>
      <w:r w:rsidRPr="00B67F37">
        <w:rPr>
          <w:rFonts w:cs="Open Sans"/>
        </w:rPr>
        <w:t xml:space="preserve"> </w:t>
      </w:r>
      <w:r w:rsidRPr="00B67F37">
        <w:rPr>
          <w:rFonts w:cs="Open Sans"/>
        </w:rPr>
        <w:tab/>
        <w:t xml:space="preserve">The Hon Peter Dutton MP, Minister for Immigration and Border Protection, </w:t>
      </w:r>
      <w:r w:rsidRPr="00B67F37">
        <w:rPr>
          <w:rFonts w:cs="Open Sans"/>
          <w:i/>
          <w:iCs/>
        </w:rPr>
        <w:t>Minister for Immigration and Border Protection’s Residence Determination Power under section 197AB and section 197AD of the Migration Act 1958</w:t>
      </w:r>
      <w:r w:rsidRPr="00B67F37">
        <w:rPr>
          <w:rFonts w:cs="Open Sans"/>
        </w:rPr>
        <w:t>, 21 October 2017. The guidelines are incorporated into the Department’s Procedures Advice Manual.</w:t>
      </w:r>
    </w:p>
  </w:endnote>
  <w:endnote w:id="20">
    <w:p w14:paraId="58579746" w14:textId="77777777" w:rsidR="00EA1E73" w:rsidRPr="00B67F37" w:rsidRDefault="00EA1E73" w:rsidP="00EA1E73">
      <w:pPr>
        <w:pStyle w:val="EndnoteText"/>
        <w:ind w:left="284" w:hanging="270"/>
        <w:rPr>
          <w:rFonts w:cs="Open Sans"/>
          <w:lang w:val="en-US"/>
        </w:rPr>
      </w:pPr>
      <w:r w:rsidRPr="00B67F37">
        <w:rPr>
          <w:rStyle w:val="EndnoteReference"/>
          <w:rFonts w:cs="Open Sans"/>
        </w:rPr>
        <w:endnoteRef/>
      </w:r>
      <w:r w:rsidRPr="00B67F37">
        <w:rPr>
          <w:rFonts w:cs="Open Sans"/>
        </w:rPr>
        <w:t xml:space="preserve"> </w:t>
      </w:r>
      <w:r w:rsidRPr="00B67F37">
        <w:rPr>
          <w:rFonts w:cs="Open Sans"/>
        </w:rPr>
        <w:tab/>
        <w:t xml:space="preserve">The Hon </w:t>
      </w:r>
      <w:r>
        <w:rPr>
          <w:rFonts w:cs="Open Sans"/>
        </w:rPr>
        <w:t xml:space="preserve">Peter Dutton </w:t>
      </w:r>
      <w:r w:rsidRPr="00B67F37">
        <w:rPr>
          <w:rFonts w:cs="Open Sans"/>
        </w:rPr>
        <w:t xml:space="preserve">MP, Minister for Immigration and </w:t>
      </w:r>
      <w:r>
        <w:rPr>
          <w:rFonts w:cs="Open Sans"/>
        </w:rPr>
        <w:t>Border Protection</w:t>
      </w:r>
      <w:r w:rsidRPr="00B67F37">
        <w:rPr>
          <w:rFonts w:cs="Open Sans"/>
        </w:rPr>
        <w:t xml:space="preserve">, </w:t>
      </w:r>
      <w:r w:rsidRPr="00B67F37">
        <w:rPr>
          <w:rFonts w:cs="Open Sans"/>
          <w:i/>
          <w:iCs/>
        </w:rPr>
        <w:t>Minister’s guidelines on ministerial powers (s345, s 351, s 417 and s 501J)</w:t>
      </w:r>
      <w:r w:rsidRPr="00B67F37">
        <w:rPr>
          <w:rFonts w:cs="Open Sans"/>
        </w:rPr>
        <w:t xml:space="preserve">, </w:t>
      </w:r>
      <w:r>
        <w:rPr>
          <w:rFonts w:cs="Open Sans"/>
        </w:rPr>
        <w:t>11 March 2016</w:t>
      </w:r>
      <w:r w:rsidRPr="00B67F37">
        <w:rPr>
          <w:rFonts w:cs="Open Sans"/>
        </w:rPr>
        <w:t>. The guidelines are incorporated into the Department’s Procedures Advice Manual.</w:t>
      </w:r>
    </w:p>
  </w:endnote>
  <w:endnote w:id="21">
    <w:p w14:paraId="33532A67" w14:textId="6B8D1C84"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Department of Immigration and Border Protection, </w:t>
      </w:r>
      <w:r w:rsidRPr="00811574">
        <w:rPr>
          <w:rFonts w:cs="Open Sans"/>
          <w:i/>
          <w:iCs/>
        </w:rPr>
        <w:t>Detention Capability Review: Final Report</w:t>
      </w:r>
      <w:r w:rsidRPr="00B67F37">
        <w:rPr>
          <w:rFonts w:cs="Open Sans"/>
        </w:rPr>
        <w:t>, </w:t>
      </w:r>
      <w:r w:rsidR="00811574">
        <w:rPr>
          <w:rFonts w:cs="Open Sans"/>
        </w:rPr>
        <w:t xml:space="preserve">(Report, </w:t>
      </w:r>
      <w:r w:rsidRPr="00B67F37">
        <w:rPr>
          <w:rFonts w:cs="Open Sans"/>
        </w:rPr>
        <w:t>August 2016</w:t>
      </w:r>
      <w:r w:rsidR="00811574">
        <w:rPr>
          <w:rFonts w:cs="Open Sans"/>
        </w:rPr>
        <w:t>)</w:t>
      </w:r>
      <w:r w:rsidRPr="00B67F37">
        <w:rPr>
          <w:rFonts w:cs="Open Sans"/>
        </w:rPr>
        <w:t xml:space="preserve"> 52</w:t>
      </w:r>
      <w:r w:rsidR="00811574">
        <w:rPr>
          <w:rFonts w:cs="Open Sans"/>
        </w:rPr>
        <w:t>.</w:t>
      </w:r>
    </w:p>
  </w:endnote>
  <w:endnote w:id="22">
    <w:p w14:paraId="188E8052"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Pr="00B67F37">
        <w:rPr>
          <w:rFonts w:cs="Open Sans"/>
          <w:i/>
          <w:iCs/>
        </w:rPr>
        <w:t xml:space="preserve">Minister for Immigration and Citizenship v SZQRB </w:t>
      </w:r>
      <w:r w:rsidRPr="00B67F37">
        <w:rPr>
          <w:rFonts w:cs="Open Sans"/>
        </w:rPr>
        <w:t>[2013] FCAFC 33 at [247]-[248] and [262]-[263].</w:t>
      </w:r>
    </w:p>
  </w:endnote>
  <w:endnote w:id="23">
    <w:p w14:paraId="2DDD8788"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Pr="00B67F37">
        <w:rPr>
          <w:rFonts w:cs="Open Sans"/>
          <w:i/>
          <w:iCs/>
        </w:rPr>
        <w:t>Davis v Minister for Immigration, Citizenship, Migrant Services and Multicultural Affairs</w:t>
      </w:r>
      <w:r w:rsidRPr="00B67F37">
        <w:rPr>
          <w:rFonts w:cs="Open Sans"/>
        </w:rPr>
        <w:t xml:space="preserve"> [2023] HCA 10.</w:t>
      </w:r>
    </w:p>
  </w:endnote>
  <w:endnote w:id="24">
    <w:p w14:paraId="26A539A9" w14:textId="7641A155"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 xml:space="preserve">Australian Human Rights Commission, </w:t>
      </w:r>
      <w:r w:rsidRPr="00B67F37">
        <w:rPr>
          <w:rFonts w:cs="Open Sans"/>
          <w:i/>
          <w:iCs/>
        </w:rPr>
        <w:t>Management of COVID-19 risks in immigration detention: review</w:t>
      </w:r>
      <w:r w:rsidRPr="00B67F37">
        <w:rPr>
          <w:rFonts w:cs="Open Sans"/>
        </w:rPr>
        <w:t xml:space="preserve"> (Report, June 2021) 15 – 18</w:t>
      </w:r>
      <w:r w:rsidR="00035305">
        <w:rPr>
          <w:rStyle w:val="normaltextrun"/>
          <w:rFonts w:cs="Open Sans"/>
          <w:color w:val="000000"/>
          <w:shd w:val="clear" w:color="auto" w:fill="FFFFFF"/>
        </w:rPr>
        <w:t>.</w:t>
      </w:r>
    </w:p>
  </w:endnote>
  <w:endnote w:id="25">
    <w:p w14:paraId="2BA1C649"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Pr="00B67F37">
        <w:rPr>
          <w:rFonts w:cs="Open Sans"/>
          <w:i/>
          <w:iCs/>
        </w:rPr>
        <w:t xml:space="preserve">NZYQ v Minister for Immigration, Citizenship and Multicultural Affairs &amp; Anor </w:t>
      </w:r>
      <w:r w:rsidRPr="00B67F37">
        <w:rPr>
          <w:rFonts w:cs="Open Sans"/>
        </w:rPr>
        <w:t>[2023] HCA 37.</w:t>
      </w:r>
    </w:p>
  </w:endnote>
  <w:endnote w:id="26">
    <w:p w14:paraId="7840B9B4"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Pr="00B67F37">
        <w:rPr>
          <w:rFonts w:cs="Open Sans"/>
          <w:i/>
          <w:iCs/>
        </w:rPr>
        <w:t>Davis v Minister for Immigration, Citizenship, Migrant Services and Multicultural Affairs</w:t>
      </w:r>
      <w:r w:rsidRPr="00B67F37">
        <w:rPr>
          <w:rFonts w:cs="Open Sans"/>
        </w:rPr>
        <w:t xml:space="preserve"> [2023] HCA 10</w:t>
      </w:r>
      <w:r w:rsidRPr="00B67F37">
        <w:rPr>
          <w:rFonts w:cs="Open Sans"/>
          <w:i/>
          <w:iCs/>
        </w:rPr>
        <w:t>.</w:t>
      </w:r>
    </w:p>
  </w:endnote>
  <w:endnote w:id="27">
    <w:p w14:paraId="662130C4"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AHRC Act, s 29(2)(a).</w:t>
      </w:r>
    </w:p>
  </w:endnote>
  <w:endnote w:id="28">
    <w:p w14:paraId="2258AB24"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AHRC Act, s 29(2)(b).</w:t>
      </w:r>
    </w:p>
  </w:endnote>
  <w:endnote w:id="29">
    <w:p w14:paraId="3EAA590C"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AHRC Act, s 29(2)(c).</w:t>
      </w:r>
    </w:p>
  </w:endnote>
  <w:endnote w:id="30">
    <w:p w14:paraId="2826FA73"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 xml:space="preserve">Australian Human Rights Commission, </w:t>
      </w:r>
      <w:r w:rsidRPr="00B67F37">
        <w:rPr>
          <w:rFonts w:cs="Open Sans"/>
          <w:i/>
          <w:iCs/>
        </w:rPr>
        <w:t xml:space="preserve">Ms RC v Commonwealth (Department of Home Affairs) </w:t>
      </w:r>
      <w:r w:rsidRPr="00B67F37">
        <w:rPr>
          <w:rFonts w:cs="Open Sans"/>
        </w:rPr>
        <w:t>[2022] AusHRC 144, at [104].</w:t>
      </w:r>
    </w:p>
  </w:endnote>
  <w:endnote w:id="31">
    <w:p w14:paraId="7A62E67D"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 xml:space="preserve">Department of Home Affairs, </w:t>
      </w:r>
      <w:r w:rsidRPr="00B67F37">
        <w:rPr>
          <w:rFonts w:cs="Open Sans"/>
          <w:i/>
          <w:iCs/>
        </w:rPr>
        <w:t>Alternatives to Held Detention Program, stakeholder meeting – briefing notes and presentation</w:t>
      </w:r>
      <w:r w:rsidRPr="00B67F37">
        <w:rPr>
          <w:rFonts w:cs="Open Sans"/>
        </w:rPr>
        <w:t xml:space="preserve">, 8 August 2022, at </w:t>
      </w:r>
      <w:hyperlink r:id="rId1" w:history="1">
        <w:r w:rsidRPr="00B67F37">
          <w:rPr>
            <w:rStyle w:val="Hyperlink"/>
            <w:rFonts w:cs="Open Sans"/>
          </w:rPr>
          <w:t>https://www.homeaffairs.gov.au/foi/files/2022/fa-220901228-document-released.PDF</w:t>
        </w:r>
      </w:hyperlink>
      <w:r w:rsidRPr="00B67F37">
        <w:rPr>
          <w:rFonts w:cs="Open Sans"/>
        </w:rPr>
        <w:t xml:space="preserve">. </w:t>
      </w:r>
    </w:p>
  </w:endnote>
  <w:endnote w:id="32">
    <w:p w14:paraId="3F314C03" w14:textId="19233836"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00D6294E">
        <w:t xml:space="preserve">Department of Home Affairs, </w:t>
      </w:r>
      <w:r w:rsidR="00D6294E">
        <w:rPr>
          <w:i/>
          <w:iCs/>
        </w:rPr>
        <w:t>Independent Detention Case Review</w:t>
      </w:r>
      <w:r w:rsidR="00D6294E">
        <w:t xml:space="preserve"> (Report, 27 March 2020) at </w:t>
      </w:r>
      <w:hyperlink r:id="rId2" w:history="1">
        <w:r w:rsidR="00D6294E">
          <w:rPr>
            <w:rStyle w:val="Hyperlink"/>
          </w:rPr>
          <w:t>https://www.homeaffairs.gov.au/foi/files/2023/fa-230300029-document-released.PDF</w:t>
        </w:r>
      </w:hyperlink>
      <w:r w:rsidR="00D6294E">
        <w:t>.</w:t>
      </w:r>
    </w:p>
  </w:endnote>
  <w:endnote w:id="33">
    <w:p w14:paraId="613DD9A4"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Pr="00B67F37">
        <w:rPr>
          <w:rFonts w:cs="Open Sans"/>
          <w:i/>
          <w:iCs/>
        </w:rPr>
        <w:t>MZAPC v Minister for Immigration, Citizenship and Multicultural Affairs</w:t>
      </w:r>
      <w:r w:rsidRPr="00B67F37">
        <w:rPr>
          <w:rFonts w:cs="Open Sans"/>
        </w:rPr>
        <w:t xml:space="preserve"> [2023] FCA 989 at [13] and [46].</w:t>
      </w:r>
    </w:p>
  </w:endnote>
  <w:endnote w:id="34">
    <w:p w14:paraId="1CD35E85" w14:textId="77777777"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Pr="00B67F37">
        <w:rPr>
          <w:rFonts w:cs="Open Sans"/>
          <w:i/>
          <w:iCs/>
        </w:rPr>
        <w:t>Davis v Minister for Immigration, Citizenship, Migrant Services and Multicultural Affairs</w:t>
      </w:r>
      <w:r w:rsidRPr="00B67F37">
        <w:rPr>
          <w:rFonts w:cs="Open Sans"/>
        </w:rPr>
        <w:t xml:space="preserve"> [2023] HCA 10 at [17] (Kiefel CJ, Gageler and Gleeson JJ) and [99] (Gordon J), cf [219] (Steward J).</w:t>
      </w:r>
    </w:p>
  </w:endnote>
  <w:endnote w:id="35">
    <w:p w14:paraId="73DDC40B" w14:textId="0FAD0492" w:rsidR="00EA1E73" w:rsidRPr="00B67F37" w:rsidRDefault="00EA1E73" w:rsidP="00EA1E73">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sidR="001A32DE" w:rsidRPr="00B6027A">
        <w:rPr>
          <w:i/>
          <w:iCs/>
        </w:rPr>
        <w:t>AZ v Commonwealth (Department of Home Affairs)</w:t>
      </w:r>
      <w:r w:rsidR="001A32DE" w:rsidRPr="00B6027A">
        <w:t xml:space="preserve"> [2018] AusHRC 122</w:t>
      </w:r>
      <w:r w:rsidR="001A32DE">
        <w:t>,</w:t>
      </w:r>
      <w:r w:rsidR="001A32DE" w:rsidRPr="00B6027A">
        <w:t xml:space="preserve"> [58]</w:t>
      </w:r>
      <w:r w:rsidR="001A32DE">
        <w:t xml:space="preserve">; </w:t>
      </w:r>
      <w:r w:rsidR="001A32DE" w:rsidRPr="005A3ACB">
        <w:rPr>
          <w:i/>
          <w:iCs/>
          <w:lang w:val="en-US"/>
        </w:rPr>
        <w:t>QA v Commonwealth (Department of Home Affairs)</w:t>
      </w:r>
      <w:r w:rsidR="001A32DE">
        <w:rPr>
          <w:lang w:val="en-US"/>
        </w:rPr>
        <w:t xml:space="preserve"> [2021] AusHRC 140, [189]; </w:t>
      </w:r>
      <w:r w:rsidR="001A32DE" w:rsidRPr="006466A0">
        <w:rPr>
          <w:i/>
          <w:iCs/>
          <w:lang w:val="en-US"/>
        </w:rPr>
        <w:t>Immigration detention following visa refusal or cancellation under section 501 of the Migration Act 1958 (Cth)</w:t>
      </w:r>
      <w:r w:rsidR="001A32DE">
        <w:rPr>
          <w:lang w:val="en-US"/>
        </w:rPr>
        <w:t xml:space="preserve"> </w:t>
      </w:r>
      <w:r w:rsidR="001A32DE" w:rsidRPr="000E4CE6">
        <w:rPr>
          <w:lang w:val="en-US"/>
        </w:rPr>
        <w:t>[2021] AusHRC 141</w:t>
      </w:r>
      <w:r w:rsidR="001A32DE">
        <w:rPr>
          <w:lang w:val="en-US"/>
        </w:rPr>
        <w:t>, [576]–[578].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ヒラギノ角ゴ Pro W3">
    <w:charset w:val="00"/>
    <w:family w:val="roman"/>
    <w:pitch w:val="default"/>
  </w:font>
  <w:font w:name="Yu Mincho">
    <w:altName w:val="游明朝"/>
    <w:charset w:val="80"/>
    <w:family w:val="roman"/>
    <w:pitch w:val="variable"/>
    <w:sig w:usb0="800002E7" w:usb1="2AC7FCFF" w:usb2="00000012" w:usb3="00000000" w:csb0="0002009F" w:csb1="00000000"/>
  </w:font>
  <w:font w:name="HelveticaNeue">
    <w:altName w:val="Sylfae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593D" w14:textId="77777777" w:rsidR="00AC636D" w:rsidRPr="000465F1" w:rsidRDefault="00AC636D" w:rsidP="000465F1">
    <w:pPr>
      <w:pStyle w:val="Footer"/>
    </w:pPr>
    <w:r w:rsidRPr="000465F1">
      <w:t>ABN 47 996 232 602</w:t>
    </w:r>
  </w:p>
  <w:p w14:paraId="13958009" w14:textId="77777777" w:rsidR="00AC636D" w:rsidRPr="000465F1" w:rsidRDefault="00AC636D" w:rsidP="000465F1">
    <w:pPr>
      <w:pStyle w:val="Footer"/>
    </w:pPr>
    <w:r w:rsidRPr="000465F1">
      <w:t>GPO Box 5218, Sydney NSW 2001</w:t>
    </w:r>
  </w:p>
  <w:p w14:paraId="695D8AF2" w14:textId="77777777" w:rsidR="00AC636D" w:rsidRPr="000465F1" w:rsidRDefault="00AC636D" w:rsidP="000465F1">
    <w:pPr>
      <w:pStyle w:val="Footer"/>
    </w:pPr>
    <w:r w:rsidRPr="000465F1">
      <w:t>General enquiries 1300 369 711</w:t>
    </w:r>
  </w:p>
  <w:p w14:paraId="44A8502A" w14:textId="77777777" w:rsidR="00AC636D" w:rsidRPr="000465F1" w:rsidRDefault="00990B81" w:rsidP="000465F1">
    <w:pPr>
      <w:pStyle w:val="Footer"/>
    </w:pPr>
    <w:r>
      <w:t>National Info Service</w:t>
    </w:r>
    <w:r w:rsidR="00AC636D" w:rsidRPr="000465F1">
      <w:t xml:space="preserve"> 1300 656 419</w:t>
    </w:r>
  </w:p>
  <w:p w14:paraId="08182477"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901"/>
      <w:docPartObj>
        <w:docPartGallery w:val="Page Numbers (Bottom of Page)"/>
        <w:docPartUnique/>
      </w:docPartObj>
    </w:sdtPr>
    <w:sdtEndPr>
      <w:rPr>
        <w:noProof/>
      </w:rPr>
    </w:sdtEndPr>
    <w:sdtContent>
      <w:p w14:paraId="607DB46B"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7F4A3B"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E0A2"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183178"/>
      <w:docPartObj>
        <w:docPartGallery w:val="Page Numbers (Bottom of Page)"/>
        <w:docPartUnique/>
      </w:docPartObj>
    </w:sdtPr>
    <w:sdtEndPr>
      <w:rPr>
        <w:noProof/>
      </w:rPr>
    </w:sdtEndPr>
    <w:sdtContent>
      <w:p w14:paraId="1913E3B9"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13FD63"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A116F" w14:textId="77777777" w:rsidR="000D1FA7" w:rsidRDefault="000D1FA7" w:rsidP="00F14C6D">
      <w:r>
        <w:separator/>
      </w:r>
    </w:p>
  </w:footnote>
  <w:footnote w:type="continuationSeparator" w:id="0">
    <w:p w14:paraId="4A2295C2" w14:textId="77777777" w:rsidR="000D1FA7" w:rsidRDefault="000D1FA7" w:rsidP="00F14C6D">
      <w:r>
        <w:continuationSeparator/>
      </w:r>
    </w:p>
  </w:footnote>
  <w:footnote w:type="continuationNotice" w:id="1">
    <w:p w14:paraId="18E2E0DA" w14:textId="77777777" w:rsidR="000D1FA7" w:rsidRDefault="000D1FA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D50A" w14:textId="77777777" w:rsidR="00BF6406" w:rsidRPr="000465F1" w:rsidRDefault="00000000" w:rsidP="000465F1">
    <w:pPr>
      <w:pStyle w:val="Header"/>
    </w:pPr>
    <w:r>
      <w:pict w14:anchorId="7FEDD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0E44DF7D"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80BD" w14:textId="77777777" w:rsidR="00B34946" w:rsidRPr="000465F1" w:rsidRDefault="00000000" w:rsidP="000465F1">
    <w:r>
      <w:pict w14:anchorId="630D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78779605"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C60D" w14:textId="77777777" w:rsidR="00CC2AA0" w:rsidRDefault="00000000" w:rsidP="002012F7">
    <w:pPr>
      <w:pStyle w:val="Header"/>
    </w:pPr>
    <w:r>
      <w:pict w14:anchorId="0AEFE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3080A90F">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55E6E14C" w14:textId="77777777" w:rsidR="008B3899" w:rsidRDefault="008B3899" w:rsidP="002012F7">
    <w:pPr>
      <w:pStyle w:val="Header"/>
    </w:pPr>
  </w:p>
  <w:p w14:paraId="155E1520"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DEC7"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F331" w14:textId="77777777" w:rsidR="00BF6406" w:rsidRPr="00902EC3" w:rsidRDefault="00BF6406" w:rsidP="00902EC3">
    <w:pPr>
      <w:pStyle w:val="Header"/>
    </w:pPr>
    <w:bookmarkStart w:id="96" w:name="_Hlk514672172"/>
    <w:bookmarkStart w:id="97" w:name="_Hlk514672173"/>
    <w:r w:rsidRPr="00902EC3">
      <w:t>Australian Human Rights Commission</w:t>
    </w:r>
  </w:p>
  <w:bookmarkEnd w:id="96"/>
  <w:bookmarkEnd w:id="97"/>
  <w:p w14:paraId="4A1373FE" w14:textId="2855C737" w:rsidR="002F5E96" w:rsidRDefault="00825D34" w:rsidP="002F5E96">
    <w:pPr>
      <w:pStyle w:val="HeaderDocumentDate"/>
    </w:pPr>
    <w:r w:rsidRPr="00825D34">
      <w:rPr>
        <w:rStyle w:val="Reporttitleinheader"/>
        <w:i/>
        <w:iCs/>
      </w:rPr>
      <w:t xml:space="preserve">Mr CZ v Commonwealth of Australia (Department of Home Affairs) </w:t>
    </w:r>
    <w:r w:rsidRPr="007F6438">
      <w:rPr>
        <w:rStyle w:val="Reporttitleinheader"/>
      </w:rPr>
      <w:t>AusHRC 164</w:t>
    </w:r>
    <w:r>
      <w:t xml:space="preserve"> </w:t>
    </w:r>
    <w:r w:rsidR="009B1CCE">
      <w:fldChar w:fldCharType="begin"/>
    </w:r>
    <w:r w:rsidR="009B1CCE">
      <w:instrText xml:space="preserve"> CREATEDATE  \@ "MMMM yyyy"  \* MERGEFORMAT </w:instrText>
    </w:r>
    <w:r w:rsidR="009B1CCE">
      <w:fldChar w:fldCharType="separate"/>
    </w:r>
    <w:r w:rsidR="00CA1C25">
      <w:rPr>
        <w:noProof/>
      </w:rPr>
      <w:t>May 2024</w:t>
    </w:r>
    <w:r w:rsidR="009B1CCE">
      <w:fldChar w:fldCharType="end"/>
    </w:r>
  </w:p>
  <w:p w14:paraId="3D098F27" w14:textId="77777777" w:rsidR="00232296" w:rsidRPr="000465F1" w:rsidRDefault="00232296"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7CDA0" w14:textId="34D24F50" w:rsidR="0063009F" w:rsidRPr="00F51ECD" w:rsidRDefault="0063009F" w:rsidP="0063009F">
    <w:pPr>
      <w:pStyle w:val="Header"/>
      <w:rPr>
        <w:sz w:val="22"/>
        <w:szCs w:val="22"/>
      </w:rPr>
    </w:pPr>
    <w:r w:rsidRPr="00F51ECD">
      <w:rPr>
        <w:sz w:val="22"/>
        <w:szCs w:val="22"/>
      </w:rPr>
      <w:t>Australian Human Rights Commission</w:t>
    </w:r>
  </w:p>
  <w:p w14:paraId="58985C19" w14:textId="73722BE7" w:rsidR="0063009F" w:rsidRPr="000465F1" w:rsidRDefault="00825D34" w:rsidP="0063009F">
    <w:pPr>
      <w:pStyle w:val="HeaderDocumentDate"/>
    </w:pPr>
    <w:r w:rsidRPr="00825D34">
      <w:rPr>
        <w:rStyle w:val="Reporttitleinheader"/>
        <w:i/>
        <w:iCs/>
      </w:rPr>
      <w:t xml:space="preserve">Mr CZ v Commonwealth of Australia (Department of Home Affairs) [2024] </w:t>
    </w:r>
    <w:r w:rsidRPr="00FC1EE0">
      <w:rPr>
        <w:rStyle w:val="Reporttitleinheader"/>
      </w:rPr>
      <w:t>AusHRC 164</w:t>
    </w:r>
    <w:r w:rsidR="0063009F" w:rsidRPr="00FC1EE0">
      <w:t xml:space="preserve"> </w:t>
    </w:r>
    <w:r w:rsidR="009B1CCE">
      <w:fldChar w:fldCharType="begin"/>
    </w:r>
    <w:r w:rsidR="009B1CCE">
      <w:instrText xml:space="preserve"> CREATEDATE  \@ "MMMM yyyy"  \* MERGEFORMAT </w:instrText>
    </w:r>
    <w:r w:rsidR="009B1CCE">
      <w:fldChar w:fldCharType="separate"/>
    </w:r>
    <w:r w:rsidR="00CA1C25">
      <w:rPr>
        <w:noProof/>
      </w:rPr>
      <w:t>May 2024</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12"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EA315F"/>
    <w:multiLevelType w:val="hybridMultilevel"/>
    <w:tmpl w:val="B28C144E"/>
    <w:lvl w:ilvl="0" w:tplc="0C09000F">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15:restartNumberingAfterBreak="0">
    <w:nsid w:val="0EA4619D"/>
    <w:multiLevelType w:val="hybridMultilevel"/>
    <w:tmpl w:val="4F5295A0"/>
    <w:lvl w:ilvl="0" w:tplc="FFFFFFFF">
      <w:start w:val="1"/>
      <w:numFmt w:val="decimal"/>
      <w:lvlText w:val="%1."/>
      <w:lvlJc w:val="left"/>
      <w:pPr>
        <w:tabs>
          <w:tab w:val="num" w:pos="720"/>
        </w:tabs>
        <w:ind w:left="720" w:hanging="720"/>
      </w:pPr>
      <w:rPr>
        <w:rFonts w:cs="Times New Roman" w:hint="default"/>
        <w:b w:val="0"/>
        <w:i w:val="0"/>
        <w:sz w:val="24"/>
        <w:szCs w:val="24"/>
      </w:rPr>
    </w:lvl>
    <w:lvl w:ilvl="1" w:tplc="C0922BDA">
      <w:start w:val="1"/>
      <w:numFmt w:val="bullet"/>
      <w:pStyle w:val="Style2"/>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DCE0E95"/>
    <w:multiLevelType w:val="hybridMultilevel"/>
    <w:tmpl w:val="31363FD6"/>
    <w:lvl w:ilvl="0" w:tplc="7020FC90">
      <w:start w:val="1"/>
      <w:numFmt w:val="decimal"/>
      <w:lvlText w:val="%1."/>
      <w:lvlJc w:val="left"/>
      <w:pPr>
        <w:ind w:left="832" w:hanging="360"/>
      </w:pPr>
      <w:rPr>
        <w:rFonts w:hint="default"/>
        <w:spacing w:val="-1"/>
        <w:w w:val="99"/>
        <w:lang w:val="en-US" w:eastAsia="en-US" w:bidi="ar-SA"/>
      </w:rPr>
    </w:lvl>
    <w:lvl w:ilvl="1" w:tplc="A72E2E48">
      <w:numFmt w:val="bullet"/>
      <w:lvlText w:val="•"/>
      <w:lvlJc w:val="left"/>
      <w:pPr>
        <w:ind w:left="1742" w:hanging="360"/>
      </w:pPr>
      <w:rPr>
        <w:rFonts w:hint="default"/>
        <w:lang w:val="en-US" w:eastAsia="en-US" w:bidi="ar-SA"/>
      </w:rPr>
    </w:lvl>
    <w:lvl w:ilvl="2" w:tplc="FD182BA8">
      <w:numFmt w:val="bullet"/>
      <w:lvlText w:val="•"/>
      <w:lvlJc w:val="left"/>
      <w:pPr>
        <w:ind w:left="2644" w:hanging="360"/>
      </w:pPr>
      <w:rPr>
        <w:rFonts w:hint="default"/>
        <w:lang w:val="en-US" w:eastAsia="en-US" w:bidi="ar-SA"/>
      </w:rPr>
    </w:lvl>
    <w:lvl w:ilvl="3" w:tplc="2AFC6A90">
      <w:numFmt w:val="bullet"/>
      <w:lvlText w:val="•"/>
      <w:lvlJc w:val="left"/>
      <w:pPr>
        <w:ind w:left="3547" w:hanging="360"/>
      </w:pPr>
      <w:rPr>
        <w:rFonts w:hint="default"/>
        <w:lang w:val="en-US" w:eastAsia="en-US" w:bidi="ar-SA"/>
      </w:rPr>
    </w:lvl>
    <w:lvl w:ilvl="4" w:tplc="9F1A539A">
      <w:numFmt w:val="bullet"/>
      <w:lvlText w:val="•"/>
      <w:lvlJc w:val="left"/>
      <w:pPr>
        <w:ind w:left="4449" w:hanging="360"/>
      </w:pPr>
      <w:rPr>
        <w:rFonts w:hint="default"/>
        <w:lang w:val="en-US" w:eastAsia="en-US" w:bidi="ar-SA"/>
      </w:rPr>
    </w:lvl>
    <w:lvl w:ilvl="5" w:tplc="9ADEC982">
      <w:numFmt w:val="bullet"/>
      <w:lvlText w:val="•"/>
      <w:lvlJc w:val="left"/>
      <w:pPr>
        <w:ind w:left="5352" w:hanging="360"/>
      </w:pPr>
      <w:rPr>
        <w:rFonts w:hint="default"/>
        <w:lang w:val="en-US" w:eastAsia="en-US" w:bidi="ar-SA"/>
      </w:rPr>
    </w:lvl>
    <w:lvl w:ilvl="6" w:tplc="2B2E0F7C">
      <w:numFmt w:val="bullet"/>
      <w:lvlText w:val="•"/>
      <w:lvlJc w:val="left"/>
      <w:pPr>
        <w:ind w:left="6254" w:hanging="360"/>
      </w:pPr>
      <w:rPr>
        <w:rFonts w:hint="default"/>
        <w:lang w:val="en-US" w:eastAsia="en-US" w:bidi="ar-SA"/>
      </w:rPr>
    </w:lvl>
    <w:lvl w:ilvl="7" w:tplc="88D6130A">
      <w:numFmt w:val="bullet"/>
      <w:lvlText w:val="•"/>
      <w:lvlJc w:val="left"/>
      <w:pPr>
        <w:ind w:left="7157" w:hanging="360"/>
      </w:pPr>
      <w:rPr>
        <w:rFonts w:hint="default"/>
        <w:lang w:val="en-US" w:eastAsia="en-US" w:bidi="ar-SA"/>
      </w:rPr>
    </w:lvl>
    <w:lvl w:ilvl="8" w:tplc="CC009BE6">
      <w:numFmt w:val="bullet"/>
      <w:lvlText w:val="•"/>
      <w:lvlJc w:val="left"/>
      <w:pPr>
        <w:ind w:left="8059" w:hanging="360"/>
      </w:pPr>
      <w:rPr>
        <w:rFonts w:hint="default"/>
        <w:lang w:val="en-US" w:eastAsia="en-US" w:bidi="ar-SA"/>
      </w:rPr>
    </w:lvl>
  </w:abstractNum>
  <w:abstractNum w:abstractNumId="19"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056789"/>
    <w:multiLevelType w:val="hybridMultilevel"/>
    <w:tmpl w:val="C1546D96"/>
    <w:lvl w:ilvl="0" w:tplc="FFFFFFFF">
      <w:start w:val="1"/>
      <w:numFmt w:val="decimal"/>
      <w:lvlText w:val="%1."/>
      <w:lvlJc w:val="left"/>
      <w:pPr>
        <w:tabs>
          <w:tab w:val="num" w:pos="720"/>
        </w:tabs>
        <w:ind w:left="720" w:hanging="720"/>
      </w:pPr>
      <w:rPr>
        <w:rFonts w:cs="Times New Roman" w:hint="default"/>
        <w:b w:val="0"/>
        <w:i w:val="0"/>
        <w:sz w:val="24"/>
        <w:szCs w:val="24"/>
      </w:rPr>
    </w:lvl>
    <w:lvl w:ilvl="1" w:tplc="0C09000F">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A41FE6"/>
    <w:multiLevelType w:val="hybridMultilevel"/>
    <w:tmpl w:val="C06A13A0"/>
    <w:lvl w:ilvl="0" w:tplc="6876EF76">
      <w:start w:val="1"/>
      <w:numFmt w:val="lowerLetter"/>
      <w:lvlText w:val="%1)"/>
      <w:lvlJc w:val="left"/>
      <w:pPr>
        <w:ind w:left="832" w:hanging="360"/>
      </w:pPr>
      <w:rPr>
        <w:rFonts w:ascii="Arial" w:eastAsia="Arial" w:hAnsi="Arial" w:cs="Arial" w:hint="default"/>
        <w:b w:val="0"/>
        <w:bCs w:val="0"/>
        <w:i w:val="0"/>
        <w:iCs w:val="0"/>
        <w:spacing w:val="-1"/>
        <w:w w:val="99"/>
        <w:sz w:val="20"/>
        <w:szCs w:val="20"/>
        <w:lang w:val="en-US" w:eastAsia="en-US" w:bidi="ar-SA"/>
      </w:rPr>
    </w:lvl>
    <w:lvl w:ilvl="1" w:tplc="0BCC031E">
      <w:numFmt w:val="bullet"/>
      <w:lvlText w:val="•"/>
      <w:lvlJc w:val="left"/>
      <w:pPr>
        <w:ind w:left="1742" w:hanging="360"/>
      </w:pPr>
      <w:rPr>
        <w:rFonts w:hint="default"/>
        <w:lang w:val="en-US" w:eastAsia="en-US" w:bidi="ar-SA"/>
      </w:rPr>
    </w:lvl>
    <w:lvl w:ilvl="2" w:tplc="15BADEBA">
      <w:numFmt w:val="bullet"/>
      <w:lvlText w:val="•"/>
      <w:lvlJc w:val="left"/>
      <w:pPr>
        <w:ind w:left="2644" w:hanging="360"/>
      </w:pPr>
      <w:rPr>
        <w:rFonts w:hint="default"/>
        <w:lang w:val="en-US" w:eastAsia="en-US" w:bidi="ar-SA"/>
      </w:rPr>
    </w:lvl>
    <w:lvl w:ilvl="3" w:tplc="37DEBD8C">
      <w:numFmt w:val="bullet"/>
      <w:lvlText w:val="•"/>
      <w:lvlJc w:val="left"/>
      <w:pPr>
        <w:ind w:left="3547" w:hanging="360"/>
      </w:pPr>
      <w:rPr>
        <w:rFonts w:hint="default"/>
        <w:lang w:val="en-US" w:eastAsia="en-US" w:bidi="ar-SA"/>
      </w:rPr>
    </w:lvl>
    <w:lvl w:ilvl="4" w:tplc="29946974">
      <w:numFmt w:val="bullet"/>
      <w:lvlText w:val="•"/>
      <w:lvlJc w:val="left"/>
      <w:pPr>
        <w:ind w:left="4449" w:hanging="360"/>
      </w:pPr>
      <w:rPr>
        <w:rFonts w:hint="default"/>
        <w:lang w:val="en-US" w:eastAsia="en-US" w:bidi="ar-SA"/>
      </w:rPr>
    </w:lvl>
    <w:lvl w:ilvl="5" w:tplc="279CDC20">
      <w:numFmt w:val="bullet"/>
      <w:lvlText w:val="•"/>
      <w:lvlJc w:val="left"/>
      <w:pPr>
        <w:ind w:left="5352" w:hanging="360"/>
      </w:pPr>
      <w:rPr>
        <w:rFonts w:hint="default"/>
        <w:lang w:val="en-US" w:eastAsia="en-US" w:bidi="ar-SA"/>
      </w:rPr>
    </w:lvl>
    <w:lvl w:ilvl="6" w:tplc="5E660894">
      <w:numFmt w:val="bullet"/>
      <w:lvlText w:val="•"/>
      <w:lvlJc w:val="left"/>
      <w:pPr>
        <w:ind w:left="6254" w:hanging="360"/>
      </w:pPr>
      <w:rPr>
        <w:rFonts w:hint="default"/>
        <w:lang w:val="en-US" w:eastAsia="en-US" w:bidi="ar-SA"/>
      </w:rPr>
    </w:lvl>
    <w:lvl w:ilvl="7" w:tplc="815E6DC0">
      <w:numFmt w:val="bullet"/>
      <w:lvlText w:val="•"/>
      <w:lvlJc w:val="left"/>
      <w:pPr>
        <w:ind w:left="7157" w:hanging="360"/>
      </w:pPr>
      <w:rPr>
        <w:rFonts w:hint="default"/>
        <w:lang w:val="en-US" w:eastAsia="en-US" w:bidi="ar-SA"/>
      </w:rPr>
    </w:lvl>
    <w:lvl w:ilvl="8" w:tplc="C16A9BE6">
      <w:numFmt w:val="bullet"/>
      <w:lvlText w:val="•"/>
      <w:lvlJc w:val="left"/>
      <w:pPr>
        <w:ind w:left="8059" w:hanging="360"/>
      </w:pPr>
      <w:rPr>
        <w:rFonts w:hint="default"/>
        <w:lang w:val="en-US" w:eastAsia="en-US" w:bidi="ar-SA"/>
      </w:rPr>
    </w:lvl>
  </w:abstractNum>
  <w:abstractNum w:abstractNumId="24" w15:restartNumberingAfterBreak="0">
    <w:nsid w:val="33D36456"/>
    <w:multiLevelType w:val="hybridMultilevel"/>
    <w:tmpl w:val="E7EE3A4E"/>
    <w:lvl w:ilvl="0" w:tplc="0C09000F">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474DB1"/>
    <w:multiLevelType w:val="hybridMultilevel"/>
    <w:tmpl w:val="D9B81C92"/>
    <w:lvl w:ilvl="0" w:tplc="B1FC949C">
      <w:start w:val="1"/>
      <w:numFmt w:val="decimal"/>
      <w:lvlText w:val="%1."/>
      <w:lvlJc w:val="left"/>
      <w:pPr>
        <w:ind w:left="720" w:hanging="360"/>
      </w:pPr>
      <w:rPr>
        <w:b w:val="0"/>
        <w:bCs w:val="0"/>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01D0F26C">
      <w:numFmt w:val="bullet"/>
      <w:lvlText w:val="•"/>
      <w:lvlJc w:val="left"/>
      <w:pPr>
        <w:ind w:left="3240" w:hanging="720"/>
      </w:pPr>
      <w:rPr>
        <w:rFonts w:ascii="Open Sans" w:eastAsiaTheme="minorHAnsi" w:hAnsi="Open Sans" w:cs="Open San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D34A81"/>
    <w:multiLevelType w:val="hybridMultilevel"/>
    <w:tmpl w:val="0C08F258"/>
    <w:lvl w:ilvl="0" w:tplc="0C09000F">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49FF7A73"/>
    <w:multiLevelType w:val="multilevel"/>
    <w:tmpl w:val="407432D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b/>
        <w:bCs w:val="0"/>
        <w:i/>
        <w:iCs/>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5E751D7"/>
    <w:multiLevelType w:val="hybridMultilevel"/>
    <w:tmpl w:val="2CFAC886"/>
    <w:lvl w:ilvl="0" w:tplc="EC1EED64">
      <w:start w:val="1"/>
      <w:numFmt w:val="decimal"/>
      <w:pStyle w:val="ListLevel1"/>
      <w:lvlText w:val="%1."/>
      <w:lvlJc w:val="left"/>
      <w:pPr>
        <w:ind w:left="797" w:hanging="681"/>
      </w:pPr>
      <w:rPr>
        <w:rFonts w:ascii="Open Sans" w:eastAsia="Arial" w:hAnsi="Open Sans" w:cs="Open Sans" w:hint="default"/>
        <w:color w:val="231F20"/>
        <w:spacing w:val="-14"/>
        <w:w w:val="100"/>
        <w:sz w:val="24"/>
        <w:szCs w:val="24"/>
      </w:rPr>
    </w:lvl>
    <w:lvl w:ilvl="1" w:tplc="67B06736">
      <w:start w:val="1"/>
      <w:numFmt w:val="lowerLetter"/>
      <w:lvlText w:val="(%2)"/>
      <w:lvlJc w:val="left"/>
      <w:pPr>
        <w:ind w:left="1648" w:hanging="227"/>
      </w:pPr>
      <w:rPr>
        <w:rFonts w:hint="default"/>
        <w:i w:val="0"/>
        <w:iCs w:val="0"/>
        <w:caps w:val="0"/>
        <w:smallCaps w:val="0"/>
        <w:strike w:val="0"/>
        <w:dstrike w:val="0"/>
        <w:color w:val="000000"/>
        <w:spacing w:val="0"/>
        <w:w w:val="100"/>
        <w:kern w:val="0"/>
        <w:position w:val="0"/>
        <w:sz w:val="22"/>
        <w:szCs w:val="22"/>
        <w:vertAlign w:val="baseline"/>
      </w:rPr>
    </w:lvl>
    <w:lvl w:ilvl="2" w:tplc="0C09001B">
      <w:start w:val="1"/>
      <w:numFmt w:val="lowerRoman"/>
      <w:lvlText w:val="%3."/>
      <w:lvlJc w:val="right"/>
      <w:pPr>
        <w:ind w:left="2613" w:hanging="360"/>
      </w:pPr>
      <w:rPr>
        <w:rFonts w:cs="Times New Roman"/>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32" w15:restartNumberingAfterBreak="0">
    <w:nsid w:val="61913DBF"/>
    <w:multiLevelType w:val="hybridMultilevel"/>
    <w:tmpl w:val="F71A4AE2"/>
    <w:lvl w:ilvl="0" w:tplc="0C09000F">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15:restartNumberingAfterBreak="0">
    <w:nsid w:val="64D628DC"/>
    <w:multiLevelType w:val="hybridMultilevel"/>
    <w:tmpl w:val="8096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C74663"/>
    <w:multiLevelType w:val="hybridMultilevel"/>
    <w:tmpl w:val="1A14F2B6"/>
    <w:lvl w:ilvl="0" w:tplc="DFC88184">
      <w:start w:val="1"/>
      <w:numFmt w:val="decimal"/>
      <w:lvlText w:val="%1."/>
      <w:lvlJc w:val="left"/>
      <w:pPr>
        <w:tabs>
          <w:tab w:val="num" w:pos="720"/>
        </w:tabs>
        <w:ind w:left="720" w:hanging="720"/>
      </w:pPr>
      <w:rPr>
        <w:rFonts w:cs="Times New Roman" w:hint="default"/>
        <w:b w:val="0"/>
        <w:i w:val="0"/>
        <w:sz w:val="24"/>
        <w:szCs w:val="24"/>
      </w:rPr>
    </w:lvl>
    <w:lvl w:ilvl="1" w:tplc="DC3EBFC8">
      <w:start w:val="1"/>
      <w:numFmt w:val="lowerLetter"/>
      <w:lvlText w:val="(%2)"/>
      <w:lvlJc w:val="left"/>
      <w:pPr>
        <w:ind w:left="1440" w:hanging="360"/>
      </w:pPr>
      <w:rPr>
        <w:rFonts w:ascii="Open Sans" w:eastAsia="Arial" w:hAnsi="Open Sans" w:cs="Open Sans" w:hint="default"/>
        <w:color w:val="231F20"/>
        <w:w w:val="100"/>
        <w:sz w:val="24"/>
        <w:szCs w:val="24"/>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905B9F"/>
    <w:multiLevelType w:val="hybridMultilevel"/>
    <w:tmpl w:val="41049C4C"/>
    <w:lvl w:ilvl="0" w:tplc="A57AE47E">
      <w:start w:val="1"/>
      <w:numFmt w:val="decimal"/>
      <w:lvlText w:val="%1."/>
      <w:lvlJc w:val="left"/>
      <w:pPr>
        <w:ind w:left="832" w:hanging="360"/>
      </w:pPr>
      <w:rPr>
        <w:rFonts w:ascii="Arial" w:eastAsia="Arial" w:hAnsi="Arial" w:cs="Arial" w:hint="default"/>
        <w:b/>
        <w:bCs/>
        <w:i w:val="0"/>
        <w:iCs w:val="0"/>
        <w:spacing w:val="-1"/>
        <w:w w:val="99"/>
        <w:sz w:val="20"/>
        <w:szCs w:val="20"/>
        <w:lang w:val="en-US" w:eastAsia="en-US" w:bidi="ar-SA"/>
      </w:rPr>
    </w:lvl>
    <w:lvl w:ilvl="1" w:tplc="5D501A8E">
      <w:numFmt w:val="bullet"/>
      <w:lvlText w:val="•"/>
      <w:lvlJc w:val="left"/>
      <w:pPr>
        <w:ind w:left="1192" w:hanging="720"/>
      </w:pPr>
      <w:rPr>
        <w:rFonts w:ascii="Arial" w:eastAsia="Arial" w:hAnsi="Arial" w:cs="Arial" w:hint="default"/>
        <w:b w:val="0"/>
        <w:bCs w:val="0"/>
        <w:i w:val="0"/>
        <w:iCs w:val="0"/>
        <w:spacing w:val="0"/>
        <w:w w:val="99"/>
        <w:sz w:val="20"/>
        <w:szCs w:val="20"/>
        <w:lang w:val="en-US" w:eastAsia="en-US" w:bidi="ar-SA"/>
      </w:rPr>
    </w:lvl>
    <w:lvl w:ilvl="2" w:tplc="3AAC4C48">
      <w:numFmt w:val="bullet"/>
      <w:lvlText w:val="•"/>
      <w:lvlJc w:val="left"/>
      <w:pPr>
        <w:ind w:left="2162" w:hanging="720"/>
      </w:pPr>
      <w:rPr>
        <w:rFonts w:hint="default"/>
        <w:lang w:val="en-US" w:eastAsia="en-US" w:bidi="ar-SA"/>
      </w:rPr>
    </w:lvl>
    <w:lvl w:ilvl="3" w:tplc="D58E22E0">
      <w:numFmt w:val="bullet"/>
      <w:lvlText w:val="•"/>
      <w:lvlJc w:val="left"/>
      <w:pPr>
        <w:ind w:left="3125" w:hanging="720"/>
      </w:pPr>
      <w:rPr>
        <w:rFonts w:hint="default"/>
        <w:lang w:val="en-US" w:eastAsia="en-US" w:bidi="ar-SA"/>
      </w:rPr>
    </w:lvl>
    <w:lvl w:ilvl="4" w:tplc="6E84388E">
      <w:numFmt w:val="bullet"/>
      <w:lvlText w:val="•"/>
      <w:lvlJc w:val="left"/>
      <w:pPr>
        <w:ind w:left="4088" w:hanging="720"/>
      </w:pPr>
      <w:rPr>
        <w:rFonts w:hint="default"/>
        <w:lang w:val="en-US" w:eastAsia="en-US" w:bidi="ar-SA"/>
      </w:rPr>
    </w:lvl>
    <w:lvl w:ilvl="5" w:tplc="24DC895A">
      <w:numFmt w:val="bullet"/>
      <w:lvlText w:val="•"/>
      <w:lvlJc w:val="left"/>
      <w:pPr>
        <w:ind w:left="5050" w:hanging="720"/>
      </w:pPr>
      <w:rPr>
        <w:rFonts w:hint="default"/>
        <w:lang w:val="en-US" w:eastAsia="en-US" w:bidi="ar-SA"/>
      </w:rPr>
    </w:lvl>
    <w:lvl w:ilvl="6" w:tplc="EC88A21A">
      <w:numFmt w:val="bullet"/>
      <w:lvlText w:val="•"/>
      <w:lvlJc w:val="left"/>
      <w:pPr>
        <w:ind w:left="6013" w:hanging="720"/>
      </w:pPr>
      <w:rPr>
        <w:rFonts w:hint="default"/>
        <w:lang w:val="en-US" w:eastAsia="en-US" w:bidi="ar-SA"/>
      </w:rPr>
    </w:lvl>
    <w:lvl w:ilvl="7" w:tplc="6A5EFC16">
      <w:numFmt w:val="bullet"/>
      <w:lvlText w:val="•"/>
      <w:lvlJc w:val="left"/>
      <w:pPr>
        <w:ind w:left="6976" w:hanging="720"/>
      </w:pPr>
      <w:rPr>
        <w:rFonts w:hint="default"/>
        <w:lang w:val="en-US" w:eastAsia="en-US" w:bidi="ar-SA"/>
      </w:rPr>
    </w:lvl>
    <w:lvl w:ilvl="8" w:tplc="962A39D8">
      <w:numFmt w:val="bullet"/>
      <w:lvlText w:val="•"/>
      <w:lvlJc w:val="left"/>
      <w:pPr>
        <w:ind w:left="7938" w:hanging="720"/>
      </w:pPr>
      <w:rPr>
        <w:rFonts w:hint="default"/>
        <w:lang w:val="en-US" w:eastAsia="en-US" w:bidi="ar-SA"/>
      </w:rPr>
    </w:lvl>
  </w:abstractNum>
  <w:abstractNum w:abstractNumId="36" w15:restartNumberingAfterBreak="0">
    <w:nsid w:val="7E6B2A3E"/>
    <w:multiLevelType w:val="multilevel"/>
    <w:tmpl w:val="8BE444DC"/>
    <w:numStyleLink w:val="AHRCReportHeadings"/>
  </w:abstractNum>
  <w:abstractNum w:abstractNumId="37" w15:restartNumberingAfterBreak="0">
    <w:nsid w:val="7F9554DA"/>
    <w:multiLevelType w:val="hybridMultilevel"/>
    <w:tmpl w:val="13AA9D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5892868">
    <w:abstractNumId w:val="28"/>
  </w:num>
  <w:num w:numId="2" w16cid:durableId="1284457344">
    <w:abstractNumId w:val="9"/>
  </w:num>
  <w:num w:numId="3" w16cid:durableId="1919510314">
    <w:abstractNumId w:val="7"/>
  </w:num>
  <w:num w:numId="4" w16cid:durableId="1015880889">
    <w:abstractNumId w:val="6"/>
  </w:num>
  <w:num w:numId="5" w16cid:durableId="1785922300">
    <w:abstractNumId w:val="5"/>
  </w:num>
  <w:num w:numId="6" w16cid:durableId="195166476">
    <w:abstractNumId w:val="4"/>
  </w:num>
  <w:num w:numId="7" w16cid:durableId="1431973848">
    <w:abstractNumId w:val="8"/>
  </w:num>
  <w:num w:numId="8" w16cid:durableId="2001345338">
    <w:abstractNumId w:val="1"/>
  </w:num>
  <w:num w:numId="9" w16cid:durableId="205215462">
    <w:abstractNumId w:val="0"/>
  </w:num>
  <w:num w:numId="10" w16cid:durableId="19939192">
    <w:abstractNumId w:val="3"/>
  </w:num>
  <w:num w:numId="11" w16cid:durableId="1682703972">
    <w:abstractNumId w:val="2"/>
  </w:num>
  <w:num w:numId="12" w16cid:durableId="1136264871">
    <w:abstractNumId w:val="30"/>
  </w:num>
  <w:num w:numId="13" w16cid:durableId="779570671">
    <w:abstractNumId w:val="25"/>
  </w:num>
  <w:num w:numId="14" w16cid:durableId="1681737881">
    <w:abstractNumId w:val="20"/>
  </w:num>
  <w:num w:numId="15" w16cid:durableId="913054838">
    <w:abstractNumId w:val="17"/>
  </w:num>
  <w:num w:numId="16" w16cid:durableId="357246390">
    <w:abstractNumId w:val="14"/>
  </w:num>
  <w:num w:numId="17" w16cid:durableId="220753913">
    <w:abstractNumId w:val="15"/>
  </w:num>
  <w:num w:numId="18" w16cid:durableId="788209873">
    <w:abstractNumId w:val="36"/>
  </w:num>
  <w:num w:numId="19" w16cid:durableId="946352110">
    <w:abstractNumId w:val="33"/>
  </w:num>
  <w:num w:numId="20" w16cid:durableId="1622221674">
    <w:abstractNumId w:val="21"/>
  </w:num>
  <w:num w:numId="21" w16cid:durableId="77946729">
    <w:abstractNumId w:val="29"/>
  </w:num>
  <w:num w:numId="22" w16cid:durableId="212695281">
    <w:abstractNumId w:val="34"/>
  </w:num>
  <w:num w:numId="23" w16cid:durableId="1293632985">
    <w:abstractNumId w:val="19"/>
  </w:num>
  <w:num w:numId="24" w16cid:durableId="1034429490">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5" w16cid:durableId="1827627221">
    <w:abstractNumId w:val="12"/>
  </w:num>
  <w:num w:numId="26" w16cid:durableId="1849053347">
    <w:abstractNumId w:val="11"/>
  </w:num>
  <w:num w:numId="27" w16cid:durableId="1907569463">
    <w:abstractNumId w:val="31"/>
  </w:num>
  <w:num w:numId="28" w16cid:durableId="570848720">
    <w:abstractNumId w:val="26"/>
  </w:num>
  <w:num w:numId="29" w16cid:durableId="1911113575">
    <w:abstractNumId w:val="37"/>
  </w:num>
  <w:num w:numId="30" w16cid:durableId="369694946">
    <w:abstractNumId w:val="16"/>
  </w:num>
  <w:num w:numId="31" w16cid:durableId="796216814">
    <w:abstractNumId w:val="22"/>
  </w:num>
  <w:num w:numId="32" w16cid:durableId="514463747">
    <w:abstractNumId w:val="23"/>
  </w:num>
  <w:num w:numId="33" w16cid:durableId="1928415243">
    <w:abstractNumId w:val="13"/>
  </w:num>
  <w:num w:numId="34" w16cid:durableId="1631781647">
    <w:abstractNumId w:val="18"/>
  </w:num>
  <w:num w:numId="35" w16cid:durableId="553396236">
    <w:abstractNumId w:val="35"/>
  </w:num>
  <w:num w:numId="36" w16cid:durableId="1114254914">
    <w:abstractNumId w:val="32"/>
  </w:num>
  <w:num w:numId="37" w16cid:durableId="531384482">
    <w:abstractNumId w:val="24"/>
  </w:num>
  <w:num w:numId="38" w16cid:durableId="1678192063">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83"/>
    <w:rsid w:val="00001225"/>
    <w:rsid w:val="000015EC"/>
    <w:rsid w:val="00003EA5"/>
    <w:rsid w:val="000161C2"/>
    <w:rsid w:val="00021D06"/>
    <w:rsid w:val="0002476A"/>
    <w:rsid w:val="00035305"/>
    <w:rsid w:val="00036BE4"/>
    <w:rsid w:val="000400F4"/>
    <w:rsid w:val="000430B8"/>
    <w:rsid w:val="00045712"/>
    <w:rsid w:val="00045C4B"/>
    <w:rsid w:val="00046251"/>
    <w:rsid w:val="000465F1"/>
    <w:rsid w:val="000534AC"/>
    <w:rsid w:val="000579B1"/>
    <w:rsid w:val="00061C6C"/>
    <w:rsid w:val="0006547F"/>
    <w:rsid w:val="00065EEA"/>
    <w:rsid w:val="00065FDB"/>
    <w:rsid w:val="00066C68"/>
    <w:rsid w:val="000717E3"/>
    <w:rsid w:val="00072EDA"/>
    <w:rsid w:val="00080BA9"/>
    <w:rsid w:val="00092868"/>
    <w:rsid w:val="00092C37"/>
    <w:rsid w:val="000955E9"/>
    <w:rsid w:val="000A04A9"/>
    <w:rsid w:val="000A1DB8"/>
    <w:rsid w:val="000A2982"/>
    <w:rsid w:val="000A48AC"/>
    <w:rsid w:val="000A520E"/>
    <w:rsid w:val="000B0603"/>
    <w:rsid w:val="000B0A5D"/>
    <w:rsid w:val="000B5B68"/>
    <w:rsid w:val="000B5FD6"/>
    <w:rsid w:val="000C1165"/>
    <w:rsid w:val="000C5608"/>
    <w:rsid w:val="000C5DA6"/>
    <w:rsid w:val="000C5FCA"/>
    <w:rsid w:val="000C6BE9"/>
    <w:rsid w:val="000D1FA7"/>
    <w:rsid w:val="000E130A"/>
    <w:rsid w:val="0012724D"/>
    <w:rsid w:val="00127460"/>
    <w:rsid w:val="00131C2A"/>
    <w:rsid w:val="00134774"/>
    <w:rsid w:val="001370B8"/>
    <w:rsid w:val="00140274"/>
    <w:rsid w:val="001509E4"/>
    <w:rsid w:val="00151263"/>
    <w:rsid w:val="0015239E"/>
    <w:rsid w:val="00153F14"/>
    <w:rsid w:val="0016133D"/>
    <w:rsid w:val="0016266F"/>
    <w:rsid w:val="00162A8D"/>
    <w:rsid w:val="00165E3C"/>
    <w:rsid w:val="001664F5"/>
    <w:rsid w:val="00173FB5"/>
    <w:rsid w:val="00174D9A"/>
    <w:rsid w:val="001839D6"/>
    <w:rsid w:val="001915CD"/>
    <w:rsid w:val="00195EDE"/>
    <w:rsid w:val="001A32DE"/>
    <w:rsid w:val="001A342D"/>
    <w:rsid w:val="001B0353"/>
    <w:rsid w:val="001C1F8B"/>
    <w:rsid w:val="001C2E17"/>
    <w:rsid w:val="001C5301"/>
    <w:rsid w:val="001C6EA1"/>
    <w:rsid w:val="001D0285"/>
    <w:rsid w:val="001D265C"/>
    <w:rsid w:val="001E45BA"/>
    <w:rsid w:val="001E5676"/>
    <w:rsid w:val="001E6407"/>
    <w:rsid w:val="001F1AEA"/>
    <w:rsid w:val="001F2BBB"/>
    <w:rsid w:val="001F52FD"/>
    <w:rsid w:val="001F62CC"/>
    <w:rsid w:val="001F77DB"/>
    <w:rsid w:val="00200677"/>
    <w:rsid w:val="002012F7"/>
    <w:rsid w:val="002027F6"/>
    <w:rsid w:val="0020576C"/>
    <w:rsid w:val="002068EB"/>
    <w:rsid w:val="00214DB2"/>
    <w:rsid w:val="0022015F"/>
    <w:rsid w:val="0022216B"/>
    <w:rsid w:val="002270AC"/>
    <w:rsid w:val="00231ED1"/>
    <w:rsid w:val="00232296"/>
    <w:rsid w:val="002329AE"/>
    <w:rsid w:val="00241523"/>
    <w:rsid w:val="00242624"/>
    <w:rsid w:val="0024557E"/>
    <w:rsid w:val="002471FD"/>
    <w:rsid w:val="0025176E"/>
    <w:rsid w:val="00257344"/>
    <w:rsid w:val="002632EA"/>
    <w:rsid w:val="002649A9"/>
    <w:rsid w:val="00266697"/>
    <w:rsid w:val="0026778A"/>
    <w:rsid w:val="00275C6E"/>
    <w:rsid w:val="002845A6"/>
    <w:rsid w:val="0028506A"/>
    <w:rsid w:val="002850B0"/>
    <w:rsid w:val="002863D7"/>
    <w:rsid w:val="002873B4"/>
    <w:rsid w:val="002879AD"/>
    <w:rsid w:val="00292AB5"/>
    <w:rsid w:val="002A43C2"/>
    <w:rsid w:val="002A7D47"/>
    <w:rsid w:val="002B1B65"/>
    <w:rsid w:val="002B59F7"/>
    <w:rsid w:val="002C02DB"/>
    <w:rsid w:val="002C1866"/>
    <w:rsid w:val="002C1F12"/>
    <w:rsid w:val="002C5943"/>
    <w:rsid w:val="002D1B6C"/>
    <w:rsid w:val="002E03B3"/>
    <w:rsid w:val="002E1CB1"/>
    <w:rsid w:val="002E2023"/>
    <w:rsid w:val="002E5A1B"/>
    <w:rsid w:val="002E6ADB"/>
    <w:rsid w:val="002F1532"/>
    <w:rsid w:val="002F4CE1"/>
    <w:rsid w:val="002F5E96"/>
    <w:rsid w:val="0030053D"/>
    <w:rsid w:val="00300F22"/>
    <w:rsid w:val="003026A0"/>
    <w:rsid w:val="00303EE9"/>
    <w:rsid w:val="00304441"/>
    <w:rsid w:val="00304A37"/>
    <w:rsid w:val="0030715C"/>
    <w:rsid w:val="0031040E"/>
    <w:rsid w:val="00310ED4"/>
    <w:rsid w:val="00312301"/>
    <w:rsid w:val="0031492A"/>
    <w:rsid w:val="00316C1A"/>
    <w:rsid w:val="00321095"/>
    <w:rsid w:val="00323C73"/>
    <w:rsid w:val="00331141"/>
    <w:rsid w:val="00333204"/>
    <w:rsid w:val="00340399"/>
    <w:rsid w:val="003423F4"/>
    <w:rsid w:val="00344758"/>
    <w:rsid w:val="00347142"/>
    <w:rsid w:val="00350D1B"/>
    <w:rsid w:val="003565A8"/>
    <w:rsid w:val="003566EA"/>
    <w:rsid w:val="003613CC"/>
    <w:rsid w:val="00362D53"/>
    <w:rsid w:val="00363277"/>
    <w:rsid w:val="0036611F"/>
    <w:rsid w:val="003724A9"/>
    <w:rsid w:val="00372C79"/>
    <w:rsid w:val="00373155"/>
    <w:rsid w:val="0038018B"/>
    <w:rsid w:val="003830A0"/>
    <w:rsid w:val="00384522"/>
    <w:rsid w:val="00394D46"/>
    <w:rsid w:val="003A168E"/>
    <w:rsid w:val="003A1DAD"/>
    <w:rsid w:val="003A48B7"/>
    <w:rsid w:val="003C2062"/>
    <w:rsid w:val="003D234E"/>
    <w:rsid w:val="003E52DB"/>
    <w:rsid w:val="003E5DEF"/>
    <w:rsid w:val="003E65F1"/>
    <w:rsid w:val="003F0D73"/>
    <w:rsid w:val="0040375A"/>
    <w:rsid w:val="0040497E"/>
    <w:rsid w:val="00420EEE"/>
    <w:rsid w:val="00422417"/>
    <w:rsid w:val="00424233"/>
    <w:rsid w:val="00434945"/>
    <w:rsid w:val="00441DF5"/>
    <w:rsid w:val="00445CB5"/>
    <w:rsid w:val="00460EE0"/>
    <w:rsid w:val="00466AD0"/>
    <w:rsid w:val="00466EAB"/>
    <w:rsid w:val="00467F2E"/>
    <w:rsid w:val="004712FB"/>
    <w:rsid w:val="00471BB7"/>
    <w:rsid w:val="00472EFF"/>
    <w:rsid w:val="00474063"/>
    <w:rsid w:val="00476793"/>
    <w:rsid w:val="00481B2A"/>
    <w:rsid w:val="00482091"/>
    <w:rsid w:val="004863FA"/>
    <w:rsid w:val="00490D6C"/>
    <w:rsid w:val="00494AAE"/>
    <w:rsid w:val="00495244"/>
    <w:rsid w:val="004A187B"/>
    <w:rsid w:val="004A1F7E"/>
    <w:rsid w:val="004A24A5"/>
    <w:rsid w:val="004A2D3C"/>
    <w:rsid w:val="004A6716"/>
    <w:rsid w:val="004A69F8"/>
    <w:rsid w:val="004B2383"/>
    <w:rsid w:val="004B587E"/>
    <w:rsid w:val="004C7412"/>
    <w:rsid w:val="004C7CB2"/>
    <w:rsid w:val="004D04BF"/>
    <w:rsid w:val="004E058F"/>
    <w:rsid w:val="004E0DFF"/>
    <w:rsid w:val="004E3517"/>
    <w:rsid w:val="004F1C7C"/>
    <w:rsid w:val="00510390"/>
    <w:rsid w:val="005123F0"/>
    <w:rsid w:val="00513540"/>
    <w:rsid w:val="00513941"/>
    <w:rsid w:val="0053051D"/>
    <w:rsid w:val="005342AF"/>
    <w:rsid w:val="0055328B"/>
    <w:rsid w:val="00561019"/>
    <w:rsid w:val="00564208"/>
    <w:rsid w:val="00565828"/>
    <w:rsid w:val="00571CEB"/>
    <w:rsid w:val="005720BC"/>
    <w:rsid w:val="00572DED"/>
    <w:rsid w:val="00576DCD"/>
    <w:rsid w:val="00591951"/>
    <w:rsid w:val="00592D1C"/>
    <w:rsid w:val="0059371C"/>
    <w:rsid w:val="005A0964"/>
    <w:rsid w:val="005A2F77"/>
    <w:rsid w:val="005A44DE"/>
    <w:rsid w:val="005B36F6"/>
    <w:rsid w:val="005B46AB"/>
    <w:rsid w:val="005C2ECF"/>
    <w:rsid w:val="005C5249"/>
    <w:rsid w:val="005C5D41"/>
    <w:rsid w:val="005C7982"/>
    <w:rsid w:val="005D1F34"/>
    <w:rsid w:val="005D2CF5"/>
    <w:rsid w:val="005D383D"/>
    <w:rsid w:val="005D4ED1"/>
    <w:rsid w:val="005E169E"/>
    <w:rsid w:val="005E3915"/>
    <w:rsid w:val="00616F88"/>
    <w:rsid w:val="00622508"/>
    <w:rsid w:val="0063009F"/>
    <w:rsid w:val="006356C5"/>
    <w:rsid w:val="00644B30"/>
    <w:rsid w:val="00645F04"/>
    <w:rsid w:val="00650E26"/>
    <w:rsid w:val="006527A7"/>
    <w:rsid w:val="00654793"/>
    <w:rsid w:val="00655BF2"/>
    <w:rsid w:val="00664316"/>
    <w:rsid w:val="006676B7"/>
    <w:rsid w:val="00683D58"/>
    <w:rsid w:val="00691E8A"/>
    <w:rsid w:val="00694F9E"/>
    <w:rsid w:val="00694FB7"/>
    <w:rsid w:val="00696AB3"/>
    <w:rsid w:val="006A10F6"/>
    <w:rsid w:val="006A404F"/>
    <w:rsid w:val="006A6BB3"/>
    <w:rsid w:val="006B3DE1"/>
    <w:rsid w:val="006C0642"/>
    <w:rsid w:val="006C1197"/>
    <w:rsid w:val="006C6052"/>
    <w:rsid w:val="006D0407"/>
    <w:rsid w:val="006D2B82"/>
    <w:rsid w:val="006D5EE5"/>
    <w:rsid w:val="006E02B4"/>
    <w:rsid w:val="006E5EF0"/>
    <w:rsid w:val="006E616B"/>
    <w:rsid w:val="006E6D3B"/>
    <w:rsid w:val="0070547A"/>
    <w:rsid w:val="00710384"/>
    <w:rsid w:val="00714FF5"/>
    <w:rsid w:val="0071538B"/>
    <w:rsid w:val="00727D90"/>
    <w:rsid w:val="00730BD2"/>
    <w:rsid w:val="00750627"/>
    <w:rsid w:val="007540BF"/>
    <w:rsid w:val="0075445D"/>
    <w:rsid w:val="00760DAA"/>
    <w:rsid w:val="007637A8"/>
    <w:rsid w:val="00765412"/>
    <w:rsid w:val="00765B58"/>
    <w:rsid w:val="00770DCB"/>
    <w:rsid w:val="00775485"/>
    <w:rsid w:val="0078274B"/>
    <w:rsid w:val="00783532"/>
    <w:rsid w:val="007846B5"/>
    <w:rsid w:val="0078511E"/>
    <w:rsid w:val="007921EE"/>
    <w:rsid w:val="007A62F2"/>
    <w:rsid w:val="007B049C"/>
    <w:rsid w:val="007B06EA"/>
    <w:rsid w:val="007B17AB"/>
    <w:rsid w:val="007B444D"/>
    <w:rsid w:val="007C5CF6"/>
    <w:rsid w:val="007C713E"/>
    <w:rsid w:val="007D2F00"/>
    <w:rsid w:val="007D560C"/>
    <w:rsid w:val="007E5B88"/>
    <w:rsid w:val="007F0D0B"/>
    <w:rsid w:val="007F2185"/>
    <w:rsid w:val="007F350F"/>
    <w:rsid w:val="007F6438"/>
    <w:rsid w:val="008007A8"/>
    <w:rsid w:val="00800841"/>
    <w:rsid w:val="008040B8"/>
    <w:rsid w:val="008042D9"/>
    <w:rsid w:val="00811574"/>
    <w:rsid w:val="00814FC0"/>
    <w:rsid w:val="00816CA4"/>
    <w:rsid w:val="00817C73"/>
    <w:rsid w:val="00823005"/>
    <w:rsid w:val="00825D34"/>
    <w:rsid w:val="00826B0B"/>
    <w:rsid w:val="00831084"/>
    <w:rsid w:val="008449B9"/>
    <w:rsid w:val="00847191"/>
    <w:rsid w:val="0086254F"/>
    <w:rsid w:val="0086487B"/>
    <w:rsid w:val="008724DE"/>
    <w:rsid w:val="008758D9"/>
    <w:rsid w:val="00882B0A"/>
    <w:rsid w:val="008843A0"/>
    <w:rsid w:val="00887A93"/>
    <w:rsid w:val="00895C91"/>
    <w:rsid w:val="008A3D57"/>
    <w:rsid w:val="008A7305"/>
    <w:rsid w:val="008A7EFF"/>
    <w:rsid w:val="008B23BC"/>
    <w:rsid w:val="008B3899"/>
    <w:rsid w:val="008B7F77"/>
    <w:rsid w:val="008C26CF"/>
    <w:rsid w:val="008D3BF7"/>
    <w:rsid w:val="008E328C"/>
    <w:rsid w:val="008E3D60"/>
    <w:rsid w:val="008E3F4C"/>
    <w:rsid w:val="008E78F0"/>
    <w:rsid w:val="008F062E"/>
    <w:rsid w:val="0090165F"/>
    <w:rsid w:val="00901B82"/>
    <w:rsid w:val="00902EC3"/>
    <w:rsid w:val="009079CD"/>
    <w:rsid w:val="00912B09"/>
    <w:rsid w:val="009131E7"/>
    <w:rsid w:val="0091791D"/>
    <w:rsid w:val="00917ABD"/>
    <w:rsid w:val="00921036"/>
    <w:rsid w:val="00934E5F"/>
    <w:rsid w:val="009432CF"/>
    <w:rsid w:val="0094628C"/>
    <w:rsid w:val="00954228"/>
    <w:rsid w:val="00961135"/>
    <w:rsid w:val="00966C2F"/>
    <w:rsid w:val="0096742A"/>
    <w:rsid w:val="0097512B"/>
    <w:rsid w:val="00982404"/>
    <w:rsid w:val="00984413"/>
    <w:rsid w:val="00990B81"/>
    <w:rsid w:val="0099535F"/>
    <w:rsid w:val="009A016E"/>
    <w:rsid w:val="009A1259"/>
    <w:rsid w:val="009B1CCE"/>
    <w:rsid w:val="009B6849"/>
    <w:rsid w:val="009D2D3E"/>
    <w:rsid w:val="009D4F31"/>
    <w:rsid w:val="009D59F9"/>
    <w:rsid w:val="009D634E"/>
    <w:rsid w:val="009D67F6"/>
    <w:rsid w:val="009E08D1"/>
    <w:rsid w:val="009E0FE1"/>
    <w:rsid w:val="009E4BD0"/>
    <w:rsid w:val="009F00BC"/>
    <w:rsid w:val="009F1CF8"/>
    <w:rsid w:val="009F2764"/>
    <w:rsid w:val="00A0406E"/>
    <w:rsid w:val="00A07EB0"/>
    <w:rsid w:val="00A10406"/>
    <w:rsid w:val="00A11307"/>
    <w:rsid w:val="00A11A40"/>
    <w:rsid w:val="00A13AF3"/>
    <w:rsid w:val="00A21388"/>
    <w:rsid w:val="00A24E7F"/>
    <w:rsid w:val="00A27791"/>
    <w:rsid w:val="00A27ABE"/>
    <w:rsid w:val="00A27F5A"/>
    <w:rsid w:val="00A355F9"/>
    <w:rsid w:val="00A372B3"/>
    <w:rsid w:val="00A41355"/>
    <w:rsid w:val="00A42521"/>
    <w:rsid w:val="00A437B6"/>
    <w:rsid w:val="00A43B92"/>
    <w:rsid w:val="00A43FE4"/>
    <w:rsid w:val="00A47BCC"/>
    <w:rsid w:val="00A51C1D"/>
    <w:rsid w:val="00A54251"/>
    <w:rsid w:val="00A54829"/>
    <w:rsid w:val="00A57272"/>
    <w:rsid w:val="00A6179E"/>
    <w:rsid w:val="00A64316"/>
    <w:rsid w:val="00A804D9"/>
    <w:rsid w:val="00A83E06"/>
    <w:rsid w:val="00A8573B"/>
    <w:rsid w:val="00A8601B"/>
    <w:rsid w:val="00A86F56"/>
    <w:rsid w:val="00A92915"/>
    <w:rsid w:val="00A92D96"/>
    <w:rsid w:val="00A92F92"/>
    <w:rsid w:val="00A94E47"/>
    <w:rsid w:val="00A96892"/>
    <w:rsid w:val="00AA2051"/>
    <w:rsid w:val="00AA70C4"/>
    <w:rsid w:val="00AB7C8F"/>
    <w:rsid w:val="00AC05FE"/>
    <w:rsid w:val="00AC2192"/>
    <w:rsid w:val="00AC5F2B"/>
    <w:rsid w:val="00AC636D"/>
    <w:rsid w:val="00AF16E8"/>
    <w:rsid w:val="00B00F61"/>
    <w:rsid w:val="00B03265"/>
    <w:rsid w:val="00B13E14"/>
    <w:rsid w:val="00B13EE7"/>
    <w:rsid w:val="00B237FB"/>
    <w:rsid w:val="00B24B1D"/>
    <w:rsid w:val="00B26C33"/>
    <w:rsid w:val="00B277E0"/>
    <w:rsid w:val="00B34946"/>
    <w:rsid w:val="00B41B2E"/>
    <w:rsid w:val="00B43442"/>
    <w:rsid w:val="00B519FD"/>
    <w:rsid w:val="00B520BC"/>
    <w:rsid w:val="00B5287A"/>
    <w:rsid w:val="00B539CC"/>
    <w:rsid w:val="00B63D24"/>
    <w:rsid w:val="00B71968"/>
    <w:rsid w:val="00B822C5"/>
    <w:rsid w:val="00B82C35"/>
    <w:rsid w:val="00B838F6"/>
    <w:rsid w:val="00B924E6"/>
    <w:rsid w:val="00B93F2A"/>
    <w:rsid w:val="00BA0F06"/>
    <w:rsid w:val="00BA23E3"/>
    <w:rsid w:val="00BA262D"/>
    <w:rsid w:val="00BA5698"/>
    <w:rsid w:val="00BB1E1E"/>
    <w:rsid w:val="00BB2CAD"/>
    <w:rsid w:val="00BB3A8E"/>
    <w:rsid w:val="00BB649A"/>
    <w:rsid w:val="00BC79EB"/>
    <w:rsid w:val="00BD3183"/>
    <w:rsid w:val="00BD717D"/>
    <w:rsid w:val="00BD7FCF"/>
    <w:rsid w:val="00BF1AB8"/>
    <w:rsid w:val="00BF3B2B"/>
    <w:rsid w:val="00BF3F1D"/>
    <w:rsid w:val="00BF6350"/>
    <w:rsid w:val="00BF6406"/>
    <w:rsid w:val="00C064DC"/>
    <w:rsid w:val="00C078E9"/>
    <w:rsid w:val="00C132CA"/>
    <w:rsid w:val="00C132EB"/>
    <w:rsid w:val="00C149BD"/>
    <w:rsid w:val="00C14E19"/>
    <w:rsid w:val="00C16059"/>
    <w:rsid w:val="00C21096"/>
    <w:rsid w:val="00C23463"/>
    <w:rsid w:val="00C25BDA"/>
    <w:rsid w:val="00C31563"/>
    <w:rsid w:val="00C33104"/>
    <w:rsid w:val="00C332D4"/>
    <w:rsid w:val="00C44AE3"/>
    <w:rsid w:val="00C471D1"/>
    <w:rsid w:val="00C51011"/>
    <w:rsid w:val="00C560AC"/>
    <w:rsid w:val="00C5781C"/>
    <w:rsid w:val="00C60036"/>
    <w:rsid w:val="00C60343"/>
    <w:rsid w:val="00C6325B"/>
    <w:rsid w:val="00C71E18"/>
    <w:rsid w:val="00C7387B"/>
    <w:rsid w:val="00C830BC"/>
    <w:rsid w:val="00C854D4"/>
    <w:rsid w:val="00C902CC"/>
    <w:rsid w:val="00C90556"/>
    <w:rsid w:val="00CA0D78"/>
    <w:rsid w:val="00CA1C25"/>
    <w:rsid w:val="00CA4855"/>
    <w:rsid w:val="00CA54B5"/>
    <w:rsid w:val="00CA5D90"/>
    <w:rsid w:val="00CB24FE"/>
    <w:rsid w:val="00CC2AA0"/>
    <w:rsid w:val="00CD1AEE"/>
    <w:rsid w:val="00CD58FD"/>
    <w:rsid w:val="00CE4078"/>
    <w:rsid w:val="00CE7E1F"/>
    <w:rsid w:val="00CF52CF"/>
    <w:rsid w:val="00CF66B5"/>
    <w:rsid w:val="00D03307"/>
    <w:rsid w:val="00D12C54"/>
    <w:rsid w:val="00D16774"/>
    <w:rsid w:val="00D23F1C"/>
    <w:rsid w:val="00D25025"/>
    <w:rsid w:val="00D343FA"/>
    <w:rsid w:val="00D362E2"/>
    <w:rsid w:val="00D40420"/>
    <w:rsid w:val="00D418FF"/>
    <w:rsid w:val="00D6294E"/>
    <w:rsid w:val="00D65C76"/>
    <w:rsid w:val="00D73230"/>
    <w:rsid w:val="00D734C7"/>
    <w:rsid w:val="00D7542B"/>
    <w:rsid w:val="00D81B66"/>
    <w:rsid w:val="00D8351F"/>
    <w:rsid w:val="00D86AD0"/>
    <w:rsid w:val="00D93B4E"/>
    <w:rsid w:val="00DA1D32"/>
    <w:rsid w:val="00DA2F73"/>
    <w:rsid w:val="00DA7A55"/>
    <w:rsid w:val="00DB7419"/>
    <w:rsid w:val="00DC28F5"/>
    <w:rsid w:val="00DC307B"/>
    <w:rsid w:val="00DC343B"/>
    <w:rsid w:val="00DC462F"/>
    <w:rsid w:val="00DC499A"/>
    <w:rsid w:val="00DD604A"/>
    <w:rsid w:val="00DD6A21"/>
    <w:rsid w:val="00DE18A7"/>
    <w:rsid w:val="00DE2EFB"/>
    <w:rsid w:val="00DE60CA"/>
    <w:rsid w:val="00DF01B6"/>
    <w:rsid w:val="00DF28F1"/>
    <w:rsid w:val="00E00CF6"/>
    <w:rsid w:val="00E02517"/>
    <w:rsid w:val="00E1290D"/>
    <w:rsid w:val="00E14833"/>
    <w:rsid w:val="00E1675F"/>
    <w:rsid w:val="00E16DDD"/>
    <w:rsid w:val="00E20725"/>
    <w:rsid w:val="00E23349"/>
    <w:rsid w:val="00E23DB3"/>
    <w:rsid w:val="00E24FA3"/>
    <w:rsid w:val="00E26B28"/>
    <w:rsid w:val="00E2783D"/>
    <w:rsid w:val="00E31465"/>
    <w:rsid w:val="00E328CD"/>
    <w:rsid w:val="00E3489E"/>
    <w:rsid w:val="00E3546C"/>
    <w:rsid w:val="00E362F0"/>
    <w:rsid w:val="00E36B95"/>
    <w:rsid w:val="00E4003F"/>
    <w:rsid w:val="00E44115"/>
    <w:rsid w:val="00E458F6"/>
    <w:rsid w:val="00E45954"/>
    <w:rsid w:val="00E46704"/>
    <w:rsid w:val="00E53546"/>
    <w:rsid w:val="00E55F24"/>
    <w:rsid w:val="00E60C48"/>
    <w:rsid w:val="00E74601"/>
    <w:rsid w:val="00E8716A"/>
    <w:rsid w:val="00EA1E73"/>
    <w:rsid w:val="00EA44D9"/>
    <w:rsid w:val="00EA7870"/>
    <w:rsid w:val="00EB671B"/>
    <w:rsid w:val="00EB6A76"/>
    <w:rsid w:val="00EC1D94"/>
    <w:rsid w:val="00ED266C"/>
    <w:rsid w:val="00ED6EDE"/>
    <w:rsid w:val="00EE063F"/>
    <w:rsid w:val="00EE6ED3"/>
    <w:rsid w:val="00EE7930"/>
    <w:rsid w:val="00EF155E"/>
    <w:rsid w:val="00F015A4"/>
    <w:rsid w:val="00F01D1D"/>
    <w:rsid w:val="00F0799D"/>
    <w:rsid w:val="00F107A0"/>
    <w:rsid w:val="00F127A8"/>
    <w:rsid w:val="00F14C6D"/>
    <w:rsid w:val="00F220A5"/>
    <w:rsid w:val="00F33CA4"/>
    <w:rsid w:val="00F34362"/>
    <w:rsid w:val="00F34BC9"/>
    <w:rsid w:val="00F43EA6"/>
    <w:rsid w:val="00F513AE"/>
    <w:rsid w:val="00F51ECD"/>
    <w:rsid w:val="00F54E75"/>
    <w:rsid w:val="00F62428"/>
    <w:rsid w:val="00F6313A"/>
    <w:rsid w:val="00F67FAF"/>
    <w:rsid w:val="00F77779"/>
    <w:rsid w:val="00F81458"/>
    <w:rsid w:val="00F8302E"/>
    <w:rsid w:val="00F85117"/>
    <w:rsid w:val="00F86DAB"/>
    <w:rsid w:val="00F92C46"/>
    <w:rsid w:val="00FA22A8"/>
    <w:rsid w:val="00FA4916"/>
    <w:rsid w:val="00FA4BCD"/>
    <w:rsid w:val="00FA5A7A"/>
    <w:rsid w:val="00FA7E5C"/>
    <w:rsid w:val="00FB11A7"/>
    <w:rsid w:val="00FB193D"/>
    <w:rsid w:val="00FB3422"/>
    <w:rsid w:val="00FB72C5"/>
    <w:rsid w:val="00FC1EE0"/>
    <w:rsid w:val="00FC6EC4"/>
    <w:rsid w:val="00FC7AA2"/>
    <w:rsid w:val="00FD01B5"/>
    <w:rsid w:val="00FD5BF0"/>
    <w:rsid w:val="00FD6475"/>
    <w:rsid w:val="00FE02BF"/>
    <w:rsid w:val="00FE3E7F"/>
    <w:rsid w:val="00FF6768"/>
    <w:rsid w:val="057EDD64"/>
    <w:rsid w:val="53F5CF70"/>
    <w:rsid w:val="69A937DC"/>
    <w:rsid w:val="7FD341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02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7" w:uiPriority="39"/>
    <w:lsdException w:name="footnote text" w:qFormat="1"/>
    <w:lsdException w:name="annotation text" w:uiPriority="99"/>
    <w:lsdException w:name="header" w:locked="0" w:qFormat="1"/>
    <w:lsdException w:name="footer" w:locked="0" w:uiPriority="99"/>
    <w:lsdException w:name="caption" w:semiHidden="1" w:unhideWhenUsed="1" w:qFormat="1"/>
    <w:lsdException w:name="footnote reference" w:qFormat="1"/>
    <w:lsdException w:name="annotation reference" w:uiPriority="99"/>
    <w:lsdException w:name="endnote reference" w:locked="0" w:qFormat="1"/>
    <w:lsdException w:name="endnote text" w:locked="0" w:qFormat="1"/>
    <w:lsdException w:name="List Bullet" w:qFormat="1"/>
    <w:lsdException w:name="List Number" w:qFormat="1"/>
    <w:lsdException w:name="Title" w:qFormat="1"/>
    <w:lsdException w:name="Default Paragraph Font" w:locked="0"/>
    <w:lsdException w:name="Body Text" w:uiPriority="1" w:qFormat="1"/>
    <w:lsdException w:name="List Continue 4" w:locked="0"/>
    <w:lsdException w:name="Subtitle" w:qFormat="1"/>
    <w:lsdException w:name="Hyperlink" w:locked="0" w:uiPriority="99"/>
    <w:lsdException w:name="Strong" w:locked="0" w:qFormat="1"/>
    <w:lsdException w:name="Emphasis" w:uiPriority="99" w:qFormat="1"/>
    <w:lsdException w:name="HTML Top of Form" w:locked="0"/>
    <w:lsdException w:name="HTML Bottom of Form" w:locked="0"/>
    <w:lsdException w:name="Normal (Web)" w:uiPriority="99"/>
    <w:lsdException w:name="HTML Keyboard" w:semiHidden="1" w:unhideWhenUsed="1"/>
    <w:lsdException w:name="HTML Preformatted" w:uiPriority="99"/>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locked="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1"/>
      </w:numPr>
      <w:spacing w:before="200"/>
      <w:outlineLvl w:val="4"/>
    </w:pPr>
  </w:style>
  <w:style w:type="paragraph" w:styleId="Heading6">
    <w:name w:val="heading 6"/>
    <w:basedOn w:val="Normal"/>
    <w:next w:val="Normal"/>
    <w:link w:val="Heading6Char"/>
    <w:qFormat/>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qFormat/>
    <w:rsid w:val="000B5B68"/>
    <w:pPr>
      <w:tabs>
        <w:tab w:val="right" w:leader="dot" w:pos="9060"/>
      </w:tabs>
      <w:spacing w:after="0"/>
      <w:ind w:left="720" w:hanging="720"/>
    </w:pPr>
    <w:rPr>
      <w:b/>
      <w:noProof/>
    </w:rPr>
  </w:style>
  <w:style w:type="paragraph" w:styleId="TOC2">
    <w:name w:val="toc 2"/>
    <w:basedOn w:val="Normal"/>
    <w:next w:val="Normal"/>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rsid w:val="00045C4B"/>
    <w:pPr>
      <w:spacing w:after="120"/>
      <w:ind w:left="1440" w:right="1440"/>
    </w:pPr>
  </w:style>
  <w:style w:type="paragraph" w:styleId="BodyText">
    <w:name w:val="Body Text"/>
    <w:basedOn w:val="Normal"/>
    <w:link w:val="BodyTextChar"/>
    <w:uiPriority w:val="1"/>
    <w:qFormat/>
    <w:rsid w:val="00045C4B"/>
    <w:pPr>
      <w:spacing w:after="120"/>
    </w:pPr>
  </w:style>
  <w:style w:type="paragraph" w:styleId="BodyText2">
    <w:name w:val="Body Text 2"/>
    <w:basedOn w:val="Normal"/>
    <w:link w:val="BodyText2Char"/>
    <w:semiHidden/>
    <w:rsid w:val="00045C4B"/>
    <w:pPr>
      <w:spacing w:after="120" w:line="480" w:lineRule="auto"/>
    </w:pPr>
  </w:style>
  <w:style w:type="paragraph" w:styleId="BodyText3">
    <w:name w:val="Body Text 3"/>
    <w:basedOn w:val="Normal"/>
    <w:link w:val="BodyText3Char"/>
    <w:semiHidden/>
    <w:rsid w:val="00045C4B"/>
    <w:pPr>
      <w:spacing w:after="120"/>
    </w:pPr>
    <w:rPr>
      <w:sz w:val="16"/>
      <w:szCs w:val="16"/>
    </w:rPr>
  </w:style>
  <w:style w:type="paragraph" w:styleId="BodyTextFirstIndent">
    <w:name w:val="Body Text First Indent"/>
    <w:basedOn w:val="BodyText"/>
    <w:link w:val="BodyTextFirstIndentChar"/>
    <w:semiHidden/>
    <w:rsid w:val="00E45954"/>
    <w:pPr>
      <w:ind w:firstLine="210"/>
    </w:pPr>
  </w:style>
  <w:style w:type="paragraph" w:styleId="BodyTextIndent">
    <w:name w:val="Body Text Indent"/>
    <w:basedOn w:val="Normal"/>
    <w:link w:val="BodyTextIndentChar"/>
    <w:semiHidden/>
    <w:rsid w:val="00045C4B"/>
    <w:pPr>
      <w:spacing w:after="120"/>
      <w:ind w:left="283"/>
    </w:pPr>
  </w:style>
  <w:style w:type="paragraph" w:styleId="BodyTextFirstIndent2">
    <w:name w:val="Body Text First Indent 2"/>
    <w:basedOn w:val="BodyTextIndent"/>
    <w:link w:val="BodyTextFirstIndent2Char"/>
    <w:semiHidden/>
    <w:rsid w:val="00045C4B"/>
    <w:pPr>
      <w:ind w:firstLine="210"/>
    </w:pPr>
  </w:style>
  <w:style w:type="paragraph" w:styleId="BodyTextIndent2">
    <w:name w:val="Body Text Indent 2"/>
    <w:basedOn w:val="Normal"/>
    <w:link w:val="BodyTextIndent2Char"/>
    <w:semiHidden/>
    <w:rsid w:val="00045C4B"/>
    <w:pPr>
      <w:spacing w:after="120" w:line="480" w:lineRule="auto"/>
      <w:ind w:left="283"/>
    </w:pPr>
  </w:style>
  <w:style w:type="paragraph" w:styleId="BodyTextIndent3">
    <w:name w:val="Body Text Indent 3"/>
    <w:basedOn w:val="Normal"/>
    <w:link w:val="BodyTextIndent3Char"/>
    <w:semiHidden/>
    <w:rsid w:val="00045C4B"/>
    <w:pPr>
      <w:spacing w:after="120"/>
      <w:ind w:left="283"/>
    </w:pPr>
    <w:rPr>
      <w:sz w:val="16"/>
      <w:szCs w:val="16"/>
    </w:rPr>
  </w:style>
  <w:style w:type="paragraph" w:styleId="Closing">
    <w:name w:val="Closing"/>
    <w:basedOn w:val="Normal"/>
    <w:link w:val="ClosingChar"/>
    <w:semiHidden/>
    <w:rsid w:val="00045C4B"/>
    <w:pPr>
      <w:ind w:left="4252"/>
    </w:pPr>
  </w:style>
  <w:style w:type="paragraph" w:styleId="Date">
    <w:name w:val="Date"/>
    <w:basedOn w:val="Normal"/>
    <w:next w:val="Normal"/>
    <w:link w:val="DateChar"/>
    <w:semiHidden/>
    <w:rsid w:val="005C2ECF"/>
    <w:pPr>
      <w:spacing w:before="120" w:after="120"/>
      <w:jc w:val="right"/>
    </w:pPr>
  </w:style>
  <w:style w:type="paragraph" w:styleId="E-mailSignature">
    <w:name w:val="E-mail Signature"/>
    <w:basedOn w:val="Normal"/>
    <w:link w:val="E-mailSignatureChar"/>
    <w:semiHidden/>
    <w:rsid w:val="00045C4B"/>
  </w:style>
  <w:style w:type="character" w:styleId="Emphasis">
    <w:name w:val="Emphasis"/>
    <w:uiPriority w:val="99"/>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link w:val="HTMLAddressChar"/>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link w:val="HTMLPreformattedChar"/>
    <w:uiPriority w:val="99"/>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link w:val="MessageHeaderChar"/>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rsid w:val="005C2ECF"/>
    <w:pPr>
      <w:ind w:left="720"/>
    </w:pPr>
  </w:style>
  <w:style w:type="paragraph" w:styleId="NoteHeading">
    <w:name w:val="Note Heading"/>
    <w:basedOn w:val="Normal"/>
    <w:next w:val="Normal"/>
    <w:link w:val="NoteHeadingChar"/>
    <w:rsid w:val="00E45954"/>
  </w:style>
  <w:style w:type="character" w:styleId="PageNumber">
    <w:name w:val="page number"/>
    <w:rsid w:val="00471BB7"/>
    <w:rPr>
      <w:rFonts w:ascii="Open Sans" w:hAnsi="Open Sans"/>
      <w:sz w:val="24"/>
    </w:rPr>
  </w:style>
  <w:style w:type="paragraph" w:styleId="PlainText">
    <w:name w:val="Plain Text"/>
    <w:basedOn w:val="Normal"/>
    <w:link w:val="PlainTextChar"/>
    <w:semiHidden/>
    <w:rsid w:val="00471BB7"/>
    <w:rPr>
      <w:rFonts w:cs="Courier New"/>
      <w:szCs w:val="20"/>
    </w:rPr>
  </w:style>
  <w:style w:type="paragraph" w:styleId="Salutation">
    <w:name w:val="Salutation"/>
    <w:basedOn w:val="Normal"/>
    <w:next w:val="Normal"/>
    <w:link w:val="SalutationChar"/>
    <w:semiHidden/>
    <w:locked/>
    <w:rsid w:val="00471BB7"/>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uiPriority w:val="99"/>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locked/>
    <w:rsid w:val="005C2ECF"/>
    <w:pPr>
      <w:spacing w:line="200" w:lineRule="exact"/>
      <w:jc w:val="both"/>
    </w:pPr>
    <w:rPr>
      <w:rFonts w:eastAsia="Times New Roman" w:cs="ArialMT"/>
      <w:sz w:val="16"/>
      <w:lang w:eastAsia="en-US"/>
    </w:rPr>
  </w:style>
  <w:style w:type="paragraph" w:customStyle="1" w:styleId="LogoType">
    <w:name w:val="Logo Type"/>
    <w:basedOn w:val="Header"/>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rsid w:val="00045C4B"/>
    <w:pPr>
      <w:spacing w:before="0" w:after="0"/>
    </w:pPr>
    <w:rPr>
      <w:rFonts w:cs="Tahoma"/>
      <w:sz w:val="16"/>
      <w:szCs w:val="16"/>
    </w:rPr>
  </w:style>
  <w:style w:type="character" w:customStyle="1" w:styleId="BalloonTextChar">
    <w:name w:val="Balloon Text Char"/>
    <w:link w:val="BalloonText"/>
    <w:uiPriority w:val="99"/>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
    <w:basedOn w:val="Normal"/>
    <w:link w:val="SubmissionNormalChar"/>
    <w:qFormat/>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uiPriority w:val="39"/>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qFormat/>
    <w:rsid w:val="000C5DA6"/>
    <w:pPr>
      <w:spacing w:before="200" w:after="160"/>
      <w:ind w:left="1440"/>
    </w:pPr>
    <w:rPr>
      <w:iCs/>
      <w:sz w:val="22"/>
    </w:rPr>
  </w:style>
  <w:style w:type="character" w:customStyle="1" w:styleId="QuoteChar">
    <w:name w:val="Quote Char"/>
    <w:link w:val="Quote"/>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1"/>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20"/>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styleId="FootnoteReference">
    <w:name w:val="footnote reference"/>
    <w:aliases w:val="4_G"/>
    <w:basedOn w:val="DefaultParagraphFont"/>
    <w:qFormat/>
    <w:locked/>
    <w:rsid w:val="00EA1E73"/>
    <w:rPr>
      <w:rFonts w:ascii="Arial" w:hAnsi="Arial"/>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ootnote Text Char2 Ch"/>
    <w:basedOn w:val="Normal"/>
    <w:link w:val="FootnoteTextChar"/>
    <w:qFormat/>
    <w:locked/>
    <w:rsid w:val="00EA1E73"/>
    <w:pPr>
      <w:spacing w:before="0" w:after="0"/>
    </w:pPr>
    <w:rPr>
      <w:rFonts w:ascii="Arial" w:eastAsia="Times New Roman" w:hAnsi="Arial"/>
      <w:spacing w:val="-5"/>
      <w:sz w:val="20"/>
      <w:szCs w:val="20"/>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rsid w:val="00EA1E73"/>
    <w:rPr>
      <w:rFonts w:ascii="Arial" w:hAnsi="Arial"/>
      <w:spacing w:val="-5"/>
      <w:lang w:eastAsia="en-US"/>
    </w:rPr>
  </w:style>
  <w:style w:type="numbering" w:customStyle="1" w:styleId="StyleNumbered">
    <w:name w:val="Style Numbered"/>
    <w:basedOn w:val="NoList"/>
    <w:rsid w:val="00EA1E73"/>
    <w:pPr>
      <w:numPr>
        <w:numId w:val="21"/>
      </w:numPr>
    </w:pPr>
  </w:style>
  <w:style w:type="paragraph" w:customStyle="1" w:styleId="Contactdetails">
    <w:name w:val="Contact details"/>
    <w:basedOn w:val="Normal"/>
    <w:rsid w:val="00EA1E73"/>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10" w:lineRule="exact"/>
    </w:pPr>
    <w:rPr>
      <w:rFonts w:ascii="ArialMT" w:eastAsia="Times New Roman" w:hAnsi="ArialMT" w:cs="ArialMT"/>
      <w:spacing w:val="-5"/>
      <w:sz w:val="20"/>
      <w:szCs w:val="20"/>
      <w:lang w:val="en-US" w:eastAsia="en-US" w:bidi="en-US"/>
    </w:rPr>
  </w:style>
  <w:style w:type="character" w:customStyle="1" w:styleId="CharChar9">
    <w:name w:val="Char Char9"/>
    <w:basedOn w:val="DefaultParagraphFont"/>
    <w:semiHidden/>
    <w:locked/>
    <w:rsid w:val="00EA1E73"/>
    <w:rPr>
      <w:rFonts w:ascii="Arial" w:hAnsi="Arial"/>
      <w:bCs/>
      <w:i/>
      <w:sz w:val="24"/>
      <w:szCs w:val="26"/>
      <w:lang w:val="en-AU" w:eastAsia="en-AU" w:bidi="ar-SA"/>
    </w:rPr>
  </w:style>
  <w:style w:type="character" w:customStyle="1" w:styleId="CharChar8">
    <w:name w:val="Char Char8"/>
    <w:basedOn w:val="DefaultParagraphFont"/>
    <w:semiHidden/>
    <w:locked/>
    <w:rsid w:val="00EA1E73"/>
    <w:rPr>
      <w:rFonts w:ascii="Arial" w:hAnsi="Arial"/>
      <w:iCs/>
      <w:sz w:val="24"/>
      <w:szCs w:val="26"/>
      <w:lang w:val="en-AU" w:eastAsia="en-AU" w:bidi="ar-SA"/>
    </w:rPr>
  </w:style>
  <w:style w:type="character" w:customStyle="1" w:styleId="BodyTextChar">
    <w:name w:val="Body Text Char"/>
    <w:basedOn w:val="DefaultParagraphFont"/>
    <w:link w:val="BodyText"/>
    <w:rsid w:val="00EA1E73"/>
    <w:rPr>
      <w:rFonts w:ascii="Open Sans" w:eastAsia="MS Mincho" w:hAnsi="Open Sans"/>
      <w:sz w:val="24"/>
      <w:szCs w:val="24"/>
    </w:rPr>
  </w:style>
  <w:style w:type="character" w:customStyle="1" w:styleId="BodyText2Char">
    <w:name w:val="Body Text 2 Char"/>
    <w:basedOn w:val="DefaultParagraphFont"/>
    <w:link w:val="BodyText2"/>
    <w:semiHidden/>
    <w:rsid w:val="00EA1E73"/>
    <w:rPr>
      <w:rFonts w:ascii="Open Sans" w:eastAsia="MS Mincho" w:hAnsi="Open Sans"/>
      <w:sz w:val="24"/>
      <w:szCs w:val="24"/>
    </w:rPr>
  </w:style>
  <w:style w:type="character" w:customStyle="1" w:styleId="BodyText3Char">
    <w:name w:val="Body Text 3 Char"/>
    <w:basedOn w:val="DefaultParagraphFont"/>
    <w:link w:val="BodyText3"/>
    <w:semiHidden/>
    <w:rsid w:val="00EA1E73"/>
    <w:rPr>
      <w:rFonts w:ascii="Open Sans" w:eastAsia="MS Mincho" w:hAnsi="Open Sans"/>
      <w:sz w:val="16"/>
      <w:szCs w:val="16"/>
    </w:rPr>
  </w:style>
  <w:style w:type="character" w:customStyle="1" w:styleId="BodyTextFirstIndentChar">
    <w:name w:val="Body Text First Indent Char"/>
    <w:basedOn w:val="BodyTextChar"/>
    <w:link w:val="BodyTextFirstIndent"/>
    <w:semiHidden/>
    <w:rsid w:val="00EA1E73"/>
    <w:rPr>
      <w:rFonts w:ascii="Open Sans" w:eastAsia="MS Mincho" w:hAnsi="Open Sans"/>
      <w:sz w:val="24"/>
      <w:szCs w:val="24"/>
    </w:rPr>
  </w:style>
  <w:style w:type="character" w:customStyle="1" w:styleId="BodyTextIndentChar">
    <w:name w:val="Body Text Indent Char"/>
    <w:basedOn w:val="DefaultParagraphFont"/>
    <w:link w:val="BodyTextIndent"/>
    <w:semiHidden/>
    <w:rsid w:val="00EA1E73"/>
    <w:rPr>
      <w:rFonts w:ascii="Open Sans" w:eastAsia="MS Mincho" w:hAnsi="Open Sans"/>
      <w:sz w:val="24"/>
      <w:szCs w:val="24"/>
    </w:rPr>
  </w:style>
  <w:style w:type="character" w:customStyle="1" w:styleId="BodyTextFirstIndent2Char">
    <w:name w:val="Body Text First Indent 2 Char"/>
    <w:basedOn w:val="BodyTextIndentChar"/>
    <w:link w:val="BodyTextFirstIndent2"/>
    <w:semiHidden/>
    <w:rsid w:val="00EA1E73"/>
    <w:rPr>
      <w:rFonts w:ascii="Open Sans" w:eastAsia="MS Mincho" w:hAnsi="Open Sans"/>
      <w:sz w:val="24"/>
      <w:szCs w:val="24"/>
    </w:rPr>
  </w:style>
  <w:style w:type="character" w:customStyle="1" w:styleId="BodyTextIndent2Char">
    <w:name w:val="Body Text Indent 2 Char"/>
    <w:basedOn w:val="DefaultParagraphFont"/>
    <w:link w:val="BodyTextIndent2"/>
    <w:semiHidden/>
    <w:rsid w:val="00EA1E73"/>
    <w:rPr>
      <w:rFonts w:ascii="Open Sans" w:eastAsia="MS Mincho" w:hAnsi="Open Sans"/>
      <w:sz w:val="24"/>
      <w:szCs w:val="24"/>
    </w:rPr>
  </w:style>
  <w:style w:type="character" w:customStyle="1" w:styleId="BodyTextIndent3Char">
    <w:name w:val="Body Text Indent 3 Char"/>
    <w:basedOn w:val="DefaultParagraphFont"/>
    <w:link w:val="BodyTextIndent3"/>
    <w:semiHidden/>
    <w:rsid w:val="00EA1E73"/>
    <w:rPr>
      <w:rFonts w:ascii="Open Sans" w:eastAsia="MS Mincho" w:hAnsi="Open Sans"/>
      <w:sz w:val="16"/>
      <w:szCs w:val="16"/>
    </w:rPr>
  </w:style>
  <w:style w:type="character" w:customStyle="1" w:styleId="ClosingChar">
    <w:name w:val="Closing Char"/>
    <w:basedOn w:val="DefaultParagraphFont"/>
    <w:link w:val="Closing"/>
    <w:semiHidden/>
    <w:rsid w:val="00EA1E73"/>
    <w:rPr>
      <w:rFonts w:ascii="Open Sans" w:eastAsia="MS Mincho" w:hAnsi="Open Sans"/>
      <w:sz w:val="24"/>
      <w:szCs w:val="24"/>
    </w:rPr>
  </w:style>
  <w:style w:type="character" w:customStyle="1" w:styleId="DateChar">
    <w:name w:val="Date Char"/>
    <w:basedOn w:val="DefaultParagraphFont"/>
    <w:link w:val="Date"/>
    <w:semiHidden/>
    <w:rsid w:val="00EA1E73"/>
    <w:rPr>
      <w:rFonts w:ascii="Open Sans" w:eastAsia="MS Mincho" w:hAnsi="Open Sans"/>
      <w:sz w:val="24"/>
      <w:szCs w:val="24"/>
    </w:rPr>
  </w:style>
  <w:style w:type="character" w:customStyle="1" w:styleId="E-mailSignatureChar">
    <w:name w:val="E-mail Signature Char"/>
    <w:basedOn w:val="DefaultParagraphFont"/>
    <w:link w:val="E-mailSignature"/>
    <w:semiHidden/>
    <w:rsid w:val="00EA1E73"/>
    <w:rPr>
      <w:rFonts w:ascii="Open Sans" w:eastAsia="MS Mincho" w:hAnsi="Open Sans"/>
      <w:sz w:val="24"/>
      <w:szCs w:val="24"/>
    </w:rPr>
  </w:style>
  <w:style w:type="character" w:customStyle="1" w:styleId="HTMLAddressChar">
    <w:name w:val="HTML Address Char"/>
    <w:basedOn w:val="DefaultParagraphFont"/>
    <w:link w:val="HTMLAddress"/>
    <w:semiHidden/>
    <w:rsid w:val="00EA1E73"/>
    <w:rPr>
      <w:rFonts w:ascii="Open Sans" w:eastAsia="MS Mincho" w:hAnsi="Open Sans"/>
      <w:i/>
      <w:iCs/>
      <w:sz w:val="24"/>
      <w:szCs w:val="24"/>
    </w:rPr>
  </w:style>
  <w:style w:type="character" w:customStyle="1" w:styleId="HTMLPreformattedChar">
    <w:name w:val="HTML Preformatted Char"/>
    <w:basedOn w:val="DefaultParagraphFont"/>
    <w:link w:val="HTMLPreformatted"/>
    <w:uiPriority w:val="99"/>
    <w:semiHidden/>
    <w:rsid w:val="00EA1E73"/>
    <w:rPr>
      <w:rFonts w:ascii="Open Sans" w:eastAsia="MS Mincho" w:hAnsi="Open Sans" w:cs="Courier New"/>
    </w:rPr>
  </w:style>
  <w:style w:type="character" w:customStyle="1" w:styleId="MessageHeaderChar">
    <w:name w:val="Message Header Char"/>
    <w:basedOn w:val="DefaultParagraphFont"/>
    <w:link w:val="MessageHeader"/>
    <w:semiHidden/>
    <w:rsid w:val="00EA1E73"/>
    <w:rPr>
      <w:rFonts w:ascii="Open Sans" w:eastAsia="MS Mincho" w:hAnsi="Open Sans" w:cs="Arial"/>
      <w:sz w:val="24"/>
      <w:szCs w:val="24"/>
      <w:shd w:val="pct20" w:color="auto" w:fill="auto"/>
    </w:rPr>
  </w:style>
  <w:style w:type="character" w:customStyle="1" w:styleId="NoteHeadingChar">
    <w:name w:val="Note Heading Char"/>
    <w:basedOn w:val="DefaultParagraphFont"/>
    <w:link w:val="NoteHeading"/>
    <w:rsid w:val="00EA1E73"/>
    <w:rPr>
      <w:rFonts w:ascii="Open Sans" w:eastAsia="MS Mincho" w:hAnsi="Open Sans"/>
      <w:sz w:val="24"/>
      <w:szCs w:val="24"/>
    </w:rPr>
  </w:style>
  <w:style w:type="character" w:customStyle="1" w:styleId="PlainTextChar">
    <w:name w:val="Plain Text Char"/>
    <w:basedOn w:val="DefaultParagraphFont"/>
    <w:link w:val="PlainText"/>
    <w:semiHidden/>
    <w:rsid w:val="00EA1E73"/>
    <w:rPr>
      <w:rFonts w:ascii="Open Sans" w:eastAsia="MS Mincho" w:hAnsi="Open Sans" w:cs="Courier New"/>
      <w:sz w:val="24"/>
    </w:rPr>
  </w:style>
  <w:style w:type="character" w:customStyle="1" w:styleId="SalutationChar">
    <w:name w:val="Salutation Char"/>
    <w:basedOn w:val="DefaultParagraphFont"/>
    <w:link w:val="Salutation"/>
    <w:semiHidden/>
    <w:rsid w:val="00EA1E73"/>
    <w:rPr>
      <w:rFonts w:ascii="Open Sans" w:eastAsia="MS Mincho" w:hAnsi="Open Sans"/>
      <w:sz w:val="24"/>
      <w:szCs w:val="24"/>
    </w:rPr>
  </w:style>
  <w:style w:type="character" w:customStyle="1" w:styleId="SignatureChar">
    <w:name w:val="Signature Char"/>
    <w:basedOn w:val="DefaultParagraphFont"/>
    <w:link w:val="Signature"/>
    <w:semiHidden/>
    <w:rsid w:val="00EA1E73"/>
    <w:rPr>
      <w:rFonts w:ascii="Open Sans" w:eastAsia="MS Mincho" w:hAnsi="Open Sans"/>
      <w:sz w:val="24"/>
      <w:szCs w:val="24"/>
    </w:rPr>
  </w:style>
  <w:style w:type="character" w:customStyle="1" w:styleId="TitleChar">
    <w:name w:val="Title Char"/>
    <w:basedOn w:val="DefaultParagraphFont"/>
    <w:link w:val="Title"/>
    <w:rsid w:val="00EA1E73"/>
    <w:rPr>
      <w:rFonts w:ascii="Open Sans" w:eastAsia="MS Mincho" w:hAnsi="Open Sans" w:cs="Arial"/>
      <w:b/>
      <w:bCs/>
      <w:kern w:val="28"/>
      <w:sz w:val="32"/>
      <w:szCs w:val="32"/>
    </w:rPr>
  </w:style>
  <w:style w:type="paragraph" w:customStyle="1" w:styleId="Bullet">
    <w:name w:val="Bullet"/>
    <w:basedOn w:val="Normal"/>
    <w:rsid w:val="00EA1E73"/>
    <w:pPr>
      <w:numPr>
        <w:numId w:val="23"/>
      </w:numPr>
      <w:spacing w:before="60" w:after="60" w:line="360" w:lineRule="exact"/>
      <w:ind w:left="0" w:firstLine="0"/>
      <w:jc w:val="both"/>
    </w:pPr>
    <w:rPr>
      <w:rFonts w:ascii="Arial" w:eastAsia="Times New Roman" w:hAnsi="Arial"/>
      <w:color w:val="000000"/>
      <w:szCs w:val="20"/>
      <w:lang w:eastAsia="en-US"/>
    </w:rPr>
  </w:style>
  <w:style w:type="paragraph" w:customStyle="1" w:styleId="DocumentLabel">
    <w:name w:val="Document Label"/>
    <w:basedOn w:val="Normal"/>
    <w:next w:val="Normal"/>
    <w:uiPriority w:val="99"/>
    <w:rsid w:val="00EA1E73"/>
    <w:pPr>
      <w:keepNext/>
      <w:keepLines/>
      <w:spacing w:before="400" w:after="120" w:line="240" w:lineRule="atLeast"/>
      <w:ind w:left="-840"/>
    </w:pPr>
    <w:rPr>
      <w:rFonts w:ascii="Arial Black" w:eastAsia="Times New Roman" w:hAnsi="Arial Black"/>
      <w:spacing w:val="-5"/>
      <w:kern w:val="28"/>
      <w:sz w:val="96"/>
      <w:szCs w:val="20"/>
      <w:lang w:eastAsia="en-US"/>
    </w:rPr>
  </w:style>
  <w:style w:type="character" w:customStyle="1" w:styleId="BalloonTextChar1">
    <w:name w:val="Balloon Text Char1"/>
    <w:basedOn w:val="DefaultParagraphFont"/>
    <w:locked/>
    <w:rsid w:val="00EA1E73"/>
    <w:rPr>
      <w:rFonts w:ascii="Tahoma" w:hAnsi="Tahoma" w:cs="Tahoma"/>
      <w:spacing w:val="-5"/>
      <w:sz w:val="16"/>
      <w:szCs w:val="16"/>
      <w:lang w:eastAsia="en-US"/>
    </w:rPr>
  </w:style>
  <w:style w:type="character" w:customStyle="1" w:styleId="citation">
    <w:name w:val="citation"/>
    <w:basedOn w:val="DefaultParagraphFont"/>
    <w:uiPriority w:val="99"/>
    <w:rsid w:val="00EA1E73"/>
    <w:rPr>
      <w:rFonts w:cs="Times New Roman"/>
    </w:rPr>
  </w:style>
  <w:style w:type="paragraph" w:customStyle="1" w:styleId="Definition">
    <w:name w:val="Definition"/>
    <w:aliases w:val="dd"/>
    <w:basedOn w:val="Normal"/>
    <w:uiPriority w:val="99"/>
    <w:rsid w:val="00EA1E73"/>
    <w:pPr>
      <w:autoSpaceDE w:val="0"/>
      <w:autoSpaceDN w:val="0"/>
      <w:spacing w:before="180" w:after="0" w:line="260" w:lineRule="atLeast"/>
      <w:ind w:left="1134"/>
    </w:pPr>
    <w:rPr>
      <w:rFonts w:ascii="Times" w:eastAsia="Times New Roman" w:hAnsi="Times" w:cs="Times"/>
      <w:sz w:val="22"/>
      <w:szCs w:val="22"/>
    </w:rPr>
  </w:style>
  <w:style w:type="paragraph" w:customStyle="1" w:styleId="indenta">
    <w:name w:val="indent(a)"/>
    <w:aliases w:val="a,paragraph"/>
    <w:basedOn w:val="Normal"/>
    <w:rsid w:val="00EA1E73"/>
    <w:pPr>
      <w:tabs>
        <w:tab w:val="right" w:pos="1531"/>
      </w:tabs>
      <w:autoSpaceDE w:val="0"/>
      <w:autoSpaceDN w:val="0"/>
      <w:spacing w:before="40" w:after="0" w:line="260" w:lineRule="atLeast"/>
      <w:ind w:left="1644" w:hanging="1644"/>
    </w:pPr>
    <w:rPr>
      <w:rFonts w:ascii="Times" w:eastAsia="Times New Roman" w:hAnsi="Times" w:cs="Times"/>
      <w:sz w:val="22"/>
      <w:szCs w:val="22"/>
    </w:rPr>
  </w:style>
  <w:style w:type="paragraph" w:customStyle="1" w:styleId="indentii">
    <w:name w:val="indent(ii)"/>
    <w:aliases w:val="aa,paragraph(sub)"/>
    <w:basedOn w:val="indenta"/>
    <w:rsid w:val="00EA1E73"/>
    <w:pPr>
      <w:tabs>
        <w:tab w:val="clear" w:pos="1531"/>
        <w:tab w:val="right" w:pos="1985"/>
      </w:tabs>
      <w:ind w:left="2098" w:hanging="2098"/>
    </w:pPr>
  </w:style>
  <w:style w:type="character" w:customStyle="1" w:styleId="streetline">
    <w:name w:val="streetline"/>
    <w:basedOn w:val="DefaultParagraphFont"/>
    <w:uiPriority w:val="99"/>
    <w:rsid w:val="00EA1E73"/>
    <w:rPr>
      <w:rFonts w:cs="Times New Roman"/>
    </w:rPr>
  </w:style>
  <w:style w:type="character" w:customStyle="1" w:styleId="locality3">
    <w:name w:val="locality3"/>
    <w:basedOn w:val="DefaultParagraphFont"/>
    <w:uiPriority w:val="99"/>
    <w:rsid w:val="00EA1E73"/>
    <w:rPr>
      <w:rFonts w:cs="Times New Roman"/>
      <w:color w:val="666666"/>
    </w:rPr>
  </w:style>
  <w:style w:type="character" w:customStyle="1" w:styleId="state">
    <w:name w:val="state"/>
    <w:basedOn w:val="DefaultParagraphFont"/>
    <w:uiPriority w:val="99"/>
    <w:rsid w:val="00EA1E73"/>
    <w:rPr>
      <w:rFonts w:cs="Times New Roman"/>
    </w:rPr>
  </w:style>
  <w:style w:type="character" w:customStyle="1" w:styleId="postcode">
    <w:name w:val="postcode"/>
    <w:basedOn w:val="DefaultParagraphFont"/>
    <w:uiPriority w:val="99"/>
    <w:rsid w:val="00EA1E73"/>
    <w:rPr>
      <w:rFonts w:cs="Times New Roman"/>
    </w:rPr>
  </w:style>
  <w:style w:type="paragraph" w:styleId="Revision">
    <w:name w:val="Revision"/>
    <w:hidden/>
    <w:uiPriority w:val="99"/>
    <w:semiHidden/>
    <w:rsid w:val="00EA1E73"/>
    <w:rPr>
      <w:rFonts w:ascii="Arial" w:hAnsi="Arial"/>
      <w:spacing w:val="-5"/>
      <w:lang w:eastAsia="en-US"/>
    </w:rPr>
  </w:style>
  <w:style w:type="paragraph" w:customStyle="1" w:styleId="subsection">
    <w:name w:val="subsection"/>
    <w:aliases w:val="ss"/>
    <w:rsid w:val="00EA1E73"/>
    <w:pPr>
      <w:tabs>
        <w:tab w:val="right" w:pos="1021"/>
      </w:tabs>
      <w:spacing w:before="180"/>
      <w:ind w:left="1134" w:hanging="1134"/>
    </w:pPr>
    <w:rPr>
      <w:sz w:val="22"/>
      <w:szCs w:val="22"/>
    </w:rPr>
  </w:style>
  <w:style w:type="paragraph" w:customStyle="1" w:styleId="msolistparagraph0">
    <w:name w:val="msolistparagraph"/>
    <w:basedOn w:val="Normal"/>
    <w:uiPriority w:val="99"/>
    <w:rsid w:val="00EA1E73"/>
    <w:pPr>
      <w:spacing w:before="0" w:after="0"/>
      <w:ind w:left="720"/>
    </w:pPr>
    <w:rPr>
      <w:rFonts w:ascii="Calibri" w:eastAsia="Times New Roman" w:hAnsi="Calibri"/>
      <w:sz w:val="22"/>
      <w:szCs w:val="22"/>
    </w:rPr>
  </w:style>
  <w:style w:type="paragraph" w:customStyle="1" w:styleId="paragraphsub">
    <w:name w:val="paragraphsub"/>
    <w:basedOn w:val="Normal"/>
    <w:rsid w:val="00EA1E73"/>
    <w:pPr>
      <w:spacing w:before="100" w:beforeAutospacing="1" w:after="100" w:afterAutospacing="1"/>
    </w:pPr>
    <w:rPr>
      <w:rFonts w:ascii="Times New Roman" w:eastAsia="Times New Roman" w:hAnsi="Times New Roman"/>
    </w:rPr>
  </w:style>
  <w:style w:type="numbering" w:customStyle="1" w:styleId="NoList1">
    <w:name w:val="No List1"/>
    <w:next w:val="NoList"/>
    <w:uiPriority w:val="99"/>
    <w:semiHidden/>
    <w:unhideWhenUsed/>
    <w:rsid w:val="00EA1E73"/>
  </w:style>
  <w:style w:type="paragraph" w:customStyle="1" w:styleId="Dash">
    <w:name w:val="Dash"/>
    <w:basedOn w:val="Normal"/>
    <w:rsid w:val="00EA1E73"/>
    <w:pPr>
      <w:numPr>
        <w:numId w:val="24"/>
      </w:numPr>
      <w:tabs>
        <w:tab w:val="num" w:pos="360"/>
      </w:tabs>
      <w:spacing w:before="20" w:after="20" w:line="360" w:lineRule="exact"/>
      <w:ind w:left="0" w:firstLine="0"/>
      <w:jc w:val="both"/>
    </w:pPr>
    <w:rPr>
      <w:rFonts w:ascii="Arial" w:eastAsia="Times New Roman" w:hAnsi="Arial"/>
      <w:color w:val="000000"/>
      <w:szCs w:val="20"/>
      <w:lang w:eastAsia="en-US"/>
    </w:rPr>
  </w:style>
  <w:style w:type="paragraph" w:customStyle="1" w:styleId="IndentedParagraph">
    <w:name w:val="Indented Paragraph"/>
    <w:basedOn w:val="Normal"/>
    <w:rsid w:val="00EA1E73"/>
    <w:pPr>
      <w:spacing w:before="0" w:line="360" w:lineRule="exact"/>
      <w:ind w:left="1440"/>
      <w:jc w:val="both"/>
    </w:pPr>
    <w:rPr>
      <w:rFonts w:ascii="Arial" w:eastAsia="Times New Roman" w:hAnsi="Arial"/>
      <w:color w:val="000000"/>
      <w:szCs w:val="20"/>
      <w:lang w:eastAsia="en-US"/>
    </w:rPr>
  </w:style>
  <w:style w:type="paragraph" w:customStyle="1" w:styleId="BasicParagraph">
    <w:name w:val="[Basic Paragraph]"/>
    <w:basedOn w:val="Normal"/>
    <w:rsid w:val="00EA1E73"/>
    <w:pPr>
      <w:widowControl w:val="0"/>
      <w:autoSpaceDE w:val="0"/>
      <w:autoSpaceDN w:val="0"/>
      <w:adjustRightInd w:val="0"/>
      <w:spacing w:before="0" w:after="0" w:line="288" w:lineRule="auto"/>
      <w:textAlignment w:val="center"/>
    </w:pPr>
    <w:rPr>
      <w:rFonts w:ascii="Times-Roman" w:eastAsia="Times New Roman" w:hAnsi="Times-Roman" w:cs="Times-Roman"/>
      <w:color w:val="000000"/>
      <w:lang w:val="en-US" w:eastAsia="en-US" w:bidi="en-US"/>
    </w:rPr>
  </w:style>
  <w:style w:type="table" w:customStyle="1" w:styleId="TableGrid10">
    <w:name w:val="Table Grid1"/>
    <w:basedOn w:val="TableNormal"/>
    <w:next w:val="TableGrid"/>
    <w:rsid w:val="00EA1E73"/>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BodyText"/>
    <w:rsid w:val="00EA1E73"/>
    <w:pPr>
      <w:keepNext/>
      <w:keepLines/>
      <w:spacing w:before="0" w:after="0"/>
      <w:jc w:val="both"/>
    </w:pPr>
    <w:rPr>
      <w:rFonts w:ascii="Arial" w:eastAsia="Times New Roman" w:hAnsi="Arial" w:cs="ArialMT"/>
      <w:color w:val="000000"/>
      <w:spacing w:val="-5"/>
      <w:szCs w:val="20"/>
      <w:lang w:val="en-US" w:eastAsia="en-US" w:bidi="en-US"/>
    </w:rPr>
  </w:style>
  <w:style w:type="paragraph" w:customStyle="1" w:styleId="Addressee">
    <w:name w:val="Addressee"/>
    <w:basedOn w:val="BodyText"/>
    <w:rsid w:val="00EA1E73"/>
    <w:pPr>
      <w:spacing w:before="227" w:after="340"/>
      <w:jc w:val="both"/>
    </w:pPr>
    <w:rPr>
      <w:rFonts w:ascii="Arial" w:eastAsia="Times New Roman" w:hAnsi="Arial" w:cs="ArialMT"/>
      <w:color w:val="000000"/>
      <w:spacing w:val="-5"/>
      <w:szCs w:val="20"/>
      <w:lang w:val="en-US" w:eastAsia="en-US" w:bidi="en-US"/>
    </w:rPr>
  </w:style>
  <w:style w:type="paragraph" w:customStyle="1" w:styleId="Titleofletter">
    <w:name w:val="Title of letter"/>
    <w:basedOn w:val="BodyText"/>
    <w:rsid w:val="00EA1E73"/>
    <w:pPr>
      <w:spacing w:before="0"/>
      <w:jc w:val="both"/>
    </w:pPr>
    <w:rPr>
      <w:rFonts w:ascii="Arial" w:eastAsia="Times New Roman" w:hAnsi="Arial" w:cs="ArialMT"/>
      <w:b/>
      <w:color w:val="000000"/>
      <w:spacing w:val="-5"/>
      <w:szCs w:val="20"/>
      <w:lang w:val="en-US" w:eastAsia="en-US" w:bidi="en-US"/>
    </w:rPr>
  </w:style>
  <w:style w:type="paragraph" w:customStyle="1" w:styleId="YoursSincerley">
    <w:name w:val="Yours Sincerley"/>
    <w:basedOn w:val="BodyText"/>
    <w:rsid w:val="00EA1E73"/>
    <w:pPr>
      <w:keepNext/>
      <w:keepLines/>
      <w:spacing w:before="0" w:after="901"/>
      <w:jc w:val="both"/>
    </w:pPr>
    <w:rPr>
      <w:rFonts w:ascii="Arial" w:eastAsia="Times New Roman" w:hAnsi="Arial" w:cs="ArialMT"/>
      <w:color w:val="000000"/>
      <w:spacing w:val="-5"/>
      <w:szCs w:val="20"/>
      <w:lang w:val="en-US" w:eastAsia="en-US" w:bidi="en-US"/>
    </w:rPr>
  </w:style>
  <w:style w:type="paragraph" w:customStyle="1" w:styleId="OurRef">
    <w:name w:val="Our Ref:"/>
    <w:basedOn w:val="BodyText"/>
    <w:rsid w:val="00EA1E73"/>
    <w:pPr>
      <w:spacing w:before="0" w:after="193"/>
    </w:pPr>
    <w:rPr>
      <w:rFonts w:ascii="Arial" w:eastAsia="Times New Roman" w:hAnsi="Arial" w:cs="ArialMT"/>
      <w:color w:val="000000"/>
      <w:spacing w:val="-5"/>
      <w:szCs w:val="20"/>
      <w:lang w:val="en-US" w:eastAsia="en-US" w:bidi="en-US"/>
    </w:rPr>
  </w:style>
  <w:style w:type="paragraph" w:customStyle="1" w:styleId="StyleAddresseeAfter1135pt">
    <w:name w:val="Style Addressee + After:  11.35 pt"/>
    <w:basedOn w:val="Addressee"/>
    <w:rsid w:val="00EA1E73"/>
    <w:pPr>
      <w:spacing w:before="267" w:after="267"/>
    </w:pPr>
    <w:rPr>
      <w:rFonts w:cs="Times New Roman"/>
    </w:rPr>
  </w:style>
  <w:style w:type="paragraph" w:customStyle="1" w:styleId="DateInsert">
    <w:name w:val="Date Insert"/>
    <w:basedOn w:val="AddressBlock"/>
    <w:rsid w:val="00EA1E73"/>
    <w:pPr>
      <w:spacing w:after="227" w:line="320" w:lineRule="exact"/>
    </w:pPr>
  </w:style>
  <w:style w:type="paragraph" w:customStyle="1" w:styleId="NameInsert">
    <w:name w:val="Name Insert"/>
    <w:basedOn w:val="BodyText"/>
    <w:rsid w:val="00EA1E73"/>
    <w:pPr>
      <w:spacing w:before="0"/>
      <w:jc w:val="both"/>
    </w:pPr>
    <w:rPr>
      <w:rFonts w:ascii="Arial" w:eastAsia="Times New Roman" w:hAnsi="Arial"/>
      <w:color w:val="000000"/>
      <w:spacing w:val="-5"/>
      <w:szCs w:val="20"/>
      <w:lang w:val="en-US" w:eastAsia="en-US" w:bidi="en-US"/>
    </w:rPr>
  </w:style>
  <w:style w:type="character" w:customStyle="1" w:styleId="black1">
    <w:name w:val="black1"/>
    <w:rsid w:val="00EA1E73"/>
    <w:rPr>
      <w:rFonts w:cs="Times New Roman"/>
      <w:color w:val="000000"/>
    </w:rPr>
  </w:style>
  <w:style w:type="numbering" w:customStyle="1" w:styleId="1111111">
    <w:name w:val="1 / 1.1 / 1.1.11"/>
    <w:basedOn w:val="NoList"/>
    <w:next w:val="111111"/>
    <w:rsid w:val="00EA1E73"/>
  </w:style>
  <w:style w:type="numbering" w:customStyle="1" w:styleId="1ai1">
    <w:name w:val="1 / a / i1"/>
    <w:basedOn w:val="NoList"/>
    <w:next w:val="1ai"/>
    <w:semiHidden/>
    <w:rsid w:val="00EA1E73"/>
  </w:style>
  <w:style w:type="numbering" w:customStyle="1" w:styleId="ArticleSection1">
    <w:name w:val="Article / Section1"/>
    <w:basedOn w:val="NoList"/>
    <w:next w:val="ArticleSection"/>
    <w:semiHidden/>
    <w:rsid w:val="00EA1E73"/>
  </w:style>
  <w:style w:type="paragraph" w:customStyle="1" w:styleId="Reply">
    <w:name w:val="Reply"/>
    <w:basedOn w:val="Normal"/>
    <w:semiHidden/>
    <w:rsid w:val="00EA1E73"/>
    <w:pPr>
      <w:spacing w:after="120" w:line="280" w:lineRule="exact"/>
    </w:pPr>
    <w:rPr>
      <w:rFonts w:ascii="Arial" w:eastAsia="Times New Roman" w:hAnsi="Arial"/>
      <w:color w:val="000000"/>
      <w:szCs w:val="20"/>
      <w:lang w:eastAsia="en-US"/>
    </w:rPr>
  </w:style>
  <w:style w:type="paragraph" w:customStyle="1" w:styleId="ActHead5">
    <w:name w:val="ActHead 5"/>
    <w:aliases w:val="s"/>
    <w:basedOn w:val="Normal"/>
    <w:next w:val="Normal"/>
    <w:rsid w:val="00EA1E73"/>
    <w:pPr>
      <w:keepNext/>
      <w:keepLines/>
      <w:spacing w:before="280" w:after="0"/>
      <w:ind w:left="1134" w:hanging="1134"/>
      <w:outlineLvl w:val="4"/>
    </w:pPr>
    <w:rPr>
      <w:rFonts w:ascii="Times New Roman" w:eastAsia="Times New Roman" w:hAnsi="Times New Roman"/>
      <w:b/>
      <w:bCs/>
      <w:kern w:val="28"/>
    </w:rPr>
  </w:style>
  <w:style w:type="character" w:customStyle="1" w:styleId="CharSectno">
    <w:name w:val="CharSectno"/>
    <w:basedOn w:val="DefaultParagraphFont"/>
    <w:rsid w:val="00EA1E73"/>
    <w:rPr>
      <w:rFonts w:cs="Times New Roman"/>
    </w:rPr>
  </w:style>
  <w:style w:type="paragraph" w:customStyle="1" w:styleId="r2">
    <w:name w:val="r2"/>
    <w:basedOn w:val="Normal"/>
    <w:rsid w:val="00EA1E73"/>
    <w:pPr>
      <w:spacing w:before="100" w:beforeAutospacing="1" w:after="100" w:afterAutospacing="1"/>
    </w:pPr>
    <w:rPr>
      <w:rFonts w:ascii="Times New Roman" w:eastAsia="Times New Roman" w:hAnsi="Times New Roman"/>
    </w:rPr>
  </w:style>
  <w:style w:type="paragraph" w:customStyle="1" w:styleId="p1">
    <w:name w:val="p1"/>
    <w:basedOn w:val="Normal"/>
    <w:rsid w:val="00EA1E73"/>
    <w:pPr>
      <w:spacing w:before="100" w:beforeAutospacing="1" w:after="100" w:afterAutospacing="1"/>
    </w:pPr>
    <w:rPr>
      <w:rFonts w:ascii="Times New Roman" w:eastAsia="Times New Roman" w:hAnsi="Times New Roman"/>
    </w:rPr>
  </w:style>
  <w:style w:type="paragraph" w:customStyle="1" w:styleId="ps1-text-column2">
    <w:name w:val="ps_1-text-column2"/>
    <w:basedOn w:val="Normal"/>
    <w:rsid w:val="00EA1E73"/>
    <w:pPr>
      <w:spacing w:before="100" w:beforeAutospacing="1" w:after="100" w:afterAutospacing="1"/>
    </w:pPr>
    <w:rPr>
      <w:rFonts w:ascii="Times New Roman" w:eastAsia="Times New Roman" w:hAnsi="Times New Roman"/>
    </w:rPr>
  </w:style>
  <w:style w:type="paragraph" w:customStyle="1" w:styleId="ps1-sub-subheading">
    <w:name w:val="ps_1-sub-subheading"/>
    <w:basedOn w:val="Normal"/>
    <w:rsid w:val="00EA1E73"/>
    <w:pPr>
      <w:spacing w:before="100" w:beforeAutospacing="1" w:after="100" w:afterAutospacing="1"/>
    </w:pPr>
    <w:rPr>
      <w:rFonts w:ascii="Times New Roman" w:eastAsia="Times New Roman" w:hAnsi="Times New Roman"/>
    </w:rPr>
  </w:style>
  <w:style w:type="paragraph" w:customStyle="1" w:styleId="ps1-dotpoint">
    <w:name w:val="ps_1-dotpoint"/>
    <w:basedOn w:val="Normal"/>
    <w:rsid w:val="00EA1E73"/>
    <w:pPr>
      <w:spacing w:before="100" w:beforeAutospacing="1" w:after="100" w:afterAutospacing="1"/>
    </w:pPr>
    <w:rPr>
      <w:rFonts w:ascii="Times New Roman" w:eastAsia="Times New Roman" w:hAnsi="Times New Roman"/>
    </w:rPr>
  </w:style>
  <w:style w:type="paragraph" w:customStyle="1" w:styleId="psblackbullet64134">
    <w:name w:val="ps_blackbullet64134"/>
    <w:basedOn w:val="Normal"/>
    <w:rsid w:val="00EA1E73"/>
    <w:pPr>
      <w:spacing w:before="100" w:beforeAutospacing="1" w:after="100" w:afterAutospacing="1"/>
    </w:pPr>
    <w:rPr>
      <w:rFonts w:ascii="Times New Roman" w:eastAsia="Times New Roman" w:hAnsi="Times New Roman"/>
    </w:rPr>
  </w:style>
  <w:style w:type="paragraph" w:customStyle="1" w:styleId="ps0start134indent">
    <w:name w:val="ps_0start134indent"/>
    <w:basedOn w:val="Normal"/>
    <w:rsid w:val="00EA1E73"/>
    <w:pPr>
      <w:spacing w:before="100" w:beforeAutospacing="1" w:after="100" w:afterAutospacing="1"/>
    </w:pPr>
    <w:rPr>
      <w:rFonts w:ascii="Times New Roman" w:eastAsia="Times New Roman" w:hAnsi="Times New Roman"/>
    </w:rPr>
  </w:style>
  <w:style w:type="paragraph" w:customStyle="1" w:styleId="psblack401414024140341etc">
    <w:name w:val="ps_black401414024140341etc"/>
    <w:basedOn w:val="Normal"/>
    <w:rsid w:val="00EA1E73"/>
    <w:pPr>
      <w:spacing w:before="100" w:beforeAutospacing="1" w:after="100" w:afterAutospacing="1"/>
    </w:pPr>
    <w:rPr>
      <w:rFonts w:ascii="Times New Roman" w:eastAsia="Times New Roman" w:hAnsi="Times New Roman"/>
    </w:rPr>
  </w:style>
  <w:style w:type="paragraph" w:customStyle="1" w:styleId="Body">
    <w:name w:val="Body"/>
    <w:rsid w:val="00EA1E73"/>
    <w:pPr>
      <w:keepLines/>
      <w:spacing w:after="200" w:line="288" w:lineRule="auto"/>
    </w:pPr>
    <w:rPr>
      <w:rFonts w:ascii="Arial" w:eastAsia="ヒラギノ角ゴ Pro W3" w:hAnsi="Arial"/>
      <w:color w:val="000000"/>
      <w:sz w:val="24"/>
      <w:lang w:val="en-US"/>
    </w:rPr>
  </w:style>
  <w:style w:type="paragraph" w:customStyle="1" w:styleId="BodyBullet">
    <w:name w:val="Body Bullet"/>
    <w:rsid w:val="00EA1E73"/>
    <w:pPr>
      <w:spacing w:after="200"/>
    </w:pPr>
    <w:rPr>
      <w:rFonts w:ascii="Arial" w:eastAsia="ヒラギノ角ゴ Pro W3" w:hAnsi="Arial"/>
      <w:color w:val="000000"/>
      <w:sz w:val="24"/>
      <w:lang w:val="en-US"/>
    </w:rPr>
  </w:style>
  <w:style w:type="paragraph" w:customStyle="1" w:styleId="BodyListParagraph">
    <w:name w:val="Body List Paragraph"/>
    <w:basedOn w:val="Normal"/>
    <w:uiPriority w:val="99"/>
    <w:rsid w:val="00EA1E73"/>
    <w:pPr>
      <w:keepLines/>
      <w:widowControl w:val="0"/>
      <w:numPr>
        <w:numId w:val="25"/>
      </w:numPr>
      <w:suppressAutoHyphens/>
      <w:autoSpaceDE w:val="0"/>
      <w:autoSpaceDN w:val="0"/>
      <w:adjustRightInd w:val="0"/>
      <w:spacing w:before="0" w:after="113" w:line="288" w:lineRule="auto"/>
      <w:textAlignment w:val="center"/>
    </w:pPr>
    <w:rPr>
      <w:rFonts w:ascii="Arial" w:eastAsiaTheme="minorEastAsia" w:hAnsi="Arial" w:cs="HelveticaNeue"/>
      <w:color w:val="000000"/>
      <w:szCs w:val="17"/>
      <w:lang w:val="en-US"/>
    </w:rPr>
  </w:style>
  <w:style w:type="paragraph" w:customStyle="1" w:styleId="NumberedParagraphs">
    <w:name w:val="Numbered Paragraphs"/>
    <w:rsid w:val="00EA1E73"/>
    <w:pPr>
      <w:keepLines/>
      <w:tabs>
        <w:tab w:val="left" w:pos="567"/>
      </w:tabs>
      <w:spacing w:after="200" w:line="288" w:lineRule="auto"/>
    </w:pPr>
    <w:rPr>
      <w:rFonts w:ascii="Arial" w:eastAsia="ヒラギノ角ゴ Pro W3" w:hAnsi="Arial"/>
      <w:color w:val="000000"/>
      <w:sz w:val="24"/>
      <w:lang w:val="en-US"/>
    </w:rPr>
  </w:style>
  <w:style w:type="numbering" w:customStyle="1" w:styleId="NumberedList">
    <w:name w:val="Numbered List"/>
    <w:rsid w:val="00EA1E73"/>
  </w:style>
  <w:style w:type="paragraph" w:customStyle="1" w:styleId="EndnoteText1">
    <w:name w:val="Endnote Text1"/>
    <w:rsid w:val="00EA1E73"/>
    <w:pPr>
      <w:keepLines/>
      <w:ind w:left="397" w:hanging="397"/>
    </w:pPr>
    <w:rPr>
      <w:rFonts w:ascii="Arial" w:eastAsia="ヒラギノ角ゴ Pro W3" w:hAnsi="Arial"/>
      <w:color w:val="000000"/>
      <w:lang w:val="en-US"/>
    </w:rPr>
  </w:style>
  <w:style w:type="paragraph" w:customStyle="1" w:styleId="Quote20mm">
    <w:name w:val="Quote (20mm)"/>
    <w:rsid w:val="00EA1E73"/>
    <w:pPr>
      <w:keepLines/>
      <w:spacing w:after="200" w:line="288" w:lineRule="auto"/>
      <w:ind w:left="1134"/>
    </w:pPr>
    <w:rPr>
      <w:rFonts w:ascii="Arial" w:eastAsia="ヒラギノ角ゴ Pro W3" w:hAnsi="Arial"/>
      <w:color w:val="000000"/>
      <w:sz w:val="22"/>
      <w:lang w:val="en-US"/>
    </w:rPr>
  </w:style>
  <w:style w:type="paragraph" w:customStyle="1" w:styleId="definition0">
    <w:name w:val="definition"/>
    <w:basedOn w:val="Normal"/>
    <w:rsid w:val="00EA1E73"/>
    <w:pPr>
      <w:spacing w:before="100" w:beforeAutospacing="1" w:after="100" w:afterAutospacing="1"/>
    </w:pPr>
    <w:rPr>
      <w:rFonts w:ascii="Times New Roman" w:eastAsia="Times New Roman" w:hAnsi="Times New Roman"/>
    </w:rPr>
  </w:style>
  <w:style w:type="paragraph" w:customStyle="1" w:styleId="notetext">
    <w:name w:val="notetext"/>
    <w:basedOn w:val="Normal"/>
    <w:rsid w:val="00EA1E73"/>
    <w:pPr>
      <w:spacing w:before="100" w:beforeAutospacing="1" w:after="100" w:afterAutospacing="1"/>
    </w:pPr>
    <w:rPr>
      <w:rFonts w:ascii="Times New Roman" w:eastAsia="Times New Roman" w:hAnsi="Times New Roman"/>
    </w:rPr>
  </w:style>
  <w:style w:type="paragraph" w:customStyle="1" w:styleId="subsectionhead">
    <w:name w:val="subsectionhead"/>
    <w:basedOn w:val="Normal"/>
    <w:rsid w:val="00EA1E73"/>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EA1E73"/>
  </w:style>
  <w:style w:type="paragraph" w:customStyle="1" w:styleId="pf0">
    <w:name w:val="pf0"/>
    <w:basedOn w:val="Normal"/>
    <w:rsid w:val="00EA1E73"/>
    <w:pPr>
      <w:spacing w:before="100" w:beforeAutospacing="1" w:after="100" w:afterAutospacing="1"/>
    </w:pPr>
    <w:rPr>
      <w:rFonts w:ascii="Times New Roman" w:eastAsia="Times New Roman" w:hAnsi="Times New Roman"/>
    </w:rPr>
  </w:style>
  <w:style w:type="character" w:customStyle="1" w:styleId="cf01">
    <w:name w:val="cf01"/>
    <w:basedOn w:val="DefaultParagraphFont"/>
    <w:rsid w:val="00EA1E73"/>
    <w:rPr>
      <w:rFonts w:ascii="Segoe UI" w:hAnsi="Segoe UI" w:cs="Segoe UI" w:hint="default"/>
      <w:sz w:val="18"/>
      <w:szCs w:val="18"/>
    </w:rPr>
  </w:style>
  <w:style w:type="character" w:customStyle="1" w:styleId="findhit">
    <w:name w:val="findhit"/>
    <w:basedOn w:val="DefaultParagraphFont"/>
    <w:rsid w:val="00EA1E73"/>
  </w:style>
  <w:style w:type="character" w:customStyle="1" w:styleId="superscript">
    <w:name w:val="superscript"/>
    <w:basedOn w:val="DefaultParagraphFont"/>
    <w:rsid w:val="00EA1E73"/>
  </w:style>
  <w:style w:type="paragraph" w:customStyle="1" w:styleId="ListLevel1">
    <w:name w:val="List Level 1"/>
    <w:basedOn w:val="ListParagraph"/>
    <w:qFormat/>
    <w:rsid w:val="00EA1E73"/>
    <w:pPr>
      <w:widowControl w:val="0"/>
      <w:numPr>
        <w:numId w:val="27"/>
      </w:numPr>
      <w:tabs>
        <w:tab w:val="left" w:pos="797"/>
        <w:tab w:val="left" w:pos="798"/>
      </w:tabs>
      <w:autoSpaceDE w:val="0"/>
      <w:autoSpaceDN w:val="0"/>
      <w:spacing w:line="300" w:lineRule="exact"/>
    </w:pPr>
    <w:rPr>
      <w:rFonts w:eastAsia="Times New Roman" w:cs="Open Sans"/>
      <w:szCs w:val="20"/>
      <w:lang w:eastAsia="en-US"/>
    </w:rPr>
  </w:style>
  <w:style w:type="paragraph" w:customStyle="1" w:styleId="ListParaNumbered">
    <w:name w:val="List Para Numbered"/>
    <w:basedOn w:val="Normal"/>
    <w:uiPriority w:val="99"/>
    <w:rsid w:val="00EA1E73"/>
    <w:pPr>
      <w:keepLines/>
      <w:widowControl w:val="0"/>
      <w:tabs>
        <w:tab w:val="num" w:pos="680"/>
      </w:tabs>
      <w:suppressAutoHyphens/>
      <w:autoSpaceDE w:val="0"/>
      <w:autoSpaceDN w:val="0"/>
      <w:adjustRightInd w:val="0"/>
      <w:spacing w:before="0" w:after="200" w:line="288" w:lineRule="auto"/>
      <w:ind w:left="680" w:hanging="680"/>
      <w:textAlignment w:val="center"/>
    </w:pPr>
    <w:rPr>
      <w:rFonts w:ascii="Arial" w:hAnsi="Arial" w:cs="HelveticaNeue"/>
      <w:color w:val="000000"/>
      <w:szCs w:val="17"/>
      <w:lang w:val="en-US"/>
    </w:rPr>
  </w:style>
  <w:style w:type="character" w:customStyle="1" w:styleId="HeaderDocumentTitle">
    <w:name w:val="Header Document Title"/>
    <w:basedOn w:val="DefaultParagraphFont"/>
    <w:uiPriority w:val="1"/>
    <w:qFormat/>
    <w:rsid w:val="00EA1E73"/>
    <w:rPr>
      <w:rFonts w:ascii="Open Sans" w:hAnsi="Open Sans"/>
      <w:b/>
      <w:color w:val="auto"/>
      <w:sz w:val="18"/>
    </w:rPr>
  </w:style>
  <w:style w:type="paragraph" w:customStyle="1" w:styleId="Style2">
    <w:name w:val="Style2"/>
    <w:basedOn w:val="Normal"/>
    <w:link w:val="Style2Char"/>
    <w:qFormat/>
    <w:rsid w:val="001C5301"/>
    <w:pPr>
      <w:numPr>
        <w:ilvl w:val="1"/>
        <w:numId w:val="30"/>
      </w:numPr>
    </w:pPr>
    <w:rPr>
      <w:rFonts w:cs="Open Sans"/>
    </w:rPr>
  </w:style>
  <w:style w:type="character" w:customStyle="1" w:styleId="Style2Char">
    <w:name w:val="Style2 Char"/>
    <w:basedOn w:val="DefaultParagraphFont"/>
    <w:link w:val="Style2"/>
    <w:rsid w:val="001C5301"/>
    <w:rPr>
      <w:rFonts w:ascii="Open Sans" w:eastAsia="MS Mincho" w:hAnsi="Open Sans" w:cs="Open Sans"/>
      <w:sz w:val="24"/>
      <w:szCs w:val="24"/>
    </w:rPr>
  </w:style>
  <w:style w:type="paragraph" w:customStyle="1" w:styleId="Style3">
    <w:name w:val="Style3"/>
    <w:basedOn w:val="SubmissionNormal"/>
    <w:link w:val="Style3Char"/>
    <w:qFormat/>
    <w:rsid w:val="00816CA4"/>
    <w:pPr>
      <w:numPr>
        <w:numId w:val="0"/>
      </w:numPr>
      <w:tabs>
        <w:tab w:val="num" w:pos="720"/>
      </w:tabs>
      <w:ind w:left="720" w:hanging="720"/>
    </w:pPr>
    <w:rPr>
      <w:rFonts w:cs="Open Sans"/>
    </w:rPr>
  </w:style>
  <w:style w:type="character" w:customStyle="1" w:styleId="Style3Char">
    <w:name w:val="Style3 Char"/>
    <w:basedOn w:val="SubmissionNormalChar"/>
    <w:link w:val="Style3"/>
    <w:rsid w:val="00816CA4"/>
    <w:rPr>
      <w:rFonts w:ascii="Open Sans" w:hAnsi="Open Sans" w:cs="Open Sans"/>
      <w:sz w:val="24"/>
      <w:szCs w:val="24"/>
    </w:rPr>
  </w:style>
  <w:style w:type="paragraph" w:customStyle="1" w:styleId="Style4">
    <w:name w:val="Style4"/>
    <w:basedOn w:val="Normal"/>
    <w:qFormat/>
    <w:rsid w:val="00816CA4"/>
    <w:pPr>
      <w:tabs>
        <w:tab w:val="num" w:pos="1440"/>
      </w:tabs>
      <w:ind w:left="1440" w:hanging="360"/>
    </w:pPr>
    <w:rPr>
      <w:rFonts w:cs="Open Sans"/>
    </w:rPr>
  </w:style>
  <w:style w:type="character" w:styleId="Mention">
    <w:name w:val="Mention"/>
    <w:basedOn w:val="DefaultParagraphFont"/>
    <w:uiPriority w:val="99"/>
    <w:unhideWhenUsed/>
    <w:rsid w:val="00645F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customXml" Target="../customXml/item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6.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3.xml"/></Relationships>
</file>

<file path=word/_rels/endnotes.xml.rels><?xml version="1.0" encoding="UTF-8" standalone="yes"?>
<Relationships xmlns="http://schemas.openxmlformats.org/package/2006/relationships"><Relationship Id="rId2" Type="http://schemas.openxmlformats.org/officeDocument/2006/relationships/hyperlink" Target="https://www.homeaffairs.gov.au/foi/files/2023/fa-230300029-document-released.PDF" TargetMode="External"/><Relationship Id="rId1" Type="http://schemas.openxmlformats.org/officeDocument/2006/relationships/hyperlink" Target="https://www.homeaffairs.gov.au/foi/files/2022/fa-220901228-document-relea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34" ma:contentTypeDescription="Create a new document." ma:contentTypeScope="" ma:versionID="d17c8f4729f5e589ec4d7a8d315b2f89">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10bf5159eaa2d742232210a34764c49c"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element ref="ns2:Reportsubject" minOccurs="0"/>
                <xsd:element ref="ns2:Subject_x0020_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dexed="true"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Reportsubject" ma:index="36" nillable="true" ma:displayName="Report subject " ma:format="Dropdown" ma:internalName="Reportsubject">
      <xsd:complexType>
        <xsd:complexContent>
          <xsd:extension base="dms:MultiChoiceFillIn">
            <xsd:sequence>
              <xsd:element name="Value" maxOccurs="unbounded" minOccurs="0" nillable="true">
                <xsd:simpleType>
                  <xsd:union memberTypes="dms:Text">
                    <xsd:simpleType>
                      <xsd:restriction base="dms:Choice">
                        <xsd:enumeration value="ICCPR Art 1"/>
                        <xsd:enumeration value="ICCPR Art 2"/>
                        <xsd:enumeration value="ICCPR Art 3"/>
                        <xsd:enumeration value="ICCPR Art 4"/>
                        <xsd:enumeration value="ICCPR Art 5"/>
                        <xsd:enumeration value="ICCPR Art 6"/>
                        <xsd:enumeration value="ICCPR Art 7"/>
                        <xsd:enumeration value="ICCPR Art 8"/>
                        <xsd:enumeration value="ICCPR Art 9"/>
                        <xsd:enumeration value="ICCPR Art 10"/>
                        <xsd:enumeration value="ICCPR Art 11"/>
                        <xsd:enumeration value="ICCPR Art 12"/>
                        <xsd:enumeration value="ICCPR Art 13"/>
                        <xsd:enumeration value="ICCPR Art 14"/>
                        <xsd:enumeration value="ICCPR Art 15"/>
                        <xsd:enumeration value="ICCPR Art 16"/>
                        <xsd:enumeration value="ICCPR Art 17"/>
                        <xsd:enumeration value="ICCPR Art 18"/>
                        <xsd:enumeration value="ICCPR Art 19"/>
                        <xsd:enumeration value="ICCPR Art 20"/>
                        <xsd:enumeration value="ICCPR Art 21"/>
                        <xsd:enumeration value="ICCPR Art 22"/>
                        <xsd:enumeration value="ICCPR Art 23"/>
                        <xsd:enumeration value="ICCPR Art 24"/>
                        <xsd:enumeration value="ICCPR Art 25"/>
                        <xsd:enumeration value="ICCPR Art 26"/>
                        <xsd:enumeration value="ICCPR Art 27"/>
                        <xsd:enumeration value="ILO 111 Crim Record"/>
                        <xsd:enumeration value="ILO 111 Political Opinion"/>
                        <xsd:enumeration value="ILO 111 Religion"/>
                        <xsd:enumeration value="ILO 111 Sexual Preference"/>
                        <xsd:enumeration value="ILO 111 Social Origin"/>
                        <xsd:enumeration value="ILO 111 Trade Union"/>
                        <xsd:enumeration value="ILO 111 General"/>
                        <xsd:enumeration value="ILO 111 Disability"/>
                        <xsd:enumeration value="ILO 111 Age"/>
                        <xsd:enumeration value="CRPD"/>
                        <xsd:enumeration value="Religion Declaration"/>
                        <xsd:enumeration value="Other"/>
                        <xsd:enumeration value="CRC"/>
                      </xsd:restriction>
                    </xsd:simpleType>
                  </xsd:union>
                </xsd:simpleType>
              </xsd:element>
            </xsd:sequence>
          </xsd:extension>
        </xsd:complexContent>
      </xsd:complexType>
    </xsd:element>
    <xsd:element name="Subject_x0020_description" ma:index="37" nillable="true" ma:displayName="Subject description" ma:description="Enter a short subject tag eg. arbitrary detention, indefinite detention, use of force" ma:internalName="Subject_x0020_description">
      <xsd:simpleType>
        <xsd:restriction base="dms:Text">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ubdivider xmlns="57f1fb52-79b9-4278-9d54-1e5db41bfcda" xsi:nil="true"/>
    <_dlc_DocId xmlns="6500fe01-343b-4fb9-a1b0-68ac19d62e01">DGE6U7RJ2EFV-5382029-11565</_dlc_DocId>
    <TaxKeywordTaxHTField xmlns="6500fe01-343b-4fb9-a1b0-68ac19d62e01">
      <Terms xmlns="http://schemas.microsoft.com/office/infopath/2007/PartnerControls"/>
    </TaxKeywordTaxHTField>
    <PublishedonAHRCwebsite xmlns="0544bb73-b9b2-4315-b463-f353efb89b0b">true</PublishedonAHRCwebsite>
    <Subject_x0020_description xmlns="0544bb73-b9b2-4315-b463-f353efb89b0b" xsi:nil="true"/>
    <Tabled xmlns="0544bb73-b9b2-4315-b463-f353efb89b0b" xsi:nil="true"/>
    <Reportsubject xmlns="0544bb73-b9b2-4315-b463-f353efb89b0b" xsi:nil="true"/>
    <Divider xmlns="6500fe01-343b-4fb9-a1b0-68ac19d62e01" xsi:nil="true"/>
    <_dlc_DocIdUrl xmlns="6500fe01-343b-4fb9-a1b0-68ac19d62e01">
      <Url>https://australianhrc.sharepoint.com/sites/LegalServ/_layouts/15/DocIdRedir.aspx?ID=DGE6U7RJ2EFV-5382029-11565</Url>
      <Description>DGE6U7RJ2EFV-5382029-11565</Description>
    </_dlc_DocIdUrl>
    <Reportstatus xmlns="0544bb73-b9b2-4315-b463-f353efb89b0b" xsi:nil="true"/>
    <SharedWithUsers xmlns="57f1fb52-79b9-4278-9d54-1e5db41bfcda">
      <UserInfo>
        <DisplayName>Demitra Nikas</DisplayName>
        <AccountId>4823</AccountId>
        <AccountType/>
      </UserInfo>
      <UserInfo>
        <DisplayName>Louisa Wong</DisplayName>
        <AccountId>4015</AccountId>
        <AccountType/>
      </UserInfo>
      <UserInfo>
        <DisplayName>Andra Soubris</DisplayName>
        <AccountId>4512</AccountId>
        <AccountType/>
      </UserInfo>
      <UserInfo>
        <DisplayName>Graeme Edgerton</DisplayName>
        <AccountId>41</AccountId>
        <AccountType/>
      </UserInfo>
      <UserInfo>
        <DisplayName>Amber Vidler</DisplayName>
        <AccountId>683</AccountId>
        <AccountType/>
      </UserInfo>
      <UserInfo>
        <DisplayName>Rosalind Croucher</DisplayName>
        <AccountId>702</AccountId>
        <AccountType/>
      </UserInfo>
    </SharedWithUsers>
    <Tablingdate xmlns="0544bb73-b9b2-4315-b463-f353efb89b0b" xsi:nil="true"/>
    <TaxCatchAll xmlns="6500fe01-343b-4fb9-a1b0-68ac19d62e01" xsi:nil="true"/>
    <Report_x0020_No_x002e_ xmlns="0544bb73-b9b2-4315-b463-f353efb89b0b" xsi:nil="true"/>
    <Transmissiondate xmlns="0544bb73-b9b2-4315-b463-f353efb89b0b" xsi:nil="true"/>
  </documentManagement>
</p:properties>
</file>

<file path=customXml/itemProps1.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2.xml><?xml version="1.0" encoding="utf-8"?>
<ds:datastoreItem xmlns:ds="http://schemas.openxmlformats.org/officeDocument/2006/customXml" ds:itemID="{81805C00-B289-4677-812A-C495AA4F92B8}"/>
</file>

<file path=customXml/itemProps3.xml><?xml version="1.0" encoding="utf-8"?>
<ds:datastoreItem xmlns:ds="http://schemas.openxmlformats.org/officeDocument/2006/customXml" ds:itemID="{16098713-6BCF-45BC-89C5-794BCA00D1D9}"/>
</file>

<file path=customXml/itemProps4.xml><?xml version="1.0" encoding="utf-8"?>
<ds:datastoreItem xmlns:ds="http://schemas.openxmlformats.org/officeDocument/2006/customXml" ds:itemID="{1327052D-AA2F-4E9A-A2F2-CDF618A9B5C9}"/>
</file>

<file path=customXml/itemProps5.xml><?xml version="1.0" encoding="utf-8"?>
<ds:datastoreItem xmlns:ds="http://schemas.openxmlformats.org/officeDocument/2006/customXml" ds:itemID="{B3FCDC67-243C-4DA1-813B-66F2BBF88403}"/>
</file>

<file path=customXml/itemProps6.xml><?xml version="1.0" encoding="utf-8"?>
<ds:datastoreItem xmlns:ds="http://schemas.openxmlformats.org/officeDocument/2006/customXml" ds:itemID="{FF8CADFA-B3EE-4A57-80E7-9A941380D6DA}"/>
</file>

<file path=customXml/itemProps7.xml><?xml version="1.0" encoding="utf-8"?>
<ds:datastoreItem xmlns:ds="http://schemas.openxmlformats.org/officeDocument/2006/customXml" ds:itemID="{9C2F1FEC-22C1-4204-A012-678868FC28C6}"/>
</file>

<file path=docProps/app.xml><?xml version="1.0" encoding="utf-8"?>
<Properties xmlns="http://schemas.openxmlformats.org/officeDocument/2006/extended-properties" xmlns:vt="http://schemas.openxmlformats.org/officeDocument/2006/docPropsVTypes">
  <Template>Normal</Template>
  <TotalTime>0</TotalTime>
  <Pages>42</Pages>
  <Words>11882</Words>
  <Characters>67730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2024-05-16T07:01:00Z</dcterms:created>
  <dcterms:modified xsi:type="dcterms:W3CDTF">2024-05-16T07:03:00Z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0x010100258FDF5B15A5C74091762EB145641BD2</vt:lpwstr>
  </property>
  <property fmtid="{D5CDD505-2E9C-101B-9397-08002B2CF9AE}" pid="4" name="_dlc_DocIdItemGuid">
    <vt:lpwstr>93168826-635a-4c54-a9a1-6b6fa716e4e1</vt:lpwstr>
  </property>
</Properties>
</file>