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6FDC3782" w14:textId="43C6ADC7" w:rsidR="00690141" w:rsidRDefault="00950690">
      <w:pPr>
        <w:keepLines w:val="0"/>
        <w:rPr>
          <w:rFonts w:cs="Arial"/>
          <w:b/>
          <w:sz w:val="36"/>
          <w:szCs w:val="36"/>
        </w:rPr>
      </w:pPr>
      <w:r w:rsidRPr="00616B14">
        <w:rPr>
          <w:rFonts w:cs="Arial"/>
          <w:b/>
          <w:noProof/>
          <w:sz w:val="36"/>
          <w:szCs w:val="36"/>
          <w:lang w:eastAsia="en-AU"/>
        </w:rPr>
        <mc:AlternateContent>
          <mc:Choice Requires="wps">
            <w:drawing>
              <wp:anchor distT="0" distB="0" distL="114300" distR="114300" simplePos="0" relativeHeight="251660288" behindDoc="0" locked="0" layoutInCell="1" allowOverlap="1" wp14:anchorId="15EA9536" wp14:editId="17B5F99D">
                <wp:simplePos x="0" y="0"/>
                <wp:positionH relativeFrom="column">
                  <wp:posOffset>1905000</wp:posOffset>
                </wp:positionH>
                <wp:positionV relativeFrom="paragraph">
                  <wp:posOffset>685800</wp:posOffset>
                </wp:positionV>
                <wp:extent cx="4110990" cy="1943100"/>
                <wp:effectExtent l="0" t="0" r="0" b="12700"/>
                <wp:wrapSquare wrapText="bothSides"/>
                <wp:docPr id="5" name="Text Box 5"/>
                <wp:cNvGraphicFramePr/>
                <a:graphic xmlns:a="http://schemas.openxmlformats.org/drawingml/2006/main">
                  <a:graphicData uri="http://schemas.microsoft.com/office/word/2010/wordprocessingShape">
                    <wps:wsp>
                      <wps:cNvSpPr txBox="1"/>
                      <wps:spPr>
                        <a:xfrm>
                          <a:off x="0" y="0"/>
                          <a:ext cx="4110990" cy="19431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584A330" w14:textId="77777777" w:rsidR="00662083" w:rsidRDefault="00662083" w:rsidP="00950690">
                            <w:pPr>
                              <w:spacing w:after="100" w:line="360" w:lineRule="auto"/>
                              <w:jc w:val="right"/>
                              <w:rPr>
                                <w:rFonts w:cs="Arial"/>
                                <w:b/>
                                <w:color w:val="548DD4" w:themeColor="text2" w:themeTint="99"/>
                                <w:sz w:val="36"/>
                                <w:szCs w:val="36"/>
                              </w:rPr>
                            </w:pPr>
                            <w:r w:rsidRPr="00950690">
                              <w:rPr>
                                <w:rFonts w:cs="Arial"/>
                                <w:b/>
                                <w:color w:val="548DD4" w:themeColor="text2" w:themeTint="99"/>
                                <w:sz w:val="36"/>
                                <w:szCs w:val="36"/>
                              </w:rPr>
                              <w:t>Immigration detainees with adverse</w:t>
                            </w:r>
                          </w:p>
                          <w:p w14:paraId="6A5070AB" w14:textId="4C750D14" w:rsidR="00662083" w:rsidRDefault="00662083" w:rsidP="00950690">
                            <w:pPr>
                              <w:spacing w:after="100" w:line="360" w:lineRule="auto"/>
                              <w:jc w:val="right"/>
                              <w:rPr>
                                <w:rFonts w:cs="Arial"/>
                                <w:b/>
                                <w:color w:val="548DD4" w:themeColor="text2" w:themeTint="99"/>
                                <w:sz w:val="36"/>
                                <w:szCs w:val="36"/>
                              </w:rPr>
                            </w:pPr>
                            <w:r>
                              <w:rPr>
                                <w:rFonts w:cs="Arial"/>
                                <w:b/>
                                <w:color w:val="548DD4" w:themeColor="text2" w:themeTint="99"/>
                                <w:sz w:val="36"/>
                                <w:szCs w:val="36"/>
                              </w:rPr>
                              <w:t xml:space="preserve"> </w:t>
                            </w:r>
                            <w:r w:rsidRPr="00950690">
                              <w:rPr>
                                <w:rFonts w:cs="Arial"/>
                                <w:b/>
                                <w:color w:val="548DD4" w:themeColor="text2" w:themeTint="99"/>
                                <w:sz w:val="36"/>
                                <w:szCs w:val="36"/>
                              </w:rPr>
                              <w:t>security assessments v</w:t>
                            </w:r>
                          </w:p>
                          <w:p w14:paraId="3AE105A9" w14:textId="2AFF4935" w:rsidR="00662083" w:rsidRPr="00950690" w:rsidRDefault="00662083" w:rsidP="00950690">
                            <w:pPr>
                              <w:spacing w:after="200" w:line="360" w:lineRule="auto"/>
                              <w:jc w:val="right"/>
                              <w:rPr>
                                <w:rFonts w:cs="Arial"/>
                                <w:b/>
                                <w:color w:val="548DD4" w:themeColor="text2" w:themeTint="99"/>
                                <w:sz w:val="36"/>
                                <w:szCs w:val="36"/>
                              </w:rPr>
                            </w:pPr>
                            <w:r>
                              <w:rPr>
                                <w:rFonts w:cs="Arial"/>
                                <w:b/>
                                <w:color w:val="548DD4" w:themeColor="text2" w:themeTint="99"/>
                                <w:sz w:val="36"/>
                                <w:szCs w:val="36"/>
                              </w:rPr>
                              <w:t xml:space="preserve"> </w:t>
                            </w:r>
                            <w:r w:rsidRPr="00950690">
                              <w:rPr>
                                <w:rFonts w:cs="Arial"/>
                                <w:b/>
                                <w:color w:val="548DD4" w:themeColor="text2" w:themeTint="99"/>
                                <w:sz w:val="36"/>
                                <w:szCs w:val="36"/>
                              </w:rPr>
                              <w:t>Commonwealth of Australia (DIBP)</w:t>
                            </w:r>
                          </w:p>
                          <w:p w14:paraId="23AB90C4" w14:textId="36AA305F" w:rsidR="00662083" w:rsidRPr="00E46837" w:rsidRDefault="00662083" w:rsidP="00950690">
                            <w:pPr>
                              <w:spacing w:line="360" w:lineRule="auto"/>
                              <w:jc w:val="right"/>
                              <w:rPr>
                                <w:rFonts w:ascii="Arial Narrow Bold" w:hAnsi="Arial Narrow Bold"/>
                                <w:sz w:val="32"/>
                                <w:szCs w:val="32"/>
                              </w:rPr>
                            </w:pPr>
                            <w:r>
                              <w:rPr>
                                <w:rFonts w:ascii="Arial Narrow Bold" w:hAnsi="Arial Narrow Bold"/>
                                <w:sz w:val="32"/>
                                <w:szCs w:val="32"/>
                              </w:rPr>
                              <w:t>[2014] AusHRC 92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type id="_x0000_t202" coordsize="21600,21600" o:spt="202" path="m0,0l0,21600,21600,21600,21600,0xe">
                <v:stroke joinstyle="miter"/>
                <v:path gradientshapeok="t" o:connecttype="rect"/>
              </v:shapetype>
              <v:shape id="Text Box 5" o:spid="_x0000_s1026" type="#_x0000_t202" style="position:absolute;margin-left:150pt;margin-top:54pt;width:323.7pt;height:15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" filled="f" stroked="f">
                <v:textbox>
                  <w:txbxContent>
                    <w:p w14:paraId="0584A330" w14:textId="77777777" w:rsidR="00950690" w:rsidRDefault="00616B14" w:rsidP="00950690">
                      <w:pPr>
                        <w:spacing w:after="100" w:line="360" w:lineRule="auto"/>
                        <w:jc w:val="right"/>
                        <w:rPr>
                          <w:rFonts w:cs="Arial"/>
                          <w:b/>
                          <w:color w:val="548DD4" w:themeColor="text2" w:themeTint="99"/>
                          <w:sz w:val="36"/>
                          <w:szCs w:val="36"/>
                        </w:rPr>
                      </w:pPr>
                      <w:r w:rsidRPr="00950690">
                        <w:rPr>
                          <w:rFonts w:cs="Arial"/>
                          <w:b/>
                          <w:color w:val="548DD4" w:themeColor="text2" w:themeTint="99"/>
                          <w:sz w:val="36"/>
                          <w:szCs w:val="36"/>
                        </w:rPr>
                        <w:t>Immigration detainees with adverse</w:t>
                      </w:r>
                    </w:p>
                    <w:p w14:paraId="6A5070AB" w14:textId="4C750D14" w:rsidR="00950690" w:rsidRDefault="00950690" w:rsidP="00950690">
                      <w:pPr>
                        <w:spacing w:after="100" w:line="360" w:lineRule="auto"/>
                        <w:jc w:val="right"/>
                        <w:rPr>
                          <w:rFonts w:cs="Arial"/>
                          <w:b/>
                          <w:color w:val="548DD4" w:themeColor="text2" w:themeTint="99"/>
                          <w:sz w:val="36"/>
                          <w:szCs w:val="36"/>
                        </w:rPr>
                      </w:pPr>
                      <w:r>
                        <w:rPr>
                          <w:rFonts w:cs="Arial"/>
                          <w:b/>
                          <w:color w:val="548DD4" w:themeColor="text2" w:themeTint="99"/>
                          <w:sz w:val="36"/>
                          <w:szCs w:val="36"/>
                        </w:rPr>
                        <w:t xml:space="preserve"> </w:t>
                      </w:r>
                      <w:r w:rsidR="00616B14" w:rsidRPr="00950690">
                        <w:rPr>
                          <w:rFonts w:cs="Arial"/>
                          <w:b/>
                          <w:color w:val="548DD4" w:themeColor="text2" w:themeTint="99"/>
                          <w:sz w:val="36"/>
                          <w:szCs w:val="36"/>
                        </w:rPr>
                        <w:t>security assessments v</w:t>
                      </w:r>
                    </w:p>
                    <w:p w14:paraId="3AE105A9" w14:textId="2AFF4935" w:rsidR="00950690" w:rsidRPr="00950690" w:rsidRDefault="00950690" w:rsidP="00950690">
                      <w:pPr>
                        <w:spacing w:after="200" w:line="360" w:lineRule="auto"/>
                        <w:jc w:val="right"/>
                        <w:rPr>
                          <w:rFonts w:cs="Arial"/>
                          <w:b/>
                          <w:color w:val="548DD4" w:themeColor="text2" w:themeTint="99"/>
                          <w:sz w:val="36"/>
                          <w:szCs w:val="36"/>
                        </w:rPr>
                      </w:pPr>
                      <w:r>
                        <w:rPr>
                          <w:rFonts w:cs="Arial"/>
                          <w:b/>
                          <w:color w:val="548DD4" w:themeColor="text2" w:themeTint="99"/>
                          <w:sz w:val="36"/>
                          <w:szCs w:val="36"/>
                        </w:rPr>
                        <w:t xml:space="preserve"> </w:t>
                      </w:r>
                      <w:r w:rsidR="00616B14" w:rsidRPr="00950690">
                        <w:rPr>
                          <w:rFonts w:cs="Arial"/>
                          <w:b/>
                          <w:color w:val="548DD4" w:themeColor="text2" w:themeTint="99"/>
                          <w:sz w:val="36"/>
                          <w:szCs w:val="36"/>
                        </w:rPr>
                        <w:t>Commonwealth of Australia (</w:t>
                      </w:r>
                      <w:proofErr w:type="spellStart"/>
                      <w:r w:rsidR="00616B14" w:rsidRPr="00950690">
                        <w:rPr>
                          <w:rFonts w:cs="Arial"/>
                          <w:b/>
                          <w:color w:val="548DD4" w:themeColor="text2" w:themeTint="99"/>
                          <w:sz w:val="36"/>
                          <w:szCs w:val="36"/>
                        </w:rPr>
                        <w:t>DIBP</w:t>
                      </w:r>
                      <w:proofErr w:type="spellEnd"/>
                      <w:r w:rsidR="00616B14" w:rsidRPr="00950690">
                        <w:rPr>
                          <w:rFonts w:cs="Arial"/>
                          <w:b/>
                          <w:color w:val="548DD4" w:themeColor="text2" w:themeTint="99"/>
                          <w:sz w:val="36"/>
                          <w:szCs w:val="36"/>
                        </w:rPr>
                        <w:t>)</w:t>
                      </w:r>
                    </w:p>
                    <w:p w14:paraId="23AB90C4" w14:textId="36AA305F" w:rsidR="00616B14" w:rsidRPr="00E46837" w:rsidRDefault="00950690" w:rsidP="00950690">
                      <w:pPr>
                        <w:spacing w:line="360" w:lineRule="auto"/>
                        <w:jc w:val="right"/>
                        <w:rPr>
                          <w:rFonts w:ascii="Arial Narrow Bold" w:hAnsi="Arial Narrow Bold"/>
                          <w:sz w:val="32"/>
                          <w:szCs w:val="32"/>
                        </w:rPr>
                      </w:pPr>
                      <w:r>
                        <w:rPr>
                          <w:rFonts w:ascii="Arial Narrow Bold" w:hAnsi="Arial Narrow Bold"/>
                          <w:sz w:val="32"/>
                          <w:szCs w:val="32"/>
                        </w:rPr>
                        <w:t xml:space="preserve">[2014] </w:t>
                      </w:r>
                      <w:proofErr w:type="spellStart"/>
                      <w:r>
                        <w:rPr>
                          <w:rFonts w:ascii="Arial Narrow Bold" w:hAnsi="Arial Narrow Bold"/>
                          <w:sz w:val="32"/>
                          <w:szCs w:val="32"/>
                        </w:rPr>
                        <w:t>AusHRC</w:t>
                      </w:r>
                      <w:proofErr w:type="spellEnd"/>
                      <w:r>
                        <w:rPr>
                          <w:rFonts w:ascii="Arial Narrow Bold" w:hAnsi="Arial Narrow Bold"/>
                          <w:sz w:val="32"/>
                          <w:szCs w:val="32"/>
                        </w:rPr>
                        <w:t xml:space="preserve"> 92</w:t>
                      </w:r>
                    </w:p>
                  </w:txbxContent>
                </v:textbox>
                <w10:wrap type="square"/>
              </v:shape>
            </w:pict>
          </mc:Fallback>
        </mc:AlternateContent>
      </w:r>
      <w:r w:rsidR="00616B14" w:rsidRPr="00616B14">
        <w:rPr>
          <w:rFonts w:cs="Arial"/>
          <w:b/>
          <w:noProof/>
          <w:sz w:val="36"/>
          <w:szCs w:val="36"/>
          <w:lang w:eastAsia="en-AU"/>
        </w:rPr>
        <w:drawing>
          <wp:anchor distT="0" distB="0" distL="114300" distR="114300" simplePos="0" relativeHeight="251659264" behindDoc="1" locked="0" layoutInCell="0" allowOverlap="1" wp14:anchorId="1EF2DF22" wp14:editId="38057433">
            <wp:simplePos x="0" y="0"/>
            <wp:positionH relativeFrom="margin">
              <wp:posOffset>-887095</wp:posOffset>
            </wp:positionH>
            <wp:positionV relativeFrom="margin">
              <wp:posOffset>-914400</wp:posOffset>
            </wp:positionV>
            <wp:extent cx="7810500" cy="11168380"/>
            <wp:effectExtent l="0" t="0" r="12700"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10836" cy="1116886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90141">
        <w:rPr>
          <w:rFonts w:cs="Arial"/>
          <w:b/>
          <w:sz w:val="36"/>
          <w:szCs w:val="36"/>
        </w:rPr>
        <w:br w:type="page"/>
      </w:r>
    </w:p>
    <w:p w14:paraId="0441C120" w14:textId="77777777" w:rsidR="00950690" w:rsidRDefault="00950690" w:rsidP="00950690">
      <w:pPr>
        <w:widowControl w:val="0"/>
        <w:tabs>
          <w:tab w:val="left" w:pos="567"/>
        </w:tabs>
        <w:suppressAutoHyphens/>
        <w:autoSpaceDE w:val="0"/>
        <w:autoSpaceDN w:val="0"/>
        <w:adjustRightInd w:val="0"/>
        <w:spacing w:after="113"/>
        <w:textAlignment w:val="center"/>
        <w:rPr>
          <w:rFonts w:cs="Arial"/>
          <w:b/>
          <w:bCs/>
          <w:color w:val="000000"/>
          <w:u w:color="000000"/>
          <w:lang w:eastAsia="en-AU"/>
        </w:rPr>
      </w:pPr>
    </w:p>
    <w:p w14:paraId="699AA4A4" w14:textId="77777777" w:rsidR="00950690" w:rsidRDefault="00950690" w:rsidP="00950690">
      <w:pPr>
        <w:widowControl w:val="0"/>
        <w:tabs>
          <w:tab w:val="left" w:pos="567"/>
        </w:tabs>
        <w:suppressAutoHyphens/>
        <w:autoSpaceDE w:val="0"/>
        <w:autoSpaceDN w:val="0"/>
        <w:adjustRightInd w:val="0"/>
        <w:spacing w:after="113"/>
        <w:textAlignment w:val="center"/>
        <w:rPr>
          <w:rFonts w:cs="Arial"/>
          <w:b/>
          <w:bCs/>
          <w:color w:val="000000"/>
          <w:u w:color="000000"/>
          <w:lang w:eastAsia="en-AU"/>
        </w:rPr>
      </w:pPr>
    </w:p>
    <w:p w14:paraId="6CAB145F" w14:textId="77777777" w:rsidR="00950690" w:rsidRDefault="00950690" w:rsidP="00950690">
      <w:pPr>
        <w:widowControl w:val="0"/>
        <w:tabs>
          <w:tab w:val="left" w:pos="567"/>
        </w:tabs>
        <w:suppressAutoHyphens/>
        <w:autoSpaceDE w:val="0"/>
        <w:autoSpaceDN w:val="0"/>
        <w:adjustRightInd w:val="0"/>
        <w:spacing w:after="113"/>
        <w:textAlignment w:val="center"/>
        <w:rPr>
          <w:rFonts w:cs="Arial"/>
          <w:b/>
          <w:bCs/>
          <w:color w:val="000000"/>
          <w:u w:color="000000"/>
          <w:lang w:eastAsia="en-AU"/>
        </w:rPr>
      </w:pPr>
    </w:p>
    <w:p w14:paraId="7A3976D2" w14:textId="77777777" w:rsidR="00950690" w:rsidRDefault="00950690" w:rsidP="00950690">
      <w:pPr>
        <w:widowControl w:val="0"/>
        <w:tabs>
          <w:tab w:val="left" w:pos="567"/>
        </w:tabs>
        <w:suppressAutoHyphens/>
        <w:autoSpaceDE w:val="0"/>
        <w:autoSpaceDN w:val="0"/>
        <w:adjustRightInd w:val="0"/>
        <w:spacing w:after="113"/>
        <w:textAlignment w:val="center"/>
        <w:rPr>
          <w:rFonts w:cs="Arial"/>
          <w:b/>
          <w:bCs/>
          <w:color w:val="000000"/>
          <w:u w:color="000000"/>
          <w:lang w:eastAsia="en-AU"/>
        </w:rPr>
      </w:pPr>
    </w:p>
    <w:p w14:paraId="09904F4D" w14:textId="77777777" w:rsidR="00950690" w:rsidRDefault="00950690" w:rsidP="00950690">
      <w:pPr>
        <w:widowControl w:val="0"/>
        <w:tabs>
          <w:tab w:val="left" w:pos="567"/>
        </w:tabs>
        <w:suppressAutoHyphens/>
        <w:autoSpaceDE w:val="0"/>
        <w:autoSpaceDN w:val="0"/>
        <w:adjustRightInd w:val="0"/>
        <w:spacing w:after="113"/>
        <w:textAlignment w:val="center"/>
        <w:rPr>
          <w:rFonts w:cs="Arial"/>
          <w:b/>
          <w:bCs/>
          <w:color w:val="000000"/>
          <w:u w:color="000000"/>
          <w:lang w:eastAsia="en-AU"/>
        </w:rPr>
      </w:pPr>
    </w:p>
    <w:p w14:paraId="003EFDF1" w14:textId="77777777" w:rsidR="00950690" w:rsidRDefault="00950690" w:rsidP="00950690">
      <w:pPr>
        <w:widowControl w:val="0"/>
        <w:tabs>
          <w:tab w:val="left" w:pos="567"/>
        </w:tabs>
        <w:suppressAutoHyphens/>
        <w:autoSpaceDE w:val="0"/>
        <w:autoSpaceDN w:val="0"/>
        <w:adjustRightInd w:val="0"/>
        <w:spacing w:after="113"/>
        <w:textAlignment w:val="center"/>
        <w:rPr>
          <w:rFonts w:cs="Arial"/>
          <w:b/>
          <w:bCs/>
          <w:color w:val="000000"/>
          <w:u w:color="000000"/>
          <w:lang w:eastAsia="en-AU"/>
        </w:rPr>
      </w:pPr>
    </w:p>
    <w:p w14:paraId="0BA0A62D" w14:textId="77777777" w:rsidR="00950690" w:rsidRDefault="00950690" w:rsidP="00950690">
      <w:pPr>
        <w:widowControl w:val="0"/>
        <w:tabs>
          <w:tab w:val="left" w:pos="567"/>
        </w:tabs>
        <w:suppressAutoHyphens/>
        <w:autoSpaceDE w:val="0"/>
        <w:autoSpaceDN w:val="0"/>
        <w:adjustRightInd w:val="0"/>
        <w:spacing w:after="113"/>
        <w:textAlignment w:val="center"/>
        <w:rPr>
          <w:rFonts w:cs="Arial"/>
          <w:b/>
          <w:bCs/>
          <w:color w:val="000000"/>
          <w:u w:color="000000"/>
          <w:lang w:eastAsia="en-AU"/>
        </w:rPr>
      </w:pPr>
    </w:p>
    <w:p w14:paraId="2D13B27D" w14:textId="77777777" w:rsidR="00950690" w:rsidRDefault="00950690" w:rsidP="00950690">
      <w:pPr>
        <w:widowControl w:val="0"/>
        <w:tabs>
          <w:tab w:val="left" w:pos="567"/>
        </w:tabs>
        <w:suppressAutoHyphens/>
        <w:autoSpaceDE w:val="0"/>
        <w:autoSpaceDN w:val="0"/>
        <w:adjustRightInd w:val="0"/>
        <w:spacing w:after="113"/>
        <w:textAlignment w:val="center"/>
        <w:rPr>
          <w:rFonts w:cs="Arial"/>
          <w:b/>
          <w:bCs/>
          <w:color w:val="000000"/>
          <w:u w:color="000000"/>
          <w:lang w:eastAsia="en-AU"/>
        </w:rPr>
      </w:pPr>
    </w:p>
    <w:p w14:paraId="42633AC9" w14:textId="77777777" w:rsidR="00950690" w:rsidRPr="00F20955" w:rsidRDefault="00950690" w:rsidP="00950690">
      <w:pPr>
        <w:widowControl w:val="0"/>
        <w:tabs>
          <w:tab w:val="left" w:pos="567"/>
        </w:tabs>
        <w:suppressAutoHyphens/>
        <w:autoSpaceDE w:val="0"/>
        <w:autoSpaceDN w:val="0"/>
        <w:adjustRightInd w:val="0"/>
        <w:spacing w:after="113"/>
        <w:textAlignment w:val="center"/>
        <w:rPr>
          <w:rFonts w:cs="Arial"/>
          <w:b/>
          <w:bCs/>
          <w:color w:val="000000"/>
          <w:u w:color="000000"/>
          <w:lang w:val="en-US" w:eastAsia="en-AU"/>
        </w:rPr>
      </w:pPr>
      <w:r w:rsidRPr="00F20955">
        <w:rPr>
          <w:rFonts w:cs="Arial"/>
          <w:b/>
          <w:bCs/>
          <w:color w:val="000000"/>
          <w:u w:color="000000"/>
          <w:lang w:eastAsia="en-AU"/>
        </w:rPr>
        <w:t>© Australian Human Rights Commission 2014.</w:t>
      </w:r>
    </w:p>
    <w:p w14:paraId="73D2FFB1" w14:textId="77777777" w:rsidR="00950690" w:rsidRPr="00F20955" w:rsidRDefault="00950690" w:rsidP="00950690">
      <w:pPr>
        <w:widowControl w:val="0"/>
        <w:autoSpaceDE w:val="0"/>
        <w:autoSpaceDN w:val="0"/>
        <w:adjustRightInd w:val="0"/>
        <w:spacing w:after="113"/>
        <w:textAlignment w:val="center"/>
        <w:rPr>
          <w:rFonts w:cs="Arial"/>
          <w:color w:val="000000"/>
          <w:lang w:val="en-US" w:eastAsia="en-AU"/>
        </w:rPr>
      </w:pPr>
      <w:r>
        <w:rPr>
          <w:rFonts w:cs="Arial"/>
          <w:noProof/>
          <w:color w:val="000000"/>
          <w:lang w:eastAsia="en-AU"/>
        </w:rPr>
        <w:drawing>
          <wp:inline distT="0" distB="0" distL="0" distR="0" wp14:anchorId="05C96B05" wp14:editId="1B1B6015">
            <wp:extent cx="1075055" cy="38204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eps.pdf"/>
                    <pic:cNvPicPr/>
                  </pic:nvPicPr>
                  <pic:blipFill>
                    <a:blip r:embed="rId10">
                      <a:extLst>
                        <a:ext uri="{28A0092B-C50C-407E-A947-70E740481C1C}">
                          <a14:useLocalDpi xmlns:a14="http://schemas.microsoft.com/office/drawing/2010/main" val="0"/>
                        </a:ext>
                      </a:extLst>
                    </a:blip>
                    <a:stretch>
                      <a:fillRect/>
                    </a:stretch>
                  </pic:blipFill>
                  <pic:spPr>
                    <a:xfrm>
                      <a:off x="0" y="0"/>
                      <a:ext cx="1076043" cy="382395"/>
                    </a:xfrm>
                    <a:prstGeom prst="rect">
                      <a:avLst/>
                    </a:prstGeom>
                  </pic:spPr>
                </pic:pic>
              </a:graphicData>
            </a:graphic>
          </wp:inline>
        </w:drawing>
      </w:r>
    </w:p>
    <w:p w14:paraId="00A81EDE" w14:textId="77777777" w:rsidR="00950690" w:rsidRPr="00F20955" w:rsidRDefault="00950690" w:rsidP="00950690">
      <w:pPr>
        <w:widowControl w:val="0"/>
        <w:tabs>
          <w:tab w:val="left" w:pos="567"/>
        </w:tabs>
        <w:suppressAutoHyphens/>
        <w:autoSpaceDE w:val="0"/>
        <w:autoSpaceDN w:val="0"/>
        <w:adjustRightInd w:val="0"/>
        <w:spacing w:after="113"/>
        <w:textAlignment w:val="center"/>
        <w:rPr>
          <w:rFonts w:cs="Arial"/>
          <w:color w:val="000000"/>
          <w:u w:color="000000"/>
          <w:lang w:eastAsia="en-AU"/>
        </w:rPr>
      </w:pPr>
      <w:r w:rsidRPr="00F20955">
        <w:rPr>
          <w:rFonts w:cs="Arial"/>
          <w:b/>
          <w:bCs/>
          <w:color w:val="000000"/>
          <w:u w:color="000000"/>
          <w:lang w:eastAsia="en-AU"/>
        </w:rPr>
        <w:t>ISSN 1837-1183</w:t>
      </w:r>
    </w:p>
    <w:p w14:paraId="4CB4DDF9" w14:textId="77777777" w:rsidR="00950690" w:rsidRPr="00F20955" w:rsidRDefault="00950690" w:rsidP="00950690">
      <w:pPr>
        <w:widowControl w:val="0"/>
        <w:tabs>
          <w:tab w:val="left" w:pos="567"/>
        </w:tabs>
        <w:suppressAutoHyphens/>
        <w:autoSpaceDE w:val="0"/>
        <w:autoSpaceDN w:val="0"/>
        <w:adjustRightInd w:val="0"/>
        <w:spacing w:after="57"/>
        <w:textAlignment w:val="center"/>
        <w:rPr>
          <w:rFonts w:cs="Arial"/>
          <w:color w:val="000000"/>
          <w:u w:color="000000"/>
          <w:lang w:eastAsia="en-AU"/>
        </w:rPr>
      </w:pPr>
      <w:r w:rsidRPr="00F20955">
        <w:rPr>
          <w:rFonts w:cs="Arial"/>
          <w:color w:val="000000"/>
          <w:u w:color="000000"/>
          <w:lang w:eastAsia="en-AU"/>
        </w:rPr>
        <w:t>The Australian Human Rights Commission encourages the dissemination and exchange of information presented in this publication.</w:t>
      </w:r>
    </w:p>
    <w:p w14:paraId="51B4838E" w14:textId="77777777" w:rsidR="00950690" w:rsidRPr="00F20955" w:rsidRDefault="00950690" w:rsidP="00950690">
      <w:pPr>
        <w:widowControl w:val="0"/>
        <w:tabs>
          <w:tab w:val="left" w:pos="567"/>
        </w:tabs>
        <w:suppressAutoHyphens/>
        <w:autoSpaceDE w:val="0"/>
        <w:autoSpaceDN w:val="0"/>
        <w:adjustRightInd w:val="0"/>
        <w:spacing w:after="57"/>
        <w:textAlignment w:val="center"/>
        <w:rPr>
          <w:rFonts w:cs="Arial"/>
          <w:color w:val="000000"/>
          <w:u w:color="000000"/>
          <w:lang w:eastAsia="en-AU"/>
        </w:rPr>
      </w:pPr>
      <w:r w:rsidRPr="00F20955">
        <w:rPr>
          <w:rFonts w:cs="Arial"/>
          <w:color w:val="000000"/>
          <w:u w:color="000000"/>
          <w:lang w:eastAsia="en-AU"/>
        </w:rPr>
        <w:t>All material presented in this publication is licenced under a Creative Commons Attribution 3.0 Australia licence, with the exception of the Australian Human Rights Commission Logo.</w:t>
      </w:r>
    </w:p>
    <w:p w14:paraId="1527CBAF" w14:textId="77777777" w:rsidR="00950690" w:rsidRPr="00F20955" w:rsidRDefault="00950690" w:rsidP="00950690">
      <w:pPr>
        <w:widowControl w:val="0"/>
        <w:tabs>
          <w:tab w:val="left" w:pos="567"/>
        </w:tabs>
        <w:suppressAutoHyphens/>
        <w:autoSpaceDE w:val="0"/>
        <w:autoSpaceDN w:val="0"/>
        <w:adjustRightInd w:val="0"/>
        <w:spacing w:after="57"/>
        <w:textAlignment w:val="center"/>
        <w:rPr>
          <w:rFonts w:cs="Arial"/>
          <w:color w:val="000000"/>
          <w:u w:color="000000"/>
          <w:lang w:eastAsia="en-AU"/>
        </w:rPr>
      </w:pPr>
      <w:r w:rsidRPr="00F20955">
        <w:rPr>
          <w:rFonts w:cs="Arial"/>
          <w:color w:val="000000"/>
          <w:u w:color="000000"/>
          <w:lang w:eastAsia="en-AU"/>
        </w:rPr>
        <w:t xml:space="preserve">To view a copy of this licence, visit </w:t>
      </w:r>
      <w:hyperlink r:id="rId11" w:history="1">
        <w:r w:rsidRPr="00EA571C">
          <w:rPr>
            <w:rStyle w:val="Hyperlink"/>
            <w:rFonts w:cs="Arial"/>
            <w:b/>
            <w:u w:color="000000"/>
            <w:lang w:eastAsia="en-AU"/>
          </w:rPr>
          <w:t>http://creativecommons.org/licences/by/3.0/au</w:t>
        </w:r>
      </w:hyperlink>
      <w:r>
        <w:rPr>
          <w:rFonts w:cs="Arial"/>
          <w:color w:val="000000"/>
          <w:u w:color="000000"/>
          <w:lang w:eastAsia="en-AU"/>
        </w:rPr>
        <w:t>.</w:t>
      </w:r>
    </w:p>
    <w:p w14:paraId="32BDBE09" w14:textId="77777777" w:rsidR="00950690" w:rsidRPr="00F20955" w:rsidRDefault="00950690" w:rsidP="00950690">
      <w:pPr>
        <w:widowControl w:val="0"/>
        <w:tabs>
          <w:tab w:val="left" w:pos="567"/>
        </w:tabs>
        <w:suppressAutoHyphens/>
        <w:autoSpaceDE w:val="0"/>
        <w:autoSpaceDN w:val="0"/>
        <w:adjustRightInd w:val="0"/>
        <w:spacing w:after="340"/>
        <w:textAlignment w:val="center"/>
        <w:rPr>
          <w:rFonts w:cs="Arial"/>
          <w:color w:val="000000"/>
          <w:u w:color="000000"/>
          <w:lang w:eastAsia="en-AU"/>
        </w:rPr>
      </w:pPr>
      <w:r w:rsidRPr="00F20955">
        <w:rPr>
          <w:rFonts w:cs="Arial"/>
          <w:color w:val="000000"/>
          <w:u w:color="000000"/>
          <w:lang w:eastAsia="en-AU"/>
        </w:rPr>
        <w:t>In essence, you are free to copy, communicate and adapt the work, as long as you attribute the work to the Australian Human Rights Commission and abide by the other licence terms.</w:t>
      </w:r>
    </w:p>
    <w:p w14:paraId="3430215B" w14:textId="77777777" w:rsidR="00950690" w:rsidRPr="00F20955" w:rsidRDefault="00950690" w:rsidP="00950690">
      <w:pPr>
        <w:widowControl w:val="0"/>
        <w:tabs>
          <w:tab w:val="left" w:pos="567"/>
        </w:tabs>
        <w:suppressAutoHyphens/>
        <w:autoSpaceDE w:val="0"/>
        <w:autoSpaceDN w:val="0"/>
        <w:adjustRightInd w:val="0"/>
        <w:spacing w:before="113" w:after="57"/>
        <w:textAlignment w:val="center"/>
        <w:rPr>
          <w:rFonts w:cs="Arial"/>
          <w:b/>
          <w:bCs/>
          <w:color w:val="000000"/>
          <w:u w:color="000000"/>
          <w:lang w:eastAsia="en-AU"/>
        </w:rPr>
      </w:pPr>
      <w:r w:rsidRPr="00F20955">
        <w:rPr>
          <w:rFonts w:cs="Arial"/>
          <w:b/>
          <w:bCs/>
          <w:color w:val="000000"/>
          <w:u w:color="000000"/>
          <w:lang w:eastAsia="en-AU"/>
        </w:rPr>
        <w:t>Electronic format</w:t>
      </w:r>
    </w:p>
    <w:p w14:paraId="357C81D7" w14:textId="77777777" w:rsidR="00950690" w:rsidRPr="00F20955" w:rsidRDefault="00950690" w:rsidP="00950690">
      <w:pPr>
        <w:widowControl w:val="0"/>
        <w:tabs>
          <w:tab w:val="left" w:pos="567"/>
        </w:tabs>
        <w:suppressAutoHyphens/>
        <w:autoSpaceDE w:val="0"/>
        <w:autoSpaceDN w:val="0"/>
        <w:adjustRightInd w:val="0"/>
        <w:spacing w:after="57"/>
        <w:textAlignment w:val="center"/>
        <w:rPr>
          <w:rFonts w:cs="Arial"/>
          <w:color w:val="000000"/>
          <w:u w:color="000000"/>
          <w:lang w:eastAsia="en-AU"/>
        </w:rPr>
      </w:pPr>
      <w:r w:rsidRPr="00F20955">
        <w:rPr>
          <w:rFonts w:cs="Arial"/>
          <w:color w:val="000000"/>
          <w:u w:color="000000"/>
          <w:lang w:eastAsia="en-AU"/>
        </w:rPr>
        <w:t xml:space="preserve">This publication can be found in electronic format on the website of the Australian Human Rights Commission: </w:t>
      </w:r>
      <w:hyperlink r:id="rId12" w:history="1">
        <w:r w:rsidRPr="00EA571C">
          <w:rPr>
            <w:rStyle w:val="Hyperlink"/>
            <w:rFonts w:cs="Arial"/>
            <w:b/>
            <w:u w:color="000000"/>
            <w:lang w:eastAsia="en-AU"/>
          </w:rPr>
          <w:t>http://www.humanrights.gov.au/publications/index.html</w:t>
        </w:r>
      </w:hyperlink>
      <w:r w:rsidRPr="00F20955">
        <w:rPr>
          <w:rFonts w:cs="Arial"/>
          <w:color w:val="000000"/>
          <w:u w:color="000000"/>
          <w:lang w:eastAsia="en-AU"/>
        </w:rPr>
        <w:t>.</w:t>
      </w:r>
    </w:p>
    <w:p w14:paraId="048DF086" w14:textId="77777777" w:rsidR="00950690" w:rsidRPr="00F20955" w:rsidRDefault="00950690" w:rsidP="00950690">
      <w:pPr>
        <w:widowControl w:val="0"/>
        <w:tabs>
          <w:tab w:val="left" w:pos="567"/>
        </w:tabs>
        <w:suppressAutoHyphens/>
        <w:autoSpaceDE w:val="0"/>
        <w:autoSpaceDN w:val="0"/>
        <w:adjustRightInd w:val="0"/>
        <w:spacing w:before="113" w:after="57"/>
        <w:textAlignment w:val="center"/>
        <w:rPr>
          <w:rFonts w:cs="Arial"/>
          <w:b/>
          <w:bCs/>
          <w:color w:val="000000"/>
          <w:u w:color="000000"/>
          <w:lang w:eastAsia="en-AU"/>
        </w:rPr>
      </w:pPr>
      <w:r w:rsidRPr="00F20955">
        <w:rPr>
          <w:rFonts w:cs="Arial"/>
          <w:b/>
          <w:bCs/>
          <w:color w:val="000000"/>
          <w:u w:color="000000"/>
          <w:lang w:eastAsia="en-AU"/>
        </w:rPr>
        <w:t>Contact details</w:t>
      </w:r>
    </w:p>
    <w:p w14:paraId="5450E8DF" w14:textId="77777777" w:rsidR="00950690" w:rsidRDefault="00950690" w:rsidP="00950690">
      <w:pPr>
        <w:widowControl w:val="0"/>
        <w:tabs>
          <w:tab w:val="left" w:pos="567"/>
        </w:tabs>
        <w:suppressAutoHyphens/>
        <w:autoSpaceDE w:val="0"/>
        <w:autoSpaceDN w:val="0"/>
        <w:adjustRightInd w:val="0"/>
        <w:spacing w:after="57"/>
        <w:textAlignment w:val="center"/>
        <w:rPr>
          <w:rFonts w:cs="Arial"/>
          <w:color w:val="000000"/>
          <w:u w:color="000000"/>
          <w:lang w:eastAsia="en-AU"/>
        </w:rPr>
      </w:pPr>
      <w:r w:rsidRPr="00F20955">
        <w:rPr>
          <w:rFonts w:cs="Arial"/>
          <w:color w:val="000000"/>
          <w:u w:color="000000"/>
          <w:lang w:eastAsia="en-AU"/>
        </w:rPr>
        <w:t xml:space="preserve">For further information about the Australian Human Rights Commission, please visit </w:t>
      </w:r>
      <w:hyperlink r:id="rId13" w:history="1">
        <w:r w:rsidRPr="00EA571C">
          <w:rPr>
            <w:rStyle w:val="Hyperlink"/>
            <w:rFonts w:cs="Arial"/>
            <w:b/>
            <w:u w:color="000000"/>
            <w:lang w:eastAsia="en-AU"/>
          </w:rPr>
          <w:t>http://www.humanrights.gov.au</w:t>
        </w:r>
      </w:hyperlink>
      <w:r>
        <w:rPr>
          <w:rFonts w:cs="Arial"/>
          <w:color w:val="000000"/>
          <w:u w:color="000000"/>
          <w:lang w:eastAsia="en-AU"/>
        </w:rPr>
        <w:t xml:space="preserve"> </w:t>
      </w:r>
      <w:r w:rsidRPr="00F20955">
        <w:rPr>
          <w:rFonts w:cs="Arial"/>
          <w:color w:val="000000"/>
          <w:u w:color="000000"/>
          <w:lang w:eastAsia="en-AU"/>
        </w:rPr>
        <w:t xml:space="preserve">or email </w:t>
      </w:r>
      <w:hyperlink r:id="rId14" w:history="1">
        <w:r>
          <w:rPr>
            <w:rStyle w:val="Hyperlink"/>
            <w:rFonts w:cs="Arial"/>
            <w:b/>
            <w:u w:color="000000"/>
            <w:lang w:eastAsia="en-AU"/>
          </w:rPr>
          <w:t>communications@humanrights.gov.au</w:t>
        </w:r>
      </w:hyperlink>
      <w:r>
        <w:rPr>
          <w:rFonts w:cs="Arial"/>
          <w:color w:val="000000"/>
          <w:u w:color="000000"/>
          <w:lang w:eastAsia="en-AU"/>
        </w:rPr>
        <w:t>.</w:t>
      </w:r>
    </w:p>
    <w:p w14:paraId="3F028296" w14:textId="77777777" w:rsidR="00950690" w:rsidRPr="00F20955" w:rsidRDefault="00950690" w:rsidP="00950690">
      <w:pPr>
        <w:widowControl w:val="0"/>
        <w:tabs>
          <w:tab w:val="left" w:pos="567"/>
        </w:tabs>
        <w:suppressAutoHyphens/>
        <w:autoSpaceDE w:val="0"/>
        <w:autoSpaceDN w:val="0"/>
        <w:adjustRightInd w:val="0"/>
        <w:spacing w:after="57"/>
        <w:textAlignment w:val="center"/>
        <w:rPr>
          <w:rFonts w:cs="Arial"/>
          <w:color w:val="000000"/>
          <w:u w:color="000000"/>
          <w:lang w:eastAsia="en-AU"/>
        </w:rPr>
      </w:pPr>
      <w:r w:rsidRPr="00F20955">
        <w:rPr>
          <w:rFonts w:cs="Arial"/>
          <w:color w:val="000000"/>
          <w:u w:color="000000"/>
          <w:lang w:eastAsia="en-AU"/>
        </w:rPr>
        <w:t>You can also write to:</w:t>
      </w:r>
    </w:p>
    <w:p w14:paraId="5E588A95" w14:textId="77777777" w:rsidR="00950690" w:rsidRPr="00F20955" w:rsidRDefault="00950690" w:rsidP="00950690">
      <w:pPr>
        <w:pStyle w:val="CopyrightText"/>
        <w:rPr>
          <w:rFonts w:cs="Arial"/>
          <w:szCs w:val="20"/>
          <w:lang w:val="en-AU"/>
        </w:rPr>
      </w:pPr>
      <w:r w:rsidRPr="00F20955">
        <w:rPr>
          <w:rFonts w:cs="Arial"/>
          <w:color w:val="000000"/>
          <w:szCs w:val="20"/>
          <w:lang w:val="en-AU"/>
        </w:rPr>
        <w:tab/>
      </w:r>
      <w:r>
        <w:rPr>
          <w:rFonts w:cs="Arial"/>
          <w:color w:val="000000"/>
          <w:szCs w:val="20"/>
          <w:lang w:val="en-AU"/>
        </w:rPr>
        <w:tab/>
      </w:r>
      <w:r w:rsidRPr="00F20955">
        <w:rPr>
          <w:rFonts w:cs="Arial"/>
          <w:color w:val="000000"/>
          <w:szCs w:val="20"/>
          <w:lang w:val="en-AU"/>
        </w:rPr>
        <w:t>Communications Team</w:t>
      </w:r>
      <w:r w:rsidRPr="00F20955">
        <w:rPr>
          <w:rFonts w:cs="Arial"/>
          <w:color w:val="000000"/>
          <w:szCs w:val="20"/>
          <w:lang w:val="en-AU"/>
        </w:rPr>
        <w:br/>
      </w:r>
      <w:r w:rsidRPr="00F20955">
        <w:rPr>
          <w:rFonts w:cs="Arial"/>
          <w:color w:val="000000"/>
          <w:szCs w:val="20"/>
          <w:lang w:val="en-AU"/>
        </w:rPr>
        <w:tab/>
      </w:r>
      <w:r>
        <w:rPr>
          <w:rFonts w:cs="Arial"/>
          <w:color w:val="000000"/>
          <w:szCs w:val="20"/>
          <w:lang w:val="en-AU"/>
        </w:rPr>
        <w:tab/>
      </w:r>
      <w:r w:rsidRPr="00F20955">
        <w:rPr>
          <w:rFonts w:cs="Arial"/>
          <w:color w:val="000000"/>
          <w:szCs w:val="20"/>
          <w:lang w:val="en-AU"/>
        </w:rPr>
        <w:t>Australian Human Rights Commission</w:t>
      </w:r>
      <w:r w:rsidRPr="00F20955">
        <w:rPr>
          <w:rFonts w:cs="Arial"/>
          <w:color w:val="000000"/>
          <w:szCs w:val="20"/>
          <w:lang w:val="en-AU"/>
        </w:rPr>
        <w:br/>
      </w:r>
      <w:r w:rsidRPr="00F20955">
        <w:rPr>
          <w:rFonts w:cs="Arial"/>
          <w:color w:val="000000"/>
          <w:szCs w:val="20"/>
          <w:lang w:val="en-AU"/>
        </w:rPr>
        <w:tab/>
      </w:r>
      <w:r>
        <w:rPr>
          <w:rFonts w:cs="Arial"/>
          <w:color w:val="000000"/>
          <w:szCs w:val="20"/>
          <w:lang w:val="en-AU"/>
        </w:rPr>
        <w:tab/>
      </w:r>
      <w:r w:rsidRPr="00F20955">
        <w:rPr>
          <w:rFonts w:cs="Arial"/>
          <w:color w:val="000000"/>
          <w:szCs w:val="20"/>
          <w:lang w:val="en-AU"/>
        </w:rPr>
        <w:t>GPO Box 5218</w:t>
      </w:r>
      <w:r w:rsidRPr="00F20955">
        <w:rPr>
          <w:rFonts w:cs="Arial"/>
          <w:color w:val="000000"/>
          <w:szCs w:val="20"/>
          <w:lang w:val="en-AU"/>
        </w:rPr>
        <w:br/>
      </w:r>
      <w:r w:rsidRPr="00F20955">
        <w:rPr>
          <w:rFonts w:cs="Arial"/>
          <w:color w:val="000000"/>
          <w:szCs w:val="20"/>
          <w:lang w:val="en-AU"/>
        </w:rPr>
        <w:tab/>
      </w:r>
      <w:r>
        <w:rPr>
          <w:rFonts w:cs="Arial"/>
          <w:color w:val="000000"/>
          <w:szCs w:val="20"/>
          <w:lang w:val="en-AU"/>
        </w:rPr>
        <w:tab/>
      </w:r>
      <w:r w:rsidRPr="00F20955">
        <w:rPr>
          <w:rFonts w:cs="Arial"/>
          <w:color w:val="000000"/>
          <w:szCs w:val="20"/>
          <w:lang w:val="en-AU"/>
        </w:rPr>
        <w:t>Sydney NSW 2001</w:t>
      </w:r>
    </w:p>
    <w:p w14:paraId="63800C42" w14:textId="77777777" w:rsidR="00950690" w:rsidRDefault="00950690">
      <w:pPr>
        <w:keepLines w:val="0"/>
        <w:rPr>
          <w:rFonts w:cs="Arial"/>
          <w:b/>
          <w:sz w:val="36"/>
          <w:szCs w:val="36"/>
        </w:rPr>
      </w:pPr>
    </w:p>
    <w:p w14:paraId="41E2B46B" w14:textId="5CD35720" w:rsidR="00950690" w:rsidRDefault="00950690">
      <w:pPr>
        <w:keepLines w:val="0"/>
        <w:rPr>
          <w:rFonts w:cs="Arial"/>
          <w:b/>
          <w:sz w:val="36"/>
          <w:szCs w:val="36"/>
        </w:rPr>
      </w:pPr>
      <w:r>
        <w:rPr>
          <w:rFonts w:cs="Arial"/>
          <w:b/>
          <w:sz w:val="36"/>
          <w:szCs w:val="36"/>
        </w:rPr>
        <w:br w:type="page"/>
      </w:r>
    </w:p>
    <w:p w14:paraId="32C24FE6" w14:textId="77777777" w:rsidR="00690141" w:rsidRDefault="00690141" w:rsidP="007C434E">
      <w:pPr>
        <w:spacing w:after="120"/>
        <w:rPr>
          <w:rFonts w:cs="Arial"/>
          <w:b/>
          <w:sz w:val="36"/>
          <w:szCs w:val="36"/>
        </w:rPr>
      </w:pPr>
    </w:p>
    <w:p w14:paraId="6E4A7168" w14:textId="77777777" w:rsidR="00690141" w:rsidRDefault="00690141" w:rsidP="007C434E">
      <w:pPr>
        <w:spacing w:after="120"/>
        <w:rPr>
          <w:rFonts w:cs="Arial"/>
          <w:b/>
          <w:sz w:val="36"/>
          <w:szCs w:val="36"/>
        </w:rPr>
      </w:pPr>
    </w:p>
    <w:p w14:paraId="38ED944C" w14:textId="77777777" w:rsidR="00690141" w:rsidRDefault="00690141" w:rsidP="007C434E">
      <w:pPr>
        <w:spacing w:after="120"/>
        <w:rPr>
          <w:rFonts w:cs="Arial"/>
          <w:b/>
          <w:sz w:val="36"/>
          <w:szCs w:val="36"/>
        </w:rPr>
      </w:pPr>
    </w:p>
    <w:p w14:paraId="0D5F08A5" w14:textId="77777777" w:rsidR="00690141" w:rsidRDefault="00690141" w:rsidP="007C434E">
      <w:pPr>
        <w:spacing w:after="120"/>
        <w:rPr>
          <w:rFonts w:cs="Arial"/>
          <w:b/>
          <w:sz w:val="36"/>
          <w:szCs w:val="36"/>
        </w:rPr>
      </w:pPr>
    </w:p>
    <w:p w14:paraId="648E4818" w14:textId="0B5FA8D2" w:rsidR="007C434E" w:rsidRPr="00950690" w:rsidRDefault="007C434E" w:rsidP="007C434E">
      <w:pPr>
        <w:spacing w:after="120"/>
        <w:rPr>
          <w:rFonts w:cs="Arial"/>
          <w:b/>
          <w:color w:val="7F7F7F" w:themeColor="text1" w:themeTint="80"/>
          <w:sz w:val="36"/>
          <w:szCs w:val="36"/>
        </w:rPr>
      </w:pPr>
      <w:r w:rsidRPr="00950690">
        <w:rPr>
          <w:rFonts w:cs="Arial"/>
          <w:b/>
          <w:color w:val="7F7F7F" w:themeColor="text1" w:themeTint="80"/>
          <w:sz w:val="36"/>
          <w:szCs w:val="36"/>
        </w:rPr>
        <w:t>Immigration detainees with adverse security assessments v Commonwealth of Australia (Department of Immigration and Border Protection)</w:t>
      </w:r>
    </w:p>
    <w:p w14:paraId="4170BE73" w14:textId="77777777" w:rsidR="007C434E" w:rsidRPr="00950690" w:rsidRDefault="007C434E" w:rsidP="007C434E">
      <w:pPr>
        <w:spacing w:after="120"/>
        <w:rPr>
          <w:rFonts w:cs="Arial"/>
          <w:b/>
          <w:color w:val="7F7F7F" w:themeColor="text1" w:themeTint="80"/>
          <w:szCs w:val="24"/>
        </w:rPr>
      </w:pPr>
    </w:p>
    <w:p w14:paraId="1D4713AD" w14:textId="77777777" w:rsidR="007C434E" w:rsidRPr="00950690" w:rsidRDefault="007C434E" w:rsidP="007C434E">
      <w:pPr>
        <w:rPr>
          <w:rFonts w:cs="Arial"/>
          <w:b/>
          <w:color w:val="7F7F7F" w:themeColor="text1" w:themeTint="80"/>
          <w:sz w:val="28"/>
          <w:szCs w:val="28"/>
        </w:rPr>
      </w:pPr>
      <w:r w:rsidRPr="00950690">
        <w:rPr>
          <w:rFonts w:cs="Arial"/>
          <w:color w:val="7F7F7F" w:themeColor="text1" w:themeTint="80"/>
          <w:sz w:val="28"/>
          <w:szCs w:val="28"/>
        </w:rPr>
        <w:t>[2014] AusHRC 92</w:t>
      </w:r>
    </w:p>
    <w:p w14:paraId="4ACA9BC7" w14:textId="77777777" w:rsidR="007C434E" w:rsidRPr="00950690" w:rsidRDefault="007C434E" w:rsidP="007C434E">
      <w:pPr>
        <w:pStyle w:val="Quote"/>
        <w:rPr>
          <w:rFonts w:cs="Arial"/>
          <w:b/>
          <w:color w:val="7F7F7F" w:themeColor="text1" w:themeTint="80"/>
          <w:spacing w:val="-5"/>
          <w:lang w:eastAsia="en-US"/>
        </w:rPr>
      </w:pPr>
    </w:p>
    <w:p w14:paraId="59C70984" w14:textId="77777777" w:rsidR="007C434E" w:rsidRPr="00950690" w:rsidRDefault="007C434E" w:rsidP="007C434E">
      <w:pPr>
        <w:pStyle w:val="Quote"/>
        <w:rPr>
          <w:i w:val="0"/>
          <w:color w:val="7F7F7F" w:themeColor="text1" w:themeTint="80"/>
          <w:sz w:val="28"/>
          <w:szCs w:val="28"/>
        </w:rPr>
      </w:pPr>
      <w:r w:rsidRPr="00950690">
        <w:rPr>
          <w:color w:val="7F7F7F" w:themeColor="text1" w:themeTint="80"/>
          <w:sz w:val="28"/>
          <w:szCs w:val="28"/>
        </w:rPr>
        <w:t>Report into arbitrary detention</w:t>
      </w:r>
    </w:p>
    <w:p w14:paraId="43C50031" w14:textId="77777777" w:rsidR="007C434E" w:rsidRPr="005F64AF" w:rsidRDefault="007C434E" w:rsidP="004E5579">
      <w:pPr>
        <w:rPr>
          <w:rFonts w:cs="Arial"/>
          <w:sz w:val="24"/>
          <w:szCs w:val="24"/>
        </w:rPr>
      </w:pPr>
    </w:p>
    <w:p w14:paraId="77A53F93" w14:textId="77777777" w:rsidR="00A61DAC" w:rsidRPr="005F64AF" w:rsidRDefault="00A61DAC" w:rsidP="004E5579">
      <w:pPr>
        <w:rPr>
          <w:rFonts w:cs="Arial"/>
          <w:sz w:val="24"/>
          <w:szCs w:val="24"/>
        </w:rPr>
      </w:pPr>
    </w:p>
    <w:p w14:paraId="1984DA33" w14:textId="77777777" w:rsidR="00A61DAC" w:rsidRPr="005F64AF" w:rsidRDefault="00A61DAC" w:rsidP="004E5579">
      <w:pPr>
        <w:rPr>
          <w:rFonts w:cs="Arial"/>
          <w:sz w:val="24"/>
          <w:szCs w:val="24"/>
        </w:rPr>
      </w:pPr>
    </w:p>
    <w:p w14:paraId="18B38A4E" w14:textId="77777777" w:rsidR="00A61DAC" w:rsidRPr="005F64AF" w:rsidRDefault="00A61DAC" w:rsidP="004E5579">
      <w:pPr>
        <w:rPr>
          <w:rFonts w:cs="Arial"/>
          <w:sz w:val="24"/>
          <w:szCs w:val="24"/>
        </w:rPr>
      </w:pPr>
    </w:p>
    <w:p w14:paraId="3ACD9985" w14:textId="4AB48BB0" w:rsidR="00A61DAC" w:rsidRPr="00690141" w:rsidRDefault="00A61DAC" w:rsidP="004E5579">
      <w:pPr>
        <w:rPr>
          <w:rFonts w:cs="Arial"/>
          <w:b/>
          <w:sz w:val="28"/>
          <w:szCs w:val="28"/>
        </w:rPr>
      </w:pPr>
      <w:r w:rsidRPr="005F64AF">
        <w:rPr>
          <w:rFonts w:cs="Arial"/>
          <w:sz w:val="24"/>
          <w:szCs w:val="24"/>
        </w:rPr>
        <w:br w:type="page"/>
      </w:r>
      <w:r w:rsidR="00690141">
        <w:rPr>
          <w:rFonts w:cs="Arial"/>
          <w:b/>
          <w:sz w:val="28"/>
          <w:szCs w:val="28"/>
        </w:rPr>
        <w:lastRenderedPageBreak/>
        <w:t>Contents</w:t>
      </w:r>
    </w:p>
    <w:p w14:paraId="7C874C38" w14:textId="77777777" w:rsidR="00A61DAC" w:rsidRPr="005F64AF" w:rsidRDefault="00A61DAC" w:rsidP="004E5579">
      <w:pPr>
        <w:rPr>
          <w:rFonts w:cs="Arial"/>
          <w:sz w:val="24"/>
          <w:szCs w:val="24"/>
        </w:rPr>
      </w:pPr>
    </w:p>
    <w:p w14:paraId="17D12955" w14:textId="77777777" w:rsidR="00690141" w:rsidRDefault="00A61DAC">
      <w:pPr>
        <w:pStyle w:val="TOC1"/>
        <w:tabs>
          <w:tab w:val="left" w:pos="346"/>
        </w:tabs>
        <w:rPr>
          <w:rFonts w:asciiTheme="minorHAnsi" w:eastAsiaTheme="minorEastAsia" w:hAnsiTheme="minorHAnsi" w:cstheme="minorBidi"/>
          <w:b w:val="0"/>
          <w:noProof/>
          <w:spacing w:val="0"/>
          <w:sz w:val="24"/>
          <w:szCs w:val="24"/>
          <w:lang w:eastAsia="ja-JP"/>
        </w:rPr>
      </w:pPr>
      <w:r w:rsidRPr="005F64AF">
        <w:rPr>
          <w:rFonts w:cs="Arial"/>
          <w:b w:val="0"/>
          <w:sz w:val="24"/>
          <w:szCs w:val="24"/>
        </w:rPr>
        <w:fldChar w:fldCharType="begin"/>
      </w:r>
      <w:r w:rsidRPr="005F64AF">
        <w:rPr>
          <w:rFonts w:cs="Arial"/>
          <w:b w:val="0"/>
          <w:sz w:val="24"/>
          <w:szCs w:val="24"/>
        </w:rPr>
        <w:instrText xml:space="preserve"> TOC \o "1-3" \h \z \u </w:instrText>
      </w:r>
      <w:r w:rsidRPr="005F64AF">
        <w:rPr>
          <w:rFonts w:cs="Arial"/>
          <w:b w:val="0"/>
          <w:sz w:val="24"/>
          <w:szCs w:val="24"/>
        </w:rPr>
        <w:fldChar w:fldCharType="separate"/>
      </w:r>
      <w:r w:rsidR="00690141">
        <w:rPr>
          <w:noProof/>
        </w:rPr>
        <w:t>1</w:t>
      </w:r>
      <w:r w:rsidR="00690141">
        <w:rPr>
          <w:rFonts w:asciiTheme="minorHAnsi" w:eastAsiaTheme="minorEastAsia" w:hAnsiTheme="minorHAnsi" w:cstheme="minorBidi"/>
          <w:b w:val="0"/>
          <w:noProof/>
          <w:spacing w:val="0"/>
          <w:sz w:val="24"/>
          <w:szCs w:val="24"/>
          <w:lang w:eastAsia="ja-JP"/>
        </w:rPr>
        <w:tab/>
      </w:r>
      <w:r w:rsidR="00690141">
        <w:rPr>
          <w:noProof/>
        </w:rPr>
        <w:t>Introduction</w:t>
      </w:r>
      <w:r w:rsidR="00690141">
        <w:rPr>
          <w:noProof/>
        </w:rPr>
        <w:tab/>
      </w:r>
      <w:r w:rsidR="00690141">
        <w:rPr>
          <w:noProof/>
        </w:rPr>
        <w:fldChar w:fldCharType="begin"/>
      </w:r>
      <w:r w:rsidR="00690141">
        <w:rPr>
          <w:noProof/>
        </w:rPr>
        <w:instrText xml:space="preserve"> PAGEREF _Toc282704171 \h </w:instrText>
      </w:r>
      <w:r w:rsidR="00690141">
        <w:rPr>
          <w:noProof/>
        </w:rPr>
      </w:r>
      <w:r w:rsidR="00690141">
        <w:rPr>
          <w:noProof/>
        </w:rPr>
        <w:fldChar w:fldCharType="separate"/>
      </w:r>
      <w:r w:rsidR="00243E3B">
        <w:rPr>
          <w:noProof/>
        </w:rPr>
        <w:t>6</w:t>
      </w:r>
      <w:r w:rsidR="00690141">
        <w:rPr>
          <w:noProof/>
        </w:rPr>
        <w:fldChar w:fldCharType="end"/>
      </w:r>
    </w:p>
    <w:p w14:paraId="4E2B5102" w14:textId="77777777" w:rsidR="00690141" w:rsidRDefault="00690141">
      <w:pPr>
        <w:pStyle w:val="TOC1"/>
        <w:tabs>
          <w:tab w:val="left" w:pos="346"/>
        </w:tabs>
        <w:rPr>
          <w:rFonts w:asciiTheme="minorHAnsi" w:eastAsiaTheme="minorEastAsia" w:hAnsiTheme="minorHAnsi" w:cstheme="minorBidi"/>
          <w:b w:val="0"/>
          <w:noProof/>
          <w:spacing w:val="0"/>
          <w:sz w:val="24"/>
          <w:szCs w:val="24"/>
          <w:lang w:eastAsia="ja-JP"/>
        </w:rPr>
      </w:pPr>
      <w:r>
        <w:rPr>
          <w:noProof/>
        </w:rPr>
        <w:t>2</w:t>
      </w:r>
      <w:r>
        <w:rPr>
          <w:rFonts w:asciiTheme="minorHAnsi" w:eastAsiaTheme="minorEastAsia" w:hAnsiTheme="minorHAnsi" w:cstheme="minorBidi"/>
          <w:b w:val="0"/>
          <w:noProof/>
          <w:spacing w:val="0"/>
          <w:sz w:val="24"/>
          <w:szCs w:val="24"/>
          <w:lang w:eastAsia="ja-JP"/>
        </w:rPr>
        <w:tab/>
      </w:r>
      <w:r>
        <w:rPr>
          <w:noProof/>
        </w:rPr>
        <w:t>Background</w:t>
      </w:r>
      <w:r>
        <w:rPr>
          <w:noProof/>
        </w:rPr>
        <w:tab/>
      </w:r>
      <w:r>
        <w:rPr>
          <w:noProof/>
        </w:rPr>
        <w:fldChar w:fldCharType="begin"/>
      </w:r>
      <w:r>
        <w:rPr>
          <w:noProof/>
        </w:rPr>
        <w:instrText xml:space="preserve"> PAGEREF _Toc282704172 \h </w:instrText>
      </w:r>
      <w:r>
        <w:rPr>
          <w:noProof/>
        </w:rPr>
      </w:r>
      <w:r>
        <w:rPr>
          <w:noProof/>
        </w:rPr>
        <w:fldChar w:fldCharType="separate"/>
      </w:r>
      <w:r w:rsidR="00243E3B">
        <w:rPr>
          <w:noProof/>
        </w:rPr>
        <w:t>8</w:t>
      </w:r>
      <w:r>
        <w:rPr>
          <w:noProof/>
        </w:rPr>
        <w:fldChar w:fldCharType="end"/>
      </w:r>
    </w:p>
    <w:p w14:paraId="6ECF9D3B" w14:textId="77777777" w:rsidR="00690141" w:rsidRDefault="00690141">
      <w:pPr>
        <w:pStyle w:val="TOC1"/>
        <w:tabs>
          <w:tab w:val="left" w:pos="346"/>
        </w:tabs>
        <w:rPr>
          <w:rFonts w:asciiTheme="minorHAnsi" w:eastAsiaTheme="minorEastAsia" w:hAnsiTheme="minorHAnsi" w:cstheme="minorBidi"/>
          <w:b w:val="0"/>
          <w:noProof/>
          <w:spacing w:val="0"/>
          <w:sz w:val="24"/>
          <w:szCs w:val="24"/>
          <w:lang w:eastAsia="ja-JP"/>
        </w:rPr>
      </w:pPr>
      <w:r>
        <w:rPr>
          <w:noProof/>
        </w:rPr>
        <w:t>3</w:t>
      </w:r>
      <w:r>
        <w:rPr>
          <w:rFonts w:asciiTheme="minorHAnsi" w:eastAsiaTheme="minorEastAsia" w:hAnsiTheme="minorHAnsi" w:cstheme="minorBidi"/>
          <w:b w:val="0"/>
          <w:noProof/>
          <w:spacing w:val="0"/>
          <w:sz w:val="24"/>
          <w:szCs w:val="24"/>
          <w:lang w:eastAsia="ja-JP"/>
        </w:rPr>
        <w:tab/>
      </w:r>
      <w:r>
        <w:rPr>
          <w:noProof/>
        </w:rPr>
        <w:t>Legislative framework</w:t>
      </w:r>
      <w:r>
        <w:rPr>
          <w:noProof/>
        </w:rPr>
        <w:tab/>
      </w:r>
      <w:r>
        <w:rPr>
          <w:noProof/>
        </w:rPr>
        <w:fldChar w:fldCharType="begin"/>
      </w:r>
      <w:r>
        <w:rPr>
          <w:noProof/>
        </w:rPr>
        <w:instrText xml:space="preserve"> PAGEREF _Toc282704173 \h </w:instrText>
      </w:r>
      <w:r>
        <w:rPr>
          <w:noProof/>
        </w:rPr>
      </w:r>
      <w:r>
        <w:rPr>
          <w:noProof/>
        </w:rPr>
        <w:fldChar w:fldCharType="separate"/>
      </w:r>
      <w:r w:rsidR="00243E3B">
        <w:rPr>
          <w:noProof/>
        </w:rPr>
        <w:t>9</w:t>
      </w:r>
      <w:r>
        <w:rPr>
          <w:noProof/>
        </w:rPr>
        <w:fldChar w:fldCharType="end"/>
      </w:r>
    </w:p>
    <w:p w14:paraId="2DCFC2AB" w14:textId="77777777" w:rsidR="00690141" w:rsidRDefault="00690141">
      <w:pPr>
        <w:pStyle w:val="TOC2"/>
        <w:tabs>
          <w:tab w:val="left" w:pos="741"/>
          <w:tab w:val="right" w:leader="dot" w:pos="9060"/>
        </w:tabs>
        <w:rPr>
          <w:rFonts w:asciiTheme="minorHAnsi" w:eastAsiaTheme="minorEastAsia" w:hAnsiTheme="minorHAnsi" w:cstheme="minorBidi"/>
          <w:b w:val="0"/>
          <w:i w:val="0"/>
          <w:noProof/>
          <w:spacing w:val="0"/>
          <w:sz w:val="24"/>
          <w:szCs w:val="24"/>
          <w:lang w:eastAsia="ja-JP"/>
        </w:rPr>
      </w:pPr>
      <w:r>
        <w:rPr>
          <w:noProof/>
        </w:rPr>
        <w:t>3.1</w:t>
      </w:r>
      <w:r>
        <w:rPr>
          <w:rFonts w:asciiTheme="minorHAnsi" w:eastAsiaTheme="minorEastAsia" w:hAnsiTheme="minorHAnsi" w:cstheme="minorBidi"/>
          <w:b w:val="0"/>
          <w:i w:val="0"/>
          <w:noProof/>
          <w:spacing w:val="0"/>
          <w:sz w:val="24"/>
          <w:szCs w:val="24"/>
          <w:lang w:eastAsia="ja-JP"/>
        </w:rPr>
        <w:tab/>
      </w:r>
      <w:r>
        <w:rPr>
          <w:noProof/>
        </w:rPr>
        <w:t>Functions of the Commission</w:t>
      </w:r>
      <w:r>
        <w:rPr>
          <w:noProof/>
        </w:rPr>
        <w:tab/>
      </w:r>
      <w:r>
        <w:rPr>
          <w:noProof/>
        </w:rPr>
        <w:fldChar w:fldCharType="begin"/>
      </w:r>
      <w:r>
        <w:rPr>
          <w:noProof/>
        </w:rPr>
        <w:instrText xml:space="preserve"> PAGEREF _Toc282704174 \h </w:instrText>
      </w:r>
      <w:r>
        <w:rPr>
          <w:noProof/>
        </w:rPr>
      </w:r>
      <w:r>
        <w:rPr>
          <w:noProof/>
        </w:rPr>
        <w:fldChar w:fldCharType="separate"/>
      </w:r>
      <w:r w:rsidR="00243E3B">
        <w:rPr>
          <w:noProof/>
        </w:rPr>
        <w:t>9</w:t>
      </w:r>
      <w:r>
        <w:rPr>
          <w:noProof/>
        </w:rPr>
        <w:fldChar w:fldCharType="end"/>
      </w:r>
    </w:p>
    <w:p w14:paraId="166BD2B2" w14:textId="77777777" w:rsidR="00690141" w:rsidRDefault="00690141">
      <w:pPr>
        <w:pStyle w:val="TOC2"/>
        <w:tabs>
          <w:tab w:val="left" w:pos="741"/>
          <w:tab w:val="right" w:leader="dot" w:pos="9060"/>
        </w:tabs>
        <w:rPr>
          <w:rFonts w:asciiTheme="minorHAnsi" w:eastAsiaTheme="minorEastAsia" w:hAnsiTheme="minorHAnsi" w:cstheme="minorBidi"/>
          <w:b w:val="0"/>
          <w:i w:val="0"/>
          <w:noProof/>
          <w:spacing w:val="0"/>
          <w:sz w:val="24"/>
          <w:szCs w:val="24"/>
          <w:lang w:eastAsia="ja-JP"/>
        </w:rPr>
      </w:pPr>
      <w:r>
        <w:rPr>
          <w:noProof/>
        </w:rPr>
        <w:t>3.2</w:t>
      </w:r>
      <w:r>
        <w:rPr>
          <w:rFonts w:asciiTheme="minorHAnsi" w:eastAsiaTheme="minorEastAsia" w:hAnsiTheme="minorHAnsi" w:cstheme="minorBidi"/>
          <w:b w:val="0"/>
          <w:i w:val="0"/>
          <w:noProof/>
          <w:spacing w:val="0"/>
          <w:sz w:val="24"/>
          <w:szCs w:val="24"/>
          <w:lang w:eastAsia="ja-JP"/>
        </w:rPr>
        <w:tab/>
      </w:r>
      <w:r>
        <w:rPr>
          <w:noProof/>
        </w:rPr>
        <w:t>What is a ‘human right’?</w:t>
      </w:r>
      <w:r>
        <w:rPr>
          <w:noProof/>
        </w:rPr>
        <w:tab/>
      </w:r>
      <w:r>
        <w:rPr>
          <w:noProof/>
        </w:rPr>
        <w:fldChar w:fldCharType="begin"/>
      </w:r>
      <w:r>
        <w:rPr>
          <w:noProof/>
        </w:rPr>
        <w:instrText xml:space="preserve"> PAGEREF _Toc282704175 \h </w:instrText>
      </w:r>
      <w:r>
        <w:rPr>
          <w:noProof/>
        </w:rPr>
      </w:r>
      <w:r>
        <w:rPr>
          <w:noProof/>
        </w:rPr>
        <w:fldChar w:fldCharType="separate"/>
      </w:r>
      <w:r w:rsidR="00243E3B">
        <w:rPr>
          <w:noProof/>
        </w:rPr>
        <w:t>9</w:t>
      </w:r>
      <w:r>
        <w:rPr>
          <w:noProof/>
        </w:rPr>
        <w:fldChar w:fldCharType="end"/>
      </w:r>
    </w:p>
    <w:p w14:paraId="417EAF76" w14:textId="77777777" w:rsidR="00690141" w:rsidRDefault="00690141">
      <w:pPr>
        <w:pStyle w:val="TOC2"/>
        <w:tabs>
          <w:tab w:val="left" w:pos="741"/>
          <w:tab w:val="right" w:leader="dot" w:pos="9060"/>
        </w:tabs>
        <w:rPr>
          <w:rFonts w:asciiTheme="minorHAnsi" w:eastAsiaTheme="minorEastAsia" w:hAnsiTheme="minorHAnsi" w:cstheme="minorBidi"/>
          <w:b w:val="0"/>
          <w:i w:val="0"/>
          <w:noProof/>
          <w:spacing w:val="0"/>
          <w:sz w:val="24"/>
          <w:szCs w:val="24"/>
          <w:lang w:eastAsia="ja-JP"/>
        </w:rPr>
      </w:pPr>
      <w:r>
        <w:rPr>
          <w:noProof/>
        </w:rPr>
        <w:t>3.3</w:t>
      </w:r>
      <w:r>
        <w:rPr>
          <w:rFonts w:asciiTheme="minorHAnsi" w:eastAsiaTheme="minorEastAsia" w:hAnsiTheme="minorHAnsi" w:cstheme="minorBidi"/>
          <w:b w:val="0"/>
          <w:i w:val="0"/>
          <w:noProof/>
          <w:spacing w:val="0"/>
          <w:sz w:val="24"/>
          <w:szCs w:val="24"/>
          <w:lang w:eastAsia="ja-JP"/>
        </w:rPr>
        <w:tab/>
      </w:r>
      <w:r>
        <w:rPr>
          <w:noProof/>
        </w:rPr>
        <w:t>What is an ‘act’ or ‘practice’?</w:t>
      </w:r>
      <w:r>
        <w:rPr>
          <w:noProof/>
        </w:rPr>
        <w:tab/>
      </w:r>
      <w:r>
        <w:rPr>
          <w:noProof/>
        </w:rPr>
        <w:fldChar w:fldCharType="begin"/>
      </w:r>
      <w:r>
        <w:rPr>
          <w:noProof/>
        </w:rPr>
        <w:instrText xml:space="preserve"> PAGEREF _Toc282704176 \h </w:instrText>
      </w:r>
      <w:r>
        <w:rPr>
          <w:noProof/>
        </w:rPr>
      </w:r>
      <w:r>
        <w:rPr>
          <w:noProof/>
        </w:rPr>
        <w:fldChar w:fldCharType="separate"/>
      </w:r>
      <w:r w:rsidR="00243E3B">
        <w:rPr>
          <w:noProof/>
        </w:rPr>
        <w:t>10</w:t>
      </w:r>
      <w:r>
        <w:rPr>
          <w:noProof/>
        </w:rPr>
        <w:fldChar w:fldCharType="end"/>
      </w:r>
    </w:p>
    <w:p w14:paraId="341E0F92" w14:textId="77777777" w:rsidR="00690141" w:rsidRDefault="00690141">
      <w:pPr>
        <w:pStyle w:val="TOC1"/>
        <w:tabs>
          <w:tab w:val="left" w:pos="346"/>
        </w:tabs>
        <w:rPr>
          <w:rFonts w:asciiTheme="minorHAnsi" w:eastAsiaTheme="minorEastAsia" w:hAnsiTheme="minorHAnsi" w:cstheme="minorBidi"/>
          <w:b w:val="0"/>
          <w:noProof/>
          <w:spacing w:val="0"/>
          <w:sz w:val="24"/>
          <w:szCs w:val="24"/>
          <w:lang w:eastAsia="ja-JP"/>
        </w:rPr>
      </w:pPr>
      <w:r>
        <w:rPr>
          <w:noProof/>
        </w:rPr>
        <w:t>4</w:t>
      </w:r>
      <w:r>
        <w:rPr>
          <w:rFonts w:asciiTheme="minorHAnsi" w:eastAsiaTheme="minorEastAsia" w:hAnsiTheme="minorHAnsi" w:cstheme="minorBidi"/>
          <w:b w:val="0"/>
          <w:noProof/>
          <w:spacing w:val="0"/>
          <w:sz w:val="24"/>
          <w:szCs w:val="24"/>
          <w:lang w:eastAsia="ja-JP"/>
        </w:rPr>
        <w:tab/>
      </w:r>
      <w:r>
        <w:rPr>
          <w:noProof/>
        </w:rPr>
        <w:t>The complaints</w:t>
      </w:r>
      <w:r>
        <w:rPr>
          <w:noProof/>
        </w:rPr>
        <w:tab/>
      </w:r>
      <w:r>
        <w:rPr>
          <w:noProof/>
        </w:rPr>
        <w:fldChar w:fldCharType="begin"/>
      </w:r>
      <w:r>
        <w:rPr>
          <w:noProof/>
        </w:rPr>
        <w:instrText xml:space="preserve"> PAGEREF _Toc282704177 \h </w:instrText>
      </w:r>
      <w:r>
        <w:rPr>
          <w:noProof/>
        </w:rPr>
      </w:r>
      <w:r>
        <w:rPr>
          <w:noProof/>
        </w:rPr>
        <w:fldChar w:fldCharType="separate"/>
      </w:r>
      <w:r w:rsidR="00243E3B">
        <w:rPr>
          <w:noProof/>
        </w:rPr>
        <w:t>10</w:t>
      </w:r>
      <w:r>
        <w:rPr>
          <w:noProof/>
        </w:rPr>
        <w:fldChar w:fldCharType="end"/>
      </w:r>
    </w:p>
    <w:p w14:paraId="00481561" w14:textId="77777777" w:rsidR="00690141" w:rsidRDefault="00690141">
      <w:pPr>
        <w:pStyle w:val="TOC1"/>
        <w:tabs>
          <w:tab w:val="left" w:pos="346"/>
        </w:tabs>
        <w:rPr>
          <w:rFonts w:asciiTheme="minorHAnsi" w:eastAsiaTheme="minorEastAsia" w:hAnsiTheme="minorHAnsi" w:cstheme="minorBidi"/>
          <w:b w:val="0"/>
          <w:noProof/>
          <w:spacing w:val="0"/>
          <w:sz w:val="24"/>
          <w:szCs w:val="24"/>
          <w:lang w:eastAsia="ja-JP"/>
        </w:rPr>
      </w:pPr>
      <w:r>
        <w:rPr>
          <w:noProof/>
        </w:rPr>
        <w:t>5</w:t>
      </w:r>
      <w:r>
        <w:rPr>
          <w:rFonts w:asciiTheme="minorHAnsi" w:eastAsiaTheme="minorEastAsia" w:hAnsiTheme="minorHAnsi" w:cstheme="minorBidi"/>
          <w:b w:val="0"/>
          <w:noProof/>
          <w:spacing w:val="0"/>
          <w:sz w:val="24"/>
          <w:szCs w:val="24"/>
          <w:lang w:eastAsia="ja-JP"/>
        </w:rPr>
        <w:tab/>
      </w:r>
      <w:r>
        <w:rPr>
          <w:noProof/>
        </w:rPr>
        <w:t>Arbitrary detention</w:t>
      </w:r>
      <w:r>
        <w:rPr>
          <w:noProof/>
        </w:rPr>
        <w:tab/>
      </w:r>
      <w:r>
        <w:rPr>
          <w:noProof/>
        </w:rPr>
        <w:fldChar w:fldCharType="begin"/>
      </w:r>
      <w:r>
        <w:rPr>
          <w:noProof/>
        </w:rPr>
        <w:instrText xml:space="preserve"> PAGEREF _Toc282704178 \h </w:instrText>
      </w:r>
      <w:r>
        <w:rPr>
          <w:noProof/>
        </w:rPr>
      </w:r>
      <w:r>
        <w:rPr>
          <w:noProof/>
        </w:rPr>
        <w:fldChar w:fldCharType="separate"/>
      </w:r>
      <w:r w:rsidR="00243E3B">
        <w:rPr>
          <w:noProof/>
        </w:rPr>
        <w:t>11</w:t>
      </w:r>
      <w:r>
        <w:rPr>
          <w:noProof/>
        </w:rPr>
        <w:fldChar w:fldCharType="end"/>
      </w:r>
    </w:p>
    <w:p w14:paraId="6868ECB3" w14:textId="77777777" w:rsidR="00690141" w:rsidRDefault="00690141">
      <w:pPr>
        <w:pStyle w:val="TOC2"/>
        <w:tabs>
          <w:tab w:val="left" w:pos="741"/>
          <w:tab w:val="right" w:leader="dot" w:pos="9060"/>
        </w:tabs>
        <w:rPr>
          <w:rFonts w:asciiTheme="minorHAnsi" w:eastAsiaTheme="minorEastAsia" w:hAnsiTheme="minorHAnsi" w:cstheme="minorBidi"/>
          <w:b w:val="0"/>
          <w:i w:val="0"/>
          <w:noProof/>
          <w:spacing w:val="0"/>
          <w:sz w:val="24"/>
          <w:szCs w:val="24"/>
          <w:lang w:eastAsia="ja-JP"/>
        </w:rPr>
      </w:pPr>
      <w:r>
        <w:rPr>
          <w:noProof/>
        </w:rPr>
        <w:t>5.1</w:t>
      </w:r>
      <w:r>
        <w:rPr>
          <w:rFonts w:asciiTheme="minorHAnsi" w:eastAsiaTheme="minorEastAsia" w:hAnsiTheme="minorHAnsi" w:cstheme="minorBidi"/>
          <w:b w:val="0"/>
          <w:i w:val="0"/>
          <w:noProof/>
          <w:spacing w:val="0"/>
          <w:sz w:val="24"/>
          <w:szCs w:val="24"/>
          <w:lang w:eastAsia="ja-JP"/>
        </w:rPr>
        <w:tab/>
      </w:r>
      <w:r>
        <w:rPr>
          <w:noProof/>
        </w:rPr>
        <w:t>Act 1: Failure by the department to ask ASIO in a timely manner to assess the individual suitability of the complainants for community based detention while awaiting their security clearance</w:t>
      </w:r>
      <w:r>
        <w:rPr>
          <w:noProof/>
        </w:rPr>
        <w:tab/>
      </w:r>
      <w:r>
        <w:rPr>
          <w:noProof/>
        </w:rPr>
        <w:fldChar w:fldCharType="begin"/>
      </w:r>
      <w:r>
        <w:rPr>
          <w:noProof/>
        </w:rPr>
        <w:instrText xml:space="preserve"> PAGEREF _Toc282704179 \h </w:instrText>
      </w:r>
      <w:r>
        <w:rPr>
          <w:noProof/>
        </w:rPr>
      </w:r>
      <w:r>
        <w:rPr>
          <w:noProof/>
        </w:rPr>
        <w:fldChar w:fldCharType="separate"/>
      </w:r>
      <w:r w:rsidR="00243E3B">
        <w:rPr>
          <w:noProof/>
        </w:rPr>
        <w:t>12</w:t>
      </w:r>
      <w:r>
        <w:rPr>
          <w:noProof/>
        </w:rPr>
        <w:fldChar w:fldCharType="end"/>
      </w:r>
    </w:p>
    <w:p w14:paraId="1C4D6D4B" w14:textId="77777777" w:rsidR="00690141" w:rsidRDefault="00690141">
      <w:pPr>
        <w:pStyle w:val="TOC2"/>
        <w:tabs>
          <w:tab w:val="left" w:pos="741"/>
          <w:tab w:val="right" w:leader="dot" w:pos="9060"/>
        </w:tabs>
        <w:rPr>
          <w:rFonts w:asciiTheme="minorHAnsi" w:eastAsiaTheme="minorEastAsia" w:hAnsiTheme="minorHAnsi" w:cstheme="minorBidi"/>
          <w:b w:val="0"/>
          <w:i w:val="0"/>
          <w:noProof/>
          <w:spacing w:val="0"/>
          <w:sz w:val="24"/>
          <w:szCs w:val="24"/>
          <w:lang w:eastAsia="ja-JP"/>
        </w:rPr>
      </w:pPr>
      <w:r>
        <w:rPr>
          <w:noProof/>
        </w:rPr>
        <w:t>5.2</w:t>
      </w:r>
      <w:r>
        <w:rPr>
          <w:rFonts w:asciiTheme="minorHAnsi" w:eastAsiaTheme="minorEastAsia" w:hAnsiTheme="minorHAnsi" w:cstheme="minorBidi"/>
          <w:b w:val="0"/>
          <w:i w:val="0"/>
          <w:noProof/>
          <w:spacing w:val="0"/>
          <w:sz w:val="24"/>
          <w:szCs w:val="24"/>
          <w:lang w:eastAsia="ja-JP"/>
        </w:rPr>
        <w:tab/>
      </w:r>
      <w:r>
        <w:rPr>
          <w:noProof/>
        </w:rPr>
        <w:t>Act 2: Failure to assess on an individual basis whether the circumstances of each complainant indicated that they could be placed in less restrictive forms of detention</w:t>
      </w:r>
      <w:r>
        <w:rPr>
          <w:noProof/>
        </w:rPr>
        <w:tab/>
      </w:r>
      <w:r>
        <w:rPr>
          <w:noProof/>
        </w:rPr>
        <w:fldChar w:fldCharType="begin"/>
      </w:r>
      <w:r>
        <w:rPr>
          <w:noProof/>
        </w:rPr>
        <w:instrText xml:space="preserve"> PAGEREF _Toc282704180 \h </w:instrText>
      </w:r>
      <w:r>
        <w:rPr>
          <w:noProof/>
        </w:rPr>
      </w:r>
      <w:r>
        <w:rPr>
          <w:noProof/>
        </w:rPr>
        <w:fldChar w:fldCharType="separate"/>
      </w:r>
      <w:r w:rsidR="00243E3B">
        <w:rPr>
          <w:noProof/>
        </w:rPr>
        <w:t>14</w:t>
      </w:r>
      <w:r>
        <w:rPr>
          <w:noProof/>
        </w:rPr>
        <w:fldChar w:fldCharType="end"/>
      </w:r>
    </w:p>
    <w:p w14:paraId="61668513" w14:textId="77777777" w:rsidR="00690141" w:rsidRDefault="00690141">
      <w:pPr>
        <w:pStyle w:val="TOC2"/>
        <w:tabs>
          <w:tab w:val="left" w:pos="741"/>
          <w:tab w:val="right" w:leader="dot" w:pos="9060"/>
        </w:tabs>
        <w:rPr>
          <w:rFonts w:asciiTheme="minorHAnsi" w:eastAsiaTheme="minorEastAsia" w:hAnsiTheme="minorHAnsi" w:cstheme="minorBidi"/>
          <w:b w:val="0"/>
          <w:i w:val="0"/>
          <w:noProof/>
          <w:spacing w:val="0"/>
          <w:sz w:val="24"/>
          <w:szCs w:val="24"/>
          <w:lang w:eastAsia="ja-JP"/>
        </w:rPr>
      </w:pPr>
      <w:r>
        <w:rPr>
          <w:noProof/>
        </w:rPr>
        <w:t>5.3</w:t>
      </w:r>
      <w:r>
        <w:rPr>
          <w:rFonts w:asciiTheme="minorHAnsi" w:eastAsiaTheme="minorEastAsia" w:hAnsiTheme="minorHAnsi" w:cstheme="minorBidi"/>
          <w:b w:val="0"/>
          <w:i w:val="0"/>
          <w:noProof/>
          <w:spacing w:val="0"/>
          <w:sz w:val="24"/>
          <w:szCs w:val="24"/>
          <w:lang w:eastAsia="ja-JP"/>
        </w:rPr>
        <w:tab/>
      </w:r>
      <w:r>
        <w:rPr>
          <w:noProof/>
        </w:rPr>
        <w:t>Third country resettlement</w:t>
      </w:r>
      <w:r>
        <w:rPr>
          <w:noProof/>
        </w:rPr>
        <w:tab/>
      </w:r>
      <w:r>
        <w:rPr>
          <w:noProof/>
        </w:rPr>
        <w:fldChar w:fldCharType="begin"/>
      </w:r>
      <w:r>
        <w:rPr>
          <w:noProof/>
        </w:rPr>
        <w:instrText xml:space="preserve"> PAGEREF _Toc282704181 \h </w:instrText>
      </w:r>
      <w:r>
        <w:rPr>
          <w:noProof/>
        </w:rPr>
      </w:r>
      <w:r>
        <w:rPr>
          <w:noProof/>
        </w:rPr>
        <w:fldChar w:fldCharType="separate"/>
      </w:r>
      <w:r w:rsidR="00243E3B">
        <w:rPr>
          <w:noProof/>
        </w:rPr>
        <w:t>15</w:t>
      </w:r>
      <w:r>
        <w:rPr>
          <w:noProof/>
        </w:rPr>
        <w:fldChar w:fldCharType="end"/>
      </w:r>
    </w:p>
    <w:p w14:paraId="350C17E6" w14:textId="77777777" w:rsidR="00690141" w:rsidRDefault="00690141">
      <w:pPr>
        <w:pStyle w:val="TOC1"/>
        <w:tabs>
          <w:tab w:val="left" w:pos="346"/>
        </w:tabs>
        <w:rPr>
          <w:rFonts w:asciiTheme="minorHAnsi" w:eastAsiaTheme="minorEastAsia" w:hAnsiTheme="minorHAnsi" w:cstheme="minorBidi"/>
          <w:b w:val="0"/>
          <w:noProof/>
          <w:spacing w:val="0"/>
          <w:sz w:val="24"/>
          <w:szCs w:val="24"/>
          <w:lang w:eastAsia="ja-JP"/>
        </w:rPr>
      </w:pPr>
      <w:r>
        <w:rPr>
          <w:noProof/>
        </w:rPr>
        <w:t>6</w:t>
      </w:r>
      <w:r>
        <w:rPr>
          <w:rFonts w:asciiTheme="minorHAnsi" w:eastAsiaTheme="minorEastAsia" w:hAnsiTheme="minorHAnsi" w:cstheme="minorBidi"/>
          <w:b w:val="0"/>
          <w:noProof/>
          <w:spacing w:val="0"/>
          <w:sz w:val="24"/>
          <w:szCs w:val="24"/>
          <w:lang w:eastAsia="ja-JP"/>
        </w:rPr>
        <w:tab/>
      </w:r>
      <w:r>
        <w:rPr>
          <w:noProof/>
        </w:rPr>
        <w:t>Articles 17(1) and 23(1) of the ICCPR – complaint by Mr GE</w:t>
      </w:r>
      <w:r>
        <w:rPr>
          <w:noProof/>
        </w:rPr>
        <w:tab/>
      </w:r>
      <w:r>
        <w:rPr>
          <w:noProof/>
        </w:rPr>
        <w:fldChar w:fldCharType="begin"/>
      </w:r>
      <w:r>
        <w:rPr>
          <w:noProof/>
        </w:rPr>
        <w:instrText xml:space="preserve"> PAGEREF _Toc282704182 \h </w:instrText>
      </w:r>
      <w:r>
        <w:rPr>
          <w:noProof/>
        </w:rPr>
      </w:r>
      <w:r>
        <w:rPr>
          <w:noProof/>
        </w:rPr>
        <w:fldChar w:fldCharType="separate"/>
      </w:r>
      <w:r w:rsidR="00243E3B">
        <w:rPr>
          <w:noProof/>
        </w:rPr>
        <w:t>16</w:t>
      </w:r>
      <w:r>
        <w:rPr>
          <w:noProof/>
        </w:rPr>
        <w:fldChar w:fldCharType="end"/>
      </w:r>
    </w:p>
    <w:p w14:paraId="2BFD9EE8" w14:textId="77777777" w:rsidR="00690141" w:rsidRDefault="00690141">
      <w:pPr>
        <w:pStyle w:val="TOC1"/>
        <w:tabs>
          <w:tab w:val="left" w:pos="346"/>
        </w:tabs>
        <w:rPr>
          <w:rFonts w:asciiTheme="minorHAnsi" w:eastAsiaTheme="minorEastAsia" w:hAnsiTheme="minorHAnsi" w:cstheme="minorBidi"/>
          <w:b w:val="0"/>
          <w:noProof/>
          <w:spacing w:val="0"/>
          <w:sz w:val="24"/>
          <w:szCs w:val="24"/>
          <w:lang w:eastAsia="ja-JP"/>
        </w:rPr>
      </w:pPr>
      <w:r>
        <w:rPr>
          <w:noProof/>
        </w:rPr>
        <w:t>7</w:t>
      </w:r>
      <w:r>
        <w:rPr>
          <w:rFonts w:asciiTheme="minorHAnsi" w:eastAsiaTheme="minorEastAsia" w:hAnsiTheme="minorHAnsi" w:cstheme="minorBidi"/>
          <w:b w:val="0"/>
          <w:noProof/>
          <w:spacing w:val="0"/>
          <w:sz w:val="24"/>
          <w:szCs w:val="24"/>
          <w:lang w:eastAsia="ja-JP"/>
        </w:rPr>
        <w:tab/>
      </w:r>
      <w:r>
        <w:rPr>
          <w:noProof/>
        </w:rPr>
        <w:t>Article 7 of the ICCPR – complaint by Mr GG</w:t>
      </w:r>
      <w:r>
        <w:rPr>
          <w:noProof/>
        </w:rPr>
        <w:tab/>
      </w:r>
      <w:r>
        <w:rPr>
          <w:noProof/>
        </w:rPr>
        <w:fldChar w:fldCharType="begin"/>
      </w:r>
      <w:r>
        <w:rPr>
          <w:noProof/>
        </w:rPr>
        <w:instrText xml:space="preserve"> PAGEREF _Toc282704183 \h </w:instrText>
      </w:r>
      <w:r>
        <w:rPr>
          <w:noProof/>
        </w:rPr>
      </w:r>
      <w:r>
        <w:rPr>
          <w:noProof/>
        </w:rPr>
        <w:fldChar w:fldCharType="separate"/>
      </w:r>
      <w:r w:rsidR="00243E3B">
        <w:rPr>
          <w:noProof/>
        </w:rPr>
        <w:t>18</w:t>
      </w:r>
      <w:r>
        <w:rPr>
          <w:noProof/>
        </w:rPr>
        <w:fldChar w:fldCharType="end"/>
      </w:r>
    </w:p>
    <w:p w14:paraId="3BC607A4" w14:textId="77777777" w:rsidR="00690141" w:rsidRDefault="00690141">
      <w:pPr>
        <w:pStyle w:val="TOC1"/>
        <w:tabs>
          <w:tab w:val="left" w:pos="346"/>
        </w:tabs>
        <w:rPr>
          <w:rFonts w:asciiTheme="minorHAnsi" w:eastAsiaTheme="minorEastAsia" w:hAnsiTheme="minorHAnsi" w:cstheme="minorBidi"/>
          <w:b w:val="0"/>
          <w:noProof/>
          <w:spacing w:val="0"/>
          <w:sz w:val="24"/>
          <w:szCs w:val="24"/>
          <w:lang w:eastAsia="ja-JP"/>
        </w:rPr>
      </w:pPr>
      <w:r>
        <w:rPr>
          <w:noProof/>
        </w:rPr>
        <w:t>8</w:t>
      </w:r>
      <w:r>
        <w:rPr>
          <w:rFonts w:asciiTheme="minorHAnsi" w:eastAsiaTheme="minorEastAsia" w:hAnsiTheme="minorHAnsi" w:cstheme="minorBidi"/>
          <w:b w:val="0"/>
          <w:noProof/>
          <w:spacing w:val="0"/>
          <w:sz w:val="24"/>
          <w:szCs w:val="24"/>
          <w:lang w:eastAsia="ja-JP"/>
        </w:rPr>
        <w:tab/>
      </w:r>
      <w:r>
        <w:rPr>
          <w:noProof/>
        </w:rPr>
        <w:t>Conclusions and Recommendations</w:t>
      </w:r>
      <w:r>
        <w:rPr>
          <w:noProof/>
        </w:rPr>
        <w:tab/>
      </w:r>
      <w:r>
        <w:rPr>
          <w:noProof/>
        </w:rPr>
        <w:fldChar w:fldCharType="begin"/>
      </w:r>
      <w:r>
        <w:rPr>
          <w:noProof/>
        </w:rPr>
        <w:instrText xml:space="preserve"> PAGEREF _Toc282704184 \h </w:instrText>
      </w:r>
      <w:r>
        <w:rPr>
          <w:noProof/>
        </w:rPr>
      </w:r>
      <w:r>
        <w:rPr>
          <w:noProof/>
        </w:rPr>
        <w:fldChar w:fldCharType="separate"/>
      </w:r>
      <w:r w:rsidR="00243E3B">
        <w:rPr>
          <w:noProof/>
        </w:rPr>
        <w:t>20</w:t>
      </w:r>
      <w:r>
        <w:rPr>
          <w:noProof/>
        </w:rPr>
        <w:fldChar w:fldCharType="end"/>
      </w:r>
    </w:p>
    <w:p w14:paraId="372004DB" w14:textId="77777777" w:rsidR="00690141" w:rsidRDefault="00690141">
      <w:pPr>
        <w:pStyle w:val="TOC2"/>
        <w:tabs>
          <w:tab w:val="left" w:pos="741"/>
          <w:tab w:val="right" w:leader="dot" w:pos="9060"/>
        </w:tabs>
        <w:rPr>
          <w:rFonts w:asciiTheme="minorHAnsi" w:eastAsiaTheme="minorEastAsia" w:hAnsiTheme="minorHAnsi" w:cstheme="minorBidi"/>
          <w:b w:val="0"/>
          <w:i w:val="0"/>
          <w:noProof/>
          <w:spacing w:val="0"/>
          <w:sz w:val="24"/>
          <w:szCs w:val="24"/>
          <w:lang w:eastAsia="ja-JP"/>
        </w:rPr>
      </w:pPr>
      <w:r>
        <w:rPr>
          <w:noProof/>
        </w:rPr>
        <w:t>8.1</w:t>
      </w:r>
      <w:r>
        <w:rPr>
          <w:rFonts w:asciiTheme="minorHAnsi" w:eastAsiaTheme="minorEastAsia" w:hAnsiTheme="minorHAnsi" w:cstheme="minorBidi"/>
          <w:b w:val="0"/>
          <w:i w:val="0"/>
          <w:noProof/>
          <w:spacing w:val="0"/>
          <w:sz w:val="24"/>
          <w:szCs w:val="24"/>
          <w:lang w:eastAsia="ja-JP"/>
        </w:rPr>
        <w:tab/>
      </w:r>
      <w:r>
        <w:rPr>
          <w:noProof/>
        </w:rPr>
        <w:t>Conclusions</w:t>
      </w:r>
      <w:r>
        <w:rPr>
          <w:noProof/>
        </w:rPr>
        <w:tab/>
      </w:r>
      <w:r>
        <w:rPr>
          <w:noProof/>
        </w:rPr>
        <w:fldChar w:fldCharType="begin"/>
      </w:r>
      <w:r>
        <w:rPr>
          <w:noProof/>
        </w:rPr>
        <w:instrText xml:space="preserve"> PAGEREF _Toc282704185 \h </w:instrText>
      </w:r>
      <w:r>
        <w:rPr>
          <w:noProof/>
        </w:rPr>
      </w:r>
      <w:r>
        <w:rPr>
          <w:noProof/>
        </w:rPr>
        <w:fldChar w:fldCharType="separate"/>
      </w:r>
      <w:r w:rsidR="00243E3B">
        <w:rPr>
          <w:noProof/>
        </w:rPr>
        <w:t>20</w:t>
      </w:r>
      <w:r>
        <w:rPr>
          <w:noProof/>
        </w:rPr>
        <w:fldChar w:fldCharType="end"/>
      </w:r>
    </w:p>
    <w:p w14:paraId="62671D13" w14:textId="77777777" w:rsidR="00690141" w:rsidRDefault="00690141">
      <w:pPr>
        <w:pStyle w:val="TOC2"/>
        <w:tabs>
          <w:tab w:val="left" w:pos="741"/>
          <w:tab w:val="right" w:leader="dot" w:pos="9060"/>
        </w:tabs>
        <w:rPr>
          <w:rFonts w:asciiTheme="minorHAnsi" w:eastAsiaTheme="minorEastAsia" w:hAnsiTheme="minorHAnsi" w:cstheme="minorBidi"/>
          <w:b w:val="0"/>
          <w:i w:val="0"/>
          <w:noProof/>
          <w:spacing w:val="0"/>
          <w:sz w:val="24"/>
          <w:szCs w:val="24"/>
          <w:lang w:eastAsia="ja-JP"/>
        </w:rPr>
      </w:pPr>
      <w:r>
        <w:rPr>
          <w:noProof/>
        </w:rPr>
        <w:t>8.2</w:t>
      </w:r>
      <w:r>
        <w:rPr>
          <w:rFonts w:asciiTheme="minorHAnsi" w:eastAsiaTheme="minorEastAsia" w:hAnsiTheme="minorHAnsi" w:cstheme="minorBidi"/>
          <w:b w:val="0"/>
          <w:i w:val="0"/>
          <w:noProof/>
          <w:spacing w:val="0"/>
          <w:sz w:val="24"/>
          <w:szCs w:val="24"/>
          <w:lang w:eastAsia="ja-JP"/>
        </w:rPr>
        <w:tab/>
      </w:r>
      <w:r>
        <w:rPr>
          <w:noProof/>
        </w:rPr>
        <w:t>Independent review process</w:t>
      </w:r>
      <w:r>
        <w:rPr>
          <w:noProof/>
        </w:rPr>
        <w:tab/>
      </w:r>
      <w:r>
        <w:rPr>
          <w:noProof/>
        </w:rPr>
        <w:fldChar w:fldCharType="begin"/>
      </w:r>
      <w:r>
        <w:rPr>
          <w:noProof/>
        </w:rPr>
        <w:instrText xml:space="preserve"> PAGEREF _Toc282704186 \h </w:instrText>
      </w:r>
      <w:r>
        <w:rPr>
          <w:noProof/>
        </w:rPr>
      </w:r>
      <w:r>
        <w:rPr>
          <w:noProof/>
        </w:rPr>
        <w:fldChar w:fldCharType="separate"/>
      </w:r>
      <w:r w:rsidR="00243E3B">
        <w:rPr>
          <w:noProof/>
        </w:rPr>
        <w:t>20</w:t>
      </w:r>
      <w:r>
        <w:rPr>
          <w:noProof/>
        </w:rPr>
        <w:fldChar w:fldCharType="end"/>
      </w:r>
    </w:p>
    <w:p w14:paraId="28D341BD" w14:textId="77777777" w:rsidR="00690141" w:rsidRDefault="00690141">
      <w:pPr>
        <w:pStyle w:val="TOC2"/>
        <w:tabs>
          <w:tab w:val="left" w:pos="741"/>
          <w:tab w:val="right" w:leader="dot" w:pos="9060"/>
        </w:tabs>
        <w:rPr>
          <w:rFonts w:asciiTheme="minorHAnsi" w:eastAsiaTheme="minorEastAsia" w:hAnsiTheme="minorHAnsi" w:cstheme="minorBidi"/>
          <w:b w:val="0"/>
          <w:i w:val="0"/>
          <w:noProof/>
          <w:spacing w:val="0"/>
          <w:sz w:val="24"/>
          <w:szCs w:val="24"/>
          <w:lang w:eastAsia="ja-JP"/>
        </w:rPr>
      </w:pPr>
      <w:r>
        <w:rPr>
          <w:noProof/>
        </w:rPr>
        <w:t>8.3</w:t>
      </w:r>
      <w:r>
        <w:rPr>
          <w:rFonts w:asciiTheme="minorHAnsi" w:eastAsiaTheme="minorEastAsia" w:hAnsiTheme="minorHAnsi" w:cstheme="minorBidi"/>
          <w:b w:val="0"/>
          <w:i w:val="0"/>
          <w:noProof/>
          <w:spacing w:val="0"/>
          <w:sz w:val="24"/>
          <w:szCs w:val="24"/>
          <w:lang w:eastAsia="ja-JP"/>
        </w:rPr>
        <w:tab/>
      </w:r>
      <w:r>
        <w:rPr>
          <w:noProof/>
        </w:rPr>
        <w:t>Recommendation to the Minister</w:t>
      </w:r>
      <w:r>
        <w:rPr>
          <w:noProof/>
        </w:rPr>
        <w:tab/>
      </w:r>
      <w:r>
        <w:rPr>
          <w:noProof/>
        </w:rPr>
        <w:fldChar w:fldCharType="begin"/>
      </w:r>
      <w:r>
        <w:rPr>
          <w:noProof/>
        </w:rPr>
        <w:instrText xml:space="preserve"> PAGEREF _Toc282704187 \h </w:instrText>
      </w:r>
      <w:r>
        <w:rPr>
          <w:noProof/>
        </w:rPr>
      </w:r>
      <w:r>
        <w:rPr>
          <w:noProof/>
        </w:rPr>
        <w:fldChar w:fldCharType="separate"/>
      </w:r>
      <w:r w:rsidR="00243E3B">
        <w:rPr>
          <w:noProof/>
        </w:rPr>
        <w:t>22</w:t>
      </w:r>
      <w:r>
        <w:rPr>
          <w:noProof/>
        </w:rPr>
        <w:fldChar w:fldCharType="end"/>
      </w:r>
    </w:p>
    <w:p w14:paraId="4B8DAF59" w14:textId="77777777" w:rsidR="00690141" w:rsidRDefault="00690141">
      <w:pPr>
        <w:pStyle w:val="TOC2"/>
        <w:tabs>
          <w:tab w:val="left" w:pos="741"/>
          <w:tab w:val="right" w:leader="dot" w:pos="9060"/>
        </w:tabs>
        <w:rPr>
          <w:rFonts w:asciiTheme="minorHAnsi" w:eastAsiaTheme="minorEastAsia" w:hAnsiTheme="minorHAnsi" w:cstheme="minorBidi"/>
          <w:b w:val="0"/>
          <w:i w:val="0"/>
          <w:noProof/>
          <w:spacing w:val="0"/>
          <w:sz w:val="24"/>
          <w:szCs w:val="24"/>
          <w:lang w:eastAsia="ja-JP"/>
        </w:rPr>
      </w:pPr>
      <w:r>
        <w:rPr>
          <w:noProof/>
        </w:rPr>
        <w:t>8.4</w:t>
      </w:r>
      <w:r>
        <w:rPr>
          <w:rFonts w:asciiTheme="minorHAnsi" w:eastAsiaTheme="minorEastAsia" w:hAnsiTheme="minorHAnsi" w:cstheme="minorBidi"/>
          <w:b w:val="0"/>
          <w:i w:val="0"/>
          <w:noProof/>
          <w:spacing w:val="0"/>
          <w:sz w:val="24"/>
          <w:szCs w:val="24"/>
          <w:lang w:eastAsia="ja-JP"/>
        </w:rPr>
        <w:tab/>
      </w:r>
      <w:r>
        <w:rPr>
          <w:noProof/>
        </w:rPr>
        <w:t>Recommendations to the department</w:t>
      </w:r>
      <w:r>
        <w:rPr>
          <w:noProof/>
        </w:rPr>
        <w:tab/>
      </w:r>
      <w:r>
        <w:rPr>
          <w:noProof/>
        </w:rPr>
        <w:fldChar w:fldCharType="begin"/>
      </w:r>
      <w:r>
        <w:rPr>
          <w:noProof/>
        </w:rPr>
        <w:instrText xml:space="preserve"> PAGEREF _Toc282704188 \h </w:instrText>
      </w:r>
      <w:r>
        <w:rPr>
          <w:noProof/>
        </w:rPr>
      </w:r>
      <w:r>
        <w:rPr>
          <w:noProof/>
        </w:rPr>
        <w:fldChar w:fldCharType="separate"/>
      </w:r>
      <w:r w:rsidR="00243E3B">
        <w:rPr>
          <w:noProof/>
        </w:rPr>
        <w:t>23</w:t>
      </w:r>
      <w:r>
        <w:rPr>
          <w:noProof/>
        </w:rPr>
        <w:fldChar w:fldCharType="end"/>
      </w:r>
    </w:p>
    <w:p w14:paraId="158CD24F" w14:textId="77777777" w:rsidR="00690141" w:rsidRDefault="00690141">
      <w:pPr>
        <w:pStyle w:val="TOC1"/>
        <w:tabs>
          <w:tab w:val="left" w:pos="346"/>
        </w:tabs>
        <w:rPr>
          <w:rFonts w:asciiTheme="minorHAnsi" w:eastAsiaTheme="minorEastAsia" w:hAnsiTheme="minorHAnsi" w:cstheme="minorBidi"/>
          <w:b w:val="0"/>
          <w:noProof/>
          <w:spacing w:val="0"/>
          <w:sz w:val="24"/>
          <w:szCs w:val="24"/>
          <w:lang w:eastAsia="ja-JP"/>
        </w:rPr>
      </w:pPr>
      <w:r>
        <w:rPr>
          <w:noProof/>
          <w:lang w:eastAsia="en-AU"/>
        </w:rPr>
        <w:t>9</w:t>
      </w:r>
      <w:r>
        <w:rPr>
          <w:rFonts w:asciiTheme="minorHAnsi" w:eastAsiaTheme="minorEastAsia" w:hAnsiTheme="minorHAnsi" w:cstheme="minorBidi"/>
          <w:b w:val="0"/>
          <w:noProof/>
          <w:spacing w:val="0"/>
          <w:sz w:val="24"/>
          <w:szCs w:val="24"/>
          <w:lang w:eastAsia="ja-JP"/>
        </w:rPr>
        <w:tab/>
      </w:r>
      <w:r>
        <w:rPr>
          <w:noProof/>
          <w:lang w:eastAsia="en-AU"/>
        </w:rPr>
        <w:t>The Minister’s and department’s responses to my conclusions and recommendations</w:t>
      </w:r>
      <w:r>
        <w:rPr>
          <w:noProof/>
        </w:rPr>
        <w:tab/>
      </w:r>
      <w:r>
        <w:rPr>
          <w:noProof/>
        </w:rPr>
        <w:fldChar w:fldCharType="begin"/>
      </w:r>
      <w:r>
        <w:rPr>
          <w:noProof/>
        </w:rPr>
        <w:instrText xml:space="preserve"> PAGEREF _Toc282704189 \h </w:instrText>
      </w:r>
      <w:r>
        <w:rPr>
          <w:noProof/>
        </w:rPr>
      </w:r>
      <w:r>
        <w:rPr>
          <w:noProof/>
        </w:rPr>
        <w:fldChar w:fldCharType="separate"/>
      </w:r>
      <w:r w:rsidR="00243E3B">
        <w:rPr>
          <w:noProof/>
        </w:rPr>
        <w:t>25</w:t>
      </w:r>
      <w:r>
        <w:rPr>
          <w:noProof/>
        </w:rPr>
        <w:fldChar w:fldCharType="end"/>
      </w:r>
    </w:p>
    <w:p w14:paraId="566CE688" w14:textId="77777777" w:rsidR="00690141" w:rsidRDefault="00690141">
      <w:pPr>
        <w:pStyle w:val="TOC1"/>
        <w:rPr>
          <w:rFonts w:asciiTheme="minorHAnsi" w:eastAsiaTheme="minorEastAsia" w:hAnsiTheme="minorHAnsi" w:cstheme="minorBidi"/>
          <w:b w:val="0"/>
          <w:noProof/>
          <w:spacing w:val="0"/>
          <w:sz w:val="24"/>
          <w:szCs w:val="24"/>
          <w:lang w:eastAsia="ja-JP"/>
        </w:rPr>
      </w:pPr>
      <w:r>
        <w:rPr>
          <w:noProof/>
        </w:rPr>
        <w:t>Endnotes</w:t>
      </w:r>
      <w:r>
        <w:rPr>
          <w:noProof/>
        </w:rPr>
        <w:tab/>
      </w:r>
      <w:r>
        <w:rPr>
          <w:noProof/>
        </w:rPr>
        <w:fldChar w:fldCharType="begin"/>
      </w:r>
      <w:r>
        <w:rPr>
          <w:noProof/>
        </w:rPr>
        <w:instrText xml:space="preserve"> PAGEREF _Toc282704190 \h </w:instrText>
      </w:r>
      <w:r>
        <w:rPr>
          <w:noProof/>
        </w:rPr>
      </w:r>
      <w:r>
        <w:rPr>
          <w:noProof/>
        </w:rPr>
        <w:fldChar w:fldCharType="separate"/>
      </w:r>
      <w:r w:rsidR="00243E3B">
        <w:rPr>
          <w:noProof/>
        </w:rPr>
        <w:t>28</w:t>
      </w:r>
      <w:r>
        <w:rPr>
          <w:noProof/>
        </w:rPr>
        <w:fldChar w:fldCharType="end"/>
      </w:r>
    </w:p>
    <w:p w14:paraId="44CE8919" w14:textId="77777777" w:rsidR="00A61DAC" w:rsidRDefault="00A61DAC" w:rsidP="000201D7">
      <w:pPr>
        <w:spacing w:line="480" w:lineRule="auto"/>
        <w:rPr>
          <w:rFonts w:cs="Arial"/>
          <w:sz w:val="24"/>
          <w:szCs w:val="24"/>
        </w:rPr>
      </w:pPr>
      <w:r w:rsidRPr="005F64AF">
        <w:rPr>
          <w:rFonts w:cs="Arial"/>
          <w:b/>
          <w:sz w:val="24"/>
          <w:szCs w:val="24"/>
        </w:rPr>
        <w:fldChar w:fldCharType="end"/>
      </w:r>
    </w:p>
    <w:p w14:paraId="426E51C8" w14:textId="77777777" w:rsidR="005A5A0C" w:rsidRDefault="005A5A0C" w:rsidP="000201D7">
      <w:pPr>
        <w:spacing w:line="480" w:lineRule="auto"/>
        <w:rPr>
          <w:rFonts w:cs="Arial"/>
          <w:sz w:val="24"/>
          <w:szCs w:val="24"/>
        </w:rPr>
      </w:pPr>
    </w:p>
    <w:p w14:paraId="1D444D5C" w14:textId="77777777" w:rsidR="005A5A0C" w:rsidRDefault="005A5A0C">
      <w:pPr>
        <w:rPr>
          <w:rFonts w:cs="Arial"/>
          <w:sz w:val="24"/>
          <w:szCs w:val="24"/>
        </w:rPr>
      </w:pPr>
      <w:r>
        <w:rPr>
          <w:rFonts w:cs="Arial"/>
          <w:sz w:val="24"/>
          <w:szCs w:val="24"/>
        </w:rPr>
        <w:br w:type="page"/>
      </w:r>
    </w:p>
    <w:p w14:paraId="605884E2" w14:textId="77777777" w:rsidR="005A5A0C" w:rsidRPr="005A5A0C" w:rsidRDefault="008F738D" w:rsidP="005A5A0C">
      <w:pPr>
        <w:keepNext/>
        <w:spacing w:before="360"/>
        <w:rPr>
          <w:spacing w:val="0"/>
          <w:sz w:val="24"/>
          <w:szCs w:val="24"/>
          <w:lang w:eastAsia="en-AU"/>
        </w:rPr>
      </w:pPr>
      <w:r>
        <w:rPr>
          <w:spacing w:val="0"/>
          <w:sz w:val="24"/>
          <w:szCs w:val="24"/>
          <w:lang w:eastAsia="en-AU"/>
        </w:rPr>
        <w:lastRenderedPageBreak/>
        <w:t xml:space="preserve">18 </w:t>
      </w:r>
      <w:r w:rsidR="005A5A0C" w:rsidRPr="005A5A0C">
        <w:rPr>
          <w:spacing w:val="0"/>
          <w:sz w:val="24"/>
          <w:szCs w:val="24"/>
          <w:lang w:eastAsia="en-AU"/>
        </w:rPr>
        <w:t>November 2014</w:t>
      </w:r>
    </w:p>
    <w:p w14:paraId="3EEEB05D" w14:textId="77777777" w:rsidR="005A5A0C" w:rsidRPr="005A5A0C" w:rsidRDefault="005A5A0C" w:rsidP="005A5A0C">
      <w:pPr>
        <w:keepNext/>
        <w:spacing w:before="240"/>
        <w:rPr>
          <w:spacing w:val="0"/>
          <w:sz w:val="24"/>
          <w:szCs w:val="24"/>
          <w:lang w:eastAsia="en-AU"/>
        </w:rPr>
      </w:pPr>
      <w:r w:rsidRPr="005A5A0C">
        <w:rPr>
          <w:spacing w:val="0"/>
          <w:sz w:val="24"/>
          <w:szCs w:val="24"/>
          <w:lang w:eastAsia="en-AU"/>
        </w:rPr>
        <w:br/>
        <w:t>Senator the Hon. George Brandis QC</w:t>
      </w:r>
      <w:r w:rsidRPr="005A5A0C">
        <w:rPr>
          <w:spacing w:val="0"/>
          <w:sz w:val="24"/>
          <w:szCs w:val="24"/>
          <w:lang w:eastAsia="en-AU"/>
        </w:rPr>
        <w:br/>
        <w:t>Attorney-General</w:t>
      </w:r>
      <w:r w:rsidRPr="005A5A0C">
        <w:rPr>
          <w:spacing w:val="0"/>
          <w:sz w:val="24"/>
          <w:szCs w:val="24"/>
          <w:lang w:eastAsia="en-AU"/>
        </w:rPr>
        <w:br/>
        <w:t>Parliament House</w:t>
      </w:r>
      <w:r w:rsidRPr="005A5A0C">
        <w:rPr>
          <w:spacing w:val="0"/>
          <w:sz w:val="24"/>
          <w:szCs w:val="24"/>
          <w:lang w:eastAsia="en-AU"/>
        </w:rPr>
        <w:br/>
        <w:t>Canberra ACT 2600</w:t>
      </w:r>
    </w:p>
    <w:p w14:paraId="65F0A697" w14:textId="77777777" w:rsidR="00D77AE1" w:rsidRDefault="005A5A0C" w:rsidP="005A5A0C">
      <w:pPr>
        <w:keepNext/>
        <w:spacing w:before="240"/>
        <w:rPr>
          <w:rFonts w:cs="Arial"/>
          <w:sz w:val="24"/>
          <w:szCs w:val="24"/>
        </w:rPr>
      </w:pPr>
      <w:r w:rsidRPr="005A5A0C">
        <w:rPr>
          <w:spacing w:val="0"/>
          <w:sz w:val="24"/>
          <w:szCs w:val="24"/>
          <w:lang w:eastAsia="en-AU"/>
        </w:rPr>
        <w:br/>
        <w:t>Dear Attorney,</w:t>
      </w:r>
      <w:r w:rsidRPr="005A5A0C">
        <w:rPr>
          <w:spacing w:val="0"/>
          <w:sz w:val="24"/>
          <w:szCs w:val="24"/>
          <w:lang w:eastAsia="en-AU"/>
        </w:rPr>
        <w:br/>
      </w:r>
      <w:r w:rsidRPr="005A5A0C">
        <w:rPr>
          <w:spacing w:val="0"/>
          <w:sz w:val="24"/>
          <w:szCs w:val="24"/>
          <w:lang w:eastAsia="en-AU"/>
        </w:rPr>
        <w:br/>
        <w:t xml:space="preserve">I have completed my report pursuant to s 11(1)(f)(ii) of the </w:t>
      </w:r>
      <w:r w:rsidRPr="005A5A0C">
        <w:rPr>
          <w:i/>
          <w:spacing w:val="0"/>
          <w:sz w:val="24"/>
          <w:szCs w:val="24"/>
          <w:lang w:eastAsia="en-AU"/>
        </w:rPr>
        <w:t>Australian Human Rights Commission Act 1986</w:t>
      </w:r>
      <w:r w:rsidRPr="005A5A0C">
        <w:rPr>
          <w:spacing w:val="0"/>
          <w:sz w:val="24"/>
          <w:szCs w:val="24"/>
          <w:lang w:eastAsia="en-AU"/>
        </w:rPr>
        <w:t xml:space="preserve"> (Cth) into the complaint</w:t>
      </w:r>
      <w:r>
        <w:rPr>
          <w:spacing w:val="0"/>
          <w:sz w:val="24"/>
          <w:szCs w:val="24"/>
          <w:lang w:eastAsia="en-AU"/>
        </w:rPr>
        <w:t>s</w:t>
      </w:r>
      <w:r w:rsidRPr="005A5A0C">
        <w:rPr>
          <w:spacing w:val="0"/>
          <w:sz w:val="24"/>
          <w:szCs w:val="24"/>
          <w:lang w:eastAsia="en-AU"/>
        </w:rPr>
        <w:t xml:space="preserve"> made by </w:t>
      </w:r>
      <w:r w:rsidR="00D77AE1">
        <w:rPr>
          <w:rFonts w:cs="Arial"/>
          <w:sz w:val="24"/>
          <w:szCs w:val="24"/>
        </w:rPr>
        <w:t>10 people in immigration detention with adverse security assessments.</w:t>
      </w:r>
    </w:p>
    <w:p w14:paraId="5C33E1A5" w14:textId="77777777" w:rsidR="005B268C" w:rsidRDefault="00D77AE1" w:rsidP="005A5A0C">
      <w:pPr>
        <w:keepNext/>
        <w:spacing w:before="240"/>
        <w:rPr>
          <w:rFonts w:cs="Arial"/>
          <w:sz w:val="24"/>
          <w:szCs w:val="24"/>
        </w:rPr>
      </w:pPr>
      <w:r>
        <w:rPr>
          <w:rFonts w:cs="Arial"/>
          <w:sz w:val="24"/>
          <w:szCs w:val="24"/>
        </w:rPr>
        <w:t>I have found that the following acts of the Commonwealth resulted in arbitrary detention contrary to article 9(1)</w:t>
      </w:r>
      <w:r w:rsidR="005B268C">
        <w:rPr>
          <w:rFonts w:cs="Arial"/>
          <w:sz w:val="24"/>
          <w:szCs w:val="24"/>
        </w:rPr>
        <w:t xml:space="preserve"> of the </w:t>
      </w:r>
      <w:r w:rsidR="005B268C">
        <w:rPr>
          <w:rFonts w:cs="Arial"/>
          <w:i/>
          <w:sz w:val="24"/>
          <w:szCs w:val="24"/>
        </w:rPr>
        <w:t xml:space="preserve">International Covenant on Civil and Political Rights </w:t>
      </w:r>
      <w:r w:rsidR="005B268C">
        <w:rPr>
          <w:rFonts w:cs="Arial"/>
          <w:sz w:val="24"/>
          <w:szCs w:val="24"/>
        </w:rPr>
        <w:t>(ICCPR):</w:t>
      </w:r>
    </w:p>
    <w:p w14:paraId="4D645B45" w14:textId="77777777" w:rsidR="005B268C" w:rsidRPr="00065C3F" w:rsidRDefault="005B268C" w:rsidP="005B268C">
      <w:pPr>
        <w:numPr>
          <w:ilvl w:val="1"/>
          <w:numId w:val="7"/>
        </w:numPr>
        <w:tabs>
          <w:tab w:val="clear" w:pos="1440"/>
          <w:tab w:val="num" w:pos="1276"/>
        </w:tabs>
        <w:spacing w:before="240" w:after="240"/>
        <w:ind w:left="1276" w:hanging="567"/>
        <w:rPr>
          <w:sz w:val="32"/>
          <w:szCs w:val="24"/>
        </w:rPr>
      </w:pPr>
      <w:r w:rsidRPr="00065C3F">
        <w:rPr>
          <w:sz w:val="24"/>
        </w:rPr>
        <w:t xml:space="preserve">the failure by the </w:t>
      </w:r>
      <w:r>
        <w:rPr>
          <w:sz w:val="24"/>
        </w:rPr>
        <w:t>D</w:t>
      </w:r>
      <w:r w:rsidRPr="00065C3F">
        <w:rPr>
          <w:sz w:val="24"/>
        </w:rPr>
        <w:t>epartment</w:t>
      </w:r>
      <w:r>
        <w:rPr>
          <w:sz w:val="24"/>
        </w:rPr>
        <w:t xml:space="preserve"> of Immigration and Border Protection (the </w:t>
      </w:r>
      <w:r w:rsidR="00C47DF7">
        <w:rPr>
          <w:sz w:val="24"/>
        </w:rPr>
        <w:t>d</w:t>
      </w:r>
      <w:r w:rsidR="00F711BF">
        <w:rPr>
          <w:sz w:val="24"/>
        </w:rPr>
        <w:t>epartment</w:t>
      </w:r>
      <w:r>
        <w:rPr>
          <w:sz w:val="24"/>
        </w:rPr>
        <w:t>)</w:t>
      </w:r>
      <w:r w:rsidRPr="00065C3F">
        <w:rPr>
          <w:sz w:val="24"/>
        </w:rPr>
        <w:t xml:space="preserve"> to ask ASIO to assess the complainants’ individual suitability for community based detention while awaiting their security clearance (either at all, or for </w:t>
      </w:r>
      <w:r>
        <w:rPr>
          <w:sz w:val="24"/>
        </w:rPr>
        <w:t>an extended period</w:t>
      </w:r>
      <w:r w:rsidRPr="00065C3F">
        <w:rPr>
          <w:sz w:val="24"/>
        </w:rPr>
        <w:t xml:space="preserve"> without reasonable explanation)</w:t>
      </w:r>
      <w:r>
        <w:rPr>
          <w:sz w:val="24"/>
        </w:rPr>
        <w:t>; and</w:t>
      </w:r>
    </w:p>
    <w:p w14:paraId="1E0E483A" w14:textId="77777777" w:rsidR="005B268C" w:rsidRPr="00065C3F" w:rsidRDefault="005B268C" w:rsidP="005B268C">
      <w:pPr>
        <w:numPr>
          <w:ilvl w:val="1"/>
          <w:numId w:val="7"/>
        </w:numPr>
        <w:tabs>
          <w:tab w:val="clear" w:pos="1440"/>
          <w:tab w:val="num" w:pos="1276"/>
        </w:tabs>
        <w:spacing w:before="240" w:after="240"/>
        <w:ind w:left="1276" w:hanging="567"/>
        <w:rPr>
          <w:sz w:val="32"/>
          <w:szCs w:val="24"/>
        </w:rPr>
      </w:pPr>
      <w:r w:rsidRPr="00065C3F">
        <w:rPr>
          <w:sz w:val="24"/>
        </w:rPr>
        <w:t>the failure to assess on an individual basis whether the circumstances of each individual complainant indicated that they could be placed in less restrictive forms of detention.</w:t>
      </w:r>
    </w:p>
    <w:p w14:paraId="24F58A9A" w14:textId="77777777" w:rsidR="000557D8" w:rsidRDefault="000557D8" w:rsidP="005A5A0C">
      <w:pPr>
        <w:spacing w:before="240"/>
        <w:rPr>
          <w:spacing w:val="0"/>
          <w:sz w:val="24"/>
          <w:szCs w:val="24"/>
          <w:lang w:eastAsia="en-AU"/>
        </w:rPr>
      </w:pPr>
      <w:r>
        <w:rPr>
          <w:spacing w:val="0"/>
          <w:sz w:val="24"/>
          <w:szCs w:val="24"/>
          <w:lang w:eastAsia="en-AU"/>
        </w:rPr>
        <w:t xml:space="preserve">In relation to one of the complainants, Mr GG, </w:t>
      </w:r>
      <w:r w:rsidR="00CF7D4E">
        <w:rPr>
          <w:spacing w:val="0"/>
          <w:sz w:val="24"/>
          <w:szCs w:val="24"/>
          <w:lang w:eastAsia="en-AU"/>
        </w:rPr>
        <w:t>I have found</w:t>
      </w:r>
      <w:r>
        <w:rPr>
          <w:spacing w:val="0"/>
          <w:sz w:val="24"/>
          <w:szCs w:val="24"/>
          <w:lang w:eastAsia="en-AU"/>
        </w:rPr>
        <w:t xml:space="preserve"> that </w:t>
      </w:r>
      <w:r w:rsidR="009D5E5C">
        <w:rPr>
          <w:spacing w:val="0"/>
          <w:sz w:val="24"/>
          <w:szCs w:val="24"/>
          <w:lang w:eastAsia="en-AU"/>
        </w:rPr>
        <w:t>his</w:t>
      </w:r>
      <w:r>
        <w:rPr>
          <w:spacing w:val="0"/>
          <w:sz w:val="24"/>
          <w:szCs w:val="24"/>
          <w:lang w:eastAsia="en-AU"/>
        </w:rPr>
        <w:t xml:space="preserve"> continued detention in an immigration detention facility amounts to cruel, inhuman or degrading treatment within the meaning of article 7 of the ICCPR and is therefore inconsistent with or contrary to the rights recognised in that article.</w:t>
      </w:r>
    </w:p>
    <w:p w14:paraId="7AD2EBE4" w14:textId="77777777" w:rsidR="00840696" w:rsidRDefault="00A42A99" w:rsidP="005A5A0C">
      <w:pPr>
        <w:spacing w:before="240"/>
        <w:rPr>
          <w:spacing w:val="0"/>
          <w:sz w:val="24"/>
          <w:szCs w:val="24"/>
          <w:lang w:eastAsia="en-AU"/>
        </w:rPr>
      </w:pPr>
      <w:r>
        <w:rPr>
          <w:spacing w:val="0"/>
          <w:sz w:val="24"/>
          <w:szCs w:val="24"/>
          <w:lang w:eastAsia="en-AU"/>
        </w:rPr>
        <w:t>T</w:t>
      </w:r>
      <w:r w:rsidR="00D229F9">
        <w:rPr>
          <w:spacing w:val="0"/>
          <w:sz w:val="24"/>
          <w:szCs w:val="24"/>
          <w:lang w:eastAsia="en-AU"/>
        </w:rPr>
        <w:t>he</w:t>
      </w:r>
      <w:r w:rsidR="00200A0C">
        <w:rPr>
          <w:spacing w:val="0"/>
          <w:sz w:val="24"/>
          <w:szCs w:val="24"/>
          <w:lang w:eastAsia="en-AU"/>
        </w:rPr>
        <w:t xml:space="preserve"> </w:t>
      </w:r>
      <w:r w:rsidR="0091227C">
        <w:rPr>
          <w:spacing w:val="0"/>
          <w:sz w:val="24"/>
          <w:szCs w:val="24"/>
          <w:lang w:eastAsia="en-AU"/>
        </w:rPr>
        <w:t xml:space="preserve">department </w:t>
      </w:r>
      <w:r w:rsidR="00090064">
        <w:rPr>
          <w:spacing w:val="0"/>
          <w:sz w:val="24"/>
          <w:szCs w:val="24"/>
          <w:lang w:eastAsia="en-AU"/>
        </w:rPr>
        <w:t>and</w:t>
      </w:r>
      <w:r w:rsidR="00840696">
        <w:rPr>
          <w:spacing w:val="0"/>
          <w:sz w:val="24"/>
          <w:szCs w:val="24"/>
          <w:lang w:eastAsia="en-AU"/>
        </w:rPr>
        <w:t xml:space="preserve"> </w:t>
      </w:r>
      <w:r w:rsidR="00D229F9">
        <w:rPr>
          <w:spacing w:val="0"/>
          <w:sz w:val="24"/>
          <w:szCs w:val="24"/>
          <w:lang w:eastAsia="en-AU"/>
        </w:rPr>
        <w:t xml:space="preserve">the Hon. Scott Morrison MP, Minister for Immigration and Border Protection, provided </w:t>
      </w:r>
      <w:r w:rsidR="00090064">
        <w:rPr>
          <w:spacing w:val="0"/>
          <w:sz w:val="24"/>
          <w:szCs w:val="24"/>
          <w:lang w:eastAsia="en-AU"/>
        </w:rPr>
        <w:t xml:space="preserve">written </w:t>
      </w:r>
      <w:r w:rsidR="005A5A0C" w:rsidRPr="005A5A0C">
        <w:rPr>
          <w:spacing w:val="0"/>
          <w:sz w:val="24"/>
          <w:szCs w:val="24"/>
          <w:lang w:eastAsia="en-AU"/>
        </w:rPr>
        <w:t>response</w:t>
      </w:r>
      <w:r w:rsidR="00D229F9">
        <w:rPr>
          <w:spacing w:val="0"/>
          <w:sz w:val="24"/>
          <w:szCs w:val="24"/>
          <w:lang w:eastAsia="en-AU"/>
        </w:rPr>
        <w:t>s</w:t>
      </w:r>
      <w:r w:rsidR="005A5A0C" w:rsidRPr="005A5A0C">
        <w:rPr>
          <w:spacing w:val="0"/>
          <w:sz w:val="24"/>
          <w:szCs w:val="24"/>
          <w:lang w:eastAsia="en-AU"/>
        </w:rPr>
        <w:t xml:space="preserve"> to my</w:t>
      </w:r>
      <w:r w:rsidR="00840696">
        <w:rPr>
          <w:spacing w:val="0"/>
          <w:sz w:val="24"/>
          <w:szCs w:val="24"/>
          <w:lang w:eastAsia="en-AU"/>
        </w:rPr>
        <w:t xml:space="preserve"> findings and recommendations</w:t>
      </w:r>
      <w:r w:rsidR="00090064">
        <w:rPr>
          <w:spacing w:val="0"/>
          <w:sz w:val="24"/>
          <w:szCs w:val="24"/>
          <w:lang w:eastAsia="en-AU"/>
        </w:rPr>
        <w:t xml:space="preserve"> on 9 October 2014 and</w:t>
      </w:r>
      <w:r>
        <w:rPr>
          <w:spacing w:val="0"/>
          <w:sz w:val="24"/>
          <w:szCs w:val="24"/>
          <w:lang w:eastAsia="en-AU"/>
        </w:rPr>
        <w:t xml:space="preserve"> 23 October 2014 </w:t>
      </w:r>
      <w:r w:rsidR="00090064">
        <w:rPr>
          <w:spacing w:val="0"/>
          <w:sz w:val="24"/>
          <w:szCs w:val="24"/>
          <w:lang w:eastAsia="en-AU"/>
        </w:rPr>
        <w:t>respectively.</w:t>
      </w:r>
      <w:r w:rsidR="00C53BD6">
        <w:rPr>
          <w:spacing w:val="0"/>
          <w:sz w:val="24"/>
          <w:szCs w:val="24"/>
          <w:lang w:eastAsia="en-AU"/>
        </w:rPr>
        <w:t xml:space="preserve"> </w:t>
      </w:r>
      <w:r w:rsidR="005A5A0C" w:rsidRPr="005A5A0C">
        <w:rPr>
          <w:spacing w:val="0"/>
          <w:sz w:val="24"/>
          <w:szCs w:val="24"/>
          <w:lang w:eastAsia="en-AU"/>
        </w:rPr>
        <w:t xml:space="preserve">I have </w:t>
      </w:r>
      <w:r w:rsidR="00D229F9">
        <w:rPr>
          <w:spacing w:val="0"/>
          <w:sz w:val="24"/>
          <w:szCs w:val="24"/>
          <w:lang w:eastAsia="en-AU"/>
        </w:rPr>
        <w:t>set out the resp</w:t>
      </w:r>
      <w:r w:rsidR="00840696">
        <w:rPr>
          <w:spacing w:val="0"/>
          <w:sz w:val="24"/>
          <w:szCs w:val="24"/>
          <w:lang w:eastAsia="en-AU"/>
        </w:rPr>
        <w:t xml:space="preserve">onses of the </w:t>
      </w:r>
      <w:r w:rsidR="0091227C">
        <w:rPr>
          <w:spacing w:val="0"/>
          <w:sz w:val="24"/>
          <w:szCs w:val="24"/>
          <w:lang w:eastAsia="en-AU"/>
        </w:rPr>
        <w:t xml:space="preserve">department </w:t>
      </w:r>
      <w:r w:rsidR="00840696">
        <w:rPr>
          <w:spacing w:val="0"/>
          <w:sz w:val="24"/>
          <w:szCs w:val="24"/>
          <w:lang w:eastAsia="en-AU"/>
        </w:rPr>
        <w:t xml:space="preserve">and the </w:t>
      </w:r>
      <w:r w:rsidR="00D229F9">
        <w:rPr>
          <w:spacing w:val="0"/>
          <w:sz w:val="24"/>
          <w:szCs w:val="24"/>
          <w:lang w:eastAsia="en-AU"/>
        </w:rPr>
        <w:t>Minister in their entirety in p</w:t>
      </w:r>
      <w:r w:rsidR="005A5A0C" w:rsidRPr="005A5A0C">
        <w:rPr>
          <w:spacing w:val="0"/>
          <w:sz w:val="24"/>
          <w:szCs w:val="24"/>
          <w:lang w:eastAsia="en-AU"/>
        </w:rPr>
        <w:t xml:space="preserve">art </w:t>
      </w:r>
      <w:r w:rsidR="00D229F9">
        <w:rPr>
          <w:spacing w:val="0"/>
          <w:sz w:val="24"/>
          <w:szCs w:val="24"/>
          <w:lang w:eastAsia="en-AU"/>
        </w:rPr>
        <w:t>9</w:t>
      </w:r>
      <w:r w:rsidR="005A5A0C" w:rsidRPr="005A5A0C">
        <w:rPr>
          <w:spacing w:val="0"/>
          <w:sz w:val="24"/>
          <w:szCs w:val="24"/>
          <w:lang w:eastAsia="en-AU"/>
        </w:rPr>
        <w:t xml:space="preserve"> of this report.</w:t>
      </w:r>
    </w:p>
    <w:p w14:paraId="08B081A4" w14:textId="77777777" w:rsidR="005A5A0C" w:rsidRPr="005A5A0C" w:rsidRDefault="005A5A0C" w:rsidP="005A5A0C">
      <w:pPr>
        <w:spacing w:before="240"/>
        <w:rPr>
          <w:spacing w:val="0"/>
          <w:sz w:val="24"/>
          <w:szCs w:val="24"/>
          <w:lang w:eastAsia="en-AU"/>
        </w:rPr>
      </w:pPr>
      <w:r w:rsidRPr="005A5A0C">
        <w:rPr>
          <w:spacing w:val="0"/>
          <w:sz w:val="24"/>
          <w:szCs w:val="24"/>
          <w:lang w:eastAsia="en-AU"/>
        </w:rPr>
        <w:t>I enclose a copy of my report.</w:t>
      </w:r>
    </w:p>
    <w:p w14:paraId="766A3522" w14:textId="77777777" w:rsidR="005A5A0C" w:rsidRPr="005A5A0C" w:rsidRDefault="005A5A0C" w:rsidP="005A5A0C">
      <w:pPr>
        <w:spacing w:before="240"/>
        <w:rPr>
          <w:spacing w:val="0"/>
          <w:sz w:val="24"/>
          <w:szCs w:val="24"/>
          <w:lang w:eastAsia="en-AU"/>
        </w:rPr>
      </w:pPr>
    </w:p>
    <w:p w14:paraId="63856145" w14:textId="77777777" w:rsidR="005A5A0C" w:rsidRPr="005A5A0C" w:rsidRDefault="005A5A0C" w:rsidP="005A5A0C">
      <w:pPr>
        <w:keepNext/>
        <w:jc w:val="both"/>
        <w:rPr>
          <w:rFonts w:cs="ArialMT"/>
          <w:color w:val="000000"/>
          <w:spacing w:val="0"/>
          <w:sz w:val="24"/>
          <w:szCs w:val="24"/>
          <w:lang w:val="en-US" w:bidi="en-US"/>
        </w:rPr>
      </w:pPr>
      <w:r w:rsidRPr="005A5A0C">
        <w:rPr>
          <w:rFonts w:cs="ArialMT"/>
          <w:color w:val="000000"/>
          <w:spacing w:val="0"/>
          <w:sz w:val="24"/>
          <w:szCs w:val="24"/>
          <w:lang w:val="en-US" w:bidi="en-US"/>
        </w:rPr>
        <w:t>Yours sincerely,</w:t>
      </w:r>
    </w:p>
    <w:p w14:paraId="0EF18117" w14:textId="77777777" w:rsidR="005A5A0C" w:rsidRPr="005A5A0C" w:rsidRDefault="005A5A0C" w:rsidP="005A5A0C">
      <w:pPr>
        <w:rPr>
          <w:sz w:val="24"/>
          <w:szCs w:val="24"/>
        </w:rPr>
      </w:pPr>
    </w:p>
    <w:p w14:paraId="61F20DD8" w14:textId="77777777" w:rsidR="005A5A0C" w:rsidRPr="005A5A0C" w:rsidRDefault="008F738D" w:rsidP="005A5A0C">
      <w:pPr>
        <w:rPr>
          <w:noProof/>
          <w:sz w:val="24"/>
          <w:szCs w:val="24"/>
          <w:lang w:eastAsia="en-AU"/>
        </w:rPr>
      </w:pPr>
      <w:r>
        <w:rPr>
          <w:noProof/>
          <w:lang w:eastAsia="en-AU"/>
        </w:rPr>
        <w:drawing>
          <wp:inline distT="0" distB="0" distL="0" distR="0" wp14:anchorId="760D5DBC" wp14:editId="79D1DDE5">
            <wp:extent cx="1828800" cy="1083412"/>
            <wp:effectExtent l="0" t="0" r="0" b="2540"/>
            <wp:docPr id="1" name="Picture 1" descr="cid:image006.jpg@01CFD652.DC74FA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6.jpg@01CFD652.DC74FAF0"/>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1829077" cy="1083576"/>
                    </a:xfrm>
                    <a:prstGeom prst="rect">
                      <a:avLst/>
                    </a:prstGeom>
                    <a:noFill/>
                    <a:ln>
                      <a:noFill/>
                    </a:ln>
                  </pic:spPr>
                </pic:pic>
              </a:graphicData>
            </a:graphic>
          </wp:inline>
        </w:drawing>
      </w:r>
    </w:p>
    <w:p w14:paraId="1E0A040B" w14:textId="77777777" w:rsidR="005A5A0C" w:rsidRPr="005A5A0C" w:rsidRDefault="005A5A0C" w:rsidP="005A5A0C">
      <w:pPr>
        <w:rPr>
          <w:sz w:val="24"/>
          <w:szCs w:val="24"/>
        </w:rPr>
      </w:pPr>
      <w:r w:rsidRPr="005A5A0C">
        <w:rPr>
          <w:sz w:val="24"/>
          <w:szCs w:val="24"/>
        </w:rPr>
        <w:t>Gillian Triggs</w:t>
      </w:r>
    </w:p>
    <w:p w14:paraId="0149D50B" w14:textId="77777777" w:rsidR="005A5A0C" w:rsidRPr="005A5A0C" w:rsidRDefault="005A5A0C" w:rsidP="005A5A0C">
      <w:pPr>
        <w:rPr>
          <w:sz w:val="24"/>
          <w:szCs w:val="24"/>
        </w:rPr>
      </w:pPr>
      <w:r w:rsidRPr="005A5A0C">
        <w:rPr>
          <w:b/>
          <w:sz w:val="24"/>
          <w:szCs w:val="24"/>
        </w:rPr>
        <w:t>President</w:t>
      </w:r>
      <w:r w:rsidRPr="005A5A0C">
        <w:rPr>
          <w:sz w:val="24"/>
          <w:szCs w:val="24"/>
        </w:rPr>
        <w:t xml:space="preserve"> </w:t>
      </w:r>
    </w:p>
    <w:p w14:paraId="087EBF92" w14:textId="77777777" w:rsidR="005A5A0C" w:rsidRPr="005A5A0C" w:rsidRDefault="005A5A0C" w:rsidP="005A5A0C">
      <w:pPr>
        <w:rPr>
          <w:sz w:val="24"/>
          <w:szCs w:val="24"/>
        </w:rPr>
      </w:pPr>
      <w:r w:rsidRPr="005A5A0C">
        <w:rPr>
          <w:sz w:val="24"/>
          <w:szCs w:val="24"/>
        </w:rPr>
        <w:t>Australian Human Rights Commission</w:t>
      </w:r>
    </w:p>
    <w:p w14:paraId="0187FCD7" w14:textId="77777777" w:rsidR="005A5A0C" w:rsidRDefault="005A5A0C" w:rsidP="005A5A0C">
      <w:pPr>
        <w:rPr>
          <w:sz w:val="28"/>
          <w:szCs w:val="28"/>
        </w:rPr>
      </w:pPr>
      <w:r>
        <w:br w:type="page"/>
      </w:r>
    </w:p>
    <w:p w14:paraId="58FB76F1" w14:textId="77777777" w:rsidR="006B3C44" w:rsidRPr="005F64AF" w:rsidRDefault="006B3C44" w:rsidP="006B3C44">
      <w:pPr>
        <w:pStyle w:val="Heading1"/>
      </w:pPr>
      <w:bookmarkStart w:id="1" w:name="_Toc282704171"/>
      <w:r w:rsidRPr="005F64AF">
        <w:lastRenderedPageBreak/>
        <w:t>Introduction</w:t>
      </w:r>
      <w:bookmarkEnd w:id="1"/>
    </w:p>
    <w:p w14:paraId="420EF1E7" w14:textId="77777777" w:rsidR="00DA708F" w:rsidRPr="00DA708F" w:rsidRDefault="00DA708F" w:rsidP="00AE7382">
      <w:pPr>
        <w:numPr>
          <w:ilvl w:val="0"/>
          <w:numId w:val="19"/>
        </w:numPr>
        <w:spacing w:before="240" w:after="240"/>
        <w:rPr>
          <w:sz w:val="24"/>
          <w:szCs w:val="24"/>
        </w:rPr>
      </w:pPr>
      <w:r>
        <w:rPr>
          <w:rFonts w:cs="Arial"/>
          <w:sz w:val="24"/>
          <w:szCs w:val="24"/>
        </w:rPr>
        <w:t>This is a n</w:t>
      </w:r>
      <w:r w:rsidR="009B0086" w:rsidRPr="009B0086">
        <w:rPr>
          <w:rFonts w:cs="Arial"/>
          <w:sz w:val="24"/>
          <w:szCs w:val="24"/>
        </w:rPr>
        <w:t>otice setting out the findings of the Australian Human Rights Commission (the Commission) and the reasons for those findings following an inquiry into complaint</w:t>
      </w:r>
      <w:r w:rsidR="009B0086">
        <w:rPr>
          <w:rFonts w:cs="Arial"/>
          <w:sz w:val="24"/>
          <w:szCs w:val="24"/>
        </w:rPr>
        <w:t>s</w:t>
      </w:r>
      <w:r w:rsidR="009B0086" w:rsidRPr="009B0086">
        <w:rPr>
          <w:rFonts w:cs="Arial"/>
          <w:sz w:val="24"/>
          <w:szCs w:val="24"/>
        </w:rPr>
        <w:t xml:space="preserve"> lodged by</w:t>
      </w:r>
      <w:r w:rsidR="009B0086">
        <w:rPr>
          <w:rFonts w:cs="Arial"/>
          <w:sz w:val="24"/>
          <w:szCs w:val="24"/>
        </w:rPr>
        <w:t xml:space="preserve"> ten</w:t>
      </w:r>
      <w:r w:rsidR="004D3ED0" w:rsidRPr="005F64AF">
        <w:rPr>
          <w:rFonts w:cs="Arial"/>
          <w:sz w:val="24"/>
          <w:szCs w:val="24"/>
        </w:rPr>
        <w:t xml:space="preserve"> </w:t>
      </w:r>
      <w:r w:rsidR="007406B5" w:rsidRPr="005F64AF">
        <w:rPr>
          <w:rFonts w:cs="Arial"/>
          <w:sz w:val="24"/>
          <w:szCs w:val="24"/>
        </w:rPr>
        <w:t xml:space="preserve">people </w:t>
      </w:r>
      <w:r w:rsidR="004D3ED0" w:rsidRPr="005F64AF">
        <w:rPr>
          <w:rFonts w:cs="Arial"/>
          <w:sz w:val="24"/>
          <w:szCs w:val="24"/>
        </w:rPr>
        <w:t xml:space="preserve">against the Commonwealth of Australia </w:t>
      </w:r>
      <w:r w:rsidR="00131FE2" w:rsidRPr="005F64AF">
        <w:rPr>
          <w:rFonts w:cs="Arial"/>
          <w:sz w:val="24"/>
          <w:szCs w:val="24"/>
        </w:rPr>
        <w:t>alleging breach</w:t>
      </w:r>
      <w:r w:rsidR="00FA3BFA" w:rsidRPr="005F64AF">
        <w:rPr>
          <w:rFonts w:cs="Arial"/>
          <w:sz w:val="24"/>
          <w:szCs w:val="24"/>
        </w:rPr>
        <w:t>es</w:t>
      </w:r>
      <w:r w:rsidR="00131FE2" w:rsidRPr="005F64AF">
        <w:rPr>
          <w:rFonts w:cs="Arial"/>
          <w:sz w:val="24"/>
          <w:szCs w:val="24"/>
        </w:rPr>
        <w:t xml:space="preserve"> of their human rights</w:t>
      </w:r>
      <w:r w:rsidR="00A34BE6" w:rsidRPr="005F64AF">
        <w:rPr>
          <w:rFonts w:cs="Arial"/>
          <w:sz w:val="24"/>
          <w:szCs w:val="24"/>
        </w:rPr>
        <w:t xml:space="preserve">. </w:t>
      </w:r>
    </w:p>
    <w:p w14:paraId="5262F94B" w14:textId="77777777" w:rsidR="006B3C44" w:rsidRPr="00054FFE" w:rsidRDefault="009B0086" w:rsidP="00AE7382">
      <w:pPr>
        <w:numPr>
          <w:ilvl w:val="0"/>
          <w:numId w:val="19"/>
        </w:numPr>
        <w:spacing w:before="240" w:after="240"/>
        <w:rPr>
          <w:sz w:val="24"/>
          <w:szCs w:val="24"/>
        </w:rPr>
      </w:pPr>
      <w:r>
        <w:rPr>
          <w:rFonts w:cs="Arial"/>
          <w:sz w:val="24"/>
          <w:szCs w:val="24"/>
        </w:rPr>
        <w:t xml:space="preserve">All </w:t>
      </w:r>
      <w:r w:rsidR="00DA708F">
        <w:rPr>
          <w:rFonts w:cs="Arial"/>
          <w:sz w:val="24"/>
          <w:szCs w:val="24"/>
        </w:rPr>
        <w:t>ten complainants</w:t>
      </w:r>
      <w:r w:rsidR="00F5797F" w:rsidRPr="005F64AF">
        <w:rPr>
          <w:rFonts w:cs="Arial"/>
          <w:sz w:val="24"/>
          <w:szCs w:val="24"/>
        </w:rPr>
        <w:t xml:space="preserve"> </w:t>
      </w:r>
      <w:r w:rsidR="004D3ED0" w:rsidRPr="005F64AF">
        <w:rPr>
          <w:rFonts w:cs="Arial"/>
          <w:sz w:val="24"/>
          <w:szCs w:val="24"/>
        </w:rPr>
        <w:t>have be</w:t>
      </w:r>
      <w:r w:rsidR="00A34BE6" w:rsidRPr="005F64AF">
        <w:rPr>
          <w:rFonts w:cs="Arial"/>
          <w:sz w:val="24"/>
          <w:szCs w:val="24"/>
        </w:rPr>
        <w:t xml:space="preserve">en assessed as being refugees. </w:t>
      </w:r>
      <w:r>
        <w:rPr>
          <w:rFonts w:cs="Arial"/>
          <w:sz w:val="24"/>
          <w:szCs w:val="24"/>
        </w:rPr>
        <w:t>All ten</w:t>
      </w:r>
      <w:r w:rsidR="007406B5" w:rsidRPr="005F64AF">
        <w:rPr>
          <w:rFonts w:cs="Arial"/>
          <w:sz w:val="24"/>
          <w:szCs w:val="24"/>
        </w:rPr>
        <w:t xml:space="preserve"> received adverse security assessments.</w:t>
      </w:r>
      <w:r w:rsidR="00DA708F">
        <w:rPr>
          <w:rFonts w:cs="Arial"/>
          <w:sz w:val="24"/>
          <w:szCs w:val="24"/>
        </w:rPr>
        <w:t xml:space="preserve"> All ten have been placed in immigration detention</w:t>
      </w:r>
      <w:r w:rsidR="00BB7560">
        <w:rPr>
          <w:rFonts w:cs="Arial"/>
          <w:sz w:val="24"/>
          <w:szCs w:val="24"/>
        </w:rPr>
        <w:t xml:space="preserve"> for extended periods</w:t>
      </w:r>
      <w:r w:rsidR="00DA708F">
        <w:rPr>
          <w:rFonts w:cs="Arial"/>
          <w:sz w:val="24"/>
          <w:szCs w:val="24"/>
        </w:rPr>
        <w:t xml:space="preserve">. </w:t>
      </w:r>
      <w:r w:rsidR="00054FFE">
        <w:rPr>
          <w:rFonts w:cs="Arial"/>
          <w:sz w:val="24"/>
          <w:szCs w:val="24"/>
        </w:rPr>
        <w:t xml:space="preserve">In </w:t>
      </w:r>
      <w:r w:rsidR="00054FFE">
        <w:rPr>
          <w:sz w:val="24"/>
          <w:szCs w:val="24"/>
        </w:rPr>
        <w:t>December 2013</w:t>
      </w:r>
      <w:r w:rsidR="00DA708F" w:rsidRPr="00054FFE">
        <w:rPr>
          <w:rFonts w:cs="Arial"/>
          <w:sz w:val="24"/>
          <w:szCs w:val="24"/>
        </w:rPr>
        <w:t xml:space="preserve">, as a result of </w:t>
      </w:r>
      <w:r w:rsidR="00482564" w:rsidRPr="00054FFE">
        <w:rPr>
          <w:rFonts w:cs="Arial"/>
          <w:sz w:val="24"/>
          <w:szCs w:val="24"/>
        </w:rPr>
        <w:t xml:space="preserve">a review of his security assessment conducted by the Independent Reviewer </w:t>
      </w:r>
      <w:r w:rsidR="0046606A" w:rsidRPr="00054FFE">
        <w:rPr>
          <w:rFonts w:cs="Arial"/>
          <w:sz w:val="24"/>
          <w:szCs w:val="24"/>
        </w:rPr>
        <w:t>of Adverse Security Assessments</w:t>
      </w:r>
      <w:r w:rsidR="00D953C3">
        <w:rPr>
          <w:rFonts w:cs="Arial"/>
          <w:sz w:val="24"/>
          <w:szCs w:val="24"/>
        </w:rPr>
        <w:t>,</w:t>
      </w:r>
      <w:r w:rsidR="0046606A" w:rsidRPr="00054FFE">
        <w:rPr>
          <w:rFonts w:cs="Arial"/>
          <w:sz w:val="24"/>
          <w:szCs w:val="24"/>
        </w:rPr>
        <w:t xml:space="preserve"> </w:t>
      </w:r>
      <w:r w:rsidR="00DA708F" w:rsidRPr="00054FFE">
        <w:rPr>
          <w:rFonts w:cs="Arial"/>
          <w:sz w:val="24"/>
          <w:szCs w:val="24"/>
        </w:rPr>
        <w:t>one of the complainants</w:t>
      </w:r>
      <w:r w:rsidR="004B7440">
        <w:rPr>
          <w:rFonts w:cs="Arial"/>
          <w:sz w:val="24"/>
          <w:szCs w:val="24"/>
        </w:rPr>
        <w:t xml:space="preserve">, Mr </w:t>
      </w:r>
      <w:r w:rsidR="0039144D">
        <w:rPr>
          <w:rFonts w:cs="Arial"/>
          <w:sz w:val="24"/>
          <w:szCs w:val="24"/>
        </w:rPr>
        <w:t>GA</w:t>
      </w:r>
      <w:r w:rsidR="004B7440">
        <w:rPr>
          <w:rFonts w:cs="Arial"/>
          <w:sz w:val="24"/>
          <w:szCs w:val="24"/>
        </w:rPr>
        <w:t>,</w:t>
      </w:r>
      <w:r w:rsidR="00054FFE">
        <w:rPr>
          <w:rFonts w:cs="Arial"/>
          <w:sz w:val="24"/>
          <w:szCs w:val="24"/>
        </w:rPr>
        <w:t xml:space="preserve"> received a revised security assessment, was granted a temporary visa, and </w:t>
      </w:r>
      <w:r w:rsidR="00D953C3">
        <w:rPr>
          <w:rFonts w:cs="Arial"/>
          <w:sz w:val="24"/>
          <w:szCs w:val="24"/>
        </w:rPr>
        <w:t xml:space="preserve">was </w:t>
      </w:r>
      <w:r w:rsidR="00054FFE">
        <w:rPr>
          <w:rFonts w:cs="Arial"/>
          <w:sz w:val="24"/>
          <w:szCs w:val="24"/>
        </w:rPr>
        <w:t xml:space="preserve">released from </w:t>
      </w:r>
      <w:r w:rsidR="00D87B6D">
        <w:rPr>
          <w:rFonts w:cs="Arial"/>
          <w:sz w:val="24"/>
          <w:szCs w:val="24"/>
        </w:rPr>
        <w:t>immigration</w:t>
      </w:r>
      <w:r w:rsidR="00054FFE">
        <w:rPr>
          <w:rFonts w:cs="Arial"/>
          <w:sz w:val="24"/>
          <w:szCs w:val="24"/>
        </w:rPr>
        <w:t xml:space="preserve"> detention. </w:t>
      </w:r>
    </w:p>
    <w:p w14:paraId="3A028BF0" w14:textId="77777777" w:rsidR="009B0086" w:rsidRPr="005F64AF" w:rsidRDefault="00054FFE" w:rsidP="00AE7382">
      <w:pPr>
        <w:numPr>
          <w:ilvl w:val="0"/>
          <w:numId w:val="19"/>
        </w:numPr>
        <w:spacing w:before="240" w:after="240"/>
        <w:rPr>
          <w:sz w:val="24"/>
          <w:szCs w:val="24"/>
        </w:rPr>
      </w:pPr>
      <w:r>
        <w:rPr>
          <w:rFonts w:cs="Arial"/>
          <w:sz w:val="24"/>
          <w:szCs w:val="24"/>
        </w:rPr>
        <w:t xml:space="preserve">The Commission’s inquiry initially included the complaint of an eleventh person in immigration detention, </w:t>
      </w:r>
      <w:r w:rsidRPr="007C786A">
        <w:rPr>
          <w:rFonts w:cs="Arial"/>
          <w:sz w:val="24"/>
          <w:szCs w:val="24"/>
        </w:rPr>
        <w:t xml:space="preserve">Mr </w:t>
      </w:r>
      <w:r w:rsidR="00613950">
        <w:rPr>
          <w:rFonts w:cs="Arial"/>
          <w:sz w:val="24"/>
          <w:szCs w:val="24"/>
        </w:rPr>
        <w:t>GH</w:t>
      </w:r>
      <w:r w:rsidR="00DB4EB3">
        <w:rPr>
          <w:rFonts w:cs="Arial"/>
          <w:sz w:val="24"/>
          <w:szCs w:val="24"/>
        </w:rPr>
        <w:t>.</w:t>
      </w:r>
      <w:r>
        <w:rPr>
          <w:rFonts w:cs="Arial"/>
          <w:sz w:val="24"/>
          <w:szCs w:val="24"/>
        </w:rPr>
        <w:t xml:space="preserve"> </w:t>
      </w:r>
      <w:r w:rsidR="00DB4EB3">
        <w:rPr>
          <w:rFonts w:cs="Arial"/>
          <w:sz w:val="24"/>
          <w:szCs w:val="24"/>
        </w:rPr>
        <w:t xml:space="preserve">The Commission’s preliminary view, issued to </w:t>
      </w:r>
      <w:r w:rsidR="008D5C83">
        <w:rPr>
          <w:rFonts w:cs="Arial"/>
          <w:sz w:val="24"/>
          <w:szCs w:val="24"/>
        </w:rPr>
        <w:t>all parties on 24 September 2013</w:t>
      </w:r>
      <w:r w:rsidR="00DB4EB3">
        <w:rPr>
          <w:rFonts w:cs="Arial"/>
          <w:sz w:val="24"/>
          <w:szCs w:val="24"/>
        </w:rPr>
        <w:t xml:space="preserve">, </w:t>
      </w:r>
      <w:r w:rsidR="000942B6">
        <w:rPr>
          <w:rFonts w:cs="Arial"/>
          <w:sz w:val="24"/>
          <w:szCs w:val="24"/>
        </w:rPr>
        <w:t xml:space="preserve">included discussion of and tentative findings made in relation to </w:t>
      </w:r>
      <w:r w:rsidR="000942B6" w:rsidRPr="007C786A">
        <w:rPr>
          <w:rFonts w:cs="Arial"/>
          <w:sz w:val="24"/>
          <w:szCs w:val="24"/>
        </w:rPr>
        <w:t xml:space="preserve">Mr </w:t>
      </w:r>
      <w:r w:rsidR="00613950">
        <w:rPr>
          <w:rFonts w:cs="Arial"/>
          <w:sz w:val="24"/>
          <w:szCs w:val="24"/>
        </w:rPr>
        <w:t>GH</w:t>
      </w:r>
      <w:r w:rsidR="000F5E02">
        <w:rPr>
          <w:rFonts w:cs="Arial"/>
          <w:sz w:val="24"/>
          <w:szCs w:val="24"/>
        </w:rPr>
        <w:t>’s</w:t>
      </w:r>
      <w:r w:rsidR="000942B6">
        <w:rPr>
          <w:rFonts w:cs="Arial"/>
          <w:sz w:val="24"/>
          <w:szCs w:val="24"/>
        </w:rPr>
        <w:t xml:space="preserve"> complaint. </w:t>
      </w:r>
      <w:r w:rsidR="000942B6" w:rsidRPr="007C786A">
        <w:rPr>
          <w:rFonts w:cs="Arial"/>
          <w:sz w:val="24"/>
          <w:szCs w:val="24"/>
        </w:rPr>
        <w:t xml:space="preserve">Mr </w:t>
      </w:r>
      <w:r w:rsidR="00613950">
        <w:rPr>
          <w:rFonts w:cs="Arial"/>
          <w:sz w:val="24"/>
          <w:szCs w:val="24"/>
        </w:rPr>
        <w:t>GH</w:t>
      </w:r>
      <w:r w:rsidR="000942B6">
        <w:rPr>
          <w:rFonts w:cs="Arial"/>
          <w:sz w:val="24"/>
          <w:szCs w:val="24"/>
        </w:rPr>
        <w:t xml:space="preserve"> subsequently informed the Commission that he did not wish to pursue his complaint, and consequently the Commission terminated </w:t>
      </w:r>
      <w:r w:rsidR="00DC6360">
        <w:rPr>
          <w:rFonts w:cs="Arial"/>
          <w:sz w:val="24"/>
          <w:szCs w:val="24"/>
        </w:rPr>
        <w:t xml:space="preserve">his complaint on 13 June 2014. </w:t>
      </w:r>
    </w:p>
    <w:p w14:paraId="0EBF39ED" w14:textId="77777777" w:rsidR="00D87B6D" w:rsidRPr="00D87B6D" w:rsidRDefault="004C1724" w:rsidP="00AE7382">
      <w:pPr>
        <w:pStyle w:val="SubmissionNormal"/>
        <w:numPr>
          <w:ilvl w:val="0"/>
          <w:numId w:val="19"/>
        </w:numPr>
        <w:rPr>
          <w:i/>
        </w:rPr>
      </w:pPr>
      <w:r w:rsidRPr="005F64AF">
        <w:t xml:space="preserve">This inquiry </w:t>
      </w:r>
      <w:r w:rsidR="00D87B6D">
        <w:t>has been</w:t>
      </w:r>
      <w:r w:rsidRPr="005F64AF">
        <w:t xml:space="preserve"> undertaken pursuant to s 11(1)(f) of the </w:t>
      </w:r>
      <w:r w:rsidRPr="005F64AF">
        <w:rPr>
          <w:i/>
        </w:rPr>
        <w:t xml:space="preserve">Australian Human Rights Commission Act 1986 </w:t>
      </w:r>
      <w:r w:rsidRPr="005F64AF">
        <w:t>(Cth) (AHRC Act)</w:t>
      </w:r>
      <w:r w:rsidRPr="005F64AF">
        <w:rPr>
          <w:i/>
        </w:rPr>
        <w:t>.</w:t>
      </w:r>
      <w:r w:rsidR="00A627A7" w:rsidRPr="005F64AF">
        <w:rPr>
          <w:i/>
        </w:rPr>
        <w:t xml:space="preserve"> </w:t>
      </w:r>
    </w:p>
    <w:p w14:paraId="591DF45D" w14:textId="77777777" w:rsidR="00D87B6D" w:rsidRPr="007A5BC5" w:rsidRDefault="00E8036B" w:rsidP="00AE7382">
      <w:pPr>
        <w:pStyle w:val="SubmissionNormal"/>
        <w:numPr>
          <w:ilvl w:val="0"/>
          <w:numId w:val="19"/>
        </w:numPr>
      </w:pPr>
      <w:r>
        <w:t xml:space="preserve">Seven of the complainants requested that their names not be disclosed. </w:t>
      </w:r>
      <w:r w:rsidR="00D87B6D" w:rsidRPr="007A5BC5">
        <w:t xml:space="preserve">I have </w:t>
      </w:r>
      <w:r>
        <w:t xml:space="preserve">therefore </w:t>
      </w:r>
      <w:r w:rsidR="00D87B6D" w:rsidRPr="007A5BC5">
        <w:t xml:space="preserve">directed that the identities of </w:t>
      </w:r>
      <w:r>
        <w:t>those</w:t>
      </w:r>
      <w:r w:rsidR="00D87B6D" w:rsidRPr="007A5BC5">
        <w:t xml:space="preserve"> complainants not be disclosed in accordance with s 14(2) of the AHRC Act. </w:t>
      </w:r>
      <w:r w:rsidR="0039144D">
        <w:t xml:space="preserve">I have made a similar direction with respect to Mr </w:t>
      </w:r>
      <w:r w:rsidR="00613950">
        <w:t>GH</w:t>
      </w:r>
      <w:r w:rsidR="0039144D">
        <w:t xml:space="preserve">. </w:t>
      </w:r>
      <w:r w:rsidR="00D87B6D" w:rsidRPr="007A5BC5">
        <w:t>For the purposes of this report each complainant whose identity has been suppressed has been gi</w:t>
      </w:r>
      <w:r w:rsidR="007A5BC5" w:rsidRPr="007A5BC5">
        <w:t xml:space="preserve">ven a pseudonym beginning with </w:t>
      </w:r>
      <w:r w:rsidR="007A5BC5">
        <w:t>‘</w:t>
      </w:r>
      <w:r w:rsidR="005D23C5">
        <w:t>G</w:t>
      </w:r>
      <w:r w:rsidR="007A5BC5">
        <w:t>’</w:t>
      </w:r>
      <w:r w:rsidR="00D87B6D" w:rsidRPr="007A5BC5">
        <w:t xml:space="preserve">. </w:t>
      </w:r>
    </w:p>
    <w:p w14:paraId="6D34879F" w14:textId="7CA70B1B" w:rsidR="006B3C44" w:rsidRPr="005F64AF" w:rsidRDefault="006B3C44" w:rsidP="00AE7382">
      <w:pPr>
        <w:numPr>
          <w:ilvl w:val="0"/>
          <w:numId w:val="19"/>
        </w:numPr>
        <w:spacing w:before="240" w:after="240"/>
        <w:rPr>
          <w:sz w:val="24"/>
          <w:szCs w:val="24"/>
        </w:rPr>
      </w:pPr>
      <w:r w:rsidRPr="005F64AF">
        <w:rPr>
          <w:sz w:val="24"/>
          <w:szCs w:val="24"/>
        </w:rPr>
        <w:t>All members of this group made complaints in writing in which they allege that their ongoing immigration detention is arbitrary and therefore inconsistent with the human rights recognised in article 9(1) of the</w:t>
      </w:r>
      <w:r w:rsidR="004C70AB">
        <w:rPr>
          <w:sz w:val="24"/>
          <w:szCs w:val="24"/>
        </w:rPr>
        <w:t xml:space="preserve"> </w:t>
      </w:r>
      <w:r w:rsidR="004C70AB">
        <w:rPr>
          <w:i/>
          <w:sz w:val="24"/>
          <w:szCs w:val="24"/>
        </w:rPr>
        <w:t xml:space="preserve">International Covenant on Civil and Political Rights </w:t>
      </w:r>
      <w:r w:rsidR="004C70AB">
        <w:rPr>
          <w:sz w:val="24"/>
          <w:szCs w:val="24"/>
        </w:rPr>
        <w:t>(</w:t>
      </w:r>
      <w:r w:rsidRPr="005F64AF">
        <w:rPr>
          <w:sz w:val="24"/>
          <w:szCs w:val="24"/>
        </w:rPr>
        <w:t>ICCPR</w:t>
      </w:r>
      <w:r w:rsidR="004C70AB">
        <w:rPr>
          <w:sz w:val="24"/>
          <w:szCs w:val="24"/>
        </w:rPr>
        <w:t>)</w:t>
      </w:r>
      <w:r w:rsidRPr="005F64AF">
        <w:rPr>
          <w:sz w:val="24"/>
          <w:szCs w:val="24"/>
        </w:rPr>
        <w:t>.</w:t>
      </w:r>
      <w:r w:rsidR="000353BC" w:rsidRPr="005F64AF">
        <w:rPr>
          <w:sz w:val="24"/>
          <w:szCs w:val="24"/>
        </w:rPr>
        <w:t xml:space="preserve"> </w:t>
      </w:r>
      <w:r w:rsidR="00FE64BB">
        <w:rPr>
          <w:sz w:val="24"/>
          <w:szCs w:val="24"/>
        </w:rPr>
        <w:t>(</w:t>
      </w:r>
      <w:r w:rsidR="00CF663E">
        <w:rPr>
          <w:sz w:val="24"/>
          <w:szCs w:val="24"/>
        </w:rPr>
        <w:t>As he has been released</w:t>
      </w:r>
      <w:r w:rsidR="00FE64BB">
        <w:rPr>
          <w:sz w:val="24"/>
          <w:szCs w:val="24"/>
        </w:rPr>
        <w:t xml:space="preserve"> from detention, Mr GA’s complaint relates to his immigration detention up until that time).</w:t>
      </w:r>
      <w:r w:rsidR="00C53BD6">
        <w:rPr>
          <w:sz w:val="24"/>
          <w:szCs w:val="24"/>
        </w:rPr>
        <w:t xml:space="preserve"> </w:t>
      </w:r>
    </w:p>
    <w:p w14:paraId="1343D7EC" w14:textId="77777777" w:rsidR="00D15352" w:rsidRPr="005F64AF" w:rsidRDefault="00356897" w:rsidP="00AE7382">
      <w:pPr>
        <w:numPr>
          <w:ilvl w:val="0"/>
          <w:numId w:val="19"/>
        </w:numPr>
        <w:spacing w:before="240" w:after="240"/>
        <w:rPr>
          <w:sz w:val="24"/>
          <w:szCs w:val="24"/>
        </w:rPr>
      </w:pPr>
      <w:r w:rsidRPr="005F64AF">
        <w:rPr>
          <w:sz w:val="24"/>
          <w:szCs w:val="24"/>
        </w:rPr>
        <w:t xml:space="preserve">In addition to his complaint in relation to article 9(1), </w:t>
      </w:r>
      <w:r w:rsidR="00D15352" w:rsidRPr="005F64AF">
        <w:rPr>
          <w:sz w:val="24"/>
          <w:szCs w:val="24"/>
        </w:rPr>
        <w:t xml:space="preserve">Mr </w:t>
      </w:r>
      <w:r w:rsidR="00613950">
        <w:rPr>
          <w:sz w:val="24"/>
          <w:szCs w:val="24"/>
        </w:rPr>
        <w:t>GE</w:t>
      </w:r>
      <w:r w:rsidR="00D15352" w:rsidRPr="005F64AF">
        <w:rPr>
          <w:sz w:val="24"/>
          <w:szCs w:val="24"/>
        </w:rPr>
        <w:t xml:space="preserve"> also made a complaint </w:t>
      </w:r>
      <w:r w:rsidR="00E74B77" w:rsidRPr="005F64AF">
        <w:rPr>
          <w:sz w:val="24"/>
          <w:szCs w:val="24"/>
        </w:rPr>
        <w:t xml:space="preserve">that the location of </w:t>
      </w:r>
      <w:r w:rsidR="000B0C12" w:rsidRPr="005F64AF">
        <w:rPr>
          <w:sz w:val="24"/>
          <w:szCs w:val="24"/>
        </w:rPr>
        <w:t xml:space="preserve">his immigration </w:t>
      </w:r>
      <w:r w:rsidR="00E74B77" w:rsidRPr="005F64AF">
        <w:rPr>
          <w:sz w:val="24"/>
          <w:szCs w:val="24"/>
        </w:rPr>
        <w:t xml:space="preserve">detention has arbitrarily interfered with his family, and is therefore inconsistent with the human rights recognised in </w:t>
      </w:r>
      <w:r w:rsidR="00D15352" w:rsidRPr="005F64AF">
        <w:rPr>
          <w:sz w:val="24"/>
          <w:szCs w:val="24"/>
        </w:rPr>
        <w:t>articles 17</w:t>
      </w:r>
      <w:r w:rsidR="008622F9" w:rsidRPr="005F64AF">
        <w:rPr>
          <w:sz w:val="24"/>
          <w:szCs w:val="24"/>
        </w:rPr>
        <w:t>(1)</w:t>
      </w:r>
      <w:r w:rsidR="00D15352" w:rsidRPr="005F64AF">
        <w:rPr>
          <w:sz w:val="24"/>
          <w:szCs w:val="24"/>
        </w:rPr>
        <w:t xml:space="preserve"> and 23</w:t>
      </w:r>
      <w:r w:rsidR="008622F9" w:rsidRPr="005F64AF">
        <w:rPr>
          <w:sz w:val="24"/>
          <w:szCs w:val="24"/>
        </w:rPr>
        <w:t>(1)</w:t>
      </w:r>
      <w:r w:rsidR="00D15352" w:rsidRPr="005F64AF">
        <w:rPr>
          <w:sz w:val="24"/>
          <w:szCs w:val="24"/>
        </w:rPr>
        <w:t xml:space="preserve"> </w:t>
      </w:r>
      <w:r w:rsidR="00E74B77" w:rsidRPr="005F64AF">
        <w:rPr>
          <w:sz w:val="24"/>
          <w:szCs w:val="24"/>
        </w:rPr>
        <w:t>of the ICCPR.</w:t>
      </w:r>
      <w:r w:rsidR="00E727D7" w:rsidRPr="005F64AF">
        <w:rPr>
          <w:sz w:val="24"/>
          <w:szCs w:val="24"/>
        </w:rPr>
        <w:t xml:space="preserve"> </w:t>
      </w:r>
    </w:p>
    <w:p w14:paraId="2CBF47A3" w14:textId="77777777" w:rsidR="0012160F" w:rsidRDefault="0012160F" w:rsidP="00AE7382">
      <w:pPr>
        <w:pStyle w:val="SubmissionNormal"/>
        <w:numPr>
          <w:ilvl w:val="0"/>
          <w:numId w:val="19"/>
        </w:numPr>
      </w:pPr>
      <w:r w:rsidRPr="005F64AF">
        <w:t xml:space="preserve">In addition to his complaint under article 9(1), Mr </w:t>
      </w:r>
      <w:r w:rsidR="00613950">
        <w:t>GG</w:t>
      </w:r>
      <w:r w:rsidRPr="005F64AF">
        <w:t xml:space="preserve"> also made a complaint </w:t>
      </w:r>
      <w:r w:rsidR="00E74B77" w:rsidRPr="005F64AF">
        <w:t xml:space="preserve">that his continued immigration detention in the context of a deterioration </w:t>
      </w:r>
      <w:r w:rsidR="00D42130" w:rsidRPr="005F64AF">
        <w:t>of his mental health constitutes cruel, inhuman or degrading treatment, and is therefore inconsistent with the human rights recognised in ar</w:t>
      </w:r>
      <w:r w:rsidRPr="005F64AF">
        <w:t>ticle 7</w:t>
      </w:r>
      <w:r w:rsidR="00D42130" w:rsidRPr="005F64AF">
        <w:t xml:space="preserve"> of the ICCPR.</w:t>
      </w:r>
      <w:r w:rsidR="00A74BB9" w:rsidRPr="005F64AF">
        <w:t xml:space="preserve"> </w:t>
      </w:r>
    </w:p>
    <w:p w14:paraId="412BF5F5" w14:textId="77777777" w:rsidR="004B7440" w:rsidRPr="005F64AF" w:rsidRDefault="004B7440" w:rsidP="00AE7382">
      <w:pPr>
        <w:pStyle w:val="SubmissionNormal"/>
        <w:numPr>
          <w:ilvl w:val="0"/>
          <w:numId w:val="19"/>
        </w:numPr>
      </w:pPr>
      <w:r>
        <w:t xml:space="preserve">In addition to their complaints under article 9(1), Messrs </w:t>
      </w:r>
      <w:r w:rsidR="0039144D">
        <w:t>GA</w:t>
      </w:r>
      <w:r>
        <w:t xml:space="preserve"> and </w:t>
      </w:r>
      <w:r w:rsidR="00A44EBC">
        <w:t>Razamiya</w:t>
      </w:r>
      <w:r>
        <w:t xml:space="preserve"> have made complaints under </w:t>
      </w:r>
      <w:r w:rsidR="00DF4AB0">
        <w:t xml:space="preserve">article 7 of the ICCPR. I am conducting a separate inquiry into those complaints; they are not dealt with in this notice. </w:t>
      </w:r>
    </w:p>
    <w:p w14:paraId="4E878541" w14:textId="5902705E" w:rsidR="001974CE" w:rsidRPr="008473F7" w:rsidRDefault="001974CE" w:rsidP="00AE7382">
      <w:pPr>
        <w:pStyle w:val="SubmissionNormal"/>
        <w:numPr>
          <w:ilvl w:val="0"/>
          <w:numId w:val="19"/>
        </w:numPr>
        <w:rPr>
          <w:i/>
        </w:rPr>
      </w:pPr>
      <w:r w:rsidRPr="005F64AF">
        <w:lastRenderedPageBreak/>
        <w:t xml:space="preserve">The situation of </w:t>
      </w:r>
      <w:r w:rsidR="00D50D61" w:rsidRPr="005F64AF">
        <w:t>the</w:t>
      </w:r>
      <w:r w:rsidRPr="005F64AF">
        <w:t xml:space="preserve"> present complainants is substantially similar to the situation of the complainants who were the subject of the Commission</w:t>
      </w:r>
      <w:r w:rsidR="005808E7" w:rsidRPr="005F64AF">
        <w:t>’s</w:t>
      </w:r>
      <w:r w:rsidRPr="005F64AF">
        <w:t xml:space="preserve"> report</w:t>
      </w:r>
      <w:r w:rsidR="002646C6">
        <w:t>s</w:t>
      </w:r>
      <w:r w:rsidRPr="005F64AF">
        <w:t xml:space="preserve"> </w:t>
      </w:r>
      <w:r w:rsidRPr="005F64AF">
        <w:rPr>
          <w:i/>
          <w:lang w:val="en"/>
        </w:rPr>
        <w:t xml:space="preserve">Sri Lankan refugees v Commonwealth of Australia (Department of Immigration </w:t>
      </w:r>
      <w:r w:rsidR="00247BEA">
        <w:rPr>
          <w:i/>
          <w:lang w:val="en"/>
        </w:rPr>
        <w:t xml:space="preserve">and </w:t>
      </w:r>
      <w:r w:rsidRPr="005F64AF">
        <w:rPr>
          <w:i/>
          <w:lang w:val="en"/>
        </w:rPr>
        <w:t>Citizenship)</w:t>
      </w:r>
      <w:r w:rsidRPr="005F64AF">
        <w:rPr>
          <w:lang w:val="en"/>
        </w:rPr>
        <w:t xml:space="preserve"> </w:t>
      </w:r>
      <w:r w:rsidRPr="005F64AF">
        <w:t>[2012] AusHRC 56</w:t>
      </w:r>
      <w:r w:rsidR="002646C6">
        <w:t xml:space="preserve"> and</w:t>
      </w:r>
      <w:r w:rsidR="008473F7">
        <w:t xml:space="preserve"> </w:t>
      </w:r>
      <w:r w:rsidR="008473F7" w:rsidRPr="008473F7">
        <w:rPr>
          <w:bCs/>
          <w:i/>
        </w:rPr>
        <w:t xml:space="preserve">Immigration detainees with adverse security assessments v Commonwealth of Australia (Department </w:t>
      </w:r>
      <w:r w:rsidR="008473F7">
        <w:rPr>
          <w:bCs/>
          <w:i/>
        </w:rPr>
        <w:t>of Immigration and Citizenship)</w:t>
      </w:r>
      <w:r w:rsidR="008473F7" w:rsidRPr="008473F7">
        <w:t xml:space="preserve"> [2013] AusHRC 64</w:t>
      </w:r>
      <w:r w:rsidR="00BB15FB" w:rsidRPr="005F64AF">
        <w:t>.</w:t>
      </w:r>
      <w:r w:rsidRPr="008473F7">
        <w:rPr>
          <w:lang w:val="en"/>
        </w:rPr>
        <w:t xml:space="preserve"> I</w:t>
      </w:r>
      <w:r w:rsidR="008473F7">
        <w:rPr>
          <w:lang w:val="en"/>
        </w:rPr>
        <w:t xml:space="preserve">n the course of this inquiry I have </w:t>
      </w:r>
      <w:r w:rsidRPr="005F64AF">
        <w:t>rel</w:t>
      </w:r>
      <w:r w:rsidR="008473F7">
        <w:t>ied</w:t>
      </w:r>
      <w:r w:rsidRPr="005F64AF">
        <w:t xml:space="preserve"> on material produced by the Commission in the </w:t>
      </w:r>
      <w:r w:rsidR="009729D8" w:rsidRPr="005F64AF">
        <w:t xml:space="preserve">course of </w:t>
      </w:r>
      <w:r w:rsidRPr="005F64AF">
        <w:t>previous inqui</w:t>
      </w:r>
      <w:r w:rsidR="00BB1B59" w:rsidRPr="005F64AF">
        <w:t>ries</w:t>
      </w:r>
      <w:r w:rsidR="009729D8" w:rsidRPr="005F64AF">
        <w:t xml:space="preserve"> </w:t>
      </w:r>
      <w:r w:rsidRPr="005F64AF">
        <w:t xml:space="preserve">and on material </w:t>
      </w:r>
      <w:r w:rsidR="000645DF" w:rsidRPr="005F64AF">
        <w:t xml:space="preserve">previously </w:t>
      </w:r>
      <w:r w:rsidRPr="005F64AF">
        <w:t xml:space="preserve">provided to the Commission including </w:t>
      </w:r>
      <w:r w:rsidR="009729D8" w:rsidRPr="005F64AF">
        <w:t xml:space="preserve">submissions </w:t>
      </w:r>
      <w:r w:rsidRPr="005F64AF">
        <w:t xml:space="preserve">by the Minister </w:t>
      </w:r>
      <w:r w:rsidR="009729D8" w:rsidRPr="005F64AF">
        <w:t xml:space="preserve">and </w:t>
      </w:r>
      <w:r w:rsidR="007C786A">
        <w:t>the D</w:t>
      </w:r>
      <w:r w:rsidRPr="005F64AF">
        <w:t>epartment</w:t>
      </w:r>
      <w:r w:rsidR="007C786A">
        <w:t xml:space="preserve"> of Immigration and Border Protection (formerly the Department of Imm</w:t>
      </w:r>
      <w:r w:rsidR="00F711BF">
        <w:t>igration and Citizenship) (the d</w:t>
      </w:r>
      <w:r w:rsidR="007C786A">
        <w:t>epartment)</w:t>
      </w:r>
      <w:r w:rsidR="009729D8" w:rsidRPr="005F64AF">
        <w:t>.</w:t>
      </w:r>
      <w:r w:rsidR="00586F5E" w:rsidRPr="005F64AF" w:rsidDel="00586F5E">
        <w:t xml:space="preserve"> </w:t>
      </w:r>
      <w:r w:rsidR="008473F7">
        <w:rPr>
          <w:lang w:val="en"/>
        </w:rPr>
        <w:t xml:space="preserve">I informed the Commonwealth that I intended to adopt this approach, and </w:t>
      </w:r>
      <w:r w:rsidR="000F5E02">
        <w:rPr>
          <w:lang w:val="en"/>
        </w:rPr>
        <w:t>the Commonwealth made no objection.</w:t>
      </w:r>
      <w:r w:rsidR="003B1350">
        <w:rPr>
          <w:lang w:val="en"/>
        </w:rPr>
        <w:t xml:space="preserve"> In this notice I have at times referred to matters dealt with in detail in these two previous reports. Where indicated, I have not repeated those discussions in full in this notice. </w:t>
      </w:r>
    </w:p>
    <w:p w14:paraId="400FF2DE" w14:textId="77777777" w:rsidR="006B3C44" w:rsidRPr="005F64AF" w:rsidRDefault="006B3C44" w:rsidP="00AE7382">
      <w:pPr>
        <w:pStyle w:val="SubmissionNormal"/>
        <w:numPr>
          <w:ilvl w:val="0"/>
          <w:numId w:val="19"/>
        </w:numPr>
      </w:pPr>
      <w:r w:rsidRPr="005F64AF">
        <w:t>As a result of th</w:t>
      </w:r>
      <w:r w:rsidR="003D7F9D" w:rsidRPr="005F64AF">
        <w:t>is</w:t>
      </w:r>
      <w:r w:rsidRPr="005F64AF">
        <w:t xml:space="preserve"> inquiry, </w:t>
      </w:r>
      <w:r w:rsidR="006D1AD8">
        <w:t>I find</w:t>
      </w:r>
      <w:r w:rsidR="004C1724" w:rsidRPr="005F64AF">
        <w:t xml:space="preserve"> </w:t>
      </w:r>
      <w:r w:rsidRPr="005F64AF">
        <w:t xml:space="preserve">that the following two acts of the Commonwealth were inconsistent with </w:t>
      </w:r>
      <w:r w:rsidR="00B4390B" w:rsidRPr="005F64AF">
        <w:t xml:space="preserve">or contrary to </w:t>
      </w:r>
      <w:r w:rsidRPr="005F64AF">
        <w:t xml:space="preserve">the rights </w:t>
      </w:r>
      <w:r w:rsidR="00722DA8" w:rsidRPr="005F64AF">
        <w:t xml:space="preserve">of the complainants </w:t>
      </w:r>
      <w:r w:rsidRPr="005F64AF">
        <w:t xml:space="preserve">recognised under article 9(1) of the ICCPR: </w:t>
      </w:r>
    </w:p>
    <w:p w14:paraId="3EE509D6" w14:textId="77777777" w:rsidR="006B3C44" w:rsidRPr="005F64AF" w:rsidRDefault="006B3C44" w:rsidP="006B3C44">
      <w:pPr>
        <w:spacing w:before="240" w:after="240"/>
        <w:ind w:left="1440" w:hanging="720"/>
        <w:rPr>
          <w:sz w:val="24"/>
          <w:szCs w:val="24"/>
        </w:rPr>
      </w:pPr>
      <w:r w:rsidRPr="005F64AF">
        <w:rPr>
          <w:sz w:val="24"/>
          <w:szCs w:val="24"/>
        </w:rPr>
        <w:t>(a)</w:t>
      </w:r>
      <w:r w:rsidRPr="005F64AF">
        <w:rPr>
          <w:sz w:val="24"/>
          <w:szCs w:val="24"/>
        </w:rPr>
        <w:tab/>
        <w:t xml:space="preserve">the failure by the </w:t>
      </w:r>
      <w:r w:rsidR="004C1724" w:rsidRPr="005F64AF">
        <w:rPr>
          <w:sz w:val="24"/>
          <w:szCs w:val="24"/>
        </w:rPr>
        <w:t xml:space="preserve">department </w:t>
      </w:r>
      <w:r w:rsidRPr="005F64AF">
        <w:rPr>
          <w:sz w:val="24"/>
          <w:szCs w:val="24"/>
        </w:rPr>
        <w:t>to ask the Australian Security Intelligence Organisation (ASIO) to assess their individual suitability for community based detention while awaiting their security clearance</w:t>
      </w:r>
      <w:r w:rsidR="00DF1374" w:rsidRPr="005F64AF">
        <w:rPr>
          <w:sz w:val="24"/>
          <w:szCs w:val="24"/>
        </w:rPr>
        <w:t xml:space="preserve"> (</w:t>
      </w:r>
      <w:r w:rsidR="005D4F7B" w:rsidRPr="005F64AF">
        <w:rPr>
          <w:sz w:val="24"/>
          <w:szCs w:val="24"/>
        </w:rPr>
        <w:t xml:space="preserve">either at all, or for a </w:t>
      </w:r>
      <w:r w:rsidR="00722DA8" w:rsidRPr="005F64AF">
        <w:rPr>
          <w:sz w:val="24"/>
          <w:szCs w:val="24"/>
        </w:rPr>
        <w:t xml:space="preserve">lengthy </w:t>
      </w:r>
      <w:r w:rsidR="005D4F7B" w:rsidRPr="005F64AF">
        <w:rPr>
          <w:sz w:val="24"/>
          <w:szCs w:val="24"/>
        </w:rPr>
        <w:t>period without reasonable explanation</w:t>
      </w:r>
      <w:r w:rsidR="00DF1374" w:rsidRPr="005F64AF">
        <w:rPr>
          <w:sz w:val="24"/>
          <w:szCs w:val="24"/>
        </w:rPr>
        <w:t>)</w:t>
      </w:r>
    </w:p>
    <w:p w14:paraId="73B732C0" w14:textId="77777777" w:rsidR="006B3C44" w:rsidRPr="005F64AF" w:rsidRDefault="006B3C44" w:rsidP="006B3C44">
      <w:pPr>
        <w:spacing w:before="240" w:after="240"/>
        <w:ind w:left="1440" w:hanging="720"/>
        <w:rPr>
          <w:sz w:val="24"/>
          <w:szCs w:val="24"/>
        </w:rPr>
      </w:pPr>
      <w:r w:rsidRPr="005F64AF">
        <w:rPr>
          <w:sz w:val="24"/>
          <w:szCs w:val="24"/>
        </w:rPr>
        <w:t>(b)</w:t>
      </w:r>
      <w:r w:rsidRPr="005F64AF">
        <w:rPr>
          <w:sz w:val="24"/>
          <w:szCs w:val="24"/>
        </w:rPr>
        <w:tab/>
        <w:t>the failure to assess on an individual basis whether the circumstances of each individual complainant indicated that they could be placed in less restrictive forms of detention.</w:t>
      </w:r>
    </w:p>
    <w:p w14:paraId="5622F20D" w14:textId="77777777" w:rsidR="00B5510B" w:rsidRPr="005F64AF" w:rsidRDefault="006D1AD8" w:rsidP="00AE7382">
      <w:pPr>
        <w:pStyle w:val="SubmissionNormal"/>
        <w:numPr>
          <w:ilvl w:val="0"/>
          <w:numId w:val="19"/>
        </w:numPr>
      </w:pPr>
      <w:r>
        <w:t>I find</w:t>
      </w:r>
      <w:r w:rsidR="00B5510B" w:rsidRPr="005F64AF">
        <w:t xml:space="preserve"> that Mr </w:t>
      </w:r>
      <w:r w:rsidR="00613950">
        <w:t>GG</w:t>
      </w:r>
      <w:r w:rsidR="00B5510B" w:rsidRPr="005F64AF">
        <w:t xml:space="preserve">’s continued detention in an immigration detention facility amounts to cruel, inhuman or degrading treatment within the meaning of article 7 of the ICCPR and is therefore inconsistent with or contrary to the rights recognised in that article. </w:t>
      </w:r>
    </w:p>
    <w:p w14:paraId="15ACB1C5" w14:textId="2F61F894" w:rsidR="00481D7F" w:rsidRDefault="006D1AD8" w:rsidP="00AE7382">
      <w:pPr>
        <w:pStyle w:val="SubmissionNormal"/>
        <w:numPr>
          <w:ilvl w:val="0"/>
          <w:numId w:val="19"/>
        </w:numPr>
      </w:pPr>
      <w:r>
        <w:t xml:space="preserve">I find </w:t>
      </w:r>
      <w:r w:rsidR="00481D7F" w:rsidRPr="005F64AF">
        <w:t xml:space="preserve">that </w:t>
      </w:r>
      <w:r w:rsidR="00612D4A" w:rsidRPr="005F64AF">
        <w:t xml:space="preserve">Mr </w:t>
      </w:r>
      <w:r w:rsidR="00613950">
        <w:t>GE</w:t>
      </w:r>
      <w:r w:rsidR="00612D4A" w:rsidRPr="005F64AF">
        <w:t xml:space="preserve">’s complaint that the location of </w:t>
      </w:r>
      <w:r w:rsidR="0062505B" w:rsidRPr="005F64AF">
        <w:t xml:space="preserve">his </w:t>
      </w:r>
      <w:r w:rsidR="00612D4A" w:rsidRPr="005F64AF">
        <w:t>detention</w:t>
      </w:r>
      <w:r w:rsidR="0062505B" w:rsidRPr="005F64AF">
        <w:t xml:space="preserve"> in immigration detention facilities</w:t>
      </w:r>
      <w:r w:rsidR="00612D4A" w:rsidRPr="005F64AF">
        <w:t xml:space="preserve"> interfered with his family in a manner inconsistent with the rights recognised in articles</w:t>
      </w:r>
      <w:r w:rsidR="00481D7F" w:rsidRPr="005F64AF">
        <w:t xml:space="preserve"> </w:t>
      </w:r>
      <w:r w:rsidR="002124F1" w:rsidRPr="005F64AF">
        <w:t>17</w:t>
      </w:r>
      <w:r w:rsidR="0072021B" w:rsidRPr="005F64AF">
        <w:t>(1)</w:t>
      </w:r>
      <w:r w:rsidR="002124F1" w:rsidRPr="005F64AF">
        <w:t xml:space="preserve"> and 23</w:t>
      </w:r>
      <w:r w:rsidR="0072021B" w:rsidRPr="005F64AF">
        <w:t>(1)</w:t>
      </w:r>
      <w:r w:rsidR="00E0664A" w:rsidRPr="005F64AF">
        <w:t xml:space="preserve"> </w:t>
      </w:r>
      <w:r w:rsidR="005808E7" w:rsidRPr="005F64AF">
        <w:t xml:space="preserve">of the ICCPR </w:t>
      </w:r>
      <w:r w:rsidR="00612D4A" w:rsidRPr="005F64AF">
        <w:t>has not been substantiated.</w:t>
      </w:r>
    </w:p>
    <w:p w14:paraId="5C8A23A6" w14:textId="3A8687FF" w:rsidR="00CF663E" w:rsidRDefault="00CF663E">
      <w:r>
        <w:br w:type="page"/>
      </w:r>
    </w:p>
    <w:p w14:paraId="1D2C8C43" w14:textId="77777777" w:rsidR="009A531E" w:rsidRPr="005F64AF" w:rsidRDefault="009A531E" w:rsidP="009A531E">
      <w:pPr>
        <w:pStyle w:val="Heading1"/>
      </w:pPr>
      <w:bookmarkStart w:id="2" w:name="_Toc282704172"/>
      <w:r w:rsidRPr="005F64AF">
        <w:lastRenderedPageBreak/>
        <w:t>Background</w:t>
      </w:r>
      <w:bookmarkEnd w:id="2"/>
    </w:p>
    <w:p w14:paraId="510DBAEF" w14:textId="2695547B" w:rsidR="009A531E" w:rsidRPr="005F64AF" w:rsidRDefault="009A531E" w:rsidP="00AE7382">
      <w:pPr>
        <w:numPr>
          <w:ilvl w:val="0"/>
          <w:numId w:val="19"/>
        </w:numPr>
        <w:spacing w:before="240" w:after="240"/>
        <w:rPr>
          <w:sz w:val="24"/>
          <w:szCs w:val="24"/>
        </w:rPr>
      </w:pPr>
      <w:r w:rsidRPr="005F64AF">
        <w:rPr>
          <w:sz w:val="24"/>
          <w:szCs w:val="24"/>
        </w:rPr>
        <w:t xml:space="preserve">The individuals identified </w:t>
      </w:r>
      <w:r w:rsidR="00254BA3" w:rsidRPr="005F64AF">
        <w:rPr>
          <w:sz w:val="24"/>
          <w:szCs w:val="24"/>
        </w:rPr>
        <w:t xml:space="preserve">in the table </w:t>
      </w:r>
      <w:r w:rsidRPr="005F64AF">
        <w:rPr>
          <w:sz w:val="24"/>
          <w:szCs w:val="24"/>
        </w:rPr>
        <w:t>below have made complaints in writing to the Commission.</w:t>
      </w:r>
      <w:r w:rsidR="00810DD5" w:rsidRPr="005F64AF">
        <w:rPr>
          <w:sz w:val="24"/>
          <w:szCs w:val="24"/>
        </w:rPr>
        <w:t xml:space="preserve"> </w:t>
      </w:r>
      <w:r w:rsidRPr="005F64AF">
        <w:rPr>
          <w:sz w:val="24"/>
          <w:szCs w:val="24"/>
        </w:rPr>
        <w:t xml:space="preserve">The table sets out the date on which each of them was detained, the date that they were found to be a refugee, and the date that </w:t>
      </w:r>
      <w:r w:rsidR="005808E7" w:rsidRPr="005F64AF">
        <w:rPr>
          <w:sz w:val="24"/>
          <w:szCs w:val="24"/>
        </w:rPr>
        <w:t>the department</w:t>
      </w:r>
      <w:r w:rsidR="007A2C8D" w:rsidRPr="005F64AF">
        <w:rPr>
          <w:sz w:val="24"/>
          <w:szCs w:val="24"/>
        </w:rPr>
        <w:t xml:space="preserve"> </w:t>
      </w:r>
      <w:r w:rsidRPr="005F64AF">
        <w:rPr>
          <w:sz w:val="24"/>
          <w:szCs w:val="24"/>
        </w:rPr>
        <w:t xml:space="preserve">received an adverse security assessment </w:t>
      </w:r>
      <w:r w:rsidR="00A13F6F">
        <w:rPr>
          <w:sz w:val="24"/>
          <w:szCs w:val="24"/>
        </w:rPr>
        <w:t xml:space="preserve">(ASA) </w:t>
      </w:r>
      <w:r w:rsidRPr="005F64AF">
        <w:rPr>
          <w:sz w:val="24"/>
          <w:szCs w:val="24"/>
        </w:rPr>
        <w:t xml:space="preserve">in respect of them from </w:t>
      </w:r>
      <w:r w:rsidR="007A2C8D" w:rsidRPr="005F64AF">
        <w:rPr>
          <w:sz w:val="24"/>
          <w:szCs w:val="24"/>
        </w:rPr>
        <w:t>ASIO.</w:t>
      </w:r>
    </w:p>
    <w:tbl>
      <w:tblPr>
        <w:tblStyle w:val="TableGrid"/>
        <w:tblW w:w="9343" w:type="dxa"/>
        <w:tblLook w:val="04A0" w:firstRow="1" w:lastRow="0" w:firstColumn="1" w:lastColumn="0" w:noHBand="0" w:noVBand="1"/>
      </w:tblPr>
      <w:tblGrid>
        <w:gridCol w:w="1809"/>
        <w:gridCol w:w="2410"/>
        <w:gridCol w:w="2693"/>
        <w:gridCol w:w="2431"/>
      </w:tblGrid>
      <w:tr w:rsidR="00A049CA" w:rsidRPr="005F64AF" w14:paraId="01865C25" w14:textId="77777777" w:rsidTr="00B2420F">
        <w:trPr>
          <w:cantSplit/>
          <w:tblHeader/>
        </w:trPr>
        <w:tc>
          <w:tcPr>
            <w:tcW w:w="1809" w:type="dxa"/>
            <w:shd w:val="clear" w:color="auto" w:fill="DBE5F1" w:themeFill="accent1" w:themeFillTint="33"/>
          </w:tcPr>
          <w:p w14:paraId="16C93F70" w14:textId="77777777" w:rsidR="00A049CA" w:rsidRPr="005F64AF" w:rsidRDefault="004F2E6F" w:rsidP="00254BA3">
            <w:pPr>
              <w:rPr>
                <w:b/>
                <w:sz w:val="24"/>
              </w:rPr>
            </w:pPr>
            <w:r w:rsidRPr="005F64AF">
              <w:rPr>
                <w:b/>
                <w:sz w:val="24"/>
              </w:rPr>
              <w:t>Complainant</w:t>
            </w:r>
          </w:p>
        </w:tc>
        <w:tc>
          <w:tcPr>
            <w:tcW w:w="2410" w:type="dxa"/>
            <w:shd w:val="clear" w:color="auto" w:fill="DBE5F1" w:themeFill="accent1" w:themeFillTint="33"/>
          </w:tcPr>
          <w:p w14:paraId="419372A5" w14:textId="77777777" w:rsidR="00A049CA" w:rsidRPr="005F64AF" w:rsidRDefault="00A049CA" w:rsidP="00254BA3">
            <w:pPr>
              <w:rPr>
                <w:b/>
                <w:sz w:val="24"/>
              </w:rPr>
            </w:pPr>
            <w:r w:rsidRPr="005F64AF">
              <w:rPr>
                <w:b/>
                <w:sz w:val="24"/>
              </w:rPr>
              <w:t>Arrived in Australia</w:t>
            </w:r>
          </w:p>
        </w:tc>
        <w:tc>
          <w:tcPr>
            <w:tcW w:w="2693" w:type="dxa"/>
            <w:shd w:val="clear" w:color="auto" w:fill="DBE5F1" w:themeFill="accent1" w:themeFillTint="33"/>
          </w:tcPr>
          <w:p w14:paraId="50A1FE4E" w14:textId="77777777" w:rsidR="00A049CA" w:rsidRPr="005F64AF" w:rsidRDefault="00A049CA" w:rsidP="00AD5216">
            <w:pPr>
              <w:rPr>
                <w:b/>
                <w:sz w:val="24"/>
              </w:rPr>
            </w:pPr>
            <w:r w:rsidRPr="005F64AF">
              <w:rPr>
                <w:b/>
                <w:sz w:val="24"/>
              </w:rPr>
              <w:t>Refugee finding</w:t>
            </w:r>
          </w:p>
        </w:tc>
        <w:tc>
          <w:tcPr>
            <w:tcW w:w="2431" w:type="dxa"/>
            <w:shd w:val="clear" w:color="auto" w:fill="DBE5F1" w:themeFill="accent1" w:themeFillTint="33"/>
          </w:tcPr>
          <w:p w14:paraId="71A5D26C" w14:textId="77777777" w:rsidR="00A049CA" w:rsidRPr="005F64AF" w:rsidRDefault="00A049CA" w:rsidP="00254BA3">
            <w:pPr>
              <w:rPr>
                <w:b/>
                <w:sz w:val="24"/>
              </w:rPr>
            </w:pPr>
            <w:r w:rsidRPr="005F64AF">
              <w:rPr>
                <w:b/>
                <w:sz w:val="24"/>
              </w:rPr>
              <w:t>ASA finding</w:t>
            </w:r>
          </w:p>
        </w:tc>
      </w:tr>
      <w:tr w:rsidR="00F86026" w:rsidRPr="005F64AF" w14:paraId="0D30EF75" w14:textId="77777777" w:rsidTr="00DA0AF1">
        <w:trPr>
          <w:cantSplit/>
        </w:trPr>
        <w:tc>
          <w:tcPr>
            <w:tcW w:w="1809" w:type="dxa"/>
          </w:tcPr>
          <w:p w14:paraId="1A89A1EE" w14:textId="77777777" w:rsidR="00F86026" w:rsidRPr="005F64AF" w:rsidRDefault="00F86026" w:rsidP="00DA0AF1">
            <w:pPr>
              <w:spacing w:before="120" w:after="120"/>
              <w:rPr>
                <w:sz w:val="24"/>
              </w:rPr>
            </w:pPr>
            <w:r w:rsidRPr="005F64AF">
              <w:rPr>
                <w:sz w:val="24"/>
              </w:rPr>
              <w:t xml:space="preserve">Mr </w:t>
            </w:r>
            <w:r w:rsidR="0039144D">
              <w:rPr>
                <w:sz w:val="24"/>
              </w:rPr>
              <w:t>GA</w:t>
            </w:r>
          </w:p>
        </w:tc>
        <w:tc>
          <w:tcPr>
            <w:tcW w:w="2410" w:type="dxa"/>
          </w:tcPr>
          <w:p w14:paraId="2D15DA91" w14:textId="77777777" w:rsidR="00F86026" w:rsidRPr="005F64AF" w:rsidRDefault="00F86026" w:rsidP="00DA0AF1">
            <w:pPr>
              <w:spacing w:before="120" w:after="120"/>
              <w:rPr>
                <w:sz w:val="24"/>
              </w:rPr>
            </w:pPr>
            <w:r w:rsidRPr="005F64AF">
              <w:rPr>
                <w:sz w:val="24"/>
              </w:rPr>
              <w:t>11 September 2009</w:t>
            </w:r>
          </w:p>
        </w:tc>
        <w:tc>
          <w:tcPr>
            <w:tcW w:w="2693" w:type="dxa"/>
          </w:tcPr>
          <w:p w14:paraId="3A6EA702" w14:textId="77777777" w:rsidR="00F86026" w:rsidRPr="005F64AF" w:rsidRDefault="00F86026" w:rsidP="00DA0AF1">
            <w:pPr>
              <w:spacing w:before="120" w:after="120"/>
              <w:rPr>
                <w:sz w:val="24"/>
              </w:rPr>
            </w:pPr>
            <w:r w:rsidRPr="005F64AF">
              <w:rPr>
                <w:sz w:val="24"/>
              </w:rPr>
              <w:t>29 October 2009</w:t>
            </w:r>
            <w:r w:rsidR="00DA0AF1" w:rsidRPr="005F64AF">
              <w:rPr>
                <w:sz w:val="24"/>
              </w:rPr>
              <w:t xml:space="preserve"> (although not notified until 23 November 2010)</w:t>
            </w:r>
          </w:p>
        </w:tc>
        <w:tc>
          <w:tcPr>
            <w:tcW w:w="2431" w:type="dxa"/>
          </w:tcPr>
          <w:p w14:paraId="4209CE02" w14:textId="77777777" w:rsidR="00F86026" w:rsidRPr="005F64AF" w:rsidRDefault="00F86026" w:rsidP="00DA0AF1">
            <w:pPr>
              <w:spacing w:before="120" w:after="120"/>
              <w:rPr>
                <w:sz w:val="24"/>
              </w:rPr>
            </w:pPr>
            <w:r w:rsidRPr="005F64AF">
              <w:rPr>
                <w:sz w:val="24"/>
              </w:rPr>
              <w:t>12 October 2010</w:t>
            </w:r>
          </w:p>
        </w:tc>
      </w:tr>
      <w:tr w:rsidR="009B47E5" w:rsidRPr="005F64AF" w14:paraId="0AD6869F" w14:textId="77777777" w:rsidTr="009B47E5">
        <w:trPr>
          <w:cantSplit/>
        </w:trPr>
        <w:tc>
          <w:tcPr>
            <w:tcW w:w="1809" w:type="dxa"/>
          </w:tcPr>
          <w:p w14:paraId="295F0EFB" w14:textId="77777777" w:rsidR="009B47E5" w:rsidRPr="005F64AF" w:rsidRDefault="009B47E5" w:rsidP="009B47E5">
            <w:pPr>
              <w:spacing w:before="120" w:after="120"/>
              <w:rPr>
                <w:sz w:val="24"/>
              </w:rPr>
            </w:pPr>
            <w:r w:rsidRPr="005F64AF">
              <w:rPr>
                <w:sz w:val="24"/>
              </w:rPr>
              <w:t xml:space="preserve">Mr </w:t>
            </w:r>
            <w:r w:rsidR="0039144D">
              <w:rPr>
                <w:sz w:val="24"/>
              </w:rPr>
              <w:t>GB</w:t>
            </w:r>
          </w:p>
        </w:tc>
        <w:tc>
          <w:tcPr>
            <w:tcW w:w="2410" w:type="dxa"/>
          </w:tcPr>
          <w:p w14:paraId="3ECE84DB" w14:textId="77777777" w:rsidR="009B47E5" w:rsidRPr="005F64AF" w:rsidRDefault="009B47E5" w:rsidP="009B47E5">
            <w:pPr>
              <w:spacing w:before="120" w:after="120"/>
              <w:rPr>
                <w:sz w:val="24"/>
              </w:rPr>
            </w:pPr>
            <w:r w:rsidRPr="005F64AF">
              <w:rPr>
                <w:sz w:val="24"/>
              </w:rPr>
              <w:t>23 September 2009</w:t>
            </w:r>
          </w:p>
        </w:tc>
        <w:tc>
          <w:tcPr>
            <w:tcW w:w="2693" w:type="dxa"/>
          </w:tcPr>
          <w:p w14:paraId="13CB9EF3" w14:textId="77777777" w:rsidR="009B47E5" w:rsidRPr="005F64AF" w:rsidRDefault="009B47E5" w:rsidP="009B47E5">
            <w:pPr>
              <w:spacing w:before="120" w:after="120"/>
              <w:rPr>
                <w:sz w:val="24"/>
              </w:rPr>
            </w:pPr>
            <w:r w:rsidRPr="005F64AF">
              <w:rPr>
                <w:sz w:val="24"/>
              </w:rPr>
              <w:t>14 April 2010 (although not notified until 17 December 2010)</w:t>
            </w:r>
          </w:p>
        </w:tc>
        <w:tc>
          <w:tcPr>
            <w:tcW w:w="2431" w:type="dxa"/>
          </w:tcPr>
          <w:p w14:paraId="059D9E82" w14:textId="77777777" w:rsidR="009B47E5" w:rsidRPr="005F64AF" w:rsidRDefault="009B47E5" w:rsidP="009B47E5">
            <w:pPr>
              <w:spacing w:before="120" w:after="120"/>
              <w:rPr>
                <w:sz w:val="24"/>
              </w:rPr>
            </w:pPr>
            <w:r w:rsidRPr="005F64AF">
              <w:rPr>
                <w:sz w:val="24"/>
              </w:rPr>
              <w:t>18 February 2011</w:t>
            </w:r>
          </w:p>
        </w:tc>
      </w:tr>
      <w:tr w:rsidR="00E5707B" w:rsidRPr="005F64AF" w14:paraId="1676AD3D" w14:textId="77777777" w:rsidTr="00B2420F">
        <w:trPr>
          <w:cantSplit/>
        </w:trPr>
        <w:tc>
          <w:tcPr>
            <w:tcW w:w="1809" w:type="dxa"/>
          </w:tcPr>
          <w:p w14:paraId="62F72760" w14:textId="77777777" w:rsidR="00E5707B" w:rsidRPr="005F64AF" w:rsidRDefault="00E5707B" w:rsidP="00DA0AF1">
            <w:pPr>
              <w:spacing w:before="120" w:after="120"/>
              <w:rPr>
                <w:sz w:val="24"/>
              </w:rPr>
            </w:pPr>
            <w:r w:rsidRPr="005F64AF">
              <w:rPr>
                <w:sz w:val="24"/>
              </w:rPr>
              <w:t xml:space="preserve">Mr </w:t>
            </w:r>
            <w:r w:rsidR="0039144D">
              <w:rPr>
                <w:sz w:val="24"/>
              </w:rPr>
              <w:t>GC</w:t>
            </w:r>
          </w:p>
        </w:tc>
        <w:tc>
          <w:tcPr>
            <w:tcW w:w="2410" w:type="dxa"/>
          </w:tcPr>
          <w:p w14:paraId="3EAE6EC2" w14:textId="77777777" w:rsidR="00E5707B" w:rsidRPr="005F64AF" w:rsidRDefault="00E5707B" w:rsidP="00DA0AF1">
            <w:pPr>
              <w:spacing w:before="120" w:after="120"/>
              <w:rPr>
                <w:sz w:val="24"/>
              </w:rPr>
            </w:pPr>
            <w:r w:rsidRPr="005F64AF">
              <w:rPr>
                <w:sz w:val="24"/>
              </w:rPr>
              <w:t>23 September 2009</w:t>
            </w:r>
          </w:p>
        </w:tc>
        <w:tc>
          <w:tcPr>
            <w:tcW w:w="2693" w:type="dxa"/>
          </w:tcPr>
          <w:p w14:paraId="44DBDCFF" w14:textId="77777777" w:rsidR="00E5707B" w:rsidRPr="005F64AF" w:rsidRDefault="00CA4770" w:rsidP="00CA4770">
            <w:pPr>
              <w:spacing w:before="120" w:after="120"/>
              <w:rPr>
                <w:sz w:val="24"/>
              </w:rPr>
            </w:pPr>
            <w:r w:rsidRPr="005F64AF">
              <w:rPr>
                <w:sz w:val="24"/>
              </w:rPr>
              <w:t>14 April 2010 (although not notified until 8 April 2011)</w:t>
            </w:r>
          </w:p>
        </w:tc>
        <w:tc>
          <w:tcPr>
            <w:tcW w:w="2431" w:type="dxa"/>
          </w:tcPr>
          <w:p w14:paraId="41B9F848" w14:textId="77777777" w:rsidR="00E5707B" w:rsidRPr="005F64AF" w:rsidRDefault="00CA4770" w:rsidP="00DA0AF1">
            <w:pPr>
              <w:spacing w:before="120" w:after="120"/>
              <w:rPr>
                <w:sz w:val="24"/>
              </w:rPr>
            </w:pPr>
            <w:r w:rsidRPr="005F64AF">
              <w:rPr>
                <w:sz w:val="24"/>
              </w:rPr>
              <w:t>28 March 2011</w:t>
            </w:r>
          </w:p>
        </w:tc>
      </w:tr>
      <w:tr w:rsidR="00A049CA" w:rsidRPr="005F64AF" w14:paraId="2AF7C783" w14:textId="77777777" w:rsidTr="00B2420F">
        <w:trPr>
          <w:cantSplit/>
        </w:trPr>
        <w:tc>
          <w:tcPr>
            <w:tcW w:w="1809" w:type="dxa"/>
          </w:tcPr>
          <w:p w14:paraId="61E0B0C9" w14:textId="77777777" w:rsidR="00A049CA" w:rsidRPr="005F64AF" w:rsidRDefault="00254384" w:rsidP="006D1AD8">
            <w:pPr>
              <w:spacing w:before="120" w:after="120"/>
              <w:rPr>
                <w:sz w:val="24"/>
              </w:rPr>
            </w:pPr>
            <w:r w:rsidRPr="005F64AF">
              <w:rPr>
                <w:sz w:val="24"/>
              </w:rPr>
              <w:t xml:space="preserve">Mr </w:t>
            </w:r>
            <w:r w:rsidR="006D1AD8">
              <w:rPr>
                <w:sz w:val="24"/>
              </w:rPr>
              <w:t>Razamiya Razamiya</w:t>
            </w:r>
          </w:p>
        </w:tc>
        <w:tc>
          <w:tcPr>
            <w:tcW w:w="2410" w:type="dxa"/>
          </w:tcPr>
          <w:p w14:paraId="03EAEEA2" w14:textId="77777777" w:rsidR="00A049CA" w:rsidRPr="005F64AF" w:rsidRDefault="00877EBC" w:rsidP="00DA0AF1">
            <w:pPr>
              <w:spacing w:before="120" w:after="120"/>
              <w:rPr>
                <w:sz w:val="24"/>
              </w:rPr>
            </w:pPr>
            <w:r w:rsidRPr="005F64AF">
              <w:rPr>
                <w:sz w:val="24"/>
              </w:rPr>
              <w:t>9 November 2009</w:t>
            </w:r>
          </w:p>
        </w:tc>
        <w:tc>
          <w:tcPr>
            <w:tcW w:w="2693" w:type="dxa"/>
          </w:tcPr>
          <w:p w14:paraId="66D167A2" w14:textId="77777777" w:rsidR="00A049CA" w:rsidRPr="005F64AF" w:rsidRDefault="00877EBC" w:rsidP="00DA0AF1">
            <w:pPr>
              <w:spacing w:before="120" w:after="120"/>
              <w:rPr>
                <w:sz w:val="24"/>
              </w:rPr>
            </w:pPr>
            <w:r w:rsidRPr="005F64AF">
              <w:rPr>
                <w:sz w:val="24"/>
              </w:rPr>
              <w:t>21 December 2009</w:t>
            </w:r>
            <w:r w:rsidR="00DA0AF1" w:rsidRPr="005F64AF">
              <w:rPr>
                <w:sz w:val="24"/>
              </w:rPr>
              <w:t xml:space="preserve"> (although not notified until 26 November 2010)</w:t>
            </w:r>
          </w:p>
        </w:tc>
        <w:tc>
          <w:tcPr>
            <w:tcW w:w="2431" w:type="dxa"/>
          </w:tcPr>
          <w:p w14:paraId="0A81A731" w14:textId="77777777" w:rsidR="00A049CA" w:rsidRPr="005F64AF" w:rsidRDefault="00877EBC" w:rsidP="00DA0AF1">
            <w:pPr>
              <w:spacing w:before="120" w:after="120"/>
              <w:rPr>
                <w:sz w:val="24"/>
              </w:rPr>
            </w:pPr>
            <w:r w:rsidRPr="005F64AF">
              <w:rPr>
                <w:sz w:val="24"/>
              </w:rPr>
              <w:t>16 September</w:t>
            </w:r>
            <w:r w:rsidR="00A049CA" w:rsidRPr="005F64AF">
              <w:rPr>
                <w:sz w:val="24"/>
              </w:rPr>
              <w:t xml:space="preserve"> 2011</w:t>
            </w:r>
          </w:p>
        </w:tc>
      </w:tr>
      <w:tr w:rsidR="009A6E1E" w:rsidRPr="005F64AF" w14:paraId="73F45F1B" w14:textId="77777777" w:rsidTr="009A6E1E">
        <w:trPr>
          <w:cantSplit/>
        </w:trPr>
        <w:tc>
          <w:tcPr>
            <w:tcW w:w="1809" w:type="dxa"/>
          </w:tcPr>
          <w:p w14:paraId="7EADB5B7" w14:textId="77777777" w:rsidR="009A6E1E" w:rsidRPr="005F64AF" w:rsidRDefault="009A6E1E" w:rsidP="009A6E1E">
            <w:pPr>
              <w:spacing w:before="120" w:after="120"/>
              <w:rPr>
                <w:sz w:val="24"/>
              </w:rPr>
            </w:pPr>
            <w:r w:rsidRPr="005F64AF">
              <w:rPr>
                <w:sz w:val="24"/>
              </w:rPr>
              <w:t xml:space="preserve">Mr </w:t>
            </w:r>
            <w:r w:rsidR="00613950">
              <w:rPr>
                <w:sz w:val="24"/>
              </w:rPr>
              <w:t>GD</w:t>
            </w:r>
          </w:p>
        </w:tc>
        <w:tc>
          <w:tcPr>
            <w:tcW w:w="2410" w:type="dxa"/>
          </w:tcPr>
          <w:p w14:paraId="69213878" w14:textId="77777777" w:rsidR="009A6E1E" w:rsidRPr="005F64AF" w:rsidRDefault="009A6E1E" w:rsidP="009A6E1E">
            <w:pPr>
              <w:spacing w:before="120" w:after="120"/>
              <w:rPr>
                <w:sz w:val="24"/>
              </w:rPr>
            </w:pPr>
            <w:r w:rsidRPr="005F64AF">
              <w:rPr>
                <w:sz w:val="24"/>
              </w:rPr>
              <w:t>10 December 2009</w:t>
            </w:r>
          </w:p>
        </w:tc>
        <w:tc>
          <w:tcPr>
            <w:tcW w:w="2693" w:type="dxa"/>
          </w:tcPr>
          <w:p w14:paraId="3A8051B3" w14:textId="77777777" w:rsidR="009A6E1E" w:rsidRPr="005F64AF" w:rsidRDefault="009A6E1E" w:rsidP="009A6E1E">
            <w:pPr>
              <w:spacing w:before="120" w:after="120"/>
              <w:rPr>
                <w:sz w:val="24"/>
              </w:rPr>
            </w:pPr>
            <w:r w:rsidRPr="005F64AF">
              <w:rPr>
                <w:sz w:val="24"/>
              </w:rPr>
              <w:t>13 March 2010 (although not notified until 24 October 2010)</w:t>
            </w:r>
          </w:p>
        </w:tc>
        <w:tc>
          <w:tcPr>
            <w:tcW w:w="2431" w:type="dxa"/>
          </w:tcPr>
          <w:p w14:paraId="67CB0E66" w14:textId="77777777" w:rsidR="009A6E1E" w:rsidRPr="005F64AF" w:rsidRDefault="009A6E1E" w:rsidP="009A6E1E">
            <w:pPr>
              <w:spacing w:before="120" w:after="120"/>
              <w:rPr>
                <w:sz w:val="24"/>
              </w:rPr>
            </w:pPr>
            <w:r w:rsidRPr="005F64AF">
              <w:rPr>
                <w:sz w:val="24"/>
              </w:rPr>
              <w:t>3 November 2011</w:t>
            </w:r>
          </w:p>
        </w:tc>
      </w:tr>
      <w:tr w:rsidR="00A049CA" w:rsidRPr="005F64AF" w14:paraId="1E53E382" w14:textId="77777777" w:rsidTr="00B2420F">
        <w:trPr>
          <w:cantSplit/>
        </w:trPr>
        <w:tc>
          <w:tcPr>
            <w:tcW w:w="1809" w:type="dxa"/>
          </w:tcPr>
          <w:p w14:paraId="00F178E9" w14:textId="77777777" w:rsidR="00A049CA" w:rsidRPr="005F64AF" w:rsidRDefault="00254384" w:rsidP="005871F7">
            <w:pPr>
              <w:spacing w:before="120" w:after="120"/>
              <w:rPr>
                <w:sz w:val="24"/>
              </w:rPr>
            </w:pPr>
            <w:r w:rsidRPr="005F64AF">
              <w:rPr>
                <w:sz w:val="24"/>
              </w:rPr>
              <w:t xml:space="preserve">Mr </w:t>
            </w:r>
            <w:r w:rsidR="00613950">
              <w:rPr>
                <w:sz w:val="24"/>
              </w:rPr>
              <w:t>GE</w:t>
            </w:r>
          </w:p>
        </w:tc>
        <w:tc>
          <w:tcPr>
            <w:tcW w:w="2410" w:type="dxa"/>
          </w:tcPr>
          <w:p w14:paraId="4AB83DEA" w14:textId="77777777" w:rsidR="00A049CA" w:rsidRPr="005F64AF" w:rsidRDefault="00540846" w:rsidP="00DA0AF1">
            <w:pPr>
              <w:spacing w:before="120" w:after="120"/>
              <w:rPr>
                <w:sz w:val="24"/>
              </w:rPr>
            </w:pPr>
            <w:r w:rsidRPr="005F64AF">
              <w:rPr>
                <w:sz w:val="24"/>
              </w:rPr>
              <w:t>10 December 2009</w:t>
            </w:r>
          </w:p>
        </w:tc>
        <w:tc>
          <w:tcPr>
            <w:tcW w:w="2693" w:type="dxa"/>
          </w:tcPr>
          <w:p w14:paraId="192C077D" w14:textId="77777777" w:rsidR="00A049CA" w:rsidRPr="005F64AF" w:rsidRDefault="005871F7" w:rsidP="005871F7">
            <w:pPr>
              <w:spacing w:before="120" w:after="120"/>
              <w:rPr>
                <w:sz w:val="24"/>
              </w:rPr>
            </w:pPr>
            <w:r w:rsidRPr="005F64AF">
              <w:rPr>
                <w:sz w:val="24"/>
              </w:rPr>
              <w:t>13 March 2010 (although not notified until 24 October 2010)</w:t>
            </w:r>
          </w:p>
        </w:tc>
        <w:tc>
          <w:tcPr>
            <w:tcW w:w="2431" w:type="dxa"/>
          </w:tcPr>
          <w:p w14:paraId="4927FE4E" w14:textId="77777777" w:rsidR="00A049CA" w:rsidRPr="005F64AF" w:rsidRDefault="005871F7" w:rsidP="00DA0AF1">
            <w:pPr>
              <w:spacing w:before="120" w:after="120"/>
              <w:rPr>
                <w:sz w:val="24"/>
              </w:rPr>
            </w:pPr>
            <w:r w:rsidRPr="005F64AF">
              <w:rPr>
                <w:sz w:val="24"/>
              </w:rPr>
              <w:t>20 February 2012</w:t>
            </w:r>
          </w:p>
        </w:tc>
      </w:tr>
      <w:tr w:rsidR="009B47E5" w:rsidRPr="005F64AF" w14:paraId="607A289A" w14:textId="77777777" w:rsidTr="00B2420F">
        <w:trPr>
          <w:cantSplit/>
        </w:trPr>
        <w:tc>
          <w:tcPr>
            <w:tcW w:w="1809" w:type="dxa"/>
          </w:tcPr>
          <w:p w14:paraId="134BBEA8" w14:textId="77777777" w:rsidR="009B47E5" w:rsidRPr="005F64AF" w:rsidRDefault="009B47E5" w:rsidP="00540846">
            <w:pPr>
              <w:spacing w:before="120" w:after="120"/>
              <w:rPr>
                <w:sz w:val="24"/>
              </w:rPr>
            </w:pPr>
            <w:r w:rsidRPr="005F64AF">
              <w:rPr>
                <w:sz w:val="24"/>
              </w:rPr>
              <w:t xml:space="preserve">Mr </w:t>
            </w:r>
            <w:r w:rsidR="00613950">
              <w:rPr>
                <w:sz w:val="24"/>
              </w:rPr>
              <w:t>GF</w:t>
            </w:r>
          </w:p>
        </w:tc>
        <w:tc>
          <w:tcPr>
            <w:tcW w:w="2410" w:type="dxa"/>
          </w:tcPr>
          <w:p w14:paraId="5BDDF0FF" w14:textId="77777777" w:rsidR="009B47E5" w:rsidRPr="005F64AF" w:rsidRDefault="009B47E5" w:rsidP="00DA0AF1">
            <w:pPr>
              <w:spacing w:before="120" w:after="120"/>
              <w:rPr>
                <w:sz w:val="24"/>
              </w:rPr>
            </w:pPr>
            <w:r w:rsidRPr="005F64AF">
              <w:rPr>
                <w:sz w:val="24"/>
              </w:rPr>
              <w:t>10 December 2009</w:t>
            </w:r>
          </w:p>
        </w:tc>
        <w:tc>
          <w:tcPr>
            <w:tcW w:w="2693" w:type="dxa"/>
          </w:tcPr>
          <w:p w14:paraId="6C7348CA" w14:textId="77777777" w:rsidR="009B47E5" w:rsidRPr="005F64AF" w:rsidRDefault="009B47E5" w:rsidP="00DA0AF1">
            <w:pPr>
              <w:spacing w:before="120" w:after="120"/>
              <w:rPr>
                <w:sz w:val="24"/>
              </w:rPr>
            </w:pPr>
            <w:r w:rsidRPr="005F64AF">
              <w:rPr>
                <w:sz w:val="24"/>
              </w:rPr>
              <w:t>15 July 2010</w:t>
            </w:r>
          </w:p>
        </w:tc>
        <w:tc>
          <w:tcPr>
            <w:tcW w:w="2431" w:type="dxa"/>
          </w:tcPr>
          <w:p w14:paraId="1DBC6BA4" w14:textId="77777777" w:rsidR="009B47E5" w:rsidRPr="005F64AF" w:rsidRDefault="009B47E5" w:rsidP="00DA0AF1">
            <w:pPr>
              <w:spacing w:before="120" w:after="120"/>
              <w:rPr>
                <w:sz w:val="24"/>
              </w:rPr>
            </w:pPr>
            <w:r w:rsidRPr="005F64AF">
              <w:rPr>
                <w:sz w:val="24"/>
              </w:rPr>
              <w:t>18 February 2011</w:t>
            </w:r>
          </w:p>
        </w:tc>
      </w:tr>
      <w:tr w:rsidR="00F67255" w:rsidRPr="005F64AF" w14:paraId="6B7C5AC8" w14:textId="77777777" w:rsidTr="00B2420F">
        <w:trPr>
          <w:cantSplit/>
        </w:trPr>
        <w:tc>
          <w:tcPr>
            <w:tcW w:w="1809" w:type="dxa"/>
          </w:tcPr>
          <w:p w14:paraId="4974745C" w14:textId="77777777" w:rsidR="00F67255" w:rsidRPr="005F64AF" w:rsidRDefault="00F67255" w:rsidP="00A44EBC">
            <w:pPr>
              <w:spacing w:before="120" w:after="120"/>
              <w:rPr>
                <w:sz w:val="24"/>
              </w:rPr>
            </w:pPr>
            <w:r w:rsidRPr="005F64AF">
              <w:rPr>
                <w:sz w:val="24"/>
              </w:rPr>
              <w:t xml:space="preserve">Mr </w:t>
            </w:r>
            <w:r w:rsidR="00A44EBC" w:rsidRPr="00A44EBC">
              <w:rPr>
                <w:sz w:val="24"/>
              </w:rPr>
              <w:t>Satheeskumar Bonifass</w:t>
            </w:r>
          </w:p>
        </w:tc>
        <w:tc>
          <w:tcPr>
            <w:tcW w:w="2410" w:type="dxa"/>
          </w:tcPr>
          <w:p w14:paraId="13A0D427" w14:textId="77777777" w:rsidR="00F67255" w:rsidRPr="005F64AF" w:rsidRDefault="00F67255" w:rsidP="00DA0AF1">
            <w:pPr>
              <w:spacing w:before="120" w:after="120"/>
              <w:rPr>
                <w:sz w:val="24"/>
              </w:rPr>
            </w:pPr>
            <w:r w:rsidRPr="005F64AF">
              <w:rPr>
                <w:sz w:val="24"/>
              </w:rPr>
              <w:t>1 March 2010</w:t>
            </w:r>
          </w:p>
        </w:tc>
        <w:tc>
          <w:tcPr>
            <w:tcW w:w="2693" w:type="dxa"/>
          </w:tcPr>
          <w:p w14:paraId="1BF790C5" w14:textId="77777777" w:rsidR="00F67255" w:rsidRPr="005F64AF" w:rsidRDefault="00F67255" w:rsidP="00F67255">
            <w:pPr>
              <w:spacing w:before="120" w:after="120"/>
              <w:rPr>
                <w:sz w:val="24"/>
              </w:rPr>
            </w:pPr>
            <w:r w:rsidRPr="005F64AF">
              <w:rPr>
                <w:sz w:val="24"/>
              </w:rPr>
              <w:t>15 June 2010 (although not notified until 27 October 2010)</w:t>
            </w:r>
          </w:p>
        </w:tc>
        <w:tc>
          <w:tcPr>
            <w:tcW w:w="2431" w:type="dxa"/>
          </w:tcPr>
          <w:p w14:paraId="03799CAD" w14:textId="77777777" w:rsidR="00F67255" w:rsidRPr="005F64AF" w:rsidRDefault="00F67255" w:rsidP="00DA0AF1">
            <w:pPr>
              <w:spacing w:before="120" w:after="120"/>
              <w:rPr>
                <w:sz w:val="24"/>
              </w:rPr>
            </w:pPr>
            <w:r w:rsidRPr="005F64AF">
              <w:rPr>
                <w:sz w:val="24"/>
              </w:rPr>
              <w:t>18 August 2011</w:t>
            </w:r>
          </w:p>
        </w:tc>
      </w:tr>
      <w:tr w:rsidR="00A049CA" w:rsidRPr="005F64AF" w14:paraId="334A52FE" w14:textId="77777777" w:rsidTr="00B2420F">
        <w:trPr>
          <w:cantSplit/>
        </w:trPr>
        <w:tc>
          <w:tcPr>
            <w:tcW w:w="1809" w:type="dxa"/>
          </w:tcPr>
          <w:p w14:paraId="1CB3A4DE" w14:textId="77777777" w:rsidR="00A049CA" w:rsidRPr="005F64AF" w:rsidRDefault="00FC5865" w:rsidP="00FC5865">
            <w:pPr>
              <w:spacing w:before="120" w:after="120"/>
              <w:rPr>
                <w:sz w:val="24"/>
              </w:rPr>
            </w:pPr>
            <w:r w:rsidRPr="005F64AF">
              <w:rPr>
                <w:sz w:val="24"/>
              </w:rPr>
              <w:t xml:space="preserve">Mr </w:t>
            </w:r>
            <w:r w:rsidR="0055790D" w:rsidRPr="0055790D">
              <w:rPr>
                <w:sz w:val="24"/>
              </w:rPr>
              <w:t>Premakumar Subramaniyam</w:t>
            </w:r>
          </w:p>
        </w:tc>
        <w:tc>
          <w:tcPr>
            <w:tcW w:w="2410" w:type="dxa"/>
          </w:tcPr>
          <w:p w14:paraId="32C89604" w14:textId="77777777" w:rsidR="00A049CA" w:rsidRPr="005F64AF" w:rsidRDefault="007B0155" w:rsidP="00DA0AF1">
            <w:pPr>
              <w:spacing w:before="120" w:after="120"/>
              <w:rPr>
                <w:sz w:val="24"/>
              </w:rPr>
            </w:pPr>
            <w:r w:rsidRPr="005F64AF">
              <w:rPr>
                <w:sz w:val="24"/>
              </w:rPr>
              <w:t>20 March 2010</w:t>
            </w:r>
          </w:p>
        </w:tc>
        <w:tc>
          <w:tcPr>
            <w:tcW w:w="2693" w:type="dxa"/>
          </w:tcPr>
          <w:p w14:paraId="542FE83A" w14:textId="77777777" w:rsidR="00A049CA" w:rsidRPr="005F64AF" w:rsidRDefault="007B0155" w:rsidP="007B0155">
            <w:pPr>
              <w:spacing w:before="120" w:after="120"/>
              <w:rPr>
                <w:sz w:val="24"/>
              </w:rPr>
            </w:pPr>
            <w:r w:rsidRPr="005F64AF">
              <w:rPr>
                <w:sz w:val="24"/>
              </w:rPr>
              <w:t>9 July 2010 (although not notified until 7 February 2011)</w:t>
            </w:r>
          </w:p>
        </w:tc>
        <w:tc>
          <w:tcPr>
            <w:tcW w:w="2431" w:type="dxa"/>
          </w:tcPr>
          <w:p w14:paraId="4CECCB91" w14:textId="77777777" w:rsidR="00A049CA" w:rsidRPr="005F64AF" w:rsidRDefault="007B0155" w:rsidP="00DA0AF1">
            <w:pPr>
              <w:spacing w:before="120" w:after="120"/>
              <w:rPr>
                <w:sz w:val="24"/>
              </w:rPr>
            </w:pPr>
            <w:r w:rsidRPr="005F64AF">
              <w:rPr>
                <w:sz w:val="24"/>
              </w:rPr>
              <w:t>15 March 2011</w:t>
            </w:r>
          </w:p>
        </w:tc>
      </w:tr>
      <w:tr w:rsidR="00F86026" w:rsidRPr="005F64AF" w14:paraId="3B6C61DD" w14:textId="77777777" w:rsidTr="00DA0AF1">
        <w:trPr>
          <w:cantSplit/>
        </w:trPr>
        <w:tc>
          <w:tcPr>
            <w:tcW w:w="1809" w:type="dxa"/>
          </w:tcPr>
          <w:p w14:paraId="455EA188" w14:textId="77777777" w:rsidR="00F86026" w:rsidRPr="005F64AF" w:rsidRDefault="00E91C76" w:rsidP="00DA0AF1">
            <w:pPr>
              <w:rPr>
                <w:sz w:val="24"/>
              </w:rPr>
            </w:pPr>
            <w:r w:rsidRPr="005F64AF">
              <w:rPr>
                <w:sz w:val="24"/>
              </w:rPr>
              <w:t xml:space="preserve">Mr </w:t>
            </w:r>
            <w:r w:rsidR="00613950">
              <w:rPr>
                <w:sz w:val="24"/>
              </w:rPr>
              <w:t>GG</w:t>
            </w:r>
          </w:p>
        </w:tc>
        <w:tc>
          <w:tcPr>
            <w:tcW w:w="2410" w:type="dxa"/>
          </w:tcPr>
          <w:p w14:paraId="5A67AE47" w14:textId="77777777" w:rsidR="00F86026" w:rsidRPr="005F64AF" w:rsidRDefault="00E91C76" w:rsidP="00DA0AF1">
            <w:pPr>
              <w:rPr>
                <w:sz w:val="24"/>
              </w:rPr>
            </w:pPr>
            <w:r w:rsidRPr="005F64AF">
              <w:rPr>
                <w:sz w:val="24"/>
              </w:rPr>
              <w:t>21 December 2010</w:t>
            </w:r>
          </w:p>
        </w:tc>
        <w:tc>
          <w:tcPr>
            <w:tcW w:w="2693" w:type="dxa"/>
          </w:tcPr>
          <w:p w14:paraId="5695CBC2" w14:textId="77777777" w:rsidR="00F86026" w:rsidRPr="005F64AF" w:rsidRDefault="00E91C76" w:rsidP="00DA0AF1">
            <w:pPr>
              <w:rPr>
                <w:sz w:val="24"/>
              </w:rPr>
            </w:pPr>
            <w:r w:rsidRPr="005F64AF">
              <w:rPr>
                <w:sz w:val="24"/>
              </w:rPr>
              <w:t>15 April 2011</w:t>
            </w:r>
          </w:p>
        </w:tc>
        <w:tc>
          <w:tcPr>
            <w:tcW w:w="2431" w:type="dxa"/>
          </w:tcPr>
          <w:p w14:paraId="4BB6B5E1" w14:textId="77777777" w:rsidR="00F86026" w:rsidRPr="005F64AF" w:rsidRDefault="00E91C76" w:rsidP="00DA0AF1">
            <w:pPr>
              <w:rPr>
                <w:sz w:val="24"/>
              </w:rPr>
            </w:pPr>
            <w:r w:rsidRPr="005F64AF">
              <w:rPr>
                <w:sz w:val="24"/>
              </w:rPr>
              <w:t>8 December 2011</w:t>
            </w:r>
          </w:p>
        </w:tc>
      </w:tr>
    </w:tbl>
    <w:p w14:paraId="106ADC95" w14:textId="77777777" w:rsidR="00CF663E" w:rsidRDefault="00CF663E" w:rsidP="00CF663E"/>
    <w:p w14:paraId="6E9CE72A" w14:textId="1143358E" w:rsidR="00243E3B" w:rsidRDefault="00243E3B">
      <w:pPr>
        <w:keepLines w:val="0"/>
      </w:pPr>
      <w:r>
        <w:br w:type="page"/>
      </w:r>
    </w:p>
    <w:p w14:paraId="47F32F0E" w14:textId="77777777" w:rsidR="00BE5FC4" w:rsidRPr="005F64AF" w:rsidRDefault="00BE5FC4" w:rsidP="00AE7382">
      <w:pPr>
        <w:numPr>
          <w:ilvl w:val="0"/>
          <w:numId w:val="19"/>
        </w:numPr>
        <w:spacing w:before="240" w:after="240"/>
        <w:rPr>
          <w:sz w:val="24"/>
          <w:szCs w:val="24"/>
        </w:rPr>
      </w:pPr>
      <w:r w:rsidRPr="005F64AF">
        <w:rPr>
          <w:sz w:val="24"/>
          <w:szCs w:val="24"/>
        </w:rPr>
        <w:lastRenderedPageBreak/>
        <w:t xml:space="preserve">Messrs </w:t>
      </w:r>
      <w:r w:rsidR="0039144D">
        <w:rPr>
          <w:sz w:val="24"/>
          <w:szCs w:val="24"/>
        </w:rPr>
        <w:t>GA</w:t>
      </w:r>
      <w:r w:rsidRPr="005F64AF">
        <w:rPr>
          <w:sz w:val="24"/>
          <w:szCs w:val="24"/>
        </w:rPr>
        <w:t xml:space="preserve"> and </w:t>
      </w:r>
      <w:r w:rsidR="00A44EBC">
        <w:rPr>
          <w:sz w:val="24"/>
          <w:szCs w:val="24"/>
        </w:rPr>
        <w:t>Razamiya</w:t>
      </w:r>
      <w:r w:rsidRPr="005F64AF">
        <w:rPr>
          <w:sz w:val="24"/>
          <w:szCs w:val="24"/>
        </w:rPr>
        <w:t xml:space="preserve"> are </w:t>
      </w:r>
      <w:r w:rsidR="00C44067" w:rsidRPr="005F64AF">
        <w:rPr>
          <w:sz w:val="24"/>
          <w:szCs w:val="24"/>
        </w:rPr>
        <w:t>Roh</w:t>
      </w:r>
      <w:r w:rsidR="00257238" w:rsidRPr="005F64AF">
        <w:rPr>
          <w:sz w:val="24"/>
          <w:szCs w:val="24"/>
        </w:rPr>
        <w:t>ingya</w:t>
      </w:r>
      <w:r w:rsidR="00700885" w:rsidRPr="005F64AF">
        <w:rPr>
          <w:sz w:val="24"/>
          <w:szCs w:val="24"/>
        </w:rPr>
        <w:t xml:space="preserve">, originally from Burma. </w:t>
      </w:r>
      <w:r w:rsidR="00C44067" w:rsidRPr="005F64AF">
        <w:rPr>
          <w:sz w:val="24"/>
          <w:szCs w:val="24"/>
        </w:rPr>
        <w:t xml:space="preserve">Messrs </w:t>
      </w:r>
      <w:r w:rsidR="0039144D">
        <w:rPr>
          <w:sz w:val="24"/>
          <w:szCs w:val="24"/>
        </w:rPr>
        <w:t>GB</w:t>
      </w:r>
      <w:r w:rsidR="00C44067" w:rsidRPr="005F64AF">
        <w:rPr>
          <w:sz w:val="24"/>
          <w:szCs w:val="24"/>
        </w:rPr>
        <w:t xml:space="preserve">, </w:t>
      </w:r>
      <w:r w:rsidR="0039144D">
        <w:rPr>
          <w:sz w:val="24"/>
          <w:szCs w:val="24"/>
        </w:rPr>
        <w:t>GC</w:t>
      </w:r>
      <w:r w:rsidR="00C44067" w:rsidRPr="005F64AF">
        <w:rPr>
          <w:sz w:val="24"/>
          <w:szCs w:val="24"/>
        </w:rPr>
        <w:t xml:space="preserve">, </w:t>
      </w:r>
      <w:r w:rsidR="00613950">
        <w:rPr>
          <w:sz w:val="24"/>
          <w:szCs w:val="24"/>
        </w:rPr>
        <w:t>GD</w:t>
      </w:r>
      <w:r w:rsidR="00C44067" w:rsidRPr="005F64AF">
        <w:rPr>
          <w:sz w:val="24"/>
          <w:szCs w:val="24"/>
        </w:rPr>
        <w:t xml:space="preserve">, </w:t>
      </w:r>
      <w:r w:rsidR="00613950">
        <w:rPr>
          <w:sz w:val="24"/>
          <w:szCs w:val="24"/>
        </w:rPr>
        <w:t>GE</w:t>
      </w:r>
      <w:r w:rsidR="00C44067" w:rsidRPr="005F64AF">
        <w:rPr>
          <w:sz w:val="24"/>
          <w:szCs w:val="24"/>
        </w:rPr>
        <w:t xml:space="preserve">, </w:t>
      </w:r>
      <w:r w:rsidR="00613950">
        <w:rPr>
          <w:sz w:val="24"/>
        </w:rPr>
        <w:t>GF</w:t>
      </w:r>
      <w:r w:rsidR="00C44067" w:rsidRPr="005F64AF">
        <w:rPr>
          <w:sz w:val="24"/>
        </w:rPr>
        <w:t xml:space="preserve">, </w:t>
      </w:r>
      <w:r w:rsidR="00A47E82">
        <w:rPr>
          <w:sz w:val="24"/>
        </w:rPr>
        <w:t>Bonifass</w:t>
      </w:r>
      <w:r w:rsidR="00C44067" w:rsidRPr="005F64AF">
        <w:rPr>
          <w:sz w:val="24"/>
        </w:rPr>
        <w:t xml:space="preserve"> and </w:t>
      </w:r>
      <w:r w:rsidR="00325A2C" w:rsidRPr="00325A2C">
        <w:rPr>
          <w:sz w:val="24"/>
        </w:rPr>
        <w:t xml:space="preserve">Subramaniyam </w:t>
      </w:r>
      <w:r w:rsidR="00C44067" w:rsidRPr="005F64AF">
        <w:rPr>
          <w:sz w:val="24"/>
        </w:rPr>
        <w:t>are Tamil</w:t>
      </w:r>
      <w:r w:rsidR="00A07FBB" w:rsidRPr="005F64AF">
        <w:rPr>
          <w:sz w:val="24"/>
        </w:rPr>
        <w:t xml:space="preserve">, and </w:t>
      </w:r>
      <w:r w:rsidR="00C44067" w:rsidRPr="005F64AF">
        <w:rPr>
          <w:sz w:val="24"/>
        </w:rPr>
        <w:t>nationals</w:t>
      </w:r>
      <w:r w:rsidR="00A07FBB" w:rsidRPr="005F64AF">
        <w:rPr>
          <w:sz w:val="24"/>
        </w:rPr>
        <w:t xml:space="preserve"> of Sri Lanka</w:t>
      </w:r>
      <w:r w:rsidR="00C44067" w:rsidRPr="005F64AF">
        <w:rPr>
          <w:sz w:val="24"/>
        </w:rPr>
        <w:t>.</w:t>
      </w:r>
      <w:r w:rsidR="00E727D7" w:rsidRPr="005F64AF">
        <w:rPr>
          <w:sz w:val="24"/>
        </w:rPr>
        <w:t xml:space="preserve"> </w:t>
      </w:r>
      <w:r w:rsidR="00C44067" w:rsidRPr="005F64AF">
        <w:rPr>
          <w:sz w:val="24"/>
        </w:rPr>
        <w:t xml:space="preserve">Mr </w:t>
      </w:r>
      <w:r w:rsidR="00613950">
        <w:rPr>
          <w:sz w:val="24"/>
        </w:rPr>
        <w:t>GG</w:t>
      </w:r>
      <w:r w:rsidR="00C44067" w:rsidRPr="005F64AF">
        <w:rPr>
          <w:sz w:val="24"/>
        </w:rPr>
        <w:t xml:space="preserve"> is a stateless ‘Bidun’ person, born in Kuwait.</w:t>
      </w:r>
      <w:r w:rsidR="00E727D7" w:rsidRPr="005F64AF">
        <w:rPr>
          <w:sz w:val="24"/>
        </w:rPr>
        <w:t xml:space="preserve"> </w:t>
      </w:r>
    </w:p>
    <w:p w14:paraId="576108C5" w14:textId="77777777" w:rsidR="009A531E" w:rsidRPr="005F64AF" w:rsidRDefault="009A531E" w:rsidP="00AE7382">
      <w:pPr>
        <w:numPr>
          <w:ilvl w:val="0"/>
          <w:numId w:val="19"/>
        </w:numPr>
        <w:spacing w:before="240" w:after="240"/>
        <w:rPr>
          <w:sz w:val="24"/>
          <w:szCs w:val="24"/>
        </w:rPr>
      </w:pPr>
      <w:r w:rsidRPr="005F64AF">
        <w:rPr>
          <w:sz w:val="24"/>
          <w:szCs w:val="24"/>
        </w:rPr>
        <w:t xml:space="preserve">All of the complainants </w:t>
      </w:r>
      <w:r w:rsidR="008B4C2D" w:rsidRPr="005F64AF">
        <w:rPr>
          <w:sz w:val="24"/>
          <w:szCs w:val="24"/>
        </w:rPr>
        <w:t xml:space="preserve">arrived in Australia at Christmas Island by boat and </w:t>
      </w:r>
      <w:r w:rsidRPr="005F64AF">
        <w:rPr>
          <w:sz w:val="24"/>
          <w:szCs w:val="24"/>
        </w:rPr>
        <w:t xml:space="preserve">were detained on behalf of the Commonwealth under s 189(3) of the </w:t>
      </w:r>
      <w:r w:rsidRPr="005F64AF">
        <w:rPr>
          <w:i/>
          <w:sz w:val="24"/>
          <w:szCs w:val="24"/>
        </w:rPr>
        <w:t>Migration Act 1958</w:t>
      </w:r>
      <w:r w:rsidRPr="005F64AF">
        <w:rPr>
          <w:sz w:val="24"/>
          <w:szCs w:val="24"/>
        </w:rPr>
        <w:t xml:space="preserve"> (Cth)</w:t>
      </w:r>
      <w:r w:rsidRPr="005F64AF">
        <w:rPr>
          <w:i/>
          <w:sz w:val="24"/>
          <w:szCs w:val="24"/>
        </w:rPr>
        <w:t xml:space="preserve"> </w:t>
      </w:r>
      <w:r w:rsidRPr="005F64AF">
        <w:rPr>
          <w:sz w:val="24"/>
          <w:szCs w:val="24"/>
        </w:rPr>
        <w:t xml:space="preserve">(Migration Act) immediately upon their arrival. </w:t>
      </w:r>
    </w:p>
    <w:p w14:paraId="409A61DB" w14:textId="77777777" w:rsidR="00215F45" w:rsidRPr="005F64AF" w:rsidRDefault="00215F45" w:rsidP="00AE7382">
      <w:pPr>
        <w:numPr>
          <w:ilvl w:val="0"/>
          <w:numId w:val="19"/>
        </w:numPr>
        <w:spacing w:before="240" w:after="240"/>
        <w:rPr>
          <w:sz w:val="24"/>
          <w:szCs w:val="24"/>
        </w:rPr>
      </w:pPr>
      <w:r w:rsidRPr="005F64AF">
        <w:rPr>
          <w:sz w:val="24"/>
          <w:szCs w:val="24"/>
        </w:rPr>
        <w:t>The Commonwealth has determined that a</w:t>
      </w:r>
      <w:r w:rsidR="009A531E" w:rsidRPr="005F64AF">
        <w:rPr>
          <w:sz w:val="24"/>
          <w:szCs w:val="24"/>
        </w:rPr>
        <w:t xml:space="preserve">ll of the complainants </w:t>
      </w:r>
      <w:r w:rsidRPr="005F64AF">
        <w:rPr>
          <w:sz w:val="24"/>
          <w:szCs w:val="24"/>
        </w:rPr>
        <w:t xml:space="preserve">are </w:t>
      </w:r>
      <w:r w:rsidR="009A531E" w:rsidRPr="005F64AF">
        <w:rPr>
          <w:sz w:val="24"/>
          <w:szCs w:val="24"/>
        </w:rPr>
        <w:t xml:space="preserve">refugees within the meaning of the </w:t>
      </w:r>
      <w:r w:rsidR="009A531E" w:rsidRPr="005F64AF">
        <w:rPr>
          <w:i/>
          <w:sz w:val="24"/>
          <w:szCs w:val="24"/>
        </w:rPr>
        <w:t>1951 Convention Relating to the Status of Refugees</w:t>
      </w:r>
      <w:r w:rsidR="009A531E" w:rsidRPr="005F64AF">
        <w:rPr>
          <w:sz w:val="24"/>
          <w:szCs w:val="24"/>
        </w:rPr>
        <w:t xml:space="preserve"> and the </w:t>
      </w:r>
      <w:r w:rsidR="009A531E" w:rsidRPr="005F64AF">
        <w:rPr>
          <w:i/>
          <w:sz w:val="24"/>
          <w:szCs w:val="24"/>
        </w:rPr>
        <w:t>1967 Protocol relating to the Status of Refugees</w:t>
      </w:r>
      <w:r w:rsidR="009A531E" w:rsidRPr="005F64AF">
        <w:rPr>
          <w:sz w:val="24"/>
          <w:szCs w:val="24"/>
        </w:rPr>
        <w:t xml:space="preserve">. </w:t>
      </w:r>
      <w:r w:rsidR="00E375AD" w:rsidRPr="005F64AF">
        <w:rPr>
          <w:sz w:val="24"/>
          <w:szCs w:val="24"/>
        </w:rPr>
        <w:t>With the exception of Mr </w:t>
      </w:r>
      <w:r w:rsidR="00613950">
        <w:rPr>
          <w:sz w:val="24"/>
          <w:szCs w:val="24"/>
        </w:rPr>
        <w:t>GF</w:t>
      </w:r>
      <w:r w:rsidR="009A6E1E" w:rsidRPr="005F64AF">
        <w:rPr>
          <w:sz w:val="24"/>
          <w:szCs w:val="24"/>
        </w:rPr>
        <w:t xml:space="preserve">, all complainants were determined to be refugees on assessment by a departmental delegate. Mr </w:t>
      </w:r>
      <w:r w:rsidR="00613950">
        <w:rPr>
          <w:sz w:val="24"/>
          <w:szCs w:val="24"/>
        </w:rPr>
        <w:t>GF</w:t>
      </w:r>
      <w:r w:rsidR="009A6E1E" w:rsidRPr="005F64AF">
        <w:rPr>
          <w:sz w:val="24"/>
          <w:szCs w:val="24"/>
        </w:rPr>
        <w:t xml:space="preserve"> was found to be a refugee following review by an independent merits review panel. </w:t>
      </w:r>
    </w:p>
    <w:p w14:paraId="7DA8E4CC" w14:textId="77777777" w:rsidR="009A531E" w:rsidRPr="005F64AF" w:rsidRDefault="00E91C76" w:rsidP="00AE7382">
      <w:pPr>
        <w:numPr>
          <w:ilvl w:val="0"/>
          <w:numId w:val="19"/>
        </w:numPr>
        <w:spacing w:before="240" w:after="240"/>
        <w:rPr>
          <w:sz w:val="24"/>
          <w:szCs w:val="24"/>
        </w:rPr>
      </w:pPr>
      <w:r w:rsidRPr="005F64AF">
        <w:rPr>
          <w:sz w:val="24"/>
          <w:szCs w:val="24"/>
        </w:rPr>
        <w:t>E</w:t>
      </w:r>
      <w:r w:rsidR="009A531E" w:rsidRPr="005F64AF">
        <w:rPr>
          <w:sz w:val="24"/>
          <w:szCs w:val="24"/>
        </w:rPr>
        <w:t>ach of the complainants has received an adverse security assessment from ASIO.</w:t>
      </w:r>
      <w:r w:rsidR="005C0F07" w:rsidRPr="005F64AF">
        <w:rPr>
          <w:sz w:val="24"/>
          <w:szCs w:val="24"/>
        </w:rPr>
        <w:t xml:space="preserve"> </w:t>
      </w:r>
    </w:p>
    <w:p w14:paraId="535E68EF" w14:textId="77777777" w:rsidR="009A531E" w:rsidRPr="005F64AF" w:rsidRDefault="009A531E" w:rsidP="009A531E">
      <w:pPr>
        <w:pStyle w:val="Heading1"/>
      </w:pPr>
      <w:bookmarkStart w:id="3" w:name="_Toc282704173"/>
      <w:r w:rsidRPr="005F64AF">
        <w:t>Legislative framework</w:t>
      </w:r>
      <w:bookmarkEnd w:id="3"/>
    </w:p>
    <w:p w14:paraId="67EC785B" w14:textId="77777777" w:rsidR="009A531E" w:rsidRPr="005F64AF" w:rsidRDefault="009A531E" w:rsidP="009A531E">
      <w:pPr>
        <w:pStyle w:val="Heading2"/>
      </w:pPr>
      <w:bookmarkStart w:id="4" w:name="_Toc282704174"/>
      <w:r w:rsidRPr="005F64AF">
        <w:t>Functions of the Commission</w:t>
      </w:r>
      <w:bookmarkEnd w:id="4"/>
    </w:p>
    <w:p w14:paraId="75D22B99" w14:textId="77777777" w:rsidR="009A531E" w:rsidRPr="005F64AF" w:rsidRDefault="009A531E" w:rsidP="00AE7382">
      <w:pPr>
        <w:numPr>
          <w:ilvl w:val="0"/>
          <w:numId w:val="19"/>
        </w:numPr>
        <w:spacing w:before="240" w:after="240"/>
        <w:rPr>
          <w:sz w:val="24"/>
          <w:szCs w:val="24"/>
        </w:rPr>
      </w:pPr>
      <w:r w:rsidRPr="005F64AF">
        <w:rPr>
          <w:sz w:val="24"/>
          <w:szCs w:val="24"/>
        </w:rPr>
        <w:t>Section 11(1) of the AHRC Act identifies the functions of the Commission.</w:t>
      </w:r>
      <w:r w:rsidR="00810DD5" w:rsidRPr="005F64AF">
        <w:rPr>
          <w:sz w:val="24"/>
          <w:szCs w:val="24"/>
        </w:rPr>
        <w:t xml:space="preserve"> </w:t>
      </w:r>
      <w:r w:rsidRPr="005F64AF">
        <w:rPr>
          <w:sz w:val="24"/>
          <w:szCs w:val="24"/>
        </w:rPr>
        <w:t>Relevantly s 11(1)(f) gives the Commission the following functions:</w:t>
      </w:r>
    </w:p>
    <w:p w14:paraId="1ADF860B" w14:textId="77777777" w:rsidR="009A531E" w:rsidRPr="005F64AF" w:rsidRDefault="009A531E" w:rsidP="003E6ED5">
      <w:pPr>
        <w:spacing w:before="240" w:after="240"/>
        <w:ind w:left="1440"/>
        <w:rPr>
          <w:sz w:val="22"/>
          <w:szCs w:val="22"/>
        </w:rPr>
      </w:pPr>
      <w:r w:rsidRPr="005F64AF">
        <w:rPr>
          <w:sz w:val="22"/>
          <w:szCs w:val="22"/>
        </w:rPr>
        <w:t>to inquire into any act or practice that may be inconsistent with or contrary to any human right, and:</w:t>
      </w:r>
    </w:p>
    <w:p w14:paraId="0C261869" w14:textId="77777777" w:rsidR="009A531E" w:rsidRPr="005F64AF" w:rsidRDefault="00720E2E" w:rsidP="00720E2E">
      <w:pPr>
        <w:spacing w:before="240" w:after="240"/>
        <w:ind w:left="2160" w:hanging="720"/>
        <w:rPr>
          <w:sz w:val="22"/>
          <w:szCs w:val="22"/>
        </w:rPr>
      </w:pPr>
      <w:r w:rsidRPr="005F64AF">
        <w:rPr>
          <w:sz w:val="22"/>
          <w:szCs w:val="22"/>
        </w:rPr>
        <w:t>(i)</w:t>
      </w:r>
      <w:r w:rsidRPr="005F64AF">
        <w:rPr>
          <w:sz w:val="22"/>
          <w:szCs w:val="22"/>
        </w:rPr>
        <w:tab/>
      </w:r>
      <w:r w:rsidR="009A531E" w:rsidRPr="005F64AF">
        <w:rPr>
          <w:sz w:val="22"/>
          <w:szCs w:val="22"/>
        </w:rPr>
        <w:t xml:space="preserve">where the Commission considers it appropriate to do so – to endeavour, by conciliation, to effect a settlement of the matters that gave rise to the inquiry; and </w:t>
      </w:r>
    </w:p>
    <w:p w14:paraId="2C832167" w14:textId="77777777" w:rsidR="009A531E" w:rsidRPr="005F64AF" w:rsidRDefault="00720E2E" w:rsidP="00720E2E">
      <w:pPr>
        <w:spacing w:before="240" w:after="240"/>
        <w:ind w:left="2160" w:hanging="720"/>
        <w:rPr>
          <w:sz w:val="22"/>
          <w:szCs w:val="22"/>
        </w:rPr>
      </w:pPr>
      <w:r w:rsidRPr="005F64AF">
        <w:rPr>
          <w:sz w:val="22"/>
          <w:szCs w:val="22"/>
        </w:rPr>
        <w:t>(ii)</w:t>
      </w:r>
      <w:r w:rsidRPr="005F64AF">
        <w:rPr>
          <w:sz w:val="22"/>
          <w:szCs w:val="22"/>
        </w:rPr>
        <w:tab/>
      </w:r>
      <w:r w:rsidR="009A531E" w:rsidRPr="005F64AF">
        <w:rPr>
          <w:sz w:val="22"/>
          <w:szCs w:val="22"/>
        </w:rPr>
        <w:t>where the Commission is of the opinion that the act or practice is inconsistent with or contrary to any human right, and the Commission has not considered it appropriate to endeavour to effect a settlement of the matters that gave rise to the inquiry or has endeavoured without success to effect such a settlement – to report to the Minister in relation to the inquiry</w:t>
      </w:r>
      <w:r w:rsidRPr="005F64AF">
        <w:rPr>
          <w:sz w:val="22"/>
          <w:szCs w:val="22"/>
        </w:rPr>
        <w:t>.</w:t>
      </w:r>
    </w:p>
    <w:p w14:paraId="3DA53B2B" w14:textId="77777777" w:rsidR="009A531E" w:rsidRPr="005F64AF" w:rsidRDefault="009A531E" w:rsidP="00AE7382">
      <w:pPr>
        <w:numPr>
          <w:ilvl w:val="0"/>
          <w:numId w:val="19"/>
        </w:numPr>
        <w:spacing w:before="240" w:after="240"/>
        <w:rPr>
          <w:sz w:val="24"/>
          <w:szCs w:val="24"/>
        </w:rPr>
      </w:pPr>
      <w:r w:rsidRPr="005F64AF">
        <w:rPr>
          <w:sz w:val="24"/>
          <w:szCs w:val="24"/>
        </w:rPr>
        <w:t>Section 20(1)(b) of the AHRC Act requires the Commission to perform the functions referred to in s 11(1)(f) when a complaint in writing is made to the Commission alleging that an act is inconsistent with or contrary to any human right.</w:t>
      </w:r>
    </w:p>
    <w:p w14:paraId="06DBB6CB" w14:textId="77777777" w:rsidR="009A531E" w:rsidRPr="005F64AF" w:rsidRDefault="009A531E" w:rsidP="00AE7382">
      <w:pPr>
        <w:numPr>
          <w:ilvl w:val="0"/>
          <w:numId w:val="19"/>
        </w:numPr>
        <w:spacing w:before="240" w:after="240"/>
        <w:rPr>
          <w:sz w:val="24"/>
          <w:szCs w:val="24"/>
        </w:rPr>
      </w:pPr>
      <w:r w:rsidRPr="005F64AF">
        <w:rPr>
          <w:sz w:val="24"/>
          <w:szCs w:val="24"/>
        </w:rPr>
        <w:t>Section 8(6) of the AHRC Act requires that the functions of the Commission under s 11(1)(f) be performed by the President.</w:t>
      </w:r>
    </w:p>
    <w:p w14:paraId="360038E0" w14:textId="77777777" w:rsidR="009A531E" w:rsidRPr="005F64AF" w:rsidRDefault="009A531E" w:rsidP="009A531E">
      <w:pPr>
        <w:pStyle w:val="Heading2"/>
      </w:pPr>
      <w:bookmarkStart w:id="5" w:name="_Toc282704175"/>
      <w:r w:rsidRPr="005F64AF">
        <w:t>What is a ‘human right’?</w:t>
      </w:r>
      <w:bookmarkEnd w:id="5"/>
    </w:p>
    <w:p w14:paraId="4192CCE1" w14:textId="77777777" w:rsidR="009A531E" w:rsidRPr="005F64AF" w:rsidRDefault="009A531E" w:rsidP="00AE7382">
      <w:pPr>
        <w:numPr>
          <w:ilvl w:val="0"/>
          <w:numId w:val="19"/>
        </w:numPr>
        <w:spacing w:before="240" w:after="240"/>
        <w:rPr>
          <w:sz w:val="24"/>
          <w:szCs w:val="24"/>
        </w:rPr>
      </w:pPr>
      <w:r w:rsidRPr="005F64AF">
        <w:rPr>
          <w:sz w:val="24"/>
          <w:szCs w:val="24"/>
        </w:rPr>
        <w:t>The rights and freedoms recognised by the ICCPR are ‘human rights’ within the meaning of the AHRC Act.</w:t>
      </w:r>
      <w:r w:rsidRPr="005F64AF">
        <w:rPr>
          <w:vertAlign w:val="superscript"/>
        </w:rPr>
        <w:endnoteReference w:id="1"/>
      </w:r>
      <w:r w:rsidR="00810DD5" w:rsidRPr="005F64AF">
        <w:rPr>
          <w:sz w:val="24"/>
          <w:szCs w:val="24"/>
        </w:rPr>
        <w:t xml:space="preserve"> </w:t>
      </w:r>
      <w:r w:rsidRPr="005F64AF">
        <w:rPr>
          <w:sz w:val="24"/>
          <w:szCs w:val="24"/>
        </w:rPr>
        <w:t xml:space="preserve">The following articles of the ICCPR are relevant to the acts and practices the </w:t>
      </w:r>
      <w:r w:rsidR="003E6ED5" w:rsidRPr="005F64AF">
        <w:rPr>
          <w:sz w:val="24"/>
          <w:szCs w:val="24"/>
        </w:rPr>
        <w:t>subject of the present inquiry.</w:t>
      </w:r>
    </w:p>
    <w:p w14:paraId="37CAB5F8" w14:textId="77777777" w:rsidR="00753F98" w:rsidRPr="005F64AF" w:rsidRDefault="00753F98" w:rsidP="00AE7382">
      <w:pPr>
        <w:keepNext/>
        <w:numPr>
          <w:ilvl w:val="0"/>
          <w:numId w:val="19"/>
        </w:numPr>
        <w:spacing w:before="240" w:after="240"/>
        <w:rPr>
          <w:sz w:val="24"/>
          <w:szCs w:val="24"/>
        </w:rPr>
      </w:pPr>
      <w:r w:rsidRPr="005F64AF">
        <w:rPr>
          <w:sz w:val="24"/>
          <w:szCs w:val="24"/>
        </w:rPr>
        <w:lastRenderedPageBreak/>
        <w:t>Article 7 of the ICCPR provides:</w:t>
      </w:r>
    </w:p>
    <w:p w14:paraId="76B3C9F3" w14:textId="34D9DB14" w:rsidR="00753F98" w:rsidRPr="005F64AF" w:rsidRDefault="00753F98" w:rsidP="00753F98">
      <w:pPr>
        <w:keepNext/>
        <w:spacing w:before="240" w:after="240"/>
        <w:ind w:left="1077"/>
        <w:rPr>
          <w:sz w:val="22"/>
          <w:szCs w:val="24"/>
        </w:rPr>
      </w:pPr>
      <w:r w:rsidRPr="005F64AF">
        <w:rPr>
          <w:sz w:val="22"/>
          <w:szCs w:val="24"/>
        </w:rPr>
        <w:t>No one shall be subjected to torture or to cruel, inhuman or degrading treatment or punishment…</w:t>
      </w:r>
    </w:p>
    <w:p w14:paraId="6A576DD4" w14:textId="77777777" w:rsidR="009A531E" w:rsidRPr="005F64AF" w:rsidRDefault="009A531E" w:rsidP="00AE7382">
      <w:pPr>
        <w:keepNext/>
        <w:numPr>
          <w:ilvl w:val="0"/>
          <w:numId w:val="19"/>
        </w:numPr>
        <w:spacing w:before="240" w:after="240"/>
        <w:rPr>
          <w:sz w:val="24"/>
          <w:szCs w:val="24"/>
        </w:rPr>
      </w:pPr>
      <w:r w:rsidRPr="005F64AF">
        <w:rPr>
          <w:sz w:val="24"/>
          <w:szCs w:val="24"/>
        </w:rPr>
        <w:t>Article 9(1) of the ICCPR</w:t>
      </w:r>
      <w:r w:rsidR="003E6ED5" w:rsidRPr="005F64AF">
        <w:rPr>
          <w:sz w:val="24"/>
          <w:szCs w:val="24"/>
        </w:rPr>
        <w:t xml:space="preserve"> provides</w:t>
      </w:r>
      <w:r w:rsidRPr="005F64AF">
        <w:rPr>
          <w:sz w:val="24"/>
          <w:szCs w:val="24"/>
        </w:rPr>
        <w:t>:</w:t>
      </w:r>
    </w:p>
    <w:p w14:paraId="371D5647" w14:textId="77777777" w:rsidR="009A531E" w:rsidRPr="005F64AF" w:rsidRDefault="009A531E" w:rsidP="00753F98">
      <w:pPr>
        <w:spacing w:before="240" w:after="240"/>
        <w:ind w:left="1077"/>
        <w:rPr>
          <w:iCs/>
          <w:sz w:val="22"/>
          <w:szCs w:val="22"/>
        </w:rPr>
      </w:pPr>
      <w:r w:rsidRPr="005F64AF">
        <w:rPr>
          <w:iCs/>
          <w:sz w:val="22"/>
          <w:szCs w:val="22"/>
        </w:rPr>
        <w:t>Everyone has the right to liberty and security of person.</w:t>
      </w:r>
      <w:r w:rsidR="00810DD5" w:rsidRPr="005F64AF">
        <w:rPr>
          <w:iCs/>
          <w:sz w:val="22"/>
          <w:szCs w:val="22"/>
        </w:rPr>
        <w:t xml:space="preserve"> </w:t>
      </w:r>
      <w:r w:rsidRPr="005F64AF">
        <w:rPr>
          <w:iCs/>
          <w:sz w:val="22"/>
          <w:szCs w:val="22"/>
        </w:rPr>
        <w:t>No one shall be subjected to arbitrary arrest or detention.</w:t>
      </w:r>
      <w:r w:rsidR="00810DD5" w:rsidRPr="005F64AF">
        <w:rPr>
          <w:iCs/>
          <w:sz w:val="22"/>
          <w:szCs w:val="22"/>
        </w:rPr>
        <w:t xml:space="preserve"> </w:t>
      </w:r>
      <w:r w:rsidRPr="005F64AF">
        <w:rPr>
          <w:iCs/>
          <w:sz w:val="22"/>
          <w:szCs w:val="22"/>
        </w:rPr>
        <w:t>No one shall be deprived of his liberty except on such grounds and in accordance with such proc</w:t>
      </w:r>
      <w:r w:rsidR="002839F9" w:rsidRPr="005F64AF">
        <w:rPr>
          <w:iCs/>
          <w:sz w:val="22"/>
          <w:szCs w:val="22"/>
        </w:rPr>
        <w:t>edure as are established by law.</w:t>
      </w:r>
    </w:p>
    <w:p w14:paraId="7B83A9B9" w14:textId="77777777" w:rsidR="008622F9" w:rsidRPr="005F64AF" w:rsidRDefault="008622F9" w:rsidP="00AE7382">
      <w:pPr>
        <w:numPr>
          <w:ilvl w:val="0"/>
          <w:numId w:val="19"/>
        </w:numPr>
        <w:spacing w:before="240" w:after="240"/>
        <w:rPr>
          <w:sz w:val="24"/>
          <w:szCs w:val="24"/>
        </w:rPr>
      </w:pPr>
      <w:r w:rsidRPr="005F64AF">
        <w:rPr>
          <w:sz w:val="24"/>
          <w:szCs w:val="24"/>
        </w:rPr>
        <w:t xml:space="preserve">Article 17(1) of the ICCPR </w:t>
      </w:r>
      <w:r w:rsidR="00753F98" w:rsidRPr="005F64AF">
        <w:rPr>
          <w:sz w:val="24"/>
          <w:szCs w:val="24"/>
        </w:rPr>
        <w:t>provides</w:t>
      </w:r>
      <w:r w:rsidRPr="005F64AF">
        <w:rPr>
          <w:sz w:val="24"/>
          <w:szCs w:val="24"/>
        </w:rPr>
        <w:t>:</w:t>
      </w:r>
    </w:p>
    <w:p w14:paraId="05130670" w14:textId="77777777" w:rsidR="008622F9" w:rsidRPr="005F64AF" w:rsidRDefault="008622F9" w:rsidP="00753F98">
      <w:pPr>
        <w:spacing w:before="40"/>
        <w:ind w:left="1077"/>
        <w:jc w:val="both"/>
        <w:rPr>
          <w:sz w:val="22"/>
          <w:szCs w:val="22"/>
        </w:rPr>
      </w:pPr>
      <w:r w:rsidRPr="005F64AF">
        <w:rPr>
          <w:sz w:val="22"/>
          <w:szCs w:val="22"/>
        </w:rPr>
        <w:t xml:space="preserve">No one shall be subjected to arbitrary or unlawful interference with his privacy, family, home or correspondence, nor to unlawful attacks on his honour and reputation. </w:t>
      </w:r>
    </w:p>
    <w:p w14:paraId="45EA9D47" w14:textId="24B66C01" w:rsidR="008622F9" w:rsidRPr="005F64AF" w:rsidRDefault="008622F9" w:rsidP="00AE7382">
      <w:pPr>
        <w:numPr>
          <w:ilvl w:val="0"/>
          <w:numId w:val="19"/>
        </w:numPr>
        <w:spacing w:before="240" w:after="240"/>
        <w:rPr>
          <w:sz w:val="24"/>
          <w:szCs w:val="24"/>
        </w:rPr>
      </w:pPr>
      <w:r w:rsidRPr="005F64AF">
        <w:rPr>
          <w:sz w:val="24"/>
          <w:szCs w:val="24"/>
        </w:rPr>
        <w:t xml:space="preserve">Article 23(1) of the ICCPR </w:t>
      </w:r>
      <w:r w:rsidR="00753F98" w:rsidRPr="005F64AF">
        <w:rPr>
          <w:sz w:val="24"/>
          <w:szCs w:val="24"/>
        </w:rPr>
        <w:t>provides</w:t>
      </w:r>
      <w:r w:rsidRPr="005F64AF">
        <w:rPr>
          <w:sz w:val="24"/>
          <w:szCs w:val="24"/>
        </w:rPr>
        <w:t>:</w:t>
      </w:r>
    </w:p>
    <w:p w14:paraId="54A0752C" w14:textId="77777777" w:rsidR="008622F9" w:rsidRPr="005F64AF" w:rsidRDefault="008622F9" w:rsidP="00753F98">
      <w:pPr>
        <w:ind w:left="1077"/>
        <w:jc w:val="both"/>
        <w:rPr>
          <w:sz w:val="22"/>
          <w:szCs w:val="22"/>
        </w:rPr>
      </w:pPr>
      <w:r w:rsidRPr="005F64AF">
        <w:rPr>
          <w:sz w:val="22"/>
          <w:szCs w:val="22"/>
        </w:rPr>
        <w:t xml:space="preserve">The family is the natural and fundamental group unit of society and is entitled to protection by society and the State. </w:t>
      </w:r>
    </w:p>
    <w:p w14:paraId="2ABC04A8" w14:textId="3091B155" w:rsidR="009A531E" w:rsidRPr="005F64AF" w:rsidRDefault="009A531E" w:rsidP="003E6ED5">
      <w:pPr>
        <w:pStyle w:val="Heading2"/>
      </w:pPr>
      <w:bookmarkStart w:id="6" w:name="_Toc282704176"/>
      <w:r w:rsidRPr="005F64AF">
        <w:t>What is an ‘act’ or ‘practice’</w:t>
      </w:r>
      <w:r w:rsidR="00CF663E">
        <w:t>?</w:t>
      </w:r>
      <w:bookmarkEnd w:id="6"/>
    </w:p>
    <w:p w14:paraId="0A0B7B8C" w14:textId="77777777" w:rsidR="009A531E" w:rsidRPr="005F64AF" w:rsidRDefault="009A531E" w:rsidP="00AE7382">
      <w:pPr>
        <w:numPr>
          <w:ilvl w:val="0"/>
          <w:numId w:val="19"/>
        </w:numPr>
        <w:spacing w:before="240" w:after="240"/>
        <w:rPr>
          <w:sz w:val="24"/>
          <w:szCs w:val="24"/>
        </w:rPr>
      </w:pPr>
      <w:r w:rsidRPr="005F64AF">
        <w:rPr>
          <w:sz w:val="24"/>
          <w:szCs w:val="24"/>
        </w:rPr>
        <w:t>The terms ‘act’ and ‘practice’ are defined in s 3(1) of the AHRC Act to include an act done or a practice engaged in by or on behalf of the Commonwealth or an authority of the Commonwealth or under an enactment.</w:t>
      </w:r>
    </w:p>
    <w:p w14:paraId="758F6D84" w14:textId="77777777" w:rsidR="009A531E" w:rsidRPr="005F64AF" w:rsidRDefault="009A531E" w:rsidP="00AE7382">
      <w:pPr>
        <w:numPr>
          <w:ilvl w:val="0"/>
          <w:numId w:val="19"/>
        </w:numPr>
        <w:spacing w:before="240" w:after="240"/>
        <w:rPr>
          <w:sz w:val="24"/>
          <w:szCs w:val="24"/>
        </w:rPr>
      </w:pPr>
      <w:r w:rsidRPr="005F64AF">
        <w:rPr>
          <w:sz w:val="24"/>
          <w:szCs w:val="24"/>
        </w:rPr>
        <w:t>Section 3(3) provides that the reference to, or to the doing of, an act includes a reference to a refusal or failure to do an act.</w:t>
      </w:r>
    </w:p>
    <w:p w14:paraId="1A6961FB" w14:textId="77777777" w:rsidR="009A531E" w:rsidRPr="005F64AF" w:rsidRDefault="009A531E" w:rsidP="00AE7382">
      <w:pPr>
        <w:numPr>
          <w:ilvl w:val="0"/>
          <w:numId w:val="19"/>
        </w:numPr>
        <w:spacing w:before="240" w:after="240"/>
        <w:rPr>
          <w:sz w:val="24"/>
          <w:szCs w:val="24"/>
        </w:rPr>
      </w:pPr>
      <w:r w:rsidRPr="005F64AF">
        <w:rPr>
          <w:sz w:val="24"/>
          <w:szCs w:val="24"/>
        </w:rPr>
        <w:t>The functions of the Commission identified in s 11(1)(f) of the AHRC Act are only engaged where the act complained of is not one required by law to be taken;</w:t>
      </w:r>
      <w:r w:rsidRPr="005F64AF">
        <w:rPr>
          <w:vertAlign w:val="superscript"/>
        </w:rPr>
        <w:endnoteReference w:id="2"/>
      </w:r>
      <w:r w:rsidRPr="005F64AF">
        <w:rPr>
          <w:sz w:val="24"/>
          <w:szCs w:val="24"/>
        </w:rPr>
        <w:t xml:space="preserve"> that is, where the relevant act or practice is within the discretion of the Commonwealth, its officers or agents.</w:t>
      </w:r>
    </w:p>
    <w:p w14:paraId="57E0ABEE" w14:textId="77777777" w:rsidR="009A531E" w:rsidRPr="005F64AF" w:rsidRDefault="009A531E" w:rsidP="001A6FFE">
      <w:pPr>
        <w:pStyle w:val="Heading1"/>
      </w:pPr>
      <w:bookmarkStart w:id="7" w:name="_Toc282704177"/>
      <w:r w:rsidRPr="005F64AF">
        <w:t>The complaints</w:t>
      </w:r>
      <w:bookmarkEnd w:id="7"/>
    </w:p>
    <w:p w14:paraId="6130A9D1" w14:textId="77777777" w:rsidR="009A531E" w:rsidRPr="005F64AF" w:rsidRDefault="009A531E" w:rsidP="00AE7382">
      <w:pPr>
        <w:numPr>
          <w:ilvl w:val="0"/>
          <w:numId w:val="19"/>
        </w:numPr>
        <w:spacing w:before="240" w:after="240"/>
        <w:rPr>
          <w:sz w:val="24"/>
          <w:szCs w:val="24"/>
        </w:rPr>
      </w:pPr>
      <w:r w:rsidRPr="005F64AF">
        <w:rPr>
          <w:sz w:val="24"/>
          <w:szCs w:val="24"/>
        </w:rPr>
        <w:t xml:space="preserve">I have given consideration </w:t>
      </w:r>
      <w:r w:rsidR="00E3683F" w:rsidRPr="005F64AF">
        <w:rPr>
          <w:sz w:val="24"/>
          <w:szCs w:val="24"/>
        </w:rPr>
        <w:t xml:space="preserve">to the following acts of the Commonwealth </w:t>
      </w:r>
      <w:r w:rsidRPr="005F64AF">
        <w:rPr>
          <w:sz w:val="24"/>
          <w:szCs w:val="24"/>
        </w:rPr>
        <w:t>in relation to each of the complainants:</w:t>
      </w:r>
    </w:p>
    <w:p w14:paraId="22EFA765" w14:textId="77777777" w:rsidR="009A531E" w:rsidRPr="005F64AF" w:rsidRDefault="009A531E" w:rsidP="001A6FFE">
      <w:pPr>
        <w:spacing w:before="240" w:after="240"/>
        <w:ind w:left="1440" w:hanging="720"/>
        <w:rPr>
          <w:sz w:val="24"/>
          <w:szCs w:val="24"/>
        </w:rPr>
      </w:pPr>
      <w:r w:rsidRPr="005F64AF">
        <w:rPr>
          <w:b/>
          <w:sz w:val="24"/>
          <w:szCs w:val="24"/>
        </w:rPr>
        <w:t>Act 1:</w:t>
      </w:r>
      <w:r w:rsidRPr="005F64AF">
        <w:rPr>
          <w:sz w:val="24"/>
          <w:szCs w:val="24"/>
        </w:rPr>
        <w:tab/>
        <w:t xml:space="preserve">The failure by </w:t>
      </w:r>
      <w:r w:rsidR="002202DA" w:rsidRPr="005F64AF">
        <w:rPr>
          <w:sz w:val="24"/>
          <w:szCs w:val="24"/>
        </w:rPr>
        <w:t>the department</w:t>
      </w:r>
      <w:r w:rsidRPr="005F64AF">
        <w:rPr>
          <w:sz w:val="24"/>
          <w:szCs w:val="24"/>
        </w:rPr>
        <w:t xml:space="preserve"> to ask ASIO </w:t>
      </w:r>
      <w:r w:rsidR="000B4014" w:rsidRPr="005F64AF">
        <w:rPr>
          <w:sz w:val="24"/>
          <w:szCs w:val="24"/>
        </w:rPr>
        <w:t xml:space="preserve">in a timely fashion </w:t>
      </w:r>
      <w:r w:rsidRPr="005F64AF">
        <w:rPr>
          <w:sz w:val="24"/>
          <w:szCs w:val="24"/>
        </w:rPr>
        <w:t>to assess their individual suitability for community based detention while awaiting their security clearance.</w:t>
      </w:r>
    </w:p>
    <w:p w14:paraId="5EF599D1" w14:textId="77777777" w:rsidR="009A531E" w:rsidRPr="005F64AF" w:rsidRDefault="009A531E" w:rsidP="001A6FFE">
      <w:pPr>
        <w:spacing w:before="240" w:after="240"/>
        <w:ind w:left="1440" w:hanging="720"/>
        <w:rPr>
          <w:sz w:val="24"/>
          <w:szCs w:val="24"/>
        </w:rPr>
      </w:pPr>
      <w:r w:rsidRPr="005F64AF">
        <w:rPr>
          <w:b/>
          <w:sz w:val="24"/>
          <w:szCs w:val="24"/>
        </w:rPr>
        <w:t>Act 2:</w:t>
      </w:r>
      <w:r w:rsidRPr="005F64AF">
        <w:rPr>
          <w:sz w:val="24"/>
          <w:szCs w:val="24"/>
        </w:rPr>
        <w:tab/>
        <w:t>The failure to assess on an individual basis whether the circumstances of each individual complainant indicated that they could be placed in less restrictive forms of detention.</w:t>
      </w:r>
    </w:p>
    <w:p w14:paraId="0F1AD5BF" w14:textId="77777777" w:rsidR="00567E95" w:rsidRPr="005F64AF" w:rsidRDefault="00567E95" w:rsidP="00AE7382">
      <w:pPr>
        <w:numPr>
          <w:ilvl w:val="0"/>
          <w:numId w:val="19"/>
        </w:numPr>
        <w:spacing w:before="240" w:after="240"/>
        <w:rPr>
          <w:sz w:val="24"/>
          <w:szCs w:val="24"/>
        </w:rPr>
      </w:pPr>
      <w:r w:rsidRPr="005F64AF">
        <w:rPr>
          <w:sz w:val="24"/>
          <w:szCs w:val="24"/>
        </w:rPr>
        <w:t>Each of these acts is considered in the context of article 9 of the ICCPR</w:t>
      </w:r>
      <w:r w:rsidR="00E63235" w:rsidRPr="005F64AF">
        <w:rPr>
          <w:sz w:val="24"/>
          <w:szCs w:val="24"/>
        </w:rPr>
        <w:t>.</w:t>
      </w:r>
      <w:r w:rsidR="00E727D7" w:rsidRPr="005F64AF">
        <w:rPr>
          <w:sz w:val="24"/>
          <w:szCs w:val="24"/>
        </w:rPr>
        <w:t xml:space="preserve"> </w:t>
      </w:r>
      <w:r w:rsidR="00E63235" w:rsidRPr="005F64AF">
        <w:rPr>
          <w:sz w:val="24"/>
          <w:szCs w:val="24"/>
        </w:rPr>
        <w:t xml:space="preserve">In the case of Mr </w:t>
      </w:r>
      <w:r w:rsidR="00613950">
        <w:rPr>
          <w:sz w:val="24"/>
          <w:szCs w:val="24"/>
        </w:rPr>
        <w:t>GG</w:t>
      </w:r>
      <w:r w:rsidR="00E63235" w:rsidRPr="005F64AF">
        <w:rPr>
          <w:sz w:val="24"/>
          <w:szCs w:val="24"/>
        </w:rPr>
        <w:t>, the</w:t>
      </w:r>
      <w:r w:rsidR="00E3683F" w:rsidRPr="005F64AF">
        <w:rPr>
          <w:sz w:val="24"/>
          <w:szCs w:val="24"/>
        </w:rPr>
        <w:t>se</w:t>
      </w:r>
      <w:r w:rsidR="00E63235" w:rsidRPr="005F64AF">
        <w:rPr>
          <w:sz w:val="24"/>
          <w:szCs w:val="24"/>
        </w:rPr>
        <w:t xml:space="preserve"> acts are also considered in the context of article 7 of the ICCPR.</w:t>
      </w:r>
      <w:r w:rsidR="00E727D7" w:rsidRPr="005F64AF">
        <w:rPr>
          <w:sz w:val="24"/>
          <w:szCs w:val="24"/>
        </w:rPr>
        <w:t xml:space="preserve"> </w:t>
      </w:r>
    </w:p>
    <w:p w14:paraId="1386CCAB" w14:textId="77777777" w:rsidR="00567E95" w:rsidRPr="005F64AF" w:rsidRDefault="00C27B64" w:rsidP="00AE7382">
      <w:pPr>
        <w:numPr>
          <w:ilvl w:val="0"/>
          <w:numId w:val="19"/>
        </w:numPr>
        <w:spacing w:before="240" w:after="240"/>
        <w:rPr>
          <w:sz w:val="24"/>
          <w:szCs w:val="24"/>
        </w:rPr>
      </w:pPr>
      <w:r w:rsidRPr="005F64AF">
        <w:rPr>
          <w:sz w:val="24"/>
          <w:szCs w:val="24"/>
        </w:rPr>
        <w:lastRenderedPageBreak/>
        <w:t xml:space="preserve">With respect to Mr </w:t>
      </w:r>
      <w:r w:rsidR="00613950">
        <w:rPr>
          <w:sz w:val="24"/>
          <w:szCs w:val="24"/>
        </w:rPr>
        <w:t>GE</w:t>
      </w:r>
      <w:r w:rsidR="00567E95" w:rsidRPr="005F64AF">
        <w:rPr>
          <w:sz w:val="24"/>
          <w:szCs w:val="24"/>
        </w:rPr>
        <w:t>, I have also considered the following act</w:t>
      </w:r>
      <w:r w:rsidR="00E63235" w:rsidRPr="005F64AF">
        <w:rPr>
          <w:sz w:val="24"/>
          <w:szCs w:val="24"/>
        </w:rPr>
        <w:t xml:space="preserve"> in the context of articles 17(1) and 23(1) of the ICCPR</w:t>
      </w:r>
      <w:r w:rsidR="00567E95" w:rsidRPr="005F64AF">
        <w:rPr>
          <w:sz w:val="24"/>
          <w:szCs w:val="24"/>
        </w:rPr>
        <w:t>:</w:t>
      </w:r>
    </w:p>
    <w:p w14:paraId="35666C27" w14:textId="77777777" w:rsidR="00FF5E70" w:rsidRPr="005F64AF" w:rsidRDefault="007528A8" w:rsidP="002A2F0C">
      <w:pPr>
        <w:spacing w:before="240" w:after="240"/>
        <w:ind w:left="1440" w:hanging="720"/>
        <w:rPr>
          <w:sz w:val="24"/>
          <w:szCs w:val="24"/>
        </w:rPr>
      </w:pPr>
      <w:r w:rsidRPr="005F64AF">
        <w:rPr>
          <w:b/>
          <w:sz w:val="24"/>
          <w:szCs w:val="24"/>
        </w:rPr>
        <w:t>Act 3:</w:t>
      </w:r>
      <w:r w:rsidRPr="005F64AF">
        <w:rPr>
          <w:b/>
          <w:sz w:val="24"/>
          <w:szCs w:val="24"/>
        </w:rPr>
        <w:tab/>
      </w:r>
      <w:r w:rsidR="00872659" w:rsidRPr="005F64AF">
        <w:rPr>
          <w:sz w:val="24"/>
          <w:szCs w:val="24"/>
        </w:rPr>
        <w:t xml:space="preserve">The failure to </w:t>
      </w:r>
      <w:r w:rsidR="007A4F0D" w:rsidRPr="005F64AF">
        <w:rPr>
          <w:sz w:val="24"/>
          <w:szCs w:val="24"/>
        </w:rPr>
        <w:t>place</w:t>
      </w:r>
      <w:r w:rsidR="00872659" w:rsidRPr="005F64AF">
        <w:rPr>
          <w:sz w:val="24"/>
          <w:szCs w:val="24"/>
        </w:rPr>
        <w:t xml:space="preserve"> Mr </w:t>
      </w:r>
      <w:r w:rsidR="00613950">
        <w:rPr>
          <w:sz w:val="24"/>
          <w:szCs w:val="24"/>
        </w:rPr>
        <w:t>GE</w:t>
      </w:r>
      <w:r w:rsidR="00872659" w:rsidRPr="005F64AF">
        <w:rPr>
          <w:sz w:val="24"/>
          <w:szCs w:val="24"/>
        </w:rPr>
        <w:t xml:space="preserve"> in an immigration detention </w:t>
      </w:r>
      <w:r w:rsidR="007A4F0D" w:rsidRPr="005F64AF">
        <w:rPr>
          <w:sz w:val="24"/>
          <w:szCs w:val="24"/>
        </w:rPr>
        <w:t>facility</w:t>
      </w:r>
      <w:r w:rsidR="00872659" w:rsidRPr="005F64AF">
        <w:rPr>
          <w:sz w:val="24"/>
          <w:szCs w:val="24"/>
        </w:rPr>
        <w:t xml:space="preserve"> closer to his brother in Perth.</w:t>
      </w:r>
    </w:p>
    <w:p w14:paraId="354FD834" w14:textId="77777777" w:rsidR="003E49BA" w:rsidRPr="005F64AF" w:rsidRDefault="009A531E" w:rsidP="00AE7382">
      <w:pPr>
        <w:numPr>
          <w:ilvl w:val="0"/>
          <w:numId w:val="19"/>
        </w:numPr>
        <w:spacing w:before="240" w:after="240"/>
        <w:rPr>
          <w:sz w:val="24"/>
          <w:szCs w:val="24"/>
        </w:rPr>
      </w:pPr>
      <w:r w:rsidRPr="005F64AF">
        <w:rPr>
          <w:sz w:val="24"/>
          <w:szCs w:val="24"/>
        </w:rPr>
        <w:t xml:space="preserve">For the reasons set out below, </w:t>
      </w:r>
      <w:r w:rsidR="0009753C">
        <w:rPr>
          <w:sz w:val="24"/>
          <w:szCs w:val="24"/>
        </w:rPr>
        <w:t>my findings</w:t>
      </w:r>
      <w:r w:rsidR="003E49BA" w:rsidRPr="005F64AF">
        <w:rPr>
          <w:sz w:val="24"/>
          <w:szCs w:val="24"/>
        </w:rPr>
        <w:t xml:space="preserve"> are as follows:</w:t>
      </w:r>
      <w:r w:rsidR="00E727D7" w:rsidRPr="005F64AF">
        <w:rPr>
          <w:sz w:val="24"/>
          <w:szCs w:val="24"/>
        </w:rPr>
        <w:t xml:space="preserve"> </w:t>
      </w:r>
    </w:p>
    <w:p w14:paraId="53261A08" w14:textId="77777777" w:rsidR="00E63235" w:rsidRPr="005F64AF" w:rsidRDefault="00E63235" w:rsidP="00AE7382">
      <w:pPr>
        <w:numPr>
          <w:ilvl w:val="1"/>
          <w:numId w:val="19"/>
        </w:numPr>
        <w:spacing w:before="240" w:after="240"/>
        <w:rPr>
          <w:sz w:val="24"/>
          <w:szCs w:val="24"/>
        </w:rPr>
      </w:pPr>
      <w:r w:rsidRPr="005F64AF">
        <w:rPr>
          <w:sz w:val="24"/>
          <w:szCs w:val="24"/>
        </w:rPr>
        <w:t xml:space="preserve">Acts 1 and </w:t>
      </w:r>
      <w:r w:rsidR="009A531E" w:rsidRPr="005F64AF">
        <w:rPr>
          <w:sz w:val="24"/>
          <w:szCs w:val="24"/>
        </w:rPr>
        <w:t>2</w:t>
      </w:r>
      <w:r w:rsidRPr="005F64AF">
        <w:rPr>
          <w:sz w:val="24"/>
          <w:szCs w:val="24"/>
        </w:rPr>
        <w:t xml:space="preserve"> were </w:t>
      </w:r>
      <w:r w:rsidR="009A531E" w:rsidRPr="005F64AF">
        <w:rPr>
          <w:sz w:val="24"/>
          <w:szCs w:val="24"/>
        </w:rPr>
        <w:t>inconsistent with or contrary to the rights of</w:t>
      </w:r>
      <w:r w:rsidR="00F52592" w:rsidRPr="005F64AF">
        <w:rPr>
          <w:sz w:val="24"/>
          <w:szCs w:val="24"/>
        </w:rPr>
        <w:t xml:space="preserve"> all</w:t>
      </w:r>
      <w:r w:rsidR="009A531E" w:rsidRPr="005F64AF">
        <w:rPr>
          <w:sz w:val="24"/>
          <w:szCs w:val="24"/>
        </w:rPr>
        <w:t xml:space="preserve"> the complainants</w:t>
      </w:r>
      <w:r w:rsidR="00164D7B" w:rsidRPr="005F64AF">
        <w:rPr>
          <w:sz w:val="24"/>
          <w:szCs w:val="24"/>
        </w:rPr>
        <w:t xml:space="preserve"> </w:t>
      </w:r>
      <w:r w:rsidR="009A531E" w:rsidRPr="005F64AF">
        <w:rPr>
          <w:sz w:val="24"/>
          <w:szCs w:val="24"/>
        </w:rPr>
        <w:t>under article 9 of the ICCPR</w:t>
      </w:r>
      <w:r w:rsidR="00503850">
        <w:rPr>
          <w:sz w:val="24"/>
          <w:szCs w:val="24"/>
        </w:rPr>
        <w:t>;</w:t>
      </w:r>
    </w:p>
    <w:p w14:paraId="77C18842" w14:textId="77777777" w:rsidR="003E49BA" w:rsidRPr="005F64AF" w:rsidRDefault="003E49BA" w:rsidP="00AE7382">
      <w:pPr>
        <w:numPr>
          <w:ilvl w:val="1"/>
          <w:numId w:val="19"/>
        </w:numPr>
        <w:spacing w:before="240" w:after="240"/>
        <w:rPr>
          <w:sz w:val="24"/>
          <w:szCs w:val="24"/>
        </w:rPr>
      </w:pPr>
      <w:r w:rsidRPr="005F64AF">
        <w:rPr>
          <w:sz w:val="24"/>
          <w:szCs w:val="24"/>
        </w:rPr>
        <w:t xml:space="preserve">Acts 1 and 2 were inconsistent with the rights of Mr </w:t>
      </w:r>
      <w:r w:rsidR="00613950">
        <w:rPr>
          <w:sz w:val="24"/>
          <w:szCs w:val="24"/>
        </w:rPr>
        <w:t>GG</w:t>
      </w:r>
      <w:r w:rsidRPr="005F64AF">
        <w:rPr>
          <w:sz w:val="24"/>
          <w:szCs w:val="24"/>
        </w:rPr>
        <w:t xml:space="preserve"> under article 7 of the ICCPR</w:t>
      </w:r>
      <w:r w:rsidR="00503850">
        <w:rPr>
          <w:sz w:val="24"/>
          <w:szCs w:val="24"/>
        </w:rPr>
        <w:t>; and</w:t>
      </w:r>
    </w:p>
    <w:p w14:paraId="569546A2" w14:textId="77777777" w:rsidR="003E49BA" w:rsidRPr="005F64AF" w:rsidRDefault="003E49BA" w:rsidP="00AE7382">
      <w:pPr>
        <w:numPr>
          <w:ilvl w:val="1"/>
          <w:numId w:val="19"/>
        </w:numPr>
        <w:spacing w:before="240" w:after="240"/>
        <w:rPr>
          <w:sz w:val="24"/>
          <w:szCs w:val="24"/>
        </w:rPr>
      </w:pPr>
      <w:r w:rsidRPr="005F64AF">
        <w:rPr>
          <w:sz w:val="24"/>
          <w:szCs w:val="24"/>
        </w:rPr>
        <w:t>It has no</w:t>
      </w:r>
      <w:r w:rsidR="00EB15A7" w:rsidRPr="005F64AF">
        <w:rPr>
          <w:sz w:val="24"/>
          <w:szCs w:val="24"/>
        </w:rPr>
        <w:t>t been substantiated that Act</w:t>
      </w:r>
      <w:r w:rsidRPr="005F64AF">
        <w:rPr>
          <w:sz w:val="24"/>
          <w:szCs w:val="24"/>
        </w:rPr>
        <w:t xml:space="preserve"> 3 </w:t>
      </w:r>
      <w:r w:rsidR="00EB15A7" w:rsidRPr="005F64AF">
        <w:rPr>
          <w:sz w:val="24"/>
          <w:szCs w:val="24"/>
        </w:rPr>
        <w:t>was</w:t>
      </w:r>
      <w:r w:rsidRPr="005F64AF">
        <w:rPr>
          <w:sz w:val="24"/>
          <w:szCs w:val="24"/>
        </w:rPr>
        <w:t xml:space="preserve"> inconsistent with the rights of Mr </w:t>
      </w:r>
      <w:r w:rsidR="00613950">
        <w:rPr>
          <w:sz w:val="24"/>
          <w:szCs w:val="24"/>
        </w:rPr>
        <w:t>GE</w:t>
      </w:r>
      <w:r w:rsidRPr="005F64AF">
        <w:rPr>
          <w:sz w:val="24"/>
          <w:szCs w:val="24"/>
        </w:rPr>
        <w:t xml:space="preserve"> under articles 17(1) and 23(1) of the ICCPR</w:t>
      </w:r>
      <w:r w:rsidR="00A653A5" w:rsidRPr="005F64AF">
        <w:rPr>
          <w:sz w:val="24"/>
          <w:szCs w:val="24"/>
        </w:rPr>
        <w:t>.</w:t>
      </w:r>
    </w:p>
    <w:p w14:paraId="37C39C07" w14:textId="77777777" w:rsidR="009A531E" w:rsidRPr="005F64AF" w:rsidRDefault="009A531E" w:rsidP="001A6FFE">
      <w:pPr>
        <w:pStyle w:val="Heading1"/>
      </w:pPr>
      <w:bookmarkStart w:id="8" w:name="_Toc282704178"/>
      <w:r w:rsidRPr="005F64AF">
        <w:t>Arbitrary detention</w:t>
      </w:r>
      <w:bookmarkEnd w:id="8"/>
    </w:p>
    <w:p w14:paraId="664596F3" w14:textId="77777777" w:rsidR="009A531E" w:rsidRPr="005F64AF" w:rsidRDefault="009A531E" w:rsidP="00AE7382">
      <w:pPr>
        <w:numPr>
          <w:ilvl w:val="0"/>
          <w:numId w:val="19"/>
        </w:numPr>
        <w:spacing w:before="240" w:after="240"/>
        <w:rPr>
          <w:sz w:val="24"/>
          <w:szCs w:val="24"/>
        </w:rPr>
      </w:pPr>
      <w:r w:rsidRPr="005F64AF">
        <w:rPr>
          <w:sz w:val="24"/>
          <w:szCs w:val="24"/>
        </w:rPr>
        <w:t xml:space="preserve">The following principles relating to arbitrary detention </w:t>
      </w:r>
      <w:r w:rsidR="002E4036" w:rsidRPr="005F64AF">
        <w:rPr>
          <w:sz w:val="24"/>
          <w:szCs w:val="24"/>
        </w:rPr>
        <w:t xml:space="preserve">within the meaning of </w:t>
      </w:r>
      <w:r w:rsidR="00A4156C" w:rsidRPr="005F64AF">
        <w:rPr>
          <w:sz w:val="24"/>
          <w:szCs w:val="24"/>
        </w:rPr>
        <w:t>article </w:t>
      </w:r>
      <w:r w:rsidRPr="005F64AF">
        <w:rPr>
          <w:sz w:val="24"/>
          <w:szCs w:val="24"/>
        </w:rPr>
        <w:t>9 of the ICCPR arise from international human rights jurisprudence:</w:t>
      </w:r>
    </w:p>
    <w:p w14:paraId="16BCE363" w14:textId="77777777" w:rsidR="009A531E" w:rsidRPr="005F64AF" w:rsidRDefault="001A6FFE" w:rsidP="001A6FFE">
      <w:pPr>
        <w:spacing w:before="240" w:after="240"/>
        <w:ind w:left="720"/>
        <w:rPr>
          <w:sz w:val="24"/>
          <w:szCs w:val="24"/>
        </w:rPr>
      </w:pPr>
      <w:r w:rsidRPr="005F64AF">
        <w:rPr>
          <w:sz w:val="24"/>
          <w:szCs w:val="24"/>
        </w:rPr>
        <w:t>(a)</w:t>
      </w:r>
      <w:r w:rsidRPr="005F64AF">
        <w:rPr>
          <w:sz w:val="24"/>
          <w:szCs w:val="24"/>
        </w:rPr>
        <w:tab/>
      </w:r>
      <w:r w:rsidR="009A531E" w:rsidRPr="005F64AF">
        <w:rPr>
          <w:sz w:val="24"/>
          <w:szCs w:val="24"/>
        </w:rPr>
        <w:t>‘detention’ includes immigration detention;</w:t>
      </w:r>
      <w:r w:rsidR="009A531E" w:rsidRPr="005F64AF">
        <w:rPr>
          <w:vertAlign w:val="superscript"/>
        </w:rPr>
        <w:endnoteReference w:id="3"/>
      </w:r>
    </w:p>
    <w:p w14:paraId="676C1126" w14:textId="77777777" w:rsidR="009A531E" w:rsidRPr="005F64AF" w:rsidRDefault="001A6FFE" w:rsidP="001A6FFE">
      <w:pPr>
        <w:spacing w:before="240" w:after="240"/>
        <w:ind w:left="1440" w:hanging="720"/>
        <w:rPr>
          <w:sz w:val="24"/>
          <w:szCs w:val="24"/>
        </w:rPr>
      </w:pPr>
      <w:r w:rsidRPr="005F64AF">
        <w:rPr>
          <w:sz w:val="24"/>
          <w:szCs w:val="24"/>
        </w:rPr>
        <w:t>(b)</w:t>
      </w:r>
      <w:r w:rsidRPr="005F64AF">
        <w:rPr>
          <w:sz w:val="24"/>
          <w:szCs w:val="24"/>
        </w:rPr>
        <w:tab/>
      </w:r>
      <w:r w:rsidR="009A531E" w:rsidRPr="005F64AF">
        <w:rPr>
          <w:sz w:val="24"/>
          <w:szCs w:val="24"/>
        </w:rPr>
        <w:t>lawful detention may become arbitrary when a person’s deprivation of liberty becomes unjust, unreasonable or disproportionate to the Commonwealth’s legitimate aim of ensuring the effective operation of Australia’s migration system;</w:t>
      </w:r>
      <w:r w:rsidR="009A531E" w:rsidRPr="005F64AF">
        <w:rPr>
          <w:vertAlign w:val="superscript"/>
        </w:rPr>
        <w:endnoteReference w:id="4"/>
      </w:r>
    </w:p>
    <w:p w14:paraId="37DAC3E2" w14:textId="77777777" w:rsidR="009A531E" w:rsidRPr="005F64AF" w:rsidRDefault="001A6FFE" w:rsidP="001A6FFE">
      <w:pPr>
        <w:spacing w:before="240" w:after="240"/>
        <w:ind w:left="1440" w:hanging="720"/>
        <w:rPr>
          <w:sz w:val="24"/>
          <w:szCs w:val="24"/>
        </w:rPr>
      </w:pPr>
      <w:r w:rsidRPr="005F64AF">
        <w:rPr>
          <w:sz w:val="24"/>
          <w:szCs w:val="24"/>
        </w:rPr>
        <w:t>(c)</w:t>
      </w:r>
      <w:r w:rsidRPr="005F64AF">
        <w:rPr>
          <w:sz w:val="24"/>
          <w:szCs w:val="24"/>
        </w:rPr>
        <w:tab/>
      </w:r>
      <w:r w:rsidR="009A531E" w:rsidRPr="005F64AF">
        <w:rPr>
          <w:sz w:val="24"/>
          <w:szCs w:val="24"/>
        </w:rPr>
        <w:t>arbitrariness is not to be equated with ‘against the law’; it must be interpreted more broadly to include elements of inappropriateness, injustice or lack of predictability</w:t>
      </w:r>
      <w:bookmarkStart w:id="9" w:name="_Ref316647561"/>
      <w:r w:rsidR="009A531E" w:rsidRPr="005F64AF">
        <w:rPr>
          <w:sz w:val="24"/>
          <w:szCs w:val="24"/>
        </w:rPr>
        <w:t>;</w:t>
      </w:r>
      <w:bookmarkEnd w:id="9"/>
      <w:r w:rsidR="009A531E" w:rsidRPr="005F64AF">
        <w:rPr>
          <w:vertAlign w:val="superscript"/>
        </w:rPr>
        <w:endnoteReference w:id="5"/>
      </w:r>
      <w:r w:rsidR="009A531E" w:rsidRPr="005F64AF">
        <w:rPr>
          <w:sz w:val="24"/>
          <w:szCs w:val="24"/>
        </w:rPr>
        <w:t xml:space="preserve"> and</w:t>
      </w:r>
    </w:p>
    <w:p w14:paraId="5E999036" w14:textId="77777777" w:rsidR="009A531E" w:rsidRPr="005F64AF" w:rsidRDefault="001A6FFE" w:rsidP="001A6FFE">
      <w:pPr>
        <w:spacing w:before="240" w:after="240"/>
        <w:ind w:left="1440" w:hanging="720"/>
        <w:rPr>
          <w:sz w:val="24"/>
          <w:szCs w:val="24"/>
        </w:rPr>
      </w:pPr>
      <w:r w:rsidRPr="005F64AF">
        <w:rPr>
          <w:sz w:val="24"/>
          <w:szCs w:val="24"/>
        </w:rPr>
        <w:t>(d)</w:t>
      </w:r>
      <w:r w:rsidRPr="005F64AF">
        <w:rPr>
          <w:sz w:val="24"/>
          <w:szCs w:val="24"/>
        </w:rPr>
        <w:tab/>
      </w:r>
      <w:r w:rsidR="009A531E" w:rsidRPr="005F64AF">
        <w:rPr>
          <w:sz w:val="24"/>
          <w:szCs w:val="24"/>
        </w:rPr>
        <w:t>detention should not continue beyond the period for which a State party can provide appropriate justification.</w:t>
      </w:r>
      <w:r w:rsidR="009A531E" w:rsidRPr="005F64AF">
        <w:rPr>
          <w:vertAlign w:val="superscript"/>
        </w:rPr>
        <w:endnoteReference w:id="6"/>
      </w:r>
      <w:r w:rsidR="009A531E" w:rsidRPr="005F64AF">
        <w:rPr>
          <w:sz w:val="24"/>
          <w:szCs w:val="24"/>
        </w:rPr>
        <w:t xml:space="preserve"> </w:t>
      </w:r>
    </w:p>
    <w:p w14:paraId="443E6306" w14:textId="77777777" w:rsidR="009A531E" w:rsidRPr="005F64AF" w:rsidRDefault="009A531E" w:rsidP="00AE7382">
      <w:pPr>
        <w:numPr>
          <w:ilvl w:val="0"/>
          <w:numId w:val="19"/>
        </w:numPr>
        <w:spacing w:before="240" w:after="240"/>
        <w:rPr>
          <w:sz w:val="24"/>
          <w:szCs w:val="24"/>
        </w:rPr>
      </w:pPr>
      <w:r w:rsidRPr="005F64AF">
        <w:rPr>
          <w:sz w:val="24"/>
          <w:szCs w:val="24"/>
        </w:rPr>
        <w:t xml:space="preserve">In </w:t>
      </w:r>
      <w:r w:rsidRPr="005F64AF">
        <w:rPr>
          <w:i/>
          <w:sz w:val="24"/>
          <w:szCs w:val="24"/>
        </w:rPr>
        <w:t>Van Alphen v The Netherlands</w:t>
      </w:r>
      <w:r w:rsidR="00AF7390" w:rsidRPr="005F64AF">
        <w:rPr>
          <w:sz w:val="24"/>
          <w:szCs w:val="24"/>
        </w:rPr>
        <w:t xml:space="preserve"> the UN Human Rights Committee </w:t>
      </w:r>
      <w:r w:rsidRPr="005F64AF">
        <w:rPr>
          <w:sz w:val="24"/>
          <w:szCs w:val="24"/>
        </w:rPr>
        <w:t>found detention for a period of two months to be arbitrary because the State Party did not show that remand in custody was necessary to prevent flight, interference with evidence or recurrence of crime.</w:t>
      </w:r>
      <w:r w:rsidRPr="005F64AF">
        <w:rPr>
          <w:vertAlign w:val="superscript"/>
        </w:rPr>
        <w:endnoteReference w:id="7"/>
      </w:r>
      <w:r w:rsidR="00810DD5" w:rsidRPr="005F64AF">
        <w:rPr>
          <w:sz w:val="24"/>
          <w:szCs w:val="24"/>
        </w:rPr>
        <w:t xml:space="preserve"> </w:t>
      </w:r>
      <w:r w:rsidRPr="005F64AF">
        <w:rPr>
          <w:sz w:val="24"/>
          <w:szCs w:val="24"/>
        </w:rPr>
        <w:t xml:space="preserve">Similarly, the </w:t>
      </w:r>
      <w:r w:rsidR="00290375" w:rsidRPr="005F64AF">
        <w:rPr>
          <w:sz w:val="24"/>
          <w:szCs w:val="24"/>
        </w:rPr>
        <w:t>Committee</w:t>
      </w:r>
      <w:r w:rsidRPr="005F64AF">
        <w:rPr>
          <w:sz w:val="24"/>
          <w:szCs w:val="24"/>
        </w:rPr>
        <w:t xml:space="preserve"> considered that detention during the processing of asylum claims for periods of three months in Switzerland was </w:t>
      </w:r>
      <w:r w:rsidR="00CE414C" w:rsidRPr="005F64AF">
        <w:rPr>
          <w:sz w:val="24"/>
          <w:szCs w:val="24"/>
        </w:rPr>
        <w:t>‘</w:t>
      </w:r>
      <w:r w:rsidRPr="005F64AF">
        <w:rPr>
          <w:sz w:val="24"/>
          <w:szCs w:val="24"/>
        </w:rPr>
        <w:t>considerably in excess of what is necessary</w:t>
      </w:r>
      <w:r w:rsidR="00CE414C" w:rsidRPr="005F64AF">
        <w:rPr>
          <w:sz w:val="24"/>
          <w:szCs w:val="24"/>
        </w:rPr>
        <w:t>’</w:t>
      </w:r>
      <w:r w:rsidRPr="005F64AF">
        <w:rPr>
          <w:sz w:val="24"/>
          <w:szCs w:val="24"/>
        </w:rPr>
        <w:t>.</w:t>
      </w:r>
      <w:r w:rsidRPr="005F64AF">
        <w:rPr>
          <w:vertAlign w:val="superscript"/>
        </w:rPr>
        <w:endnoteReference w:id="8"/>
      </w:r>
    </w:p>
    <w:p w14:paraId="2869BD3D" w14:textId="77777777" w:rsidR="009A531E" w:rsidRPr="005F64AF" w:rsidRDefault="009A531E" w:rsidP="00AE7382">
      <w:pPr>
        <w:numPr>
          <w:ilvl w:val="0"/>
          <w:numId w:val="19"/>
        </w:numPr>
        <w:spacing w:before="240" w:after="240"/>
        <w:rPr>
          <w:sz w:val="24"/>
          <w:szCs w:val="24"/>
        </w:rPr>
      </w:pPr>
      <w:r w:rsidRPr="005F64AF">
        <w:rPr>
          <w:sz w:val="24"/>
          <w:szCs w:val="24"/>
        </w:rPr>
        <w:t>The UN Human Rights Committee has held in several cases that there is an obligation on the State Party to demonstrate that there was not a less invasive way than detention to achieve the ends of the State Party’s immigration policy (for example the imposition of reporting obligations, sureties or other conditions) in order to avoid the conclusion that detention was arbitrary.</w:t>
      </w:r>
      <w:r w:rsidRPr="005F64AF">
        <w:rPr>
          <w:szCs w:val="24"/>
          <w:vertAlign w:val="superscript"/>
        </w:rPr>
        <w:endnoteReference w:id="9"/>
      </w:r>
      <w:r w:rsidR="00810DD5" w:rsidRPr="005F64AF">
        <w:rPr>
          <w:sz w:val="24"/>
          <w:szCs w:val="24"/>
        </w:rPr>
        <w:t xml:space="preserve"> </w:t>
      </w:r>
    </w:p>
    <w:p w14:paraId="7B8DA1C0" w14:textId="14022055" w:rsidR="009A531E" w:rsidRPr="005F64AF" w:rsidRDefault="009A531E" w:rsidP="00AE7382">
      <w:pPr>
        <w:numPr>
          <w:ilvl w:val="0"/>
          <w:numId w:val="19"/>
        </w:numPr>
        <w:spacing w:before="240" w:after="240"/>
        <w:rPr>
          <w:sz w:val="24"/>
          <w:szCs w:val="24"/>
        </w:rPr>
      </w:pPr>
      <w:r w:rsidRPr="005F64AF">
        <w:rPr>
          <w:sz w:val="24"/>
          <w:szCs w:val="24"/>
        </w:rPr>
        <w:lastRenderedPageBreak/>
        <w:t>The United Nations Working Group on Arbitrary Detention has expressed the view that the use of administrative detention for national security purposes is not compatible with international human rights law where detention continues for long periods or for an unlimited period without effective judicial oversight.</w:t>
      </w:r>
      <w:r w:rsidRPr="005F64AF">
        <w:rPr>
          <w:szCs w:val="24"/>
          <w:vertAlign w:val="superscript"/>
        </w:rPr>
        <w:endnoteReference w:id="10"/>
      </w:r>
      <w:r w:rsidR="00810DD5" w:rsidRPr="005F64AF">
        <w:rPr>
          <w:sz w:val="24"/>
          <w:szCs w:val="24"/>
        </w:rPr>
        <w:t xml:space="preserve"> </w:t>
      </w:r>
      <w:r w:rsidRPr="005F64AF">
        <w:rPr>
          <w:sz w:val="24"/>
          <w:szCs w:val="24"/>
        </w:rPr>
        <w:t xml:space="preserve">A similar view has been expressed by the </w:t>
      </w:r>
      <w:r w:rsidR="00247BEA">
        <w:rPr>
          <w:sz w:val="24"/>
          <w:szCs w:val="24"/>
        </w:rPr>
        <w:t xml:space="preserve">UN </w:t>
      </w:r>
      <w:r w:rsidRPr="005F64AF">
        <w:rPr>
          <w:sz w:val="24"/>
          <w:szCs w:val="24"/>
        </w:rPr>
        <w:t>Human Rights Committee, which has said:</w:t>
      </w:r>
      <w:r w:rsidRPr="005F64AF">
        <w:rPr>
          <w:szCs w:val="24"/>
          <w:vertAlign w:val="superscript"/>
        </w:rPr>
        <w:endnoteReference w:id="11"/>
      </w:r>
      <w:r w:rsidRPr="005F64AF">
        <w:rPr>
          <w:sz w:val="24"/>
          <w:szCs w:val="24"/>
        </w:rPr>
        <w:t xml:space="preserve"> </w:t>
      </w:r>
    </w:p>
    <w:p w14:paraId="038345BB" w14:textId="110EE5FE" w:rsidR="009A531E" w:rsidRPr="005F64AF" w:rsidRDefault="00CF663E" w:rsidP="004B3B52">
      <w:pPr>
        <w:spacing w:before="240" w:after="240"/>
        <w:ind w:left="1440"/>
        <w:rPr>
          <w:iCs/>
          <w:sz w:val="22"/>
          <w:szCs w:val="22"/>
        </w:rPr>
      </w:pPr>
      <w:r>
        <w:rPr>
          <w:iCs/>
          <w:sz w:val="22"/>
          <w:szCs w:val="22"/>
        </w:rPr>
        <w:t xml:space="preserve">... </w:t>
      </w:r>
      <w:r w:rsidR="009A531E" w:rsidRPr="005F64AF">
        <w:rPr>
          <w:iCs/>
          <w:sz w:val="22"/>
          <w:szCs w:val="22"/>
        </w:rPr>
        <w:t>if so-called preventive detention is used, for reasons of public security, it must be controlled by these same provisions, i.e. it must not be arbitrary, and must be based on grounds and procedures established by law … information of the reasons must be given … and court control of the detention must be available … as well as compens</w:t>
      </w:r>
      <w:r>
        <w:rPr>
          <w:iCs/>
          <w:sz w:val="22"/>
          <w:szCs w:val="22"/>
        </w:rPr>
        <w:t>ation in the case of a breach.</w:t>
      </w:r>
    </w:p>
    <w:p w14:paraId="5E16B787" w14:textId="77777777" w:rsidR="009A531E" w:rsidRPr="005F64AF" w:rsidRDefault="009A531E" w:rsidP="00AE7382">
      <w:pPr>
        <w:numPr>
          <w:ilvl w:val="0"/>
          <w:numId w:val="19"/>
        </w:numPr>
        <w:spacing w:before="240" w:after="240"/>
        <w:rPr>
          <w:sz w:val="24"/>
          <w:szCs w:val="24"/>
          <w:lang w:val="en"/>
        </w:rPr>
      </w:pPr>
      <w:r w:rsidRPr="005F64AF">
        <w:rPr>
          <w:sz w:val="24"/>
          <w:szCs w:val="24"/>
          <w:lang w:val="en"/>
        </w:rPr>
        <w:t>The Working Group emphasised that people who are administratively detained must have access to judicial review of the substantive justification of detention as well as sufficiently frequent review of the ongoing circumstances in which they are detained, in accordance with the rights recognised under article 9(4) of the ICCPR.</w:t>
      </w:r>
      <w:r w:rsidRPr="005F64AF">
        <w:rPr>
          <w:szCs w:val="24"/>
          <w:vertAlign w:val="superscript"/>
          <w:lang w:val="en"/>
        </w:rPr>
        <w:endnoteReference w:id="12"/>
      </w:r>
      <w:r w:rsidR="00810DD5" w:rsidRPr="005F64AF">
        <w:rPr>
          <w:sz w:val="24"/>
          <w:szCs w:val="24"/>
          <w:lang w:val="en"/>
        </w:rPr>
        <w:t xml:space="preserve"> </w:t>
      </w:r>
    </w:p>
    <w:p w14:paraId="288B9069" w14:textId="77777777" w:rsidR="00A928EA" w:rsidRPr="005F64AF" w:rsidRDefault="009A531E" w:rsidP="00AE7382">
      <w:pPr>
        <w:numPr>
          <w:ilvl w:val="0"/>
          <w:numId w:val="19"/>
        </w:numPr>
        <w:spacing w:before="240" w:after="240"/>
        <w:rPr>
          <w:sz w:val="24"/>
          <w:szCs w:val="24"/>
          <w:lang w:val="en"/>
        </w:rPr>
      </w:pPr>
      <w:r w:rsidRPr="005F64AF">
        <w:rPr>
          <w:sz w:val="24"/>
          <w:szCs w:val="24"/>
        </w:rPr>
        <w:t>A short period of administrative detention for the purposes of developing a more durable solution to a person’s immigration status may be a reasonable and appropriate response by the Commonwealth.</w:t>
      </w:r>
      <w:r w:rsidR="00810DD5" w:rsidRPr="005F64AF">
        <w:rPr>
          <w:sz w:val="24"/>
          <w:szCs w:val="24"/>
        </w:rPr>
        <w:t xml:space="preserve"> </w:t>
      </w:r>
      <w:r w:rsidRPr="005F64AF">
        <w:rPr>
          <w:sz w:val="24"/>
          <w:szCs w:val="24"/>
        </w:rPr>
        <w:t>However, detention for immigration purposes without reasonable prospect of removal may contravene article 9(1) of the ICCPR</w:t>
      </w:r>
      <w:r w:rsidRPr="005F64AF">
        <w:rPr>
          <w:sz w:val="24"/>
          <w:szCs w:val="24"/>
          <w:lang w:val="en"/>
        </w:rPr>
        <w:t>.</w:t>
      </w:r>
      <w:r w:rsidRPr="005F64AF">
        <w:rPr>
          <w:szCs w:val="24"/>
          <w:vertAlign w:val="superscript"/>
          <w:lang w:val="en"/>
        </w:rPr>
        <w:endnoteReference w:id="13"/>
      </w:r>
      <w:r w:rsidR="00A74BB9" w:rsidRPr="005F64AF">
        <w:rPr>
          <w:sz w:val="24"/>
          <w:szCs w:val="24"/>
          <w:lang w:val="en"/>
        </w:rPr>
        <w:t xml:space="preserve"> </w:t>
      </w:r>
    </w:p>
    <w:p w14:paraId="0D2FC1DF" w14:textId="77777777" w:rsidR="009A531E" w:rsidRPr="005F64AF" w:rsidRDefault="00A928EA" w:rsidP="00AE7382">
      <w:pPr>
        <w:numPr>
          <w:ilvl w:val="0"/>
          <w:numId w:val="19"/>
        </w:numPr>
        <w:spacing w:before="240" w:after="240"/>
        <w:rPr>
          <w:sz w:val="24"/>
          <w:szCs w:val="24"/>
          <w:lang w:val="en"/>
        </w:rPr>
      </w:pPr>
      <w:r w:rsidRPr="005F64AF">
        <w:rPr>
          <w:sz w:val="24"/>
          <w:szCs w:val="24"/>
          <w:lang w:val="en"/>
        </w:rPr>
        <w:t xml:space="preserve">The UN Human </w:t>
      </w:r>
      <w:r w:rsidR="00DF16A5" w:rsidRPr="005F64AF">
        <w:rPr>
          <w:sz w:val="24"/>
          <w:szCs w:val="24"/>
          <w:lang w:val="en"/>
        </w:rPr>
        <w:t xml:space="preserve">Rights </w:t>
      </w:r>
      <w:r w:rsidRPr="005F64AF">
        <w:rPr>
          <w:sz w:val="24"/>
          <w:szCs w:val="24"/>
          <w:lang w:val="en"/>
        </w:rPr>
        <w:t xml:space="preserve">Committee has held that Australia’s policy of detaining asylum seekers with adverse security assessments in immigration detention facilities on an </w:t>
      </w:r>
      <w:r w:rsidR="00E377CD" w:rsidRPr="005F64AF">
        <w:rPr>
          <w:sz w:val="24"/>
          <w:szCs w:val="24"/>
          <w:lang w:val="en"/>
        </w:rPr>
        <w:t>indefinite</w:t>
      </w:r>
      <w:r w:rsidRPr="005F64AF">
        <w:rPr>
          <w:sz w:val="24"/>
          <w:szCs w:val="24"/>
          <w:lang w:val="en"/>
        </w:rPr>
        <w:t xml:space="preserve"> basis without demonstrating on an individual basis that that detention is justified </w:t>
      </w:r>
      <w:r w:rsidR="00E377CD" w:rsidRPr="005F64AF">
        <w:rPr>
          <w:sz w:val="24"/>
          <w:szCs w:val="24"/>
          <w:lang w:val="en"/>
        </w:rPr>
        <w:t>is in violation of article 9(1) of the ICCPR.</w:t>
      </w:r>
      <w:r w:rsidR="00E377CD" w:rsidRPr="005F64AF">
        <w:rPr>
          <w:rStyle w:val="EndnoteReference"/>
          <w:szCs w:val="24"/>
          <w:lang w:val="en"/>
        </w:rPr>
        <w:endnoteReference w:id="14"/>
      </w:r>
      <w:r w:rsidR="00C74CF3" w:rsidRPr="005F64AF">
        <w:rPr>
          <w:sz w:val="24"/>
          <w:szCs w:val="24"/>
          <w:lang w:val="en"/>
        </w:rPr>
        <w:t xml:space="preserve"> </w:t>
      </w:r>
    </w:p>
    <w:p w14:paraId="7C2D448D" w14:textId="77777777" w:rsidR="000B4F58" w:rsidRPr="005F64AF" w:rsidRDefault="000B4F58" w:rsidP="00C5451F">
      <w:pPr>
        <w:pStyle w:val="Heading2"/>
      </w:pPr>
      <w:bookmarkStart w:id="10" w:name="_Toc330909078"/>
      <w:bookmarkStart w:id="11" w:name="_Toc282704179"/>
      <w:r w:rsidRPr="005F64AF">
        <w:t>Act 1:</w:t>
      </w:r>
      <w:r w:rsidR="00E727D7" w:rsidRPr="005F64AF">
        <w:t xml:space="preserve"> </w:t>
      </w:r>
      <w:r w:rsidRPr="005F64AF">
        <w:t xml:space="preserve">Failure by the department to ask ASIO </w:t>
      </w:r>
      <w:r w:rsidR="00BD22C7" w:rsidRPr="005F64AF">
        <w:t xml:space="preserve">in a timely manner </w:t>
      </w:r>
      <w:r w:rsidRPr="005F64AF">
        <w:t>to assess the individual suitability of the complainants for community based detention while awaiting their security clearance</w:t>
      </w:r>
      <w:bookmarkEnd w:id="10"/>
      <w:bookmarkEnd w:id="11"/>
    </w:p>
    <w:p w14:paraId="6FABCC6E" w14:textId="77777777" w:rsidR="008042FE" w:rsidRPr="005F64AF" w:rsidRDefault="008042FE" w:rsidP="00AE7382">
      <w:pPr>
        <w:numPr>
          <w:ilvl w:val="0"/>
          <w:numId w:val="19"/>
        </w:numPr>
        <w:spacing w:before="240" w:after="240"/>
        <w:rPr>
          <w:sz w:val="24"/>
          <w:szCs w:val="24"/>
        </w:rPr>
      </w:pPr>
      <w:r w:rsidRPr="005F64AF">
        <w:rPr>
          <w:sz w:val="24"/>
          <w:szCs w:val="24"/>
        </w:rPr>
        <w:t>The department ask</w:t>
      </w:r>
      <w:r w:rsidR="00DB017B" w:rsidRPr="005F64AF">
        <w:rPr>
          <w:sz w:val="24"/>
          <w:szCs w:val="24"/>
        </w:rPr>
        <w:t>ed</w:t>
      </w:r>
      <w:r w:rsidRPr="005F64AF">
        <w:rPr>
          <w:sz w:val="24"/>
          <w:szCs w:val="24"/>
        </w:rPr>
        <w:t xml:space="preserve"> ASIO to provide security assessments in relation to all </w:t>
      </w:r>
      <w:r w:rsidR="00123DFA" w:rsidRPr="005F64AF">
        <w:rPr>
          <w:sz w:val="24"/>
          <w:szCs w:val="24"/>
        </w:rPr>
        <w:t xml:space="preserve">of the complainants. </w:t>
      </w:r>
    </w:p>
    <w:p w14:paraId="2CCE97DD" w14:textId="77777777" w:rsidR="00501D57" w:rsidRPr="005F64AF" w:rsidRDefault="00AB08DD" w:rsidP="00AE7382">
      <w:pPr>
        <w:numPr>
          <w:ilvl w:val="0"/>
          <w:numId w:val="19"/>
        </w:numPr>
        <w:spacing w:before="240" w:after="240"/>
        <w:rPr>
          <w:sz w:val="24"/>
          <w:szCs w:val="24"/>
        </w:rPr>
      </w:pPr>
      <w:r w:rsidRPr="005F64AF">
        <w:rPr>
          <w:sz w:val="24"/>
          <w:szCs w:val="24"/>
        </w:rPr>
        <w:t xml:space="preserve">The </w:t>
      </w:r>
      <w:r w:rsidR="008042FE" w:rsidRPr="005F64AF">
        <w:rPr>
          <w:sz w:val="24"/>
          <w:szCs w:val="24"/>
        </w:rPr>
        <w:t>security assessment</w:t>
      </w:r>
      <w:r w:rsidR="00123DFA" w:rsidRPr="005F64AF">
        <w:rPr>
          <w:sz w:val="24"/>
          <w:szCs w:val="24"/>
        </w:rPr>
        <w:t xml:space="preserve"> process</w:t>
      </w:r>
      <w:r w:rsidRPr="005F64AF">
        <w:rPr>
          <w:sz w:val="24"/>
          <w:szCs w:val="24"/>
        </w:rPr>
        <w:t xml:space="preserve"> has been discussed in detail in previous Commission reports</w:t>
      </w:r>
      <w:r w:rsidR="00123DFA" w:rsidRPr="005F64AF">
        <w:rPr>
          <w:sz w:val="24"/>
          <w:szCs w:val="24"/>
        </w:rPr>
        <w:t>.</w:t>
      </w:r>
      <w:r w:rsidRPr="005F64AF">
        <w:rPr>
          <w:rStyle w:val="EndnoteReference"/>
          <w:szCs w:val="24"/>
        </w:rPr>
        <w:endnoteReference w:id="15"/>
      </w:r>
      <w:r w:rsidR="00123DFA" w:rsidRPr="005F64AF">
        <w:rPr>
          <w:sz w:val="24"/>
          <w:szCs w:val="24"/>
        </w:rPr>
        <w:t xml:space="preserve"> </w:t>
      </w:r>
      <w:r w:rsidRPr="005F64AF">
        <w:rPr>
          <w:sz w:val="24"/>
          <w:szCs w:val="24"/>
        </w:rPr>
        <w:t xml:space="preserve">Relevantly for the purposes of the </w:t>
      </w:r>
      <w:r w:rsidR="00F66B02" w:rsidRPr="005F64AF">
        <w:rPr>
          <w:sz w:val="24"/>
          <w:szCs w:val="24"/>
        </w:rPr>
        <w:t>present</w:t>
      </w:r>
      <w:r w:rsidRPr="005F64AF">
        <w:rPr>
          <w:sz w:val="24"/>
          <w:szCs w:val="24"/>
        </w:rPr>
        <w:t xml:space="preserve"> inquiry</w:t>
      </w:r>
      <w:r w:rsidR="0032379C" w:rsidRPr="005F64AF">
        <w:rPr>
          <w:sz w:val="24"/>
          <w:szCs w:val="24"/>
        </w:rPr>
        <w:t>:</w:t>
      </w:r>
    </w:p>
    <w:p w14:paraId="0CA4D586" w14:textId="055A1EC2" w:rsidR="0032379C" w:rsidRPr="005F64AF" w:rsidRDefault="0032379C" w:rsidP="00AE7382">
      <w:pPr>
        <w:numPr>
          <w:ilvl w:val="1"/>
          <w:numId w:val="19"/>
        </w:numPr>
        <w:spacing w:before="240" w:after="240"/>
        <w:rPr>
          <w:sz w:val="24"/>
          <w:szCs w:val="24"/>
        </w:rPr>
      </w:pPr>
      <w:r w:rsidRPr="005F64AF">
        <w:rPr>
          <w:sz w:val="24"/>
          <w:szCs w:val="24"/>
        </w:rPr>
        <w:t>The department asks ASIO to provide a security assessment for all persons in the position of the complainants</w:t>
      </w:r>
      <w:r w:rsidR="00F82D72" w:rsidRPr="005F64AF">
        <w:rPr>
          <w:sz w:val="24"/>
          <w:szCs w:val="24"/>
        </w:rPr>
        <w:t xml:space="preserve"> (that</w:t>
      </w:r>
      <w:r w:rsidR="001107AE" w:rsidRPr="005F64AF">
        <w:rPr>
          <w:sz w:val="24"/>
          <w:szCs w:val="24"/>
        </w:rPr>
        <w:t xml:space="preserve"> is, asylum seekers who have arrived in Australia by boat </w:t>
      </w:r>
      <w:r w:rsidR="00BD22C7" w:rsidRPr="005F64AF">
        <w:rPr>
          <w:sz w:val="24"/>
          <w:szCs w:val="24"/>
        </w:rPr>
        <w:t xml:space="preserve">and been found to be refugees </w:t>
      </w:r>
      <w:r w:rsidR="001107AE" w:rsidRPr="005F64AF">
        <w:rPr>
          <w:sz w:val="24"/>
          <w:szCs w:val="24"/>
        </w:rPr>
        <w:t xml:space="preserve">who wish </w:t>
      </w:r>
      <w:r w:rsidR="00F82D72" w:rsidRPr="005F64AF">
        <w:rPr>
          <w:sz w:val="24"/>
          <w:szCs w:val="24"/>
        </w:rPr>
        <w:t>to apply for protection visas)</w:t>
      </w:r>
      <w:r w:rsidRPr="005F64AF">
        <w:rPr>
          <w:sz w:val="24"/>
          <w:szCs w:val="24"/>
        </w:rPr>
        <w:t xml:space="preserve">. These security assessments relate to </w:t>
      </w:r>
      <w:r w:rsidR="00A01290" w:rsidRPr="005F64AF">
        <w:rPr>
          <w:sz w:val="24"/>
          <w:szCs w:val="24"/>
        </w:rPr>
        <w:t>granting a person a visa that would allow them to reside permanently in Australia</w:t>
      </w:r>
      <w:r w:rsidR="00E136F4" w:rsidRPr="005F64AF">
        <w:rPr>
          <w:sz w:val="24"/>
          <w:szCs w:val="24"/>
        </w:rPr>
        <w:t xml:space="preserve"> (I shall </w:t>
      </w:r>
      <w:r w:rsidR="006615A1" w:rsidRPr="005F64AF">
        <w:rPr>
          <w:sz w:val="24"/>
          <w:szCs w:val="24"/>
        </w:rPr>
        <w:t xml:space="preserve">hereinafter </w:t>
      </w:r>
      <w:r w:rsidR="00E136F4" w:rsidRPr="005F64AF">
        <w:rPr>
          <w:sz w:val="24"/>
          <w:szCs w:val="24"/>
        </w:rPr>
        <w:t xml:space="preserve">refer to these security assessments as </w:t>
      </w:r>
      <w:r w:rsidR="006615A1" w:rsidRPr="005F64AF">
        <w:rPr>
          <w:sz w:val="24"/>
          <w:szCs w:val="24"/>
        </w:rPr>
        <w:t>‘permanent visa</w:t>
      </w:r>
      <w:r w:rsidR="00E136F4" w:rsidRPr="005F64AF">
        <w:rPr>
          <w:sz w:val="24"/>
          <w:szCs w:val="24"/>
        </w:rPr>
        <w:t xml:space="preserve"> security assessments</w:t>
      </w:r>
      <w:r w:rsidR="006615A1" w:rsidRPr="005F64AF">
        <w:rPr>
          <w:sz w:val="24"/>
          <w:szCs w:val="24"/>
        </w:rPr>
        <w:t>’</w:t>
      </w:r>
      <w:r w:rsidR="00E136F4" w:rsidRPr="005F64AF">
        <w:rPr>
          <w:sz w:val="24"/>
          <w:szCs w:val="24"/>
        </w:rPr>
        <w:t>)</w:t>
      </w:r>
      <w:r w:rsidR="00B5110E">
        <w:rPr>
          <w:sz w:val="24"/>
          <w:szCs w:val="24"/>
        </w:rPr>
        <w:t>;</w:t>
      </w:r>
    </w:p>
    <w:p w14:paraId="2AA04029" w14:textId="77777777" w:rsidR="00A01290" w:rsidRPr="005F64AF" w:rsidRDefault="00A01290" w:rsidP="00AE7382">
      <w:pPr>
        <w:numPr>
          <w:ilvl w:val="1"/>
          <w:numId w:val="19"/>
        </w:numPr>
        <w:spacing w:before="240" w:after="240"/>
        <w:rPr>
          <w:sz w:val="24"/>
          <w:szCs w:val="24"/>
        </w:rPr>
      </w:pPr>
      <w:r w:rsidRPr="005F64AF">
        <w:rPr>
          <w:sz w:val="24"/>
          <w:szCs w:val="24"/>
        </w:rPr>
        <w:lastRenderedPageBreak/>
        <w:t xml:space="preserve">ASIO also </w:t>
      </w:r>
      <w:r w:rsidR="0090684D" w:rsidRPr="005F64AF">
        <w:rPr>
          <w:sz w:val="24"/>
          <w:szCs w:val="24"/>
        </w:rPr>
        <w:t>provides</w:t>
      </w:r>
      <w:r w:rsidRPr="005F64AF">
        <w:rPr>
          <w:sz w:val="24"/>
          <w:szCs w:val="24"/>
        </w:rPr>
        <w:t xml:space="preserve">, on the request of the department, security assessments in relation to allowing persons </w:t>
      </w:r>
      <w:r w:rsidR="0090684D" w:rsidRPr="005F64AF">
        <w:rPr>
          <w:sz w:val="24"/>
          <w:szCs w:val="24"/>
        </w:rPr>
        <w:t xml:space="preserve">in immigration detention </w:t>
      </w:r>
      <w:r w:rsidRPr="005F64AF">
        <w:rPr>
          <w:sz w:val="24"/>
          <w:szCs w:val="24"/>
        </w:rPr>
        <w:t xml:space="preserve">to be placed in community detention. These assessments can frequently be completed within </w:t>
      </w:r>
      <w:r w:rsidR="00A52D80" w:rsidRPr="005F64AF">
        <w:rPr>
          <w:sz w:val="24"/>
          <w:szCs w:val="24"/>
        </w:rPr>
        <w:t>24</w:t>
      </w:r>
      <w:r w:rsidRPr="005F64AF">
        <w:rPr>
          <w:sz w:val="24"/>
          <w:szCs w:val="24"/>
        </w:rPr>
        <w:t xml:space="preserve"> hours.</w:t>
      </w:r>
      <w:r w:rsidR="00E727D7" w:rsidRPr="005F64AF">
        <w:rPr>
          <w:sz w:val="24"/>
          <w:szCs w:val="24"/>
        </w:rPr>
        <w:t xml:space="preserve"> </w:t>
      </w:r>
      <w:r w:rsidR="00E136F4" w:rsidRPr="005F64AF">
        <w:rPr>
          <w:sz w:val="24"/>
          <w:szCs w:val="24"/>
        </w:rPr>
        <w:t>I shall hereinafter refer to these assessments as ‘community detention security assessments’.</w:t>
      </w:r>
      <w:r w:rsidR="00E727D7" w:rsidRPr="005F64AF">
        <w:rPr>
          <w:sz w:val="24"/>
          <w:szCs w:val="24"/>
        </w:rPr>
        <w:t xml:space="preserve"> </w:t>
      </w:r>
    </w:p>
    <w:p w14:paraId="60CA2D80" w14:textId="77777777" w:rsidR="00604CA7" w:rsidRPr="005F64AF" w:rsidRDefault="000B4F58" w:rsidP="00AE7382">
      <w:pPr>
        <w:numPr>
          <w:ilvl w:val="0"/>
          <w:numId w:val="19"/>
        </w:numPr>
        <w:spacing w:before="240" w:after="240"/>
        <w:rPr>
          <w:sz w:val="24"/>
          <w:szCs w:val="24"/>
        </w:rPr>
      </w:pPr>
      <w:bookmarkStart w:id="12" w:name="_Ref327260536"/>
      <w:r w:rsidRPr="005F64AF">
        <w:rPr>
          <w:sz w:val="24"/>
          <w:szCs w:val="24"/>
        </w:rPr>
        <w:t xml:space="preserve">In respect of </w:t>
      </w:r>
      <w:r w:rsidR="00967B1B" w:rsidRPr="005F64AF">
        <w:rPr>
          <w:sz w:val="24"/>
          <w:szCs w:val="24"/>
        </w:rPr>
        <w:t>six</w:t>
      </w:r>
      <w:r w:rsidR="009A4987" w:rsidRPr="005F64AF">
        <w:rPr>
          <w:sz w:val="24"/>
          <w:szCs w:val="24"/>
        </w:rPr>
        <w:t xml:space="preserve"> </w:t>
      </w:r>
      <w:r w:rsidR="00967B1B" w:rsidRPr="005F64AF">
        <w:rPr>
          <w:sz w:val="24"/>
          <w:szCs w:val="24"/>
        </w:rPr>
        <w:t>of the complainants</w:t>
      </w:r>
      <w:r w:rsidRPr="005F64AF">
        <w:rPr>
          <w:sz w:val="24"/>
          <w:szCs w:val="24"/>
        </w:rPr>
        <w:t xml:space="preserve">, the department only asked ASIO to </w:t>
      </w:r>
      <w:r w:rsidR="00D12FFA" w:rsidRPr="005F64AF">
        <w:rPr>
          <w:sz w:val="24"/>
          <w:szCs w:val="24"/>
        </w:rPr>
        <w:t>conduct</w:t>
      </w:r>
      <w:r w:rsidRPr="005F64AF">
        <w:rPr>
          <w:sz w:val="24"/>
          <w:szCs w:val="24"/>
        </w:rPr>
        <w:t xml:space="preserve"> </w:t>
      </w:r>
      <w:r w:rsidR="008C1CE3" w:rsidRPr="005F64AF">
        <w:rPr>
          <w:sz w:val="24"/>
          <w:szCs w:val="24"/>
        </w:rPr>
        <w:t>permanent visa</w:t>
      </w:r>
      <w:r w:rsidR="00654789" w:rsidRPr="005F64AF">
        <w:rPr>
          <w:sz w:val="24"/>
          <w:szCs w:val="24"/>
        </w:rPr>
        <w:t xml:space="preserve"> security assessments.</w:t>
      </w:r>
      <w:r w:rsidRPr="005F64AF">
        <w:rPr>
          <w:sz w:val="24"/>
          <w:szCs w:val="24"/>
        </w:rPr>
        <w:t xml:space="preserve"> The department did not ask ASIO to conduct </w:t>
      </w:r>
      <w:bookmarkEnd w:id="12"/>
      <w:r w:rsidR="00654789" w:rsidRPr="005F64AF">
        <w:rPr>
          <w:sz w:val="24"/>
          <w:szCs w:val="24"/>
        </w:rPr>
        <w:t xml:space="preserve">community detention security assessments. </w:t>
      </w:r>
      <w:r w:rsidR="00A93B73" w:rsidRPr="005F64AF">
        <w:rPr>
          <w:sz w:val="24"/>
          <w:szCs w:val="24"/>
        </w:rPr>
        <w:t xml:space="preserve">Each of these six complainants was held in immigration detention for between 12 and 18 months before </w:t>
      </w:r>
      <w:r w:rsidR="00C226FC" w:rsidRPr="005F64AF">
        <w:rPr>
          <w:sz w:val="24"/>
          <w:szCs w:val="24"/>
        </w:rPr>
        <w:t xml:space="preserve">receiving their adverse </w:t>
      </w:r>
      <w:r w:rsidR="008C1CE3" w:rsidRPr="005F64AF">
        <w:rPr>
          <w:sz w:val="24"/>
          <w:szCs w:val="24"/>
        </w:rPr>
        <w:t>permanent visa</w:t>
      </w:r>
      <w:r w:rsidR="00C226FC" w:rsidRPr="005F64AF">
        <w:rPr>
          <w:sz w:val="24"/>
          <w:szCs w:val="24"/>
        </w:rPr>
        <w:t xml:space="preserve"> security assessment.</w:t>
      </w:r>
      <w:r w:rsidR="00E727D7" w:rsidRPr="005F64AF">
        <w:rPr>
          <w:sz w:val="24"/>
          <w:szCs w:val="24"/>
        </w:rPr>
        <w:t xml:space="preserve"> </w:t>
      </w:r>
      <w:r w:rsidR="00C226FC" w:rsidRPr="005F64AF">
        <w:rPr>
          <w:sz w:val="24"/>
          <w:szCs w:val="24"/>
        </w:rPr>
        <w:t xml:space="preserve">The relevant complainants, and the time they had been held in immigration detention at the time the department received their adverse </w:t>
      </w:r>
      <w:r w:rsidR="008C1CE3" w:rsidRPr="005F64AF">
        <w:rPr>
          <w:sz w:val="24"/>
          <w:szCs w:val="24"/>
        </w:rPr>
        <w:t>permanent visa</w:t>
      </w:r>
      <w:r w:rsidR="00C226FC" w:rsidRPr="005F64AF">
        <w:rPr>
          <w:sz w:val="24"/>
          <w:szCs w:val="24"/>
        </w:rPr>
        <w:t xml:space="preserve"> securi</w:t>
      </w:r>
      <w:r w:rsidR="009A2281">
        <w:rPr>
          <w:sz w:val="24"/>
          <w:szCs w:val="24"/>
        </w:rPr>
        <w:t>ty assessments are given below:</w:t>
      </w:r>
    </w:p>
    <w:p w14:paraId="474061B7" w14:textId="77777777" w:rsidR="002B4BCF" w:rsidRPr="005F64AF" w:rsidRDefault="002B4BCF" w:rsidP="00AE7382">
      <w:pPr>
        <w:numPr>
          <w:ilvl w:val="1"/>
          <w:numId w:val="19"/>
        </w:numPr>
        <w:spacing w:before="120" w:after="120"/>
        <w:ind w:left="1434" w:hanging="357"/>
        <w:rPr>
          <w:sz w:val="24"/>
          <w:szCs w:val="24"/>
        </w:rPr>
      </w:pPr>
      <w:r w:rsidRPr="005F64AF">
        <w:rPr>
          <w:sz w:val="24"/>
          <w:szCs w:val="24"/>
        </w:rPr>
        <w:t xml:space="preserve">Mr </w:t>
      </w:r>
      <w:r w:rsidR="0039144D">
        <w:rPr>
          <w:sz w:val="24"/>
          <w:szCs w:val="24"/>
        </w:rPr>
        <w:t>GA</w:t>
      </w:r>
      <w:r w:rsidRPr="005F64AF">
        <w:rPr>
          <w:sz w:val="24"/>
          <w:szCs w:val="24"/>
        </w:rPr>
        <w:t xml:space="preserve"> (13 months)</w:t>
      </w:r>
    </w:p>
    <w:p w14:paraId="0BF177A2" w14:textId="77777777" w:rsidR="002B4BCF" w:rsidRPr="005F64AF" w:rsidRDefault="002B4BCF" w:rsidP="00AE7382">
      <w:pPr>
        <w:numPr>
          <w:ilvl w:val="1"/>
          <w:numId w:val="19"/>
        </w:numPr>
        <w:spacing w:before="120" w:after="120"/>
        <w:ind w:left="1434" w:hanging="357"/>
        <w:rPr>
          <w:sz w:val="24"/>
          <w:szCs w:val="24"/>
        </w:rPr>
      </w:pPr>
      <w:r w:rsidRPr="005F64AF">
        <w:rPr>
          <w:sz w:val="24"/>
          <w:szCs w:val="24"/>
        </w:rPr>
        <w:t xml:space="preserve">Mr </w:t>
      </w:r>
      <w:r w:rsidR="0039144D">
        <w:rPr>
          <w:sz w:val="24"/>
          <w:szCs w:val="24"/>
        </w:rPr>
        <w:t>GB</w:t>
      </w:r>
      <w:r w:rsidRPr="005F64AF">
        <w:rPr>
          <w:sz w:val="24"/>
          <w:szCs w:val="24"/>
        </w:rPr>
        <w:t xml:space="preserve"> (16 months)</w:t>
      </w:r>
    </w:p>
    <w:p w14:paraId="498746A3" w14:textId="77777777" w:rsidR="002B4BCF" w:rsidRPr="005F64AF" w:rsidRDefault="002B4BCF" w:rsidP="00AE7382">
      <w:pPr>
        <w:numPr>
          <w:ilvl w:val="1"/>
          <w:numId w:val="19"/>
        </w:numPr>
        <w:spacing w:before="120" w:after="120"/>
        <w:ind w:left="1434" w:hanging="357"/>
        <w:rPr>
          <w:sz w:val="24"/>
          <w:szCs w:val="24"/>
        </w:rPr>
      </w:pPr>
      <w:r w:rsidRPr="005F64AF">
        <w:rPr>
          <w:sz w:val="24"/>
          <w:szCs w:val="24"/>
        </w:rPr>
        <w:t xml:space="preserve">Mr </w:t>
      </w:r>
      <w:r w:rsidR="0039144D">
        <w:rPr>
          <w:sz w:val="24"/>
          <w:szCs w:val="24"/>
        </w:rPr>
        <w:t>GC</w:t>
      </w:r>
      <w:r w:rsidRPr="005F64AF">
        <w:rPr>
          <w:sz w:val="24"/>
          <w:szCs w:val="24"/>
        </w:rPr>
        <w:t xml:space="preserve"> (18 months)</w:t>
      </w:r>
    </w:p>
    <w:p w14:paraId="65ADAB50" w14:textId="77777777" w:rsidR="002B4BCF" w:rsidRPr="005F64AF" w:rsidRDefault="002B4BCF" w:rsidP="00AE7382">
      <w:pPr>
        <w:numPr>
          <w:ilvl w:val="1"/>
          <w:numId w:val="19"/>
        </w:numPr>
        <w:spacing w:before="120" w:after="120"/>
        <w:ind w:left="1434" w:hanging="357"/>
        <w:rPr>
          <w:sz w:val="24"/>
          <w:szCs w:val="24"/>
        </w:rPr>
      </w:pPr>
      <w:r w:rsidRPr="005F64AF">
        <w:rPr>
          <w:sz w:val="24"/>
          <w:szCs w:val="24"/>
        </w:rPr>
        <w:t xml:space="preserve">Mr </w:t>
      </w:r>
      <w:r w:rsidR="00613950">
        <w:rPr>
          <w:sz w:val="24"/>
          <w:szCs w:val="24"/>
        </w:rPr>
        <w:t>GF</w:t>
      </w:r>
      <w:r w:rsidRPr="005F64AF">
        <w:rPr>
          <w:sz w:val="24"/>
          <w:szCs w:val="24"/>
        </w:rPr>
        <w:t xml:space="preserve"> (14 months)</w:t>
      </w:r>
    </w:p>
    <w:p w14:paraId="5291FC92" w14:textId="77777777" w:rsidR="002B4BCF" w:rsidRPr="005F64AF" w:rsidRDefault="002B4BCF" w:rsidP="00AE7382">
      <w:pPr>
        <w:numPr>
          <w:ilvl w:val="1"/>
          <w:numId w:val="19"/>
        </w:numPr>
        <w:spacing w:before="120" w:after="120"/>
        <w:ind w:left="1434" w:hanging="357"/>
        <w:rPr>
          <w:sz w:val="24"/>
          <w:szCs w:val="24"/>
        </w:rPr>
      </w:pPr>
      <w:r w:rsidRPr="005F64AF">
        <w:rPr>
          <w:sz w:val="24"/>
          <w:szCs w:val="24"/>
        </w:rPr>
        <w:t>Mr</w:t>
      </w:r>
      <w:r w:rsidR="00A47E82">
        <w:rPr>
          <w:sz w:val="24"/>
          <w:szCs w:val="24"/>
        </w:rPr>
        <w:t xml:space="preserve"> Bonifass </w:t>
      </w:r>
      <w:r w:rsidRPr="005F64AF">
        <w:rPr>
          <w:sz w:val="24"/>
          <w:szCs w:val="24"/>
        </w:rPr>
        <w:t>(17 months)</w:t>
      </w:r>
    </w:p>
    <w:p w14:paraId="45934514" w14:textId="77777777" w:rsidR="00604CA7" w:rsidRPr="005F64AF" w:rsidRDefault="002B4BCF" w:rsidP="00AE7382">
      <w:pPr>
        <w:numPr>
          <w:ilvl w:val="1"/>
          <w:numId w:val="19"/>
        </w:numPr>
        <w:spacing w:before="120" w:after="120"/>
        <w:rPr>
          <w:sz w:val="24"/>
          <w:szCs w:val="24"/>
        </w:rPr>
      </w:pPr>
      <w:r w:rsidRPr="005F64AF">
        <w:rPr>
          <w:sz w:val="24"/>
          <w:szCs w:val="24"/>
        </w:rPr>
        <w:t xml:space="preserve">Mr </w:t>
      </w:r>
      <w:r w:rsidR="00325A2C" w:rsidRPr="00325A2C">
        <w:rPr>
          <w:sz w:val="24"/>
          <w:szCs w:val="24"/>
        </w:rPr>
        <w:t>Subramaniyam</w:t>
      </w:r>
      <w:r w:rsidRPr="005F64AF">
        <w:rPr>
          <w:sz w:val="24"/>
          <w:szCs w:val="24"/>
        </w:rPr>
        <w:t xml:space="preserve"> (12 months)</w:t>
      </w:r>
      <w:r w:rsidR="008F43AF">
        <w:rPr>
          <w:sz w:val="24"/>
          <w:szCs w:val="24"/>
        </w:rPr>
        <w:t>.</w:t>
      </w:r>
    </w:p>
    <w:p w14:paraId="3DCDFA84" w14:textId="77777777" w:rsidR="00604CA7" w:rsidRPr="005F64AF" w:rsidRDefault="00B4045E" w:rsidP="00AE7382">
      <w:pPr>
        <w:numPr>
          <w:ilvl w:val="0"/>
          <w:numId w:val="19"/>
        </w:numPr>
        <w:spacing w:before="240" w:after="240"/>
        <w:rPr>
          <w:sz w:val="24"/>
          <w:szCs w:val="24"/>
        </w:rPr>
      </w:pPr>
      <w:r>
        <w:rPr>
          <w:sz w:val="24"/>
          <w:szCs w:val="24"/>
        </w:rPr>
        <w:t>I find</w:t>
      </w:r>
      <w:r w:rsidR="00E7447A" w:rsidRPr="005F64AF">
        <w:rPr>
          <w:sz w:val="24"/>
          <w:szCs w:val="24"/>
        </w:rPr>
        <w:t xml:space="preserve"> that the failure of the department to request that ASIO conduct community detention security assessments in relation to the complainants listed above was inconsistent with or contrary to article 9(1) of the ICCPR.</w:t>
      </w:r>
      <w:r w:rsidR="00E727D7" w:rsidRPr="005F64AF">
        <w:rPr>
          <w:sz w:val="24"/>
          <w:szCs w:val="24"/>
        </w:rPr>
        <w:t xml:space="preserve"> </w:t>
      </w:r>
      <w:r w:rsidR="00E7447A" w:rsidRPr="005F64AF">
        <w:rPr>
          <w:sz w:val="24"/>
          <w:szCs w:val="24"/>
        </w:rPr>
        <w:t>A community detention security assessment could hav</w:t>
      </w:r>
      <w:r w:rsidR="0035435E" w:rsidRPr="005F64AF">
        <w:rPr>
          <w:sz w:val="24"/>
          <w:szCs w:val="24"/>
        </w:rPr>
        <w:t>e been conducted quickly and might</w:t>
      </w:r>
      <w:r w:rsidR="00E7447A" w:rsidRPr="005F64AF">
        <w:rPr>
          <w:sz w:val="24"/>
          <w:szCs w:val="24"/>
        </w:rPr>
        <w:t xml:space="preserve"> have led to these complainants being held in a less restrictive form of detention.</w:t>
      </w:r>
      <w:r w:rsidR="000E2D48" w:rsidRPr="005F64AF">
        <w:rPr>
          <w:rStyle w:val="EndnoteReference"/>
          <w:szCs w:val="24"/>
        </w:rPr>
        <w:endnoteReference w:id="16"/>
      </w:r>
      <w:r w:rsidR="00E727D7" w:rsidRPr="005F64AF">
        <w:rPr>
          <w:sz w:val="24"/>
          <w:szCs w:val="24"/>
        </w:rPr>
        <w:t xml:space="preserve"> </w:t>
      </w:r>
    </w:p>
    <w:p w14:paraId="22106329" w14:textId="77777777" w:rsidR="00604CA7" w:rsidRPr="005F64AF" w:rsidRDefault="00EC7F88" w:rsidP="00AE7382">
      <w:pPr>
        <w:numPr>
          <w:ilvl w:val="0"/>
          <w:numId w:val="19"/>
        </w:numPr>
        <w:spacing w:before="240" w:after="240"/>
        <w:rPr>
          <w:sz w:val="24"/>
          <w:szCs w:val="24"/>
        </w:rPr>
      </w:pPr>
      <w:r w:rsidRPr="005F64AF">
        <w:rPr>
          <w:sz w:val="24"/>
          <w:szCs w:val="24"/>
        </w:rPr>
        <w:t xml:space="preserve">The department did ask ASIO to </w:t>
      </w:r>
      <w:r w:rsidR="00D12FFA" w:rsidRPr="005F64AF">
        <w:rPr>
          <w:sz w:val="24"/>
          <w:szCs w:val="24"/>
        </w:rPr>
        <w:t xml:space="preserve">conduct community detention security assessments for </w:t>
      </w:r>
      <w:r w:rsidR="002B6F94">
        <w:rPr>
          <w:sz w:val="24"/>
          <w:szCs w:val="24"/>
        </w:rPr>
        <w:t>four</w:t>
      </w:r>
      <w:r w:rsidR="00D12FFA" w:rsidRPr="005F64AF">
        <w:rPr>
          <w:sz w:val="24"/>
          <w:szCs w:val="24"/>
        </w:rPr>
        <w:t xml:space="preserve"> of the complainants.</w:t>
      </w:r>
      <w:r w:rsidR="00E727D7" w:rsidRPr="005F64AF">
        <w:rPr>
          <w:sz w:val="24"/>
          <w:szCs w:val="24"/>
        </w:rPr>
        <w:t xml:space="preserve"> </w:t>
      </w:r>
      <w:r w:rsidR="000543CE" w:rsidRPr="005F64AF">
        <w:rPr>
          <w:sz w:val="24"/>
          <w:szCs w:val="24"/>
        </w:rPr>
        <w:t xml:space="preserve">In the case of Mr </w:t>
      </w:r>
      <w:r w:rsidR="00613950">
        <w:rPr>
          <w:sz w:val="24"/>
          <w:szCs w:val="24"/>
        </w:rPr>
        <w:t>GG</w:t>
      </w:r>
      <w:r w:rsidR="000543CE" w:rsidRPr="005F64AF">
        <w:rPr>
          <w:sz w:val="24"/>
          <w:szCs w:val="24"/>
        </w:rPr>
        <w:t>, the department requested the assessment after he had been detained for just under four months.</w:t>
      </w:r>
      <w:r w:rsidR="00E727D7" w:rsidRPr="005F64AF">
        <w:rPr>
          <w:sz w:val="24"/>
          <w:szCs w:val="24"/>
        </w:rPr>
        <w:t xml:space="preserve"> </w:t>
      </w:r>
      <w:r w:rsidR="000543CE" w:rsidRPr="005F64AF">
        <w:rPr>
          <w:sz w:val="24"/>
          <w:szCs w:val="24"/>
        </w:rPr>
        <w:t xml:space="preserve">The other </w:t>
      </w:r>
      <w:r w:rsidR="002B6F94">
        <w:rPr>
          <w:sz w:val="24"/>
          <w:szCs w:val="24"/>
        </w:rPr>
        <w:t>three</w:t>
      </w:r>
      <w:r w:rsidR="000543CE" w:rsidRPr="005F64AF">
        <w:rPr>
          <w:sz w:val="24"/>
          <w:szCs w:val="24"/>
        </w:rPr>
        <w:t xml:space="preserve"> complainants had each been detained for at least </w:t>
      </w:r>
      <w:r w:rsidR="00AD02F0">
        <w:rPr>
          <w:sz w:val="24"/>
          <w:szCs w:val="24"/>
        </w:rPr>
        <w:t>19</w:t>
      </w:r>
      <w:r w:rsidR="000543CE" w:rsidRPr="005F64AF">
        <w:rPr>
          <w:sz w:val="24"/>
          <w:szCs w:val="24"/>
        </w:rPr>
        <w:t xml:space="preserve"> months </w:t>
      </w:r>
      <w:r w:rsidR="000E1892" w:rsidRPr="005F64AF">
        <w:rPr>
          <w:sz w:val="24"/>
          <w:szCs w:val="24"/>
        </w:rPr>
        <w:t>before the department asked ASIO to conduct a community detention security assessment. The relevant complainants and the lengths of their detention at the time the community detention security assessments were conducted are given below:</w:t>
      </w:r>
      <w:r w:rsidR="00F40958">
        <w:rPr>
          <w:rStyle w:val="EndnoteReference"/>
          <w:szCs w:val="24"/>
        </w:rPr>
        <w:endnoteReference w:id="17"/>
      </w:r>
    </w:p>
    <w:p w14:paraId="69B8E120" w14:textId="77777777" w:rsidR="000E1892" w:rsidRPr="005F64AF" w:rsidRDefault="000E1892" w:rsidP="00AE7382">
      <w:pPr>
        <w:numPr>
          <w:ilvl w:val="1"/>
          <w:numId w:val="19"/>
        </w:numPr>
        <w:spacing w:before="120" w:after="120"/>
        <w:ind w:left="1434" w:hanging="357"/>
        <w:rPr>
          <w:sz w:val="24"/>
          <w:szCs w:val="24"/>
        </w:rPr>
      </w:pPr>
      <w:r w:rsidRPr="005F64AF">
        <w:rPr>
          <w:sz w:val="24"/>
          <w:szCs w:val="24"/>
        </w:rPr>
        <w:t xml:space="preserve">Mr </w:t>
      </w:r>
      <w:r w:rsidR="00A44EBC">
        <w:rPr>
          <w:sz w:val="24"/>
          <w:szCs w:val="24"/>
        </w:rPr>
        <w:t>Razamiya</w:t>
      </w:r>
      <w:r w:rsidRPr="005F64AF">
        <w:rPr>
          <w:sz w:val="24"/>
          <w:szCs w:val="24"/>
        </w:rPr>
        <w:t xml:space="preserve"> (19 months)</w:t>
      </w:r>
    </w:p>
    <w:p w14:paraId="74A18288" w14:textId="77777777" w:rsidR="000E1892" w:rsidRPr="005F64AF" w:rsidRDefault="000E1892" w:rsidP="00AE7382">
      <w:pPr>
        <w:numPr>
          <w:ilvl w:val="1"/>
          <w:numId w:val="19"/>
        </w:numPr>
        <w:spacing w:before="120" w:after="120"/>
        <w:ind w:left="1434" w:hanging="357"/>
        <w:rPr>
          <w:sz w:val="24"/>
          <w:szCs w:val="24"/>
        </w:rPr>
      </w:pPr>
      <w:r w:rsidRPr="005F64AF">
        <w:rPr>
          <w:sz w:val="24"/>
          <w:szCs w:val="24"/>
        </w:rPr>
        <w:t xml:space="preserve">Mr </w:t>
      </w:r>
      <w:r w:rsidR="00613950">
        <w:rPr>
          <w:sz w:val="24"/>
          <w:szCs w:val="24"/>
        </w:rPr>
        <w:t>GE</w:t>
      </w:r>
      <w:r w:rsidRPr="005F64AF">
        <w:rPr>
          <w:sz w:val="24"/>
          <w:szCs w:val="24"/>
        </w:rPr>
        <w:t xml:space="preserve"> (22 months)</w:t>
      </w:r>
    </w:p>
    <w:p w14:paraId="7319898C" w14:textId="77777777" w:rsidR="000E1892" w:rsidRPr="005F64AF" w:rsidRDefault="00576229" w:rsidP="00AE7382">
      <w:pPr>
        <w:numPr>
          <w:ilvl w:val="1"/>
          <w:numId w:val="19"/>
        </w:numPr>
        <w:spacing w:before="120" w:after="120"/>
        <w:ind w:left="1434" w:hanging="357"/>
        <w:rPr>
          <w:sz w:val="24"/>
          <w:szCs w:val="24"/>
        </w:rPr>
      </w:pPr>
      <w:r w:rsidRPr="005F64AF">
        <w:rPr>
          <w:sz w:val="24"/>
          <w:szCs w:val="24"/>
        </w:rPr>
        <w:t xml:space="preserve">Mr </w:t>
      </w:r>
      <w:r w:rsidR="00613950">
        <w:rPr>
          <w:sz w:val="24"/>
          <w:szCs w:val="24"/>
        </w:rPr>
        <w:t>GD</w:t>
      </w:r>
      <w:r w:rsidR="000E1892" w:rsidRPr="005F64AF">
        <w:rPr>
          <w:sz w:val="24"/>
          <w:szCs w:val="24"/>
        </w:rPr>
        <w:t xml:space="preserve"> (21 months)</w:t>
      </w:r>
    </w:p>
    <w:p w14:paraId="35BEC0A9" w14:textId="105FFEF0" w:rsidR="000E1892" w:rsidRPr="005F64AF" w:rsidRDefault="000E1892" w:rsidP="00AE7382">
      <w:pPr>
        <w:numPr>
          <w:ilvl w:val="1"/>
          <w:numId w:val="19"/>
        </w:numPr>
        <w:spacing w:before="120" w:after="120"/>
        <w:ind w:left="1434" w:hanging="357"/>
        <w:rPr>
          <w:sz w:val="24"/>
          <w:szCs w:val="24"/>
        </w:rPr>
      </w:pPr>
      <w:r w:rsidRPr="005F64AF">
        <w:rPr>
          <w:sz w:val="24"/>
          <w:szCs w:val="24"/>
        </w:rPr>
        <w:t xml:space="preserve">Mr </w:t>
      </w:r>
      <w:r w:rsidR="00613950">
        <w:rPr>
          <w:sz w:val="24"/>
          <w:szCs w:val="24"/>
        </w:rPr>
        <w:t>GG</w:t>
      </w:r>
      <w:r w:rsidRPr="005F64AF">
        <w:rPr>
          <w:sz w:val="24"/>
          <w:szCs w:val="24"/>
        </w:rPr>
        <w:t xml:space="preserve"> (4 months)</w:t>
      </w:r>
      <w:r w:rsidR="00F61A17">
        <w:rPr>
          <w:sz w:val="24"/>
          <w:szCs w:val="24"/>
        </w:rPr>
        <w:t>.</w:t>
      </w:r>
    </w:p>
    <w:p w14:paraId="71F1F686" w14:textId="77777777" w:rsidR="008C66A0" w:rsidRPr="005F64AF" w:rsidRDefault="008C66A0" w:rsidP="00AE7382">
      <w:pPr>
        <w:numPr>
          <w:ilvl w:val="0"/>
          <w:numId w:val="19"/>
        </w:numPr>
        <w:spacing w:before="240" w:after="240"/>
        <w:rPr>
          <w:sz w:val="24"/>
          <w:szCs w:val="24"/>
        </w:rPr>
      </w:pPr>
      <w:bookmarkStart w:id="13" w:name="_Ref324406180"/>
      <w:r w:rsidRPr="005F64AF">
        <w:rPr>
          <w:sz w:val="24"/>
          <w:szCs w:val="24"/>
        </w:rPr>
        <w:t xml:space="preserve">In each case, ASIO advised that it would not be in the public interest </w:t>
      </w:r>
      <w:r w:rsidR="00D53ECB" w:rsidRPr="005F64AF">
        <w:rPr>
          <w:sz w:val="24"/>
          <w:szCs w:val="24"/>
        </w:rPr>
        <w:t xml:space="preserve">for the Minister </w:t>
      </w:r>
      <w:r w:rsidRPr="005F64AF">
        <w:rPr>
          <w:sz w:val="24"/>
          <w:szCs w:val="24"/>
        </w:rPr>
        <w:t>to exercise his powers under s 197AB of the Migration Act – that is, to make residence determinations and so to allow the complainants to reside in community detention.</w:t>
      </w:r>
      <w:r w:rsidR="00E727D7" w:rsidRPr="005F64AF">
        <w:rPr>
          <w:sz w:val="24"/>
          <w:szCs w:val="24"/>
        </w:rPr>
        <w:t xml:space="preserve"> </w:t>
      </w:r>
    </w:p>
    <w:p w14:paraId="6A8B586E" w14:textId="77777777" w:rsidR="00B4567E" w:rsidRPr="005F64AF" w:rsidRDefault="00B4567E" w:rsidP="00AE7382">
      <w:pPr>
        <w:numPr>
          <w:ilvl w:val="0"/>
          <w:numId w:val="19"/>
        </w:numPr>
        <w:spacing w:before="240" w:after="240"/>
        <w:rPr>
          <w:sz w:val="24"/>
          <w:szCs w:val="24"/>
        </w:rPr>
      </w:pPr>
      <w:r w:rsidRPr="005F64AF">
        <w:rPr>
          <w:sz w:val="24"/>
          <w:szCs w:val="24"/>
        </w:rPr>
        <w:t xml:space="preserve">Each of these </w:t>
      </w:r>
      <w:r w:rsidR="002B6F94">
        <w:rPr>
          <w:sz w:val="24"/>
          <w:szCs w:val="24"/>
        </w:rPr>
        <w:t>four</w:t>
      </w:r>
      <w:r w:rsidRPr="005F64AF">
        <w:rPr>
          <w:sz w:val="24"/>
          <w:szCs w:val="24"/>
        </w:rPr>
        <w:t xml:space="preserve"> complainants subsequently received an adverse </w:t>
      </w:r>
      <w:r w:rsidR="008C1CE3" w:rsidRPr="005F64AF">
        <w:rPr>
          <w:sz w:val="24"/>
          <w:szCs w:val="24"/>
        </w:rPr>
        <w:t>permanent visa</w:t>
      </w:r>
      <w:r w:rsidRPr="005F64AF">
        <w:rPr>
          <w:sz w:val="24"/>
          <w:szCs w:val="24"/>
        </w:rPr>
        <w:t xml:space="preserve"> security assessment.</w:t>
      </w:r>
      <w:r w:rsidR="00E727D7" w:rsidRPr="005F64AF">
        <w:rPr>
          <w:sz w:val="24"/>
          <w:szCs w:val="24"/>
        </w:rPr>
        <w:t xml:space="preserve"> </w:t>
      </w:r>
    </w:p>
    <w:p w14:paraId="7ECC6792" w14:textId="77777777" w:rsidR="00654789" w:rsidRPr="005F64AF" w:rsidRDefault="00B4567E" w:rsidP="00AE7382">
      <w:pPr>
        <w:numPr>
          <w:ilvl w:val="0"/>
          <w:numId w:val="19"/>
        </w:numPr>
        <w:spacing w:before="240" w:after="240"/>
        <w:rPr>
          <w:sz w:val="24"/>
          <w:szCs w:val="24"/>
        </w:rPr>
      </w:pPr>
      <w:r w:rsidRPr="005F64AF">
        <w:rPr>
          <w:sz w:val="24"/>
          <w:szCs w:val="24"/>
        </w:rPr>
        <w:lastRenderedPageBreak/>
        <w:t xml:space="preserve">Despite the fact that the above </w:t>
      </w:r>
      <w:r w:rsidR="002B6F94">
        <w:rPr>
          <w:sz w:val="24"/>
          <w:szCs w:val="24"/>
        </w:rPr>
        <w:t>four</w:t>
      </w:r>
      <w:r w:rsidRPr="005F64AF">
        <w:rPr>
          <w:sz w:val="24"/>
          <w:szCs w:val="24"/>
        </w:rPr>
        <w:t xml:space="preserve"> complainants ultimately received adverse community detention security assessments, </w:t>
      </w:r>
      <w:r w:rsidR="005F6039">
        <w:rPr>
          <w:sz w:val="24"/>
          <w:szCs w:val="24"/>
        </w:rPr>
        <w:t>I consider</w:t>
      </w:r>
      <w:r w:rsidRPr="005F64AF">
        <w:rPr>
          <w:sz w:val="24"/>
          <w:szCs w:val="24"/>
        </w:rPr>
        <w:t xml:space="preserve"> that the significant delays by the department in requesting those assessments </w:t>
      </w:r>
      <w:r w:rsidR="00FB37B4">
        <w:rPr>
          <w:sz w:val="24"/>
          <w:szCs w:val="24"/>
        </w:rPr>
        <w:t>were</w:t>
      </w:r>
      <w:r w:rsidRPr="005F64AF">
        <w:rPr>
          <w:sz w:val="24"/>
          <w:szCs w:val="24"/>
        </w:rPr>
        <w:t xml:space="preserve"> arbitrary.</w:t>
      </w:r>
      <w:r w:rsidR="00E727D7" w:rsidRPr="005F64AF">
        <w:rPr>
          <w:sz w:val="24"/>
          <w:szCs w:val="24"/>
        </w:rPr>
        <w:t xml:space="preserve"> </w:t>
      </w:r>
      <w:r w:rsidR="00E371FA" w:rsidRPr="005F64AF">
        <w:rPr>
          <w:sz w:val="24"/>
          <w:szCs w:val="24"/>
        </w:rPr>
        <w:t>Th</w:t>
      </w:r>
      <w:r w:rsidR="00D9157C" w:rsidRPr="005F64AF">
        <w:rPr>
          <w:sz w:val="24"/>
          <w:szCs w:val="24"/>
        </w:rPr>
        <w:t xml:space="preserve">e delays were </w:t>
      </w:r>
      <w:r w:rsidR="00D53ECB" w:rsidRPr="005F64AF">
        <w:rPr>
          <w:sz w:val="24"/>
          <w:szCs w:val="24"/>
        </w:rPr>
        <w:t xml:space="preserve">in the majority of cases </w:t>
      </w:r>
      <w:r w:rsidR="00D9157C" w:rsidRPr="005F64AF">
        <w:rPr>
          <w:sz w:val="24"/>
          <w:szCs w:val="24"/>
        </w:rPr>
        <w:t xml:space="preserve">very significant, </w:t>
      </w:r>
      <w:r w:rsidR="00E371FA" w:rsidRPr="005F64AF">
        <w:rPr>
          <w:sz w:val="24"/>
          <w:szCs w:val="24"/>
        </w:rPr>
        <w:t>and no reasonable explanation has been provided for them.</w:t>
      </w:r>
      <w:r w:rsidR="00D9157C" w:rsidRPr="005F64AF">
        <w:rPr>
          <w:sz w:val="24"/>
          <w:szCs w:val="24"/>
        </w:rPr>
        <w:t xml:space="preserve"> A community detention security assessment could have been conducted quickly</w:t>
      </w:r>
      <w:r w:rsidR="00367796" w:rsidRPr="005F64AF">
        <w:rPr>
          <w:sz w:val="24"/>
          <w:szCs w:val="24"/>
        </w:rPr>
        <w:t xml:space="preserve">. The department has not demonstrated that at </w:t>
      </w:r>
      <w:r w:rsidR="00AD02F0">
        <w:rPr>
          <w:sz w:val="24"/>
          <w:szCs w:val="24"/>
        </w:rPr>
        <w:t>the time the complainants were placed in detention</w:t>
      </w:r>
      <w:r w:rsidR="00367796" w:rsidRPr="005F64AF">
        <w:rPr>
          <w:sz w:val="24"/>
          <w:szCs w:val="24"/>
        </w:rPr>
        <w:t xml:space="preserve"> it had any reason to expect that ASIO would issue </w:t>
      </w:r>
      <w:r w:rsidR="00AD02F0">
        <w:rPr>
          <w:sz w:val="24"/>
          <w:szCs w:val="24"/>
        </w:rPr>
        <w:t xml:space="preserve">them </w:t>
      </w:r>
      <w:r w:rsidR="00367796" w:rsidRPr="005F64AF">
        <w:rPr>
          <w:sz w:val="24"/>
          <w:szCs w:val="24"/>
        </w:rPr>
        <w:t>negative community detention security assessments.</w:t>
      </w:r>
      <w:r w:rsidR="00E727D7" w:rsidRPr="005F64AF">
        <w:rPr>
          <w:sz w:val="24"/>
          <w:szCs w:val="24"/>
        </w:rPr>
        <w:t xml:space="preserve"> </w:t>
      </w:r>
      <w:r w:rsidR="00FC5169" w:rsidRPr="005F64AF">
        <w:rPr>
          <w:sz w:val="24"/>
          <w:szCs w:val="24"/>
        </w:rPr>
        <w:t xml:space="preserve">In the absence of such </w:t>
      </w:r>
      <w:r w:rsidR="00163EAA" w:rsidRPr="005F64AF">
        <w:rPr>
          <w:sz w:val="24"/>
          <w:szCs w:val="24"/>
        </w:rPr>
        <w:t xml:space="preserve">security </w:t>
      </w:r>
      <w:r w:rsidR="00FC5169" w:rsidRPr="005F64AF">
        <w:rPr>
          <w:sz w:val="24"/>
          <w:szCs w:val="24"/>
        </w:rPr>
        <w:t xml:space="preserve">assessments, the department could not have been satisfied that ongoing detention was justified. </w:t>
      </w:r>
      <w:r w:rsidR="00315D8D" w:rsidRPr="005F64AF">
        <w:rPr>
          <w:sz w:val="24"/>
          <w:szCs w:val="24"/>
        </w:rPr>
        <w:t xml:space="preserve">As discussed above, detention for an extended period </w:t>
      </w:r>
      <w:r w:rsidR="00315D8D" w:rsidRPr="005F64AF">
        <w:rPr>
          <w:sz w:val="24"/>
          <w:szCs w:val="24"/>
          <w:lang w:val="en"/>
        </w:rPr>
        <w:t>without demonstrating on an individual basis that that detention is justified</w:t>
      </w:r>
      <w:r w:rsidR="00FC5169" w:rsidRPr="005F64AF">
        <w:rPr>
          <w:sz w:val="24"/>
          <w:szCs w:val="24"/>
          <w:lang w:val="en"/>
        </w:rPr>
        <w:t xml:space="preserve"> is arbitrary within the mean</w:t>
      </w:r>
      <w:r w:rsidR="00B67F49">
        <w:rPr>
          <w:sz w:val="24"/>
          <w:szCs w:val="24"/>
          <w:lang w:val="en"/>
        </w:rPr>
        <w:t>ing of article 9 o</w:t>
      </w:r>
      <w:r w:rsidR="00AD6F46" w:rsidRPr="005F64AF">
        <w:rPr>
          <w:sz w:val="24"/>
          <w:szCs w:val="24"/>
          <w:lang w:val="en"/>
        </w:rPr>
        <w:t xml:space="preserve">f the ICCPR. </w:t>
      </w:r>
    </w:p>
    <w:p w14:paraId="02AE56A9" w14:textId="77777777" w:rsidR="000B4F58" w:rsidRPr="005F64AF" w:rsidRDefault="000B4F58" w:rsidP="00561EA2">
      <w:pPr>
        <w:pStyle w:val="Heading2"/>
      </w:pPr>
      <w:bookmarkStart w:id="14" w:name="_Toc330909080"/>
      <w:bookmarkStart w:id="15" w:name="_Toc282704180"/>
      <w:bookmarkEnd w:id="13"/>
      <w:r w:rsidRPr="005F64AF">
        <w:t>Act 2:</w:t>
      </w:r>
      <w:r w:rsidR="00E727D7" w:rsidRPr="005F64AF">
        <w:t xml:space="preserve"> </w:t>
      </w:r>
      <w:r w:rsidR="007E1E43" w:rsidRPr="005F64AF">
        <w:t>F</w:t>
      </w:r>
      <w:r w:rsidRPr="005F64AF">
        <w:t>ailure to assess on an individual basis whether the circumstances of each complainant indicated that they could be placed in less restrictive forms of detention</w:t>
      </w:r>
      <w:bookmarkEnd w:id="14"/>
      <w:bookmarkEnd w:id="15"/>
    </w:p>
    <w:p w14:paraId="753F465E" w14:textId="77777777" w:rsidR="00794430" w:rsidRPr="005F64AF" w:rsidRDefault="00321113" w:rsidP="00AE7382">
      <w:pPr>
        <w:numPr>
          <w:ilvl w:val="0"/>
          <w:numId w:val="19"/>
        </w:numPr>
        <w:spacing w:before="240" w:after="240"/>
        <w:rPr>
          <w:sz w:val="24"/>
          <w:szCs w:val="24"/>
        </w:rPr>
      </w:pPr>
      <w:r w:rsidRPr="005F64AF">
        <w:rPr>
          <w:sz w:val="24"/>
          <w:szCs w:val="24"/>
        </w:rPr>
        <w:t xml:space="preserve">As </w:t>
      </w:r>
      <w:r w:rsidR="00722168" w:rsidRPr="005F64AF">
        <w:rPr>
          <w:sz w:val="24"/>
          <w:szCs w:val="24"/>
        </w:rPr>
        <w:t>has been</w:t>
      </w:r>
      <w:r w:rsidRPr="005F64AF">
        <w:rPr>
          <w:sz w:val="24"/>
          <w:szCs w:val="24"/>
        </w:rPr>
        <w:t xml:space="preserve"> </w:t>
      </w:r>
      <w:r w:rsidR="00722168" w:rsidRPr="005F64AF">
        <w:rPr>
          <w:sz w:val="24"/>
          <w:szCs w:val="24"/>
        </w:rPr>
        <w:t>discussed previously by the Commission</w:t>
      </w:r>
      <w:r w:rsidRPr="005F64AF">
        <w:rPr>
          <w:sz w:val="24"/>
          <w:szCs w:val="24"/>
        </w:rPr>
        <w:t>,</w:t>
      </w:r>
      <w:r w:rsidR="004B08C4" w:rsidRPr="005F64AF">
        <w:rPr>
          <w:rStyle w:val="EndnoteReference"/>
          <w:szCs w:val="24"/>
        </w:rPr>
        <w:endnoteReference w:id="18"/>
      </w:r>
      <w:r w:rsidR="004D187A" w:rsidRPr="005F64AF">
        <w:rPr>
          <w:sz w:val="24"/>
          <w:szCs w:val="24"/>
        </w:rPr>
        <w:t xml:space="preserve"> </w:t>
      </w:r>
      <w:r w:rsidR="00917A04" w:rsidRPr="005F64AF">
        <w:rPr>
          <w:sz w:val="24"/>
          <w:szCs w:val="24"/>
        </w:rPr>
        <w:t xml:space="preserve">the Minister at all relevant times had the power to make a residence determination under s 197AB of the Migration Act, which would have allowed the complainants to be placed in community detention. </w:t>
      </w:r>
      <w:r w:rsidR="007F3D01" w:rsidRPr="005F64AF">
        <w:rPr>
          <w:sz w:val="24"/>
          <w:szCs w:val="24"/>
        </w:rPr>
        <w:t>The Minister also had the power to grant temporary visas under s195A</w:t>
      </w:r>
      <w:r w:rsidR="00121F73" w:rsidRPr="005F64AF">
        <w:rPr>
          <w:sz w:val="24"/>
          <w:szCs w:val="24"/>
        </w:rPr>
        <w:t xml:space="preserve">, or to approve </w:t>
      </w:r>
      <w:r w:rsidR="0014627D" w:rsidRPr="005F64AF">
        <w:rPr>
          <w:sz w:val="24"/>
          <w:szCs w:val="24"/>
        </w:rPr>
        <w:t xml:space="preserve">some other less restrictive place </w:t>
      </w:r>
      <w:r w:rsidR="00965EBA" w:rsidRPr="005F64AF">
        <w:rPr>
          <w:sz w:val="24"/>
          <w:szCs w:val="24"/>
        </w:rPr>
        <w:t>(</w:t>
      </w:r>
      <w:r w:rsidR="0014627D" w:rsidRPr="005F64AF">
        <w:rPr>
          <w:sz w:val="24"/>
          <w:szCs w:val="24"/>
        </w:rPr>
        <w:t>or places</w:t>
      </w:r>
      <w:r w:rsidR="00965EBA" w:rsidRPr="005F64AF">
        <w:rPr>
          <w:sz w:val="24"/>
          <w:szCs w:val="24"/>
        </w:rPr>
        <w:t>)</w:t>
      </w:r>
      <w:r w:rsidR="0014627D" w:rsidRPr="005F64AF">
        <w:rPr>
          <w:sz w:val="24"/>
          <w:szCs w:val="24"/>
        </w:rPr>
        <w:t xml:space="preserve"> to be a place </w:t>
      </w:r>
      <w:r w:rsidR="00965EBA" w:rsidRPr="005F64AF">
        <w:rPr>
          <w:sz w:val="24"/>
          <w:szCs w:val="24"/>
        </w:rPr>
        <w:t>(</w:t>
      </w:r>
      <w:r w:rsidR="0014627D" w:rsidRPr="005F64AF">
        <w:rPr>
          <w:sz w:val="24"/>
          <w:szCs w:val="24"/>
        </w:rPr>
        <w:t>or places</w:t>
      </w:r>
      <w:r w:rsidR="00965EBA" w:rsidRPr="005F64AF">
        <w:rPr>
          <w:sz w:val="24"/>
          <w:szCs w:val="24"/>
        </w:rPr>
        <w:t>)</w:t>
      </w:r>
      <w:r w:rsidR="0014627D" w:rsidRPr="005F64AF">
        <w:rPr>
          <w:sz w:val="24"/>
          <w:szCs w:val="24"/>
        </w:rPr>
        <w:t xml:space="preserve"> of ‘immigration detention’ under s 5</w:t>
      </w:r>
      <w:r w:rsidR="007F3D01" w:rsidRPr="005F64AF">
        <w:rPr>
          <w:sz w:val="24"/>
          <w:szCs w:val="24"/>
        </w:rPr>
        <w:t xml:space="preserve">. </w:t>
      </w:r>
    </w:p>
    <w:p w14:paraId="177B6E1A" w14:textId="77777777" w:rsidR="00231518" w:rsidRPr="005F64AF" w:rsidRDefault="00231518" w:rsidP="00AE7382">
      <w:pPr>
        <w:numPr>
          <w:ilvl w:val="0"/>
          <w:numId w:val="19"/>
        </w:numPr>
        <w:spacing w:before="240" w:after="240"/>
        <w:rPr>
          <w:sz w:val="24"/>
          <w:szCs w:val="24"/>
        </w:rPr>
      </w:pPr>
      <w:r w:rsidRPr="005F64AF">
        <w:rPr>
          <w:sz w:val="24"/>
          <w:szCs w:val="24"/>
        </w:rPr>
        <w:t xml:space="preserve">The department did not refer any of the </w:t>
      </w:r>
      <w:r w:rsidR="00E11035" w:rsidRPr="005F64AF">
        <w:rPr>
          <w:sz w:val="24"/>
          <w:szCs w:val="24"/>
        </w:rPr>
        <w:t>complainants’ cases to the Minister</w:t>
      </w:r>
      <w:r w:rsidR="00843410" w:rsidRPr="005F64AF">
        <w:rPr>
          <w:sz w:val="24"/>
          <w:szCs w:val="24"/>
        </w:rPr>
        <w:t xml:space="preserve"> for consideration of the exercise of his discretionary powers</w:t>
      </w:r>
      <w:r w:rsidR="00E11035" w:rsidRPr="005F64AF">
        <w:rPr>
          <w:sz w:val="24"/>
          <w:szCs w:val="24"/>
        </w:rPr>
        <w:t xml:space="preserve">. </w:t>
      </w:r>
      <w:r w:rsidR="006D10E0" w:rsidRPr="005F64AF">
        <w:rPr>
          <w:sz w:val="24"/>
          <w:szCs w:val="24"/>
        </w:rPr>
        <w:t>That was as a result of the negative security assessment</w:t>
      </w:r>
      <w:r w:rsidR="00843410" w:rsidRPr="005F64AF">
        <w:rPr>
          <w:sz w:val="24"/>
          <w:szCs w:val="24"/>
        </w:rPr>
        <w:t>s</w:t>
      </w:r>
      <w:r w:rsidR="006D10E0" w:rsidRPr="005F64AF">
        <w:rPr>
          <w:sz w:val="24"/>
          <w:szCs w:val="24"/>
        </w:rPr>
        <w:t xml:space="preserve"> </w:t>
      </w:r>
      <w:r w:rsidR="003F34E3" w:rsidRPr="005F64AF">
        <w:rPr>
          <w:sz w:val="24"/>
          <w:szCs w:val="24"/>
        </w:rPr>
        <w:t xml:space="preserve">received from ASIO. </w:t>
      </w:r>
    </w:p>
    <w:p w14:paraId="753B9FDA" w14:textId="77777777" w:rsidR="00FF1278" w:rsidRPr="005F64AF" w:rsidRDefault="00722168" w:rsidP="00AE7382">
      <w:pPr>
        <w:numPr>
          <w:ilvl w:val="0"/>
          <w:numId w:val="19"/>
        </w:numPr>
        <w:spacing w:before="240" w:after="240"/>
        <w:rPr>
          <w:sz w:val="24"/>
          <w:szCs w:val="24"/>
        </w:rPr>
      </w:pPr>
      <w:r w:rsidRPr="005F64AF">
        <w:rPr>
          <w:sz w:val="24"/>
          <w:szCs w:val="24"/>
        </w:rPr>
        <w:t>However,</w:t>
      </w:r>
      <w:r w:rsidR="00D05B96" w:rsidRPr="005F64AF">
        <w:rPr>
          <w:sz w:val="24"/>
          <w:szCs w:val="24"/>
        </w:rPr>
        <w:t xml:space="preserve"> a negative community detention security assessment constitutes an assessment by ASIO that an individual would pose a risk to the community if placed in community detention. A negative permanent visa security assessment constitutes an assessment by ASIO that an individual would pose a risk to the community if granted a permanent visa</w:t>
      </w:r>
      <w:r w:rsidR="004070A0" w:rsidRPr="005F64AF">
        <w:rPr>
          <w:sz w:val="24"/>
          <w:szCs w:val="24"/>
        </w:rPr>
        <w:t xml:space="preserve"> (in the case of each of the complainants, a protection visa).</w:t>
      </w:r>
      <w:r w:rsidRPr="005F64AF">
        <w:rPr>
          <w:rStyle w:val="EndnoteReference"/>
          <w:szCs w:val="24"/>
        </w:rPr>
        <w:endnoteReference w:id="19"/>
      </w:r>
      <w:r w:rsidR="004070A0" w:rsidRPr="005F64AF">
        <w:rPr>
          <w:sz w:val="24"/>
          <w:szCs w:val="24"/>
        </w:rPr>
        <w:t xml:space="preserve"> </w:t>
      </w:r>
    </w:p>
    <w:p w14:paraId="0B70682F" w14:textId="77777777" w:rsidR="00E11035" w:rsidRPr="005F64AF" w:rsidRDefault="00E11035" w:rsidP="00AE7382">
      <w:pPr>
        <w:numPr>
          <w:ilvl w:val="0"/>
          <w:numId w:val="19"/>
        </w:numPr>
        <w:spacing w:before="240" w:after="240"/>
        <w:rPr>
          <w:sz w:val="24"/>
          <w:szCs w:val="24"/>
        </w:rPr>
      </w:pPr>
      <w:r w:rsidRPr="005F64AF">
        <w:rPr>
          <w:sz w:val="24"/>
          <w:szCs w:val="24"/>
        </w:rPr>
        <w:t xml:space="preserve">The department did not conduct any </w:t>
      </w:r>
      <w:r w:rsidR="00BE10F3" w:rsidRPr="005F64AF">
        <w:rPr>
          <w:sz w:val="24"/>
          <w:szCs w:val="24"/>
        </w:rPr>
        <w:t xml:space="preserve">individualised </w:t>
      </w:r>
      <w:r w:rsidRPr="005F64AF">
        <w:rPr>
          <w:sz w:val="24"/>
          <w:szCs w:val="24"/>
        </w:rPr>
        <w:t xml:space="preserve">assessment of whether the risk </w:t>
      </w:r>
      <w:r w:rsidR="00BE10F3" w:rsidRPr="005F64AF">
        <w:rPr>
          <w:sz w:val="24"/>
          <w:szCs w:val="24"/>
        </w:rPr>
        <w:t xml:space="preserve">that each </w:t>
      </w:r>
      <w:r w:rsidRPr="005F64AF">
        <w:rPr>
          <w:sz w:val="24"/>
          <w:szCs w:val="24"/>
        </w:rPr>
        <w:t>complainant posed to the Australian community could be mitigated</w:t>
      </w:r>
      <w:r w:rsidR="002C4EC5" w:rsidRPr="005F64AF">
        <w:rPr>
          <w:sz w:val="24"/>
          <w:szCs w:val="24"/>
        </w:rPr>
        <w:t xml:space="preserve"> in a way that would allow them to reside in the community or some other less restrictive place of detention</w:t>
      </w:r>
      <w:r w:rsidR="00B85A21" w:rsidRPr="005F64AF">
        <w:rPr>
          <w:sz w:val="24"/>
          <w:szCs w:val="24"/>
        </w:rPr>
        <w:t xml:space="preserve"> consistently with national security</w:t>
      </w:r>
      <w:r w:rsidRPr="005F64AF">
        <w:rPr>
          <w:sz w:val="24"/>
          <w:szCs w:val="24"/>
        </w:rPr>
        <w:t>.</w:t>
      </w:r>
      <w:r w:rsidR="00C74CF3" w:rsidRPr="005F64AF">
        <w:rPr>
          <w:sz w:val="24"/>
          <w:szCs w:val="24"/>
        </w:rPr>
        <w:t xml:space="preserve"> </w:t>
      </w:r>
      <w:r w:rsidR="004A6904" w:rsidRPr="005F64AF">
        <w:rPr>
          <w:sz w:val="24"/>
          <w:szCs w:val="24"/>
        </w:rPr>
        <w:t xml:space="preserve">Nor did the department </w:t>
      </w:r>
      <w:r w:rsidR="00106DEC" w:rsidRPr="005F64AF">
        <w:rPr>
          <w:sz w:val="24"/>
          <w:szCs w:val="24"/>
        </w:rPr>
        <w:t xml:space="preserve">ask ASIO to consider whether any risk each complainant posed to the community could be mitigated. </w:t>
      </w:r>
    </w:p>
    <w:p w14:paraId="72597B75" w14:textId="77777777" w:rsidR="00C747D6" w:rsidRPr="005F64AF" w:rsidRDefault="00106DEC" w:rsidP="00AE7382">
      <w:pPr>
        <w:numPr>
          <w:ilvl w:val="0"/>
          <w:numId w:val="19"/>
        </w:numPr>
        <w:spacing w:before="240" w:after="240"/>
        <w:rPr>
          <w:sz w:val="24"/>
          <w:szCs w:val="24"/>
        </w:rPr>
      </w:pPr>
      <w:r w:rsidRPr="005F64AF">
        <w:rPr>
          <w:sz w:val="24"/>
          <w:szCs w:val="24"/>
        </w:rPr>
        <w:t>It may well be that there are alternatives to prolonged detention</w:t>
      </w:r>
      <w:r w:rsidR="00AE547C" w:rsidRPr="005F64AF">
        <w:rPr>
          <w:sz w:val="24"/>
          <w:szCs w:val="24"/>
        </w:rPr>
        <w:t xml:space="preserve"> in secure facilities which can </w:t>
      </w:r>
      <w:r w:rsidRPr="005F64AF">
        <w:rPr>
          <w:sz w:val="24"/>
          <w:szCs w:val="24"/>
        </w:rPr>
        <w:t xml:space="preserve">appropriately </w:t>
      </w:r>
      <w:r w:rsidR="00992E36" w:rsidRPr="005F64AF">
        <w:rPr>
          <w:sz w:val="24"/>
          <w:szCs w:val="24"/>
        </w:rPr>
        <w:t xml:space="preserve">address the risk posed by each complainant. These alternative options may include less </w:t>
      </w:r>
      <w:r w:rsidR="00150E18">
        <w:rPr>
          <w:sz w:val="24"/>
          <w:szCs w:val="24"/>
        </w:rPr>
        <w:t>restrictive</w:t>
      </w:r>
      <w:r w:rsidR="00992E36" w:rsidRPr="005F64AF">
        <w:rPr>
          <w:sz w:val="24"/>
          <w:szCs w:val="24"/>
        </w:rPr>
        <w:t xml:space="preserve"> places of </w:t>
      </w:r>
      <w:r w:rsidR="000C083C" w:rsidRPr="005F64AF">
        <w:rPr>
          <w:sz w:val="24"/>
          <w:szCs w:val="24"/>
        </w:rPr>
        <w:t>detention</w:t>
      </w:r>
      <w:r w:rsidR="00992E36" w:rsidRPr="005F64AF">
        <w:rPr>
          <w:sz w:val="24"/>
          <w:szCs w:val="24"/>
        </w:rPr>
        <w:t xml:space="preserve"> </w:t>
      </w:r>
      <w:r w:rsidR="000C083C" w:rsidRPr="005F64AF">
        <w:rPr>
          <w:sz w:val="24"/>
          <w:szCs w:val="24"/>
        </w:rPr>
        <w:t>than</w:t>
      </w:r>
      <w:r w:rsidR="00992E36" w:rsidRPr="005F64AF">
        <w:rPr>
          <w:sz w:val="24"/>
          <w:szCs w:val="24"/>
        </w:rPr>
        <w:t xml:space="preserve"> immigration detention centres as well as community detention</w:t>
      </w:r>
      <w:r w:rsidR="000C083C" w:rsidRPr="005F64AF">
        <w:rPr>
          <w:sz w:val="24"/>
          <w:szCs w:val="24"/>
        </w:rPr>
        <w:t>,</w:t>
      </w:r>
      <w:r w:rsidR="00992E36" w:rsidRPr="005F64AF">
        <w:rPr>
          <w:sz w:val="24"/>
          <w:szCs w:val="24"/>
        </w:rPr>
        <w:t xml:space="preserve"> if necessary with conditions to </w:t>
      </w:r>
      <w:r w:rsidR="000C083C" w:rsidRPr="005F64AF">
        <w:rPr>
          <w:sz w:val="24"/>
          <w:szCs w:val="24"/>
        </w:rPr>
        <w:t>mitigate any identified</w:t>
      </w:r>
      <w:r w:rsidR="006D10E0" w:rsidRPr="005F64AF">
        <w:rPr>
          <w:sz w:val="24"/>
          <w:szCs w:val="24"/>
        </w:rPr>
        <w:t xml:space="preserve"> risks. </w:t>
      </w:r>
      <w:r w:rsidR="000C083C" w:rsidRPr="005F64AF">
        <w:rPr>
          <w:sz w:val="24"/>
          <w:szCs w:val="24"/>
        </w:rPr>
        <w:t>Conditions</w:t>
      </w:r>
      <w:r w:rsidR="00992E36" w:rsidRPr="005F64AF">
        <w:rPr>
          <w:sz w:val="24"/>
          <w:szCs w:val="24"/>
        </w:rPr>
        <w:t xml:space="preserve"> could </w:t>
      </w:r>
      <w:r w:rsidR="000C083C" w:rsidRPr="005F64AF">
        <w:rPr>
          <w:sz w:val="24"/>
          <w:szCs w:val="24"/>
        </w:rPr>
        <w:t xml:space="preserve">include </w:t>
      </w:r>
      <w:r w:rsidR="00992E36" w:rsidRPr="005F64AF">
        <w:rPr>
          <w:sz w:val="24"/>
          <w:szCs w:val="24"/>
        </w:rPr>
        <w:t xml:space="preserve">a requirement to reside at a specified </w:t>
      </w:r>
      <w:r w:rsidR="000C083C" w:rsidRPr="005F64AF">
        <w:rPr>
          <w:sz w:val="24"/>
          <w:szCs w:val="24"/>
        </w:rPr>
        <w:t>location</w:t>
      </w:r>
      <w:r w:rsidR="00992E36" w:rsidRPr="005F64AF">
        <w:rPr>
          <w:sz w:val="24"/>
          <w:szCs w:val="24"/>
        </w:rPr>
        <w:t xml:space="preserve">, </w:t>
      </w:r>
      <w:r w:rsidR="000C083C" w:rsidRPr="005F64AF">
        <w:rPr>
          <w:sz w:val="24"/>
          <w:szCs w:val="24"/>
        </w:rPr>
        <w:t>curfews</w:t>
      </w:r>
      <w:r w:rsidR="00992E36" w:rsidRPr="005F64AF">
        <w:rPr>
          <w:sz w:val="24"/>
          <w:szCs w:val="24"/>
        </w:rPr>
        <w:t xml:space="preserve">, travel </w:t>
      </w:r>
      <w:r w:rsidR="000C083C" w:rsidRPr="005F64AF">
        <w:rPr>
          <w:sz w:val="24"/>
          <w:szCs w:val="24"/>
        </w:rPr>
        <w:t>restrictions, regular reporting and possibly</w:t>
      </w:r>
      <w:r w:rsidR="00950231" w:rsidRPr="005F64AF">
        <w:rPr>
          <w:sz w:val="24"/>
          <w:szCs w:val="24"/>
        </w:rPr>
        <w:t xml:space="preserve"> even electronic monitoring</w:t>
      </w:r>
      <w:r w:rsidR="00F878A9" w:rsidRPr="005F64AF">
        <w:rPr>
          <w:sz w:val="24"/>
          <w:szCs w:val="24"/>
        </w:rPr>
        <w:t>.</w:t>
      </w:r>
      <w:r w:rsidR="00EA0423">
        <w:rPr>
          <w:rStyle w:val="EndnoteReference"/>
          <w:szCs w:val="24"/>
        </w:rPr>
        <w:endnoteReference w:id="20"/>
      </w:r>
      <w:r w:rsidR="00F878A9" w:rsidRPr="005F64AF">
        <w:rPr>
          <w:sz w:val="24"/>
          <w:szCs w:val="24"/>
        </w:rPr>
        <w:t xml:space="preserve"> </w:t>
      </w:r>
    </w:p>
    <w:p w14:paraId="6DE23408" w14:textId="77777777" w:rsidR="00D0344E" w:rsidRPr="005F64AF" w:rsidRDefault="00EA0423" w:rsidP="00AE7382">
      <w:pPr>
        <w:numPr>
          <w:ilvl w:val="0"/>
          <w:numId w:val="19"/>
        </w:numPr>
        <w:spacing w:before="240" w:after="240"/>
        <w:rPr>
          <w:sz w:val="24"/>
          <w:szCs w:val="24"/>
        </w:rPr>
      </w:pPr>
      <w:r>
        <w:rPr>
          <w:sz w:val="24"/>
          <w:szCs w:val="24"/>
        </w:rPr>
        <w:lastRenderedPageBreak/>
        <w:t>I find</w:t>
      </w:r>
      <w:r w:rsidR="004E60F3" w:rsidRPr="005F64AF">
        <w:rPr>
          <w:sz w:val="24"/>
          <w:szCs w:val="24"/>
        </w:rPr>
        <w:t xml:space="preserve"> that </w:t>
      </w:r>
      <w:r w:rsidR="0048178B" w:rsidRPr="005F64AF">
        <w:rPr>
          <w:sz w:val="24"/>
          <w:szCs w:val="24"/>
        </w:rPr>
        <w:t xml:space="preserve">in failing to consider whether any risks could be mitigated, the department has </w:t>
      </w:r>
      <w:r w:rsidR="004A329C" w:rsidRPr="005F64AF">
        <w:rPr>
          <w:sz w:val="24"/>
          <w:szCs w:val="24"/>
        </w:rPr>
        <w:t xml:space="preserve">failed to assess on an individual basis whether the circumstances of each individual complainant indicated that they could be placed in less restrictive forms of detention. For the reasons given above, that failure is inconsistent with the rights protected in article 9(1) of the ICCPR. </w:t>
      </w:r>
    </w:p>
    <w:p w14:paraId="19F312EA" w14:textId="77777777" w:rsidR="002B2617" w:rsidRPr="005F64AF" w:rsidRDefault="00412893" w:rsidP="00AE7382">
      <w:pPr>
        <w:numPr>
          <w:ilvl w:val="0"/>
          <w:numId w:val="19"/>
        </w:numPr>
        <w:spacing w:before="240" w:after="240"/>
        <w:rPr>
          <w:sz w:val="24"/>
          <w:szCs w:val="24"/>
        </w:rPr>
      </w:pPr>
      <w:r>
        <w:rPr>
          <w:sz w:val="24"/>
          <w:szCs w:val="24"/>
        </w:rPr>
        <w:t>T</w:t>
      </w:r>
      <w:r w:rsidR="00A916D9" w:rsidRPr="005F64AF">
        <w:rPr>
          <w:sz w:val="24"/>
          <w:szCs w:val="24"/>
        </w:rPr>
        <w:t>he breach identified above arises from a failure adequately to consider less restrictive forms of detention or alternatives to detention taking into account the circumstances of each complainant. The Commission does not express any view as to what the outcome of any such consideration in each particular case would be.</w:t>
      </w:r>
    </w:p>
    <w:p w14:paraId="1D29662A" w14:textId="77777777" w:rsidR="000B4F58" w:rsidRPr="005F64AF" w:rsidRDefault="000B4F58" w:rsidP="00756F14">
      <w:pPr>
        <w:pStyle w:val="Heading2"/>
      </w:pPr>
      <w:bookmarkStart w:id="16" w:name="_Toc330909084"/>
      <w:bookmarkStart w:id="17" w:name="_Toc282704181"/>
      <w:r w:rsidRPr="005F64AF">
        <w:t>Third country resettlement</w:t>
      </w:r>
      <w:bookmarkEnd w:id="16"/>
      <w:bookmarkEnd w:id="17"/>
    </w:p>
    <w:p w14:paraId="584113DA" w14:textId="77777777" w:rsidR="00B0500B" w:rsidRPr="005F64AF" w:rsidRDefault="00B346F5" w:rsidP="00AE7382">
      <w:pPr>
        <w:numPr>
          <w:ilvl w:val="0"/>
          <w:numId w:val="19"/>
        </w:numPr>
        <w:spacing w:before="240" w:after="240"/>
        <w:rPr>
          <w:sz w:val="24"/>
          <w:szCs w:val="24"/>
        </w:rPr>
      </w:pPr>
      <w:r>
        <w:rPr>
          <w:sz w:val="24"/>
          <w:szCs w:val="24"/>
        </w:rPr>
        <w:t xml:space="preserve">Prior to his release in December 2013, Mr </w:t>
      </w:r>
      <w:r w:rsidR="0039144D">
        <w:rPr>
          <w:sz w:val="24"/>
          <w:szCs w:val="24"/>
        </w:rPr>
        <w:t>GA</w:t>
      </w:r>
      <w:r>
        <w:rPr>
          <w:sz w:val="24"/>
          <w:szCs w:val="24"/>
        </w:rPr>
        <w:t xml:space="preserve"> was detained in immigration deten</w:t>
      </w:r>
      <w:r w:rsidR="00FB1D13">
        <w:rPr>
          <w:sz w:val="24"/>
          <w:szCs w:val="24"/>
        </w:rPr>
        <w:t xml:space="preserve">tion for well over four years. </w:t>
      </w:r>
      <w:r w:rsidR="00B0500B" w:rsidRPr="005F64AF">
        <w:rPr>
          <w:sz w:val="24"/>
          <w:szCs w:val="24"/>
        </w:rPr>
        <w:t xml:space="preserve">All of the </w:t>
      </w:r>
      <w:r>
        <w:rPr>
          <w:sz w:val="24"/>
          <w:szCs w:val="24"/>
        </w:rPr>
        <w:t xml:space="preserve">other </w:t>
      </w:r>
      <w:r w:rsidR="00B0500B" w:rsidRPr="005F64AF">
        <w:rPr>
          <w:sz w:val="24"/>
          <w:szCs w:val="24"/>
        </w:rPr>
        <w:t xml:space="preserve">complainants in this matter </w:t>
      </w:r>
      <w:r>
        <w:rPr>
          <w:sz w:val="24"/>
          <w:szCs w:val="24"/>
        </w:rPr>
        <w:t xml:space="preserve">remain in closed detention, and </w:t>
      </w:r>
      <w:r w:rsidR="00B0500B" w:rsidRPr="005F64AF">
        <w:rPr>
          <w:sz w:val="24"/>
          <w:szCs w:val="24"/>
        </w:rPr>
        <w:t xml:space="preserve">have been detained </w:t>
      </w:r>
      <w:r>
        <w:rPr>
          <w:sz w:val="24"/>
          <w:szCs w:val="24"/>
        </w:rPr>
        <w:t xml:space="preserve">for </w:t>
      </w:r>
      <w:r w:rsidR="00B0500B" w:rsidRPr="005F64AF">
        <w:rPr>
          <w:sz w:val="24"/>
          <w:szCs w:val="24"/>
        </w:rPr>
        <w:t xml:space="preserve">over </w:t>
      </w:r>
      <w:r w:rsidR="00FB1D13">
        <w:rPr>
          <w:sz w:val="24"/>
          <w:szCs w:val="24"/>
        </w:rPr>
        <w:t>three</w:t>
      </w:r>
      <w:r w:rsidR="00B0500B" w:rsidRPr="005F64AF">
        <w:rPr>
          <w:sz w:val="24"/>
          <w:szCs w:val="24"/>
        </w:rPr>
        <w:t xml:space="preserve"> and a half years.</w:t>
      </w:r>
      <w:r w:rsidR="00EE3A4E" w:rsidRPr="005F64AF">
        <w:rPr>
          <w:sz w:val="24"/>
          <w:szCs w:val="24"/>
        </w:rPr>
        <w:t xml:space="preserve"> </w:t>
      </w:r>
      <w:r w:rsidR="00B0500B" w:rsidRPr="005F64AF">
        <w:rPr>
          <w:sz w:val="24"/>
          <w:szCs w:val="24"/>
        </w:rPr>
        <w:t xml:space="preserve">A number have been detained for </w:t>
      </w:r>
      <w:r w:rsidR="00FB1D13">
        <w:rPr>
          <w:sz w:val="24"/>
          <w:szCs w:val="24"/>
        </w:rPr>
        <w:t>almost five</w:t>
      </w:r>
      <w:r w:rsidR="00B0500B" w:rsidRPr="005F64AF">
        <w:rPr>
          <w:sz w:val="24"/>
          <w:szCs w:val="24"/>
        </w:rPr>
        <w:t xml:space="preserve"> years.</w:t>
      </w:r>
      <w:r w:rsidR="00EE3A4E" w:rsidRPr="005F64AF">
        <w:rPr>
          <w:sz w:val="24"/>
          <w:szCs w:val="24"/>
        </w:rPr>
        <w:t xml:space="preserve"> </w:t>
      </w:r>
    </w:p>
    <w:p w14:paraId="53A36DAF" w14:textId="77777777" w:rsidR="00A55D1E" w:rsidRPr="005F64AF" w:rsidRDefault="00B0500B" w:rsidP="00AE7382">
      <w:pPr>
        <w:numPr>
          <w:ilvl w:val="0"/>
          <w:numId w:val="19"/>
        </w:numPr>
        <w:spacing w:before="240" w:after="240"/>
        <w:rPr>
          <w:sz w:val="24"/>
          <w:szCs w:val="24"/>
        </w:rPr>
      </w:pPr>
      <w:r w:rsidRPr="005F64AF">
        <w:rPr>
          <w:sz w:val="24"/>
          <w:szCs w:val="24"/>
        </w:rPr>
        <w:t>The department has stated that it is exploring options to resettle the complainants in third countries.</w:t>
      </w:r>
      <w:r w:rsidR="00EE3A4E" w:rsidRPr="005F64AF">
        <w:rPr>
          <w:sz w:val="24"/>
          <w:szCs w:val="24"/>
        </w:rPr>
        <w:t xml:space="preserve"> </w:t>
      </w:r>
      <w:r w:rsidR="009C7349" w:rsidRPr="005F64AF">
        <w:rPr>
          <w:sz w:val="24"/>
          <w:szCs w:val="24"/>
        </w:rPr>
        <w:t xml:space="preserve">Where the complainants have provided details of family members in third countries, </w:t>
      </w:r>
      <w:r w:rsidR="00307DEB" w:rsidRPr="005F64AF">
        <w:rPr>
          <w:sz w:val="24"/>
          <w:szCs w:val="24"/>
        </w:rPr>
        <w:t xml:space="preserve">the department has approached those countries to </w:t>
      </w:r>
      <w:r w:rsidR="00D9231F" w:rsidRPr="005F64AF">
        <w:rPr>
          <w:sz w:val="24"/>
          <w:szCs w:val="24"/>
        </w:rPr>
        <w:t>see if they will resettle those complainants.</w:t>
      </w:r>
      <w:r w:rsidR="00C74CF3" w:rsidRPr="005F64AF">
        <w:rPr>
          <w:sz w:val="24"/>
          <w:szCs w:val="24"/>
        </w:rPr>
        <w:t xml:space="preserve"> </w:t>
      </w:r>
      <w:r w:rsidR="00A55D1E" w:rsidRPr="005F64AF">
        <w:rPr>
          <w:sz w:val="24"/>
          <w:szCs w:val="24"/>
        </w:rPr>
        <w:t xml:space="preserve">The department </w:t>
      </w:r>
      <w:r w:rsidR="00D9231F" w:rsidRPr="005F64AF">
        <w:rPr>
          <w:sz w:val="24"/>
          <w:szCs w:val="24"/>
        </w:rPr>
        <w:t xml:space="preserve">has also </w:t>
      </w:r>
      <w:r w:rsidR="00EF3929" w:rsidRPr="005F64AF">
        <w:rPr>
          <w:sz w:val="24"/>
          <w:szCs w:val="24"/>
        </w:rPr>
        <w:t xml:space="preserve">made ‘cohort approaches’ </w:t>
      </w:r>
      <w:r w:rsidR="00C329FB" w:rsidRPr="005F64AF">
        <w:rPr>
          <w:sz w:val="24"/>
          <w:szCs w:val="24"/>
        </w:rPr>
        <w:t xml:space="preserve">including all complainants </w:t>
      </w:r>
      <w:r w:rsidR="00EF3929" w:rsidRPr="005F64AF">
        <w:rPr>
          <w:sz w:val="24"/>
          <w:szCs w:val="24"/>
        </w:rPr>
        <w:t>to a</w:t>
      </w:r>
      <w:r w:rsidR="00C329FB" w:rsidRPr="005F64AF">
        <w:rPr>
          <w:sz w:val="24"/>
          <w:szCs w:val="24"/>
        </w:rPr>
        <w:t xml:space="preserve"> number of countries.</w:t>
      </w:r>
    </w:p>
    <w:p w14:paraId="3FB3A419" w14:textId="77777777" w:rsidR="00B0500B" w:rsidRPr="005F64AF" w:rsidRDefault="00B0500B" w:rsidP="00AE7382">
      <w:pPr>
        <w:numPr>
          <w:ilvl w:val="0"/>
          <w:numId w:val="19"/>
        </w:numPr>
        <w:spacing w:before="240" w:after="240"/>
        <w:rPr>
          <w:sz w:val="24"/>
          <w:szCs w:val="24"/>
        </w:rPr>
      </w:pPr>
      <w:r w:rsidRPr="005F64AF">
        <w:rPr>
          <w:sz w:val="24"/>
          <w:szCs w:val="24"/>
        </w:rPr>
        <w:t xml:space="preserve">Mr </w:t>
      </w:r>
      <w:r w:rsidR="0039144D">
        <w:rPr>
          <w:sz w:val="24"/>
          <w:szCs w:val="24"/>
        </w:rPr>
        <w:t>GC</w:t>
      </w:r>
      <w:r w:rsidRPr="005F64AF">
        <w:rPr>
          <w:sz w:val="24"/>
          <w:szCs w:val="24"/>
        </w:rPr>
        <w:t xml:space="preserve"> provided details of a relative in a third country, however that country has refused to resettle him.</w:t>
      </w:r>
      <w:r w:rsidR="00EE3A4E" w:rsidRPr="005F64AF">
        <w:rPr>
          <w:sz w:val="24"/>
          <w:szCs w:val="24"/>
        </w:rPr>
        <w:t xml:space="preserve"> </w:t>
      </w:r>
    </w:p>
    <w:p w14:paraId="69AB1E88" w14:textId="77777777" w:rsidR="00B0500B" w:rsidRPr="005F64AF" w:rsidRDefault="00CE7DC6" w:rsidP="00AE7382">
      <w:pPr>
        <w:numPr>
          <w:ilvl w:val="0"/>
          <w:numId w:val="19"/>
        </w:numPr>
        <w:spacing w:before="240" w:after="240"/>
        <w:rPr>
          <w:sz w:val="24"/>
          <w:szCs w:val="24"/>
        </w:rPr>
      </w:pPr>
      <w:r w:rsidRPr="005F64AF">
        <w:rPr>
          <w:sz w:val="24"/>
          <w:szCs w:val="24"/>
        </w:rPr>
        <w:t xml:space="preserve">My </w:t>
      </w:r>
      <w:r w:rsidR="00325A2C" w:rsidRPr="00325A2C">
        <w:rPr>
          <w:sz w:val="24"/>
          <w:szCs w:val="24"/>
        </w:rPr>
        <w:t xml:space="preserve">Subramaniyam </w:t>
      </w:r>
      <w:r w:rsidRPr="005F64AF">
        <w:rPr>
          <w:sz w:val="24"/>
          <w:szCs w:val="24"/>
        </w:rPr>
        <w:t>has also provided details of a relative in a third country.</w:t>
      </w:r>
      <w:r w:rsidR="00EE3A4E" w:rsidRPr="005F64AF">
        <w:rPr>
          <w:sz w:val="24"/>
          <w:szCs w:val="24"/>
        </w:rPr>
        <w:t xml:space="preserve"> </w:t>
      </w:r>
      <w:r w:rsidRPr="005F64AF">
        <w:rPr>
          <w:sz w:val="24"/>
          <w:szCs w:val="24"/>
        </w:rPr>
        <w:t>The department has approached that country asking if it is willing to resettle Mr</w:t>
      </w:r>
      <w:r w:rsidR="00A751B7">
        <w:rPr>
          <w:sz w:val="24"/>
          <w:szCs w:val="24"/>
        </w:rPr>
        <w:t> </w:t>
      </w:r>
      <w:r w:rsidR="00325A2C" w:rsidRPr="00325A2C">
        <w:rPr>
          <w:sz w:val="24"/>
          <w:szCs w:val="24"/>
        </w:rPr>
        <w:t>Subramaniyam</w:t>
      </w:r>
      <w:r w:rsidRPr="005F64AF">
        <w:rPr>
          <w:sz w:val="24"/>
          <w:szCs w:val="24"/>
        </w:rPr>
        <w:t>.</w:t>
      </w:r>
      <w:r w:rsidR="00EE3A4E" w:rsidRPr="005F64AF">
        <w:rPr>
          <w:sz w:val="24"/>
          <w:szCs w:val="24"/>
        </w:rPr>
        <w:t xml:space="preserve"> </w:t>
      </w:r>
      <w:r w:rsidR="003902F8" w:rsidRPr="003902F8">
        <w:rPr>
          <w:sz w:val="24"/>
          <w:szCs w:val="24"/>
        </w:rPr>
        <w:t>On</w:t>
      </w:r>
      <w:r w:rsidR="007423D4" w:rsidRPr="003902F8">
        <w:rPr>
          <w:sz w:val="24"/>
          <w:szCs w:val="24"/>
        </w:rPr>
        <w:t>19 December 2012</w:t>
      </w:r>
      <w:r w:rsidR="003902F8" w:rsidRPr="003902F8">
        <w:rPr>
          <w:sz w:val="24"/>
          <w:szCs w:val="24"/>
        </w:rPr>
        <w:t xml:space="preserve">, in </w:t>
      </w:r>
      <w:r w:rsidR="003902F8">
        <w:rPr>
          <w:sz w:val="24"/>
          <w:szCs w:val="24"/>
        </w:rPr>
        <w:t>the</w:t>
      </w:r>
      <w:r w:rsidR="003902F8" w:rsidRPr="003902F8">
        <w:rPr>
          <w:sz w:val="24"/>
          <w:szCs w:val="24"/>
        </w:rPr>
        <w:t xml:space="preserve"> last update </w:t>
      </w:r>
      <w:r w:rsidR="003902F8">
        <w:rPr>
          <w:sz w:val="24"/>
          <w:szCs w:val="24"/>
        </w:rPr>
        <w:t xml:space="preserve">it has provided </w:t>
      </w:r>
      <w:r w:rsidR="003902F8" w:rsidRPr="003902F8">
        <w:rPr>
          <w:sz w:val="24"/>
          <w:szCs w:val="24"/>
        </w:rPr>
        <w:t xml:space="preserve">on this issue, </w:t>
      </w:r>
      <w:r w:rsidR="00DE289B" w:rsidRPr="003902F8">
        <w:rPr>
          <w:sz w:val="24"/>
          <w:szCs w:val="24"/>
        </w:rPr>
        <w:t>the department</w:t>
      </w:r>
      <w:r w:rsidRPr="003902F8">
        <w:rPr>
          <w:sz w:val="24"/>
          <w:szCs w:val="24"/>
        </w:rPr>
        <w:t xml:space="preserve"> </w:t>
      </w:r>
      <w:r w:rsidR="00C329FB" w:rsidRPr="003902F8">
        <w:rPr>
          <w:sz w:val="24"/>
          <w:szCs w:val="24"/>
        </w:rPr>
        <w:t>informed me</w:t>
      </w:r>
      <w:r w:rsidRPr="003902F8">
        <w:rPr>
          <w:sz w:val="24"/>
          <w:szCs w:val="24"/>
        </w:rPr>
        <w:t xml:space="preserve"> that it </w:t>
      </w:r>
      <w:r w:rsidR="00DE289B" w:rsidRPr="003902F8">
        <w:rPr>
          <w:sz w:val="24"/>
          <w:szCs w:val="24"/>
        </w:rPr>
        <w:t>was</w:t>
      </w:r>
      <w:r w:rsidRPr="003902F8">
        <w:rPr>
          <w:sz w:val="24"/>
          <w:szCs w:val="24"/>
        </w:rPr>
        <w:t xml:space="preserve"> </w:t>
      </w:r>
      <w:r w:rsidR="003902F8" w:rsidRPr="003902F8">
        <w:rPr>
          <w:sz w:val="24"/>
          <w:szCs w:val="24"/>
        </w:rPr>
        <w:t xml:space="preserve">still </w:t>
      </w:r>
      <w:r w:rsidRPr="003902F8">
        <w:rPr>
          <w:sz w:val="24"/>
          <w:szCs w:val="24"/>
        </w:rPr>
        <w:t>waiting for a response.</w:t>
      </w:r>
      <w:r w:rsidRPr="005F64AF">
        <w:rPr>
          <w:sz w:val="24"/>
          <w:szCs w:val="24"/>
        </w:rPr>
        <w:t xml:space="preserve"> </w:t>
      </w:r>
    </w:p>
    <w:p w14:paraId="64BF443C" w14:textId="77777777" w:rsidR="00CE7DC6" w:rsidRPr="005F64AF" w:rsidRDefault="00CE7DC6" w:rsidP="00AE7382">
      <w:pPr>
        <w:numPr>
          <w:ilvl w:val="0"/>
          <w:numId w:val="19"/>
        </w:numPr>
        <w:spacing w:before="240" w:after="240"/>
        <w:rPr>
          <w:sz w:val="24"/>
          <w:szCs w:val="24"/>
        </w:rPr>
      </w:pPr>
      <w:r w:rsidRPr="005F64AF">
        <w:rPr>
          <w:sz w:val="24"/>
          <w:szCs w:val="24"/>
        </w:rPr>
        <w:t xml:space="preserve">It appears that the only prospect of resettlement for all </w:t>
      </w:r>
      <w:r w:rsidR="00D9700B" w:rsidRPr="005F64AF">
        <w:rPr>
          <w:sz w:val="24"/>
          <w:szCs w:val="24"/>
        </w:rPr>
        <w:t>complainants</w:t>
      </w:r>
      <w:r w:rsidRPr="005F64AF">
        <w:rPr>
          <w:sz w:val="24"/>
          <w:szCs w:val="24"/>
        </w:rPr>
        <w:t xml:space="preserve"> </w:t>
      </w:r>
      <w:r w:rsidR="00C329FB" w:rsidRPr="005F64AF">
        <w:rPr>
          <w:sz w:val="24"/>
          <w:szCs w:val="24"/>
        </w:rPr>
        <w:t>(</w:t>
      </w:r>
      <w:r w:rsidRPr="005F64AF">
        <w:rPr>
          <w:sz w:val="24"/>
          <w:szCs w:val="24"/>
        </w:rPr>
        <w:t>except</w:t>
      </w:r>
      <w:r w:rsidR="00C329FB" w:rsidRPr="005F64AF">
        <w:rPr>
          <w:sz w:val="24"/>
          <w:szCs w:val="24"/>
        </w:rPr>
        <w:t>, possibly,</w:t>
      </w:r>
      <w:r w:rsidR="007B49B0" w:rsidRPr="005F64AF">
        <w:rPr>
          <w:sz w:val="24"/>
          <w:szCs w:val="24"/>
        </w:rPr>
        <w:t xml:space="preserve"> Mr</w:t>
      </w:r>
      <w:r w:rsidR="00C329FB" w:rsidRPr="005F64AF">
        <w:rPr>
          <w:sz w:val="24"/>
          <w:szCs w:val="24"/>
        </w:rPr>
        <w:t xml:space="preserve"> </w:t>
      </w:r>
      <w:r w:rsidR="00325A2C" w:rsidRPr="00325A2C">
        <w:rPr>
          <w:sz w:val="24"/>
          <w:szCs w:val="24"/>
        </w:rPr>
        <w:t>Subramaniyam</w:t>
      </w:r>
      <w:r w:rsidR="00C329FB" w:rsidRPr="005F64AF">
        <w:rPr>
          <w:sz w:val="24"/>
          <w:szCs w:val="24"/>
        </w:rPr>
        <w:t>)</w:t>
      </w:r>
      <w:r w:rsidR="00D9700B" w:rsidRPr="005F64AF">
        <w:rPr>
          <w:sz w:val="24"/>
          <w:szCs w:val="24"/>
        </w:rPr>
        <w:t xml:space="preserve"> is through the department’s</w:t>
      </w:r>
      <w:r w:rsidR="007B49B0" w:rsidRPr="005F64AF">
        <w:rPr>
          <w:sz w:val="24"/>
          <w:szCs w:val="24"/>
        </w:rPr>
        <w:t xml:space="preserve"> ‘cohort approaches’ to third countries.</w:t>
      </w:r>
      <w:r w:rsidR="00EE3A4E" w:rsidRPr="005F64AF">
        <w:rPr>
          <w:sz w:val="24"/>
          <w:szCs w:val="24"/>
        </w:rPr>
        <w:t xml:space="preserve"> </w:t>
      </w:r>
      <w:r w:rsidR="00823174" w:rsidRPr="005F64AF">
        <w:rPr>
          <w:sz w:val="24"/>
          <w:szCs w:val="24"/>
        </w:rPr>
        <w:t>T</w:t>
      </w:r>
      <w:r w:rsidR="007B49B0" w:rsidRPr="005F64AF">
        <w:rPr>
          <w:sz w:val="24"/>
          <w:szCs w:val="24"/>
        </w:rPr>
        <w:t xml:space="preserve">he department does not have ‘high expectations’ that </w:t>
      </w:r>
      <w:r w:rsidR="00EF3929" w:rsidRPr="005F64AF">
        <w:rPr>
          <w:sz w:val="24"/>
          <w:szCs w:val="24"/>
        </w:rPr>
        <w:t>this will lead to resettlement.</w:t>
      </w:r>
      <w:r w:rsidR="00C74CF3" w:rsidRPr="005F64AF">
        <w:rPr>
          <w:sz w:val="24"/>
          <w:szCs w:val="24"/>
        </w:rPr>
        <w:t xml:space="preserve"> </w:t>
      </w:r>
      <w:r w:rsidR="00823174" w:rsidRPr="005F64AF">
        <w:rPr>
          <w:sz w:val="24"/>
          <w:szCs w:val="24"/>
        </w:rPr>
        <w:t>It appears</w:t>
      </w:r>
      <w:r w:rsidR="007B49B0" w:rsidRPr="005F64AF">
        <w:rPr>
          <w:sz w:val="24"/>
          <w:szCs w:val="24"/>
        </w:rPr>
        <w:t xml:space="preserve"> that a number of the countries approached </w:t>
      </w:r>
      <w:r w:rsidR="00666B74" w:rsidRPr="005F64AF">
        <w:rPr>
          <w:sz w:val="24"/>
          <w:szCs w:val="24"/>
        </w:rPr>
        <w:t xml:space="preserve">by the department </w:t>
      </w:r>
      <w:r w:rsidR="007B49B0" w:rsidRPr="005F64AF">
        <w:rPr>
          <w:sz w:val="24"/>
          <w:szCs w:val="24"/>
        </w:rPr>
        <w:t xml:space="preserve">have already indicated that they will not </w:t>
      </w:r>
      <w:r w:rsidR="00666B74" w:rsidRPr="005F64AF">
        <w:rPr>
          <w:sz w:val="24"/>
          <w:szCs w:val="24"/>
        </w:rPr>
        <w:t>accept the complainants.</w:t>
      </w:r>
      <w:r w:rsidR="00C74CF3" w:rsidRPr="005F64AF">
        <w:rPr>
          <w:sz w:val="24"/>
          <w:szCs w:val="24"/>
        </w:rPr>
        <w:t xml:space="preserve"> </w:t>
      </w:r>
    </w:p>
    <w:p w14:paraId="18A9A32B" w14:textId="77777777" w:rsidR="00666B74" w:rsidRDefault="009A5697" w:rsidP="00AE7382">
      <w:pPr>
        <w:numPr>
          <w:ilvl w:val="0"/>
          <w:numId w:val="19"/>
        </w:numPr>
        <w:spacing w:before="240" w:after="240"/>
        <w:rPr>
          <w:sz w:val="24"/>
          <w:szCs w:val="24"/>
        </w:rPr>
      </w:pPr>
      <w:r>
        <w:rPr>
          <w:sz w:val="24"/>
          <w:szCs w:val="24"/>
        </w:rPr>
        <w:t xml:space="preserve">In my preliminary view dated 24 September 2013, </w:t>
      </w:r>
      <w:r w:rsidR="007B49B0" w:rsidRPr="005F64AF">
        <w:rPr>
          <w:sz w:val="24"/>
          <w:szCs w:val="24"/>
        </w:rPr>
        <w:t>I invite</w:t>
      </w:r>
      <w:r>
        <w:rPr>
          <w:sz w:val="24"/>
          <w:szCs w:val="24"/>
        </w:rPr>
        <w:t>d</w:t>
      </w:r>
      <w:r w:rsidR="007B49B0" w:rsidRPr="005F64AF">
        <w:rPr>
          <w:sz w:val="24"/>
          <w:szCs w:val="24"/>
        </w:rPr>
        <w:t xml:space="preserve"> the department to provide an update about the progress of its cohort approaches in relation to the </w:t>
      </w:r>
      <w:r w:rsidR="00D9700B" w:rsidRPr="005F64AF">
        <w:rPr>
          <w:sz w:val="24"/>
          <w:szCs w:val="24"/>
        </w:rPr>
        <w:t>complainants</w:t>
      </w:r>
      <w:r w:rsidR="00AF1034" w:rsidRPr="005F64AF">
        <w:rPr>
          <w:sz w:val="24"/>
          <w:szCs w:val="24"/>
        </w:rPr>
        <w:t xml:space="preserve">, and in particular, provide an updated list of which third countries have indicated that they will not consider resettling the complainants </w:t>
      </w:r>
      <w:r w:rsidR="00C329FB" w:rsidRPr="005F64AF">
        <w:rPr>
          <w:sz w:val="24"/>
          <w:szCs w:val="24"/>
        </w:rPr>
        <w:t>(</w:t>
      </w:r>
      <w:r w:rsidR="00AF1034" w:rsidRPr="005F64AF">
        <w:rPr>
          <w:sz w:val="24"/>
          <w:szCs w:val="24"/>
        </w:rPr>
        <w:t>or those in the position of the complainants</w:t>
      </w:r>
      <w:r w:rsidR="00C329FB" w:rsidRPr="005F64AF">
        <w:rPr>
          <w:sz w:val="24"/>
          <w:szCs w:val="24"/>
        </w:rPr>
        <w:t>)</w:t>
      </w:r>
      <w:r w:rsidR="00AF1034" w:rsidRPr="005F64AF">
        <w:rPr>
          <w:sz w:val="24"/>
          <w:szCs w:val="24"/>
        </w:rPr>
        <w:t>, and which third countries the department has approac</w:t>
      </w:r>
      <w:r w:rsidR="00C329FB" w:rsidRPr="005F64AF">
        <w:rPr>
          <w:sz w:val="24"/>
          <w:szCs w:val="24"/>
        </w:rPr>
        <w:t>hed that are still considering the request.</w:t>
      </w:r>
      <w:r>
        <w:rPr>
          <w:sz w:val="24"/>
          <w:szCs w:val="24"/>
        </w:rPr>
        <w:t xml:space="preserve"> </w:t>
      </w:r>
      <w:r w:rsidR="00666B74" w:rsidRPr="009A5697">
        <w:rPr>
          <w:sz w:val="24"/>
          <w:szCs w:val="24"/>
        </w:rPr>
        <w:t>I further invite</w:t>
      </w:r>
      <w:r w:rsidRPr="009A5697">
        <w:rPr>
          <w:sz w:val="24"/>
          <w:szCs w:val="24"/>
        </w:rPr>
        <w:t>d</w:t>
      </w:r>
      <w:r w:rsidR="00666B74" w:rsidRPr="009A5697">
        <w:rPr>
          <w:sz w:val="24"/>
          <w:szCs w:val="24"/>
        </w:rPr>
        <w:t xml:space="preserve"> the department to provide an update about the family reunion request made to a third country on behalf of Mr </w:t>
      </w:r>
      <w:r w:rsidR="00325A2C" w:rsidRPr="009A5697">
        <w:rPr>
          <w:sz w:val="24"/>
          <w:szCs w:val="24"/>
        </w:rPr>
        <w:t>Subramaniyam</w:t>
      </w:r>
      <w:r w:rsidR="00666B74" w:rsidRPr="009A5697">
        <w:rPr>
          <w:sz w:val="24"/>
          <w:szCs w:val="24"/>
        </w:rPr>
        <w:t>.</w:t>
      </w:r>
      <w:r w:rsidR="00C74CF3" w:rsidRPr="009A5697">
        <w:rPr>
          <w:sz w:val="24"/>
          <w:szCs w:val="24"/>
        </w:rPr>
        <w:t xml:space="preserve"> </w:t>
      </w:r>
      <w:r>
        <w:rPr>
          <w:sz w:val="24"/>
          <w:szCs w:val="24"/>
        </w:rPr>
        <w:t xml:space="preserve">I have to date received no response to these requests. </w:t>
      </w:r>
    </w:p>
    <w:p w14:paraId="3EE55547" w14:textId="77777777" w:rsidR="001A2619" w:rsidRPr="001A2619" w:rsidRDefault="009A5697" w:rsidP="00AE7382">
      <w:pPr>
        <w:numPr>
          <w:ilvl w:val="0"/>
          <w:numId w:val="19"/>
        </w:numPr>
        <w:spacing w:before="240" w:after="240"/>
        <w:rPr>
          <w:sz w:val="24"/>
          <w:szCs w:val="24"/>
        </w:rPr>
      </w:pPr>
      <w:r>
        <w:rPr>
          <w:sz w:val="24"/>
          <w:szCs w:val="24"/>
        </w:rPr>
        <w:lastRenderedPageBreak/>
        <w:t xml:space="preserve">I am concerned about the time it has taken to </w:t>
      </w:r>
      <w:r w:rsidR="009D4814">
        <w:rPr>
          <w:sz w:val="24"/>
          <w:szCs w:val="24"/>
        </w:rPr>
        <w:t xml:space="preserve">find a durable alternative to detention for people with adverse security assessments. I note the lack of progress and prospects of the third country resettlement approaches. </w:t>
      </w:r>
      <w:r w:rsidR="001A2619">
        <w:rPr>
          <w:sz w:val="24"/>
          <w:szCs w:val="24"/>
        </w:rPr>
        <w:t xml:space="preserve">This situation places even greater emphasis on the need to find domestic solutions. </w:t>
      </w:r>
      <w:r w:rsidR="00B03F5E">
        <w:rPr>
          <w:sz w:val="24"/>
          <w:szCs w:val="24"/>
        </w:rPr>
        <w:t xml:space="preserve">I and the former President of </w:t>
      </w:r>
      <w:r w:rsidR="00A751B7">
        <w:rPr>
          <w:sz w:val="24"/>
          <w:szCs w:val="24"/>
        </w:rPr>
        <w:t xml:space="preserve">the Commission have expressed </w:t>
      </w:r>
      <w:r w:rsidR="00B03F5E">
        <w:rPr>
          <w:sz w:val="24"/>
          <w:szCs w:val="24"/>
        </w:rPr>
        <w:t>similar concerns about the complainants the subject of reports [2012]</w:t>
      </w:r>
      <w:r w:rsidR="001A2619">
        <w:rPr>
          <w:sz w:val="24"/>
          <w:szCs w:val="24"/>
        </w:rPr>
        <w:t xml:space="preserve"> AusHRC </w:t>
      </w:r>
      <w:r w:rsidR="00B1478E">
        <w:rPr>
          <w:sz w:val="24"/>
          <w:szCs w:val="24"/>
        </w:rPr>
        <w:t xml:space="preserve">56 </w:t>
      </w:r>
      <w:r w:rsidR="001A2619">
        <w:rPr>
          <w:sz w:val="24"/>
          <w:szCs w:val="24"/>
        </w:rPr>
        <w:t xml:space="preserve">and [2013] AusHRC 64. </w:t>
      </w:r>
    </w:p>
    <w:p w14:paraId="7F056885" w14:textId="77777777" w:rsidR="00E117AD" w:rsidRPr="005F64AF" w:rsidRDefault="00B21CA9" w:rsidP="007409AD">
      <w:pPr>
        <w:pStyle w:val="Heading1"/>
      </w:pPr>
      <w:bookmarkStart w:id="18" w:name="_Toc282704182"/>
      <w:r w:rsidRPr="005F64AF">
        <w:t>A</w:t>
      </w:r>
      <w:r w:rsidR="00E117AD" w:rsidRPr="005F64AF">
        <w:t>rticle</w:t>
      </w:r>
      <w:r w:rsidR="00F102A0" w:rsidRPr="005F64AF">
        <w:t>s 17(1) and 23(1)</w:t>
      </w:r>
      <w:r w:rsidR="00E117AD" w:rsidRPr="005F64AF">
        <w:t xml:space="preserve"> </w:t>
      </w:r>
      <w:r w:rsidR="00387BA0" w:rsidRPr="005F64AF">
        <w:t>of the ICCPR</w:t>
      </w:r>
      <w:r w:rsidRPr="005F64AF">
        <w:t xml:space="preserve"> – complaint </w:t>
      </w:r>
      <w:r w:rsidR="00387BA0" w:rsidRPr="005F64AF">
        <w:t xml:space="preserve">by </w:t>
      </w:r>
      <w:r w:rsidR="00CA5127" w:rsidRPr="005F64AF">
        <w:t>M</w:t>
      </w:r>
      <w:r w:rsidR="00F102A0" w:rsidRPr="005F64AF">
        <w:t>r</w:t>
      </w:r>
      <w:r w:rsidR="00CA5127" w:rsidRPr="005F64AF">
        <w:t xml:space="preserve"> </w:t>
      </w:r>
      <w:r w:rsidR="00613950">
        <w:t>GE</w:t>
      </w:r>
      <w:bookmarkEnd w:id="18"/>
    </w:p>
    <w:p w14:paraId="0D87AD75" w14:textId="77777777" w:rsidR="00B21CA9" w:rsidRPr="005F64AF" w:rsidRDefault="00B21CA9" w:rsidP="00AE7382">
      <w:pPr>
        <w:numPr>
          <w:ilvl w:val="0"/>
          <w:numId w:val="19"/>
        </w:numPr>
        <w:spacing w:before="240" w:after="240"/>
        <w:rPr>
          <w:sz w:val="24"/>
          <w:szCs w:val="24"/>
        </w:rPr>
      </w:pPr>
      <w:bookmarkStart w:id="19" w:name="_Toc359421683"/>
      <w:r w:rsidRPr="005F64AF">
        <w:rPr>
          <w:sz w:val="24"/>
          <w:szCs w:val="24"/>
        </w:rPr>
        <w:t xml:space="preserve">Mr </w:t>
      </w:r>
      <w:r w:rsidR="00613950">
        <w:rPr>
          <w:sz w:val="24"/>
          <w:szCs w:val="24"/>
        </w:rPr>
        <w:t>GE</w:t>
      </w:r>
      <w:r w:rsidRPr="005F64AF">
        <w:rPr>
          <w:sz w:val="24"/>
          <w:szCs w:val="24"/>
        </w:rPr>
        <w:t xml:space="preserve"> has complained that </w:t>
      </w:r>
      <w:r w:rsidR="00643766" w:rsidRPr="005F64AF">
        <w:rPr>
          <w:sz w:val="24"/>
          <w:szCs w:val="24"/>
        </w:rPr>
        <w:t xml:space="preserve">the location of </w:t>
      </w:r>
      <w:r w:rsidRPr="005F64AF">
        <w:rPr>
          <w:sz w:val="24"/>
          <w:szCs w:val="24"/>
        </w:rPr>
        <w:t xml:space="preserve">his detention has </w:t>
      </w:r>
      <w:r w:rsidR="00A34999" w:rsidRPr="005F64AF">
        <w:rPr>
          <w:sz w:val="24"/>
          <w:szCs w:val="24"/>
        </w:rPr>
        <w:t>interfered</w:t>
      </w:r>
      <w:r w:rsidRPr="005F64AF">
        <w:rPr>
          <w:sz w:val="24"/>
          <w:szCs w:val="24"/>
        </w:rPr>
        <w:t xml:space="preserve"> with his </w:t>
      </w:r>
      <w:r w:rsidR="007D0F01" w:rsidRPr="005F64AF">
        <w:rPr>
          <w:sz w:val="24"/>
          <w:szCs w:val="24"/>
        </w:rPr>
        <w:t xml:space="preserve">relationship with his brother. </w:t>
      </w:r>
    </w:p>
    <w:bookmarkEnd w:id="19"/>
    <w:p w14:paraId="29160DCA" w14:textId="77777777" w:rsidR="00E72758" w:rsidRPr="005F64AF" w:rsidRDefault="00E72758" w:rsidP="00AE7382">
      <w:pPr>
        <w:numPr>
          <w:ilvl w:val="0"/>
          <w:numId w:val="19"/>
        </w:numPr>
        <w:spacing w:before="240" w:after="240"/>
        <w:rPr>
          <w:sz w:val="24"/>
          <w:szCs w:val="24"/>
        </w:rPr>
      </w:pPr>
      <w:r w:rsidRPr="005F64AF">
        <w:rPr>
          <w:sz w:val="24"/>
          <w:szCs w:val="24"/>
        </w:rPr>
        <w:t>Article 17(1) of the ICCPR states:</w:t>
      </w:r>
    </w:p>
    <w:p w14:paraId="4E1BBF45" w14:textId="77777777" w:rsidR="00E72758" w:rsidRPr="005F64AF" w:rsidRDefault="00E72758" w:rsidP="00E72758">
      <w:pPr>
        <w:spacing w:before="40"/>
        <w:ind w:left="1080"/>
        <w:jc w:val="both"/>
        <w:rPr>
          <w:sz w:val="22"/>
          <w:szCs w:val="22"/>
        </w:rPr>
      </w:pPr>
      <w:r w:rsidRPr="005F64AF">
        <w:rPr>
          <w:sz w:val="22"/>
          <w:szCs w:val="22"/>
        </w:rPr>
        <w:t xml:space="preserve">No one shall be subjected to arbitrary or unlawful interference with his privacy, family, home or correspondence, nor to unlawful attacks on his honour and reputation. </w:t>
      </w:r>
    </w:p>
    <w:p w14:paraId="19859F72" w14:textId="77777777" w:rsidR="00E72758" w:rsidRPr="005F64AF" w:rsidRDefault="00E72758" w:rsidP="00AE7382">
      <w:pPr>
        <w:numPr>
          <w:ilvl w:val="0"/>
          <w:numId w:val="19"/>
        </w:numPr>
        <w:spacing w:before="240" w:after="240"/>
        <w:rPr>
          <w:sz w:val="24"/>
          <w:szCs w:val="24"/>
        </w:rPr>
      </w:pPr>
      <w:r w:rsidRPr="005F64AF">
        <w:rPr>
          <w:sz w:val="24"/>
          <w:szCs w:val="24"/>
        </w:rPr>
        <w:t>Article 23(1) of the ICCPR states:</w:t>
      </w:r>
    </w:p>
    <w:p w14:paraId="3642A90A" w14:textId="77777777" w:rsidR="00E72758" w:rsidRPr="005F64AF" w:rsidRDefault="00E72758" w:rsidP="00E72758">
      <w:pPr>
        <w:ind w:left="1080"/>
        <w:jc w:val="both"/>
        <w:rPr>
          <w:sz w:val="22"/>
          <w:szCs w:val="22"/>
        </w:rPr>
      </w:pPr>
      <w:r w:rsidRPr="005F64AF">
        <w:rPr>
          <w:sz w:val="22"/>
          <w:szCs w:val="22"/>
        </w:rPr>
        <w:t xml:space="preserve">The family is the natural and fundamental group unit of society and is entitled to protection by society and the State. </w:t>
      </w:r>
    </w:p>
    <w:p w14:paraId="365BA931" w14:textId="77777777" w:rsidR="00E72758" w:rsidRPr="005F64AF" w:rsidRDefault="00E72758" w:rsidP="00AE7382">
      <w:pPr>
        <w:numPr>
          <w:ilvl w:val="0"/>
          <w:numId w:val="19"/>
        </w:numPr>
        <w:spacing w:before="240" w:after="240"/>
        <w:rPr>
          <w:sz w:val="24"/>
          <w:szCs w:val="24"/>
        </w:rPr>
      </w:pPr>
      <w:r w:rsidRPr="005F64AF">
        <w:rPr>
          <w:sz w:val="24"/>
          <w:szCs w:val="24"/>
        </w:rPr>
        <w:t>Professor Manfred Nowak states that ‘since life together is an essential criterion for the existence of a family, members of a family are entitled to a stronger right to live together than other persons.’</w:t>
      </w:r>
      <w:r w:rsidRPr="005F64AF">
        <w:rPr>
          <w:rStyle w:val="EndnoteReference"/>
          <w:szCs w:val="24"/>
        </w:rPr>
        <w:endnoteReference w:id="21"/>
      </w:r>
    </w:p>
    <w:p w14:paraId="75769E5B" w14:textId="77777777" w:rsidR="00E72758" w:rsidRPr="005F64AF" w:rsidRDefault="00E72758" w:rsidP="00AE7382">
      <w:pPr>
        <w:numPr>
          <w:ilvl w:val="0"/>
          <w:numId w:val="19"/>
        </w:numPr>
        <w:spacing w:before="240" w:after="240"/>
        <w:rPr>
          <w:sz w:val="24"/>
          <w:szCs w:val="24"/>
        </w:rPr>
      </w:pPr>
      <w:r w:rsidRPr="005F64AF">
        <w:rPr>
          <w:sz w:val="24"/>
          <w:szCs w:val="24"/>
        </w:rPr>
        <w:t>For the</w:t>
      </w:r>
      <w:r w:rsidR="00906EBD" w:rsidRPr="005F64AF">
        <w:rPr>
          <w:sz w:val="24"/>
          <w:szCs w:val="24"/>
        </w:rPr>
        <w:t xml:space="preserve"> reasons set out in Commission r</w:t>
      </w:r>
      <w:r w:rsidRPr="005F64AF">
        <w:rPr>
          <w:sz w:val="24"/>
          <w:szCs w:val="24"/>
        </w:rPr>
        <w:t xml:space="preserve">eport </w:t>
      </w:r>
      <w:r w:rsidR="00906EBD" w:rsidRPr="005F64AF">
        <w:rPr>
          <w:sz w:val="24"/>
          <w:szCs w:val="24"/>
        </w:rPr>
        <w:t>[2008] AusHRC 39</w:t>
      </w:r>
      <w:r w:rsidR="00BF18A8">
        <w:rPr>
          <w:sz w:val="24"/>
          <w:szCs w:val="24"/>
        </w:rPr>
        <w:t>,</w:t>
      </w:r>
      <w:r w:rsidRPr="005F64AF">
        <w:rPr>
          <w:rStyle w:val="EndnoteReference"/>
          <w:szCs w:val="24"/>
        </w:rPr>
        <w:endnoteReference w:id="22"/>
      </w:r>
      <w:r w:rsidRPr="005F64AF">
        <w:rPr>
          <w:sz w:val="24"/>
          <w:szCs w:val="24"/>
        </w:rPr>
        <w:t xml:space="preserve"> the Commission is of the view that in cases alleging a State’s arbitrary interference with a person’s family, it is appropriate to assess the alleged breach under article 17(1). If an act is assessed as breaching the right not to be subjected to an arbitrary interference with a person’s family, it will usually follow that that breach is in addition to (or in conjunction with) a breach of article 23(1).</w:t>
      </w:r>
    </w:p>
    <w:p w14:paraId="62A5F5ED" w14:textId="77777777" w:rsidR="00E72758" w:rsidRPr="005F64AF" w:rsidRDefault="00E72758" w:rsidP="00AE7382">
      <w:pPr>
        <w:numPr>
          <w:ilvl w:val="0"/>
          <w:numId w:val="19"/>
        </w:numPr>
        <w:spacing w:before="240" w:after="240"/>
        <w:rPr>
          <w:sz w:val="24"/>
          <w:szCs w:val="24"/>
        </w:rPr>
      </w:pPr>
      <w:r w:rsidRPr="005F64AF">
        <w:rPr>
          <w:sz w:val="24"/>
          <w:szCs w:val="24"/>
        </w:rPr>
        <w:t xml:space="preserve">In its General Comment on Article 17, the </w:t>
      </w:r>
      <w:r w:rsidR="00A673D4" w:rsidRPr="005F64AF">
        <w:rPr>
          <w:sz w:val="24"/>
          <w:szCs w:val="24"/>
        </w:rPr>
        <w:t xml:space="preserve">UN Human </w:t>
      </w:r>
      <w:r w:rsidR="008364D7" w:rsidRPr="005F64AF">
        <w:rPr>
          <w:sz w:val="24"/>
          <w:szCs w:val="24"/>
        </w:rPr>
        <w:t>R</w:t>
      </w:r>
      <w:r w:rsidR="00A673D4" w:rsidRPr="005F64AF">
        <w:rPr>
          <w:sz w:val="24"/>
          <w:szCs w:val="24"/>
        </w:rPr>
        <w:t>ights Committee</w:t>
      </w:r>
      <w:r w:rsidRPr="005F64AF">
        <w:rPr>
          <w:sz w:val="24"/>
          <w:szCs w:val="24"/>
        </w:rPr>
        <w:t xml:space="preserve"> confirmed that a lawful interference with a person’s family may nevertheless be arbitrary, unless it is in accordance with the provisions, aims and objectives of the Covenant and is reasonable in the particular circumstances.</w:t>
      </w:r>
      <w:r w:rsidRPr="005F64AF">
        <w:rPr>
          <w:rStyle w:val="EndnoteReference"/>
          <w:szCs w:val="24"/>
        </w:rPr>
        <w:endnoteReference w:id="23"/>
      </w:r>
    </w:p>
    <w:p w14:paraId="13D88275" w14:textId="14C9EE14" w:rsidR="00E72758" w:rsidRPr="005F64AF" w:rsidRDefault="00E72758" w:rsidP="00AE7382">
      <w:pPr>
        <w:numPr>
          <w:ilvl w:val="0"/>
          <w:numId w:val="19"/>
        </w:numPr>
        <w:spacing w:before="240" w:after="240"/>
        <w:rPr>
          <w:sz w:val="24"/>
          <w:szCs w:val="24"/>
        </w:rPr>
      </w:pPr>
      <w:r w:rsidRPr="005F64AF">
        <w:rPr>
          <w:sz w:val="24"/>
          <w:szCs w:val="24"/>
        </w:rPr>
        <w:t>It follows that the prohibition against arbitrary interference with family incorporates notions of reasonableness.</w:t>
      </w:r>
      <w:r w:rsidRPr="005F64AF">
        <w:rPr>
          <w:rStyle w:val="EndnoteReference"/>
          <w:szCs w:val="24"/>
        </w:rPr>
        <w:endnoteReference w:id="24"/>
      </w:r>
      <w:r w:rsidRPr="005F64AF">
        <w:rPr>
          <w:sz w:val="24"/>
          <w:szCs w:val="24"/>
        </w:rPr>
        <w:t xml:space="preserve"> In relation to the meaning of reasonableness, the </w:t>
      </w:r>
      <w:r w:rsidR="008364D7" w:rsidRPr="005F64AF">
        <w:rPr>
          <w:sz w:val="24"/>
          <w:szCs w:val="24"/>
        </w:rPr>
        <w:t xml:space="preserve">UN </w:t>
      </w:r>
      <w:r w:rsidR="00CF663E">
        <w:rPr>
          <w:sz w:val="24"/>
          <w:szCs w:val="24"/>
        </w:rPr>
        <w:t>Human Rights Committee</w:t>
      </w:r>
      <w:r w:rsidRPr="005F64AF">
        <w:rPr>
          <w:sz w:val="24"/>
          <w:szCs w:val="24"/>
        </w:rPr>
        <w:t xml:space="preserve"> stated in </w:t>
      </w:r>
      <w:r w:rsidRPr="005F64AF">
        <w:rPr>
          <w:i/>
          <w:sz w:val="24"/>
          <w:szCs w:val="24"/>
        </w:rPr>
        <w:t>Toonen v Australia:</w:t>
      </w:r>
      <w:r w:rsidRPr="005F64AF">
        <w:rPr>
          <w:rStyle w:val="EndnoteReference"/>
          <w:szCs w:val="24"/>
        </w:rPr>
        <w:endnoteReference w:id="25"/>
      </w:r>
    </w:p>
    <w:p w14:paraId="7411718E" w14:textId="77777777" w:rsidR="00E72758" w:rsidRPr="005F64AF" w:rsidRDefault="00E72758" w:rsidP="00E72758">
      <w:pPr>
        <w:spacing w:before="240" w:after="240"/>
        <w:ind w:left="1080"/>
        <w:rPr>
          <w:sz w:val="22"/>
          <w:szCs w:val="22"/>
        </w:rPr>
      </w:pPr>
      <w:r w:rsidRPr="005F64AF">
        <w:rPr>
          <w:sz w:val="22"/>
          <w:szCs w:val="22"/>
        </w:rPr>
        <w:t>The Committee interprets the requirement of reasonableness to imply that any interference with privacy must be proportional to the end sought and be necessary in the circumstances of any given case.</w:t>
      </w:r>
    </w:p>
    <w:p w14:paraId="5C3E577C" w14:textId="77777777" w:rsidR="00E72758" w:rsidRPr="005F64AF" w:rsidRDefault="00E72758" w:rsidP="00AE7382">
      <w:pPr>
        <w:numPr>
          <w:ilvl w:val="0"/>
          <w:numId w:val="19"/>
        </w:numPr>
        <w:spacing w:before="240" w:after="240"/>
        <w:rPr>
          <w:sz w:val="24"/>
          <w:szCs w:val="24"/>
        </w:rPr>
      </w:pPr>
      <w:r w:rsidRPr="005F64AF">
        <w:rPr>
          <w:sz w:val="24"/>
          <w:szCs w:val="24"/>
        </w:rPr>
        <w:t xml:space="preserve">Whilst the </w:t>
      </w:r>
      <w:r w:rsidRPr="005F64AF">
        <w:rPr>
          <w:i/>
          <w:sz w:val="24"/>
          <w:szCs w:val="24"/>
        </w:rPr>
        <w:t>Toonen</w:t>
      </w:r>
      <w:r w:rsidRPr="005F64AF">
        <w:rPr>
          <w:sz w:val="24"/>
          <w:szCs w:val="24"/>
        </w:rPr>
        <w:t xml:space="preserve"> case concerned a breach of Article 17(1) in relation to the right to privacy, these comments would apply equally to an arbitrary interference with the family.</w:t>
      </w:r>
    </w:p>
    <w:p w14:paraId="5EAF1679" w14:textId="77777777" w:rsidR="006B691E" w:rsidRPr="005F64AF" w:rsidRDefault="00856F03" w:rsidP="00AE7382">
      <w:pPr>
        <w:numPr>
          <w:ilvl w:val="0"/>
          <w:numId w:val="19"/>
        </w:numPr>
        <w:spacing w:before="240" w:after="240"/>
        <w:rPr>
          <w:sz w:val="24"/>
          <w:szCs w:val="24"/>
        </w:rPr>
      </w:pPr>
      <w:r w:rsidRPr="005F64AF">
        <w:rPr>
          <w:sz w:val="24"/>
          <w:szCs w:val="24"/>
        </w:rPr>
        <w:lastRenderedPageBreak/>
        <w:t xml:space="preserve">Since </w:t>
      </w:r>
      <w:r w:rsidR="00A81983" w:rsidRPr="005F64AF">
        <w:rPr>
          <w:sz w:val="24"/>
          <w:szCs w:val="24"/>
        </w:rPr>
        <w:t xml:space="preserve">20 November 2012, Mr </w:t>
      </w:r>
      <w:r w:rsidR="00613950">
        <w:rPr>
          <w:sz w:val="24"/>
          <w:szCs w:val="24"/>
        </w:rPr>
        <w:t>GE</w:t>
      </w:r>
      <w:r w:rsidR="00A81983" w:rsidRPr="005F64AF">
        <w:rPr>
          <w:sz w:val="24"/>
          <w:szCs w:val="24"/>
        </w:rPr>
        <w:t xml:space="preserve"> has been detained at Melbourne Immigration Transit Accommodation (MITA). Prior to that, he has been detained on Christmas Island, at the Northern Immigration Detention Centre (NIDC) in Darwin, the Darwin Airport Lodge</w:t>
      </w:r>
      <w:r w:rsidR="00F672CF" w:rsidRPr="005F64AF">
        <w:rPr>
          <w:sz w:val="24"/>
          <w:szCs w:val="24"/>
        </w:rPr>
        <w:t xml:space="preserve"> (DAL)</w:t>
      </w:r>
      <w:r w:rsidR="00A81983" w:rsidRPr="005F64AF">
        <w:rPr>
          <w:sz w:val="24"/>
          <w:szCs w:val="24"/>
        </w:rPr>
        <w:t xml:space="preserve">, </w:t>
      </w:r>
      <w:r w:rsidR="00F672CF" w:rsidRPr="005F64AF">
        <w:rPr>
          <w:sz w:val="24"/>
          <w:szCs w:val="24"/>
        </w:rPr>
        <w:t>and Port Augusta Immigration Residential Housing (PAIRH).</w:t>
      </w:r>
      <w:r w:rsidR="00E727D7" w:rsidRPr="005F64AF">
        <w:rPr>
          <w:sz w:val="24"/>
          <w:szCs w:val="24"/>
        </w:rPr>
        <w:t xml:space="preserve"> </w:t>
      </w:r>
    </w:p>
    <w:p w14:paraId="7DFE0568" w14:textId="77777777" w:rsidR="00DD2568" w:rsidRPr="005F64AF" w:rsidRDefault="00D53859" w:rsidP="00AE7382">
      <w:pPr>
        <w:numPr>
          <w:ilvl w:val="0"/>
          <w:numId w:val="19"/>
        </w:numPr>
        <w:spacing w:before="240" w:after="240"/>
        <w:rPr>
          <w:sz w:val="24"/>
          <w:szCs w:val="24"/>
        </w:rPr>
      </w:pPr>
      <w:r w:rsidRPr="005F64AF">
        <w:rPr>
          <w:sz w:val="24"/>
          <w:szCs w:val="24"/>
        </w:rPr>
        <w:t xml:space="preserve">Mr </w:t>
      </w:r>
      <w:r w:rsidR="00613950">
        <w:rPr>
          <w:sz w:val="24"/>
          <w:szCs w:val="24"/>
        </w:rPr>
        <w:t>GE</w:t>
      </w:r>
      <w:r w:rsidR="006B691E" w:rsidRPr="005F64AF">
        <w:rPr>
          <w:sz w:val="24"/>
          <w:szCs w:val="24"/>
        </w:rPr>
        <w:t xml:space="preserve"> </w:t>
      </w:r>
      <w:r w:rsidR="009C33ED" w:rsidRPr="005F64AF">
        <w:rPr>
          <w:sz w:val="24"/>
          <w:szCs w:val="24"/>
        </w:rPr>
        <w:t xml:space="preserve">states that he has requested a transfer to a detention facility in Perth, so that his brother who lives there can visit him. He claims </w:t>
      </w:r>
      <w:r w:rsidR="00643766" w:rsidRPr="005F64AF">
        <w:rPr>
          <w:sz w:val="24"/>
          <w:szCs w:val="24"/>
        </w:rPr>
        <w:t xml:space="preserve">that the department’s failure to agree to this transfer </w:t>
      </w:r>
      <w:r w:rsidR="009C33ED" w:rsidRPr="005F64AF">
        <w:rPr>
          <w:sz w:val="24"/>
          <w:szCs w:val="24"/>
        </w:rPr>
        <w:t>constitutes arbitrary interference</w:t>
      </w:r>
      <w:r w:rsidR="006B691E" w:rsidRPr="005F64AF">
        <w:rPr>
          <w:sz w:val="24"/>
          <w:szCs w:val="24"/>
        </w:rPr>
        <w:t xml:space="preserve"> with his family. </w:t>
      </w:r>
    </w:p>
    <w:p w14:paraId="152264BD" w14:textId="77777777" w:rsidR="00402395" w:rsidRPr="005F64AF" w:rsidRDefault="00856F03" w:rsidP="00AE7382">
      <w:pPr>
        <w:numPr>
          <w:ilvl w:val="0"/>
          <w:numId w:val="19"/>
        </w:numPr>
        <w:spacing w:before="240" w:after="240"/>
        <w:rPr>
          <w:sz w:val="24"/>
          <w:szCs w:val="24"/>
        </w:rPr>
      </w:pPr>
      <w:r w:rsidRPr="005F64AF">
        <w:rPr>
          <w:sz w:val="24"/>
          <w:szCs w:val="24"/>
        </w:rPr>
        <w:t xml:space="preserve">The department </w:t>
      </w:r>
      <w:r w:rsidR="00DD2568" w:rsidRPr="005F64AF">
        <w:rPr>
          <w:sz w:val="24"/>
          <w:szCs w:val="24"/>
        </w:rPr>
        <w:t>agrees</w:t>
      </w:r>
      <w:r w:rsidR="00402395" w:rsidRPr="005F64AF">
        <w:rPr>
          <w:sz w:val="24"/>
          <w:szCs w:val="24"/>
        </w:rPr>
        <w:t xml:space="preserve"> that Mr </w:t>
      </w:r>
      <w:r w:rsidR="00613950">
        <w:rPr>
          <w:sz w:val="24"/>
          <w:szCs w:val="24"/>
        </w:rPr>
        <w:t>GE</w:t>
      </w:r>
      <w:r w:rsidR="00402395" w:rsidRPr="005F64AF">
        <w:rPr>
          <w:sz w:val="24"/>
          <w:szCs w:val="24"/>
        </w:rPr>
        <w:t xml:space="preserve"> has requested a transfer to a detention facility in Perth.</w:t>
      </w:r>
      <w:r w:rsidR="00E727D7" w:rsidRPr="005F64AF">
        <w:rPr>
          <w:sz w:val="24"/>
          <w:szCs w:val="24"/>
        </w:rPr>
        <w:t xml:space="preserve"> </w:t>
      </w:r>
      <w:r w:rsidR="00643766" w:rsidRPr="005F64AF">
        <w:rPr>
          <w:sz w:val="24"/>
          <w:szCs w:val="24"/>
        </w:rPr>
        <w:t>It</w:t>
      </w:r>
      <w:r w:rsidR="00402395" w:rsidRPr="005F64AF">
        <w:rPr>
          <w:sz w:val="24"/>
          <w:szCs w:val="24"/>
        </w:rPr>
        <w:t xml:space="preserve"> submits that </w:t>
      </w:r>
      <w:r w:rsidR="00643766" w:rsidRPr="005F64AF">
        <w:rPr>
          <w:sz w:val="24"/>
          <w:szCs w:val="24"/>
        </w:rPr>
        <w:t>he</w:t>
      </w:r>
      <w:r w:rsidR="00402395" w:rsidRPr="005F64AF">
        <w:rPr>
          <w:sz w:val="24"/>
          <w:szCs w:val="24"/>
        </w:rPr>
        <w:t xml:space="preserve"> </w:t>
      </w:r>
      <w:r w:rsidR="00DD2568" w:rsidRPr="005F64AF">
        <w:rPr>
          <w:sz w:val="24"/>
          <w:szCs w:val="24"/>
        </w:rPr>
        <w:t>first made that request in February 2012.</w:t>
      </w:r>
      <w:r w:rsidR="00E727D7" w:rsidRPr="005F64AF">
        <w:rPr>
          <w:sz w:val="24"/>
          <w:szCs w:val="24"/>
        </w:rPr>
        <w:t xml:space="preserve"> </w:t>
      </w:r>
    </w:p>
    <w:p w14:paraId="637F672C" w14:textId="77777777" w:rsidR="009D5A58" w:rsidRPr="005F64AF" w:rsidRDefault="00402395" w:rsidP="00AE7382">
      <w:pPr>
        <w:numPr>
          <w:ilvl w:val="0"/>
          <w:numId w:val="19"/>
        </w:numPr>
        <w:spacing w:before="240" w:after="240"/>
        <w:rPr>
          <w:sz w:val="24"/>
          <w:szCs w:val="24"/>
        </w:rPr>
      </w:pPr>
      <w:r w:rsidRPr="005F64AF">
        <w:rPr>
          <w:sz w:val="24"/>
          <w:szCs w:val="24"/>
        </w:rPr>
        <w:t>The department maintains</w:t>
      </w:r>
      <w:r w:rsidR="00E727D7" w:rsidRPr="005F64AF">
        <w:rPr>
          <w:sz w:val="24"/>
          <w:szCs w:val="24"/>
        </w:rPr>
        <w:t xml:space="preserve"> </w:t>
      </w:r>
      <w:r w:rsidR="009D5A58" w:rsidRPr="005F64AF">
        <w:rPr>
          <w:sz w:val="24"/>
          <w:szCs w:val="24"/>
        </w:rPr>
        <w:t>two immigration detention facilities in metropolitan Perth, the Perth Immigration Detention Centre (P</w:t>
      </w:r>
      <w:r w:rsidR="001977BB" w:rsidRPr="005F64AF">
        <w:rPr>
          <w:sz w:val="24"/>
          <w:szCs w:val="24"/>
        </w:rPr>
        <w:t xml:space="preserve">erth </w:t>
      </w:r>
      <w:r w:rsidR="009D5A58" w:rsidRPr="005F64AF">
        <w:rPr>
          <w:sz w:val="24"/>
          <w:szCs w:val="24"/>
        </w:rPr>
        <w:t>IDC) and the Perth Immigration Residential Housing (P</w:t>
      </w:r>
      <w:r w:rsidR="001977BB" w:rsidRPr="005F64AF">
        <w:rPr>
          <w:sz w:val="24"/>
          <w:szCs w:val="24"/>
        </w:rPr>
        <w:t xml:space="preserve">erth </w:t>
      </w:r>
      <w:r w:rsidR="009D5A58" w:rsidRPr="005F64AF">
        <w:rPr>
          <w:sz w:val="24"/>
          <w:szCs w:val="24"/>
        </w:rPr>
        <w:t>IRH).</w:t>
      </w:r>
      <w:r w:rsidR="00A74BB9" w:rsidRPr="005F64AF">
        <w:rPr>
          <w:sz w:val="24"/>
          <w:szCs w:val="24"/>
        </w:rPr>
        <w:t xml:space="preserve"> </w:t>
      </w:r>
      <w:r w:rsidR="00EA1134" w:rsidRPr="005F64AF">
        <w:rPr>
          <w:sz w:val="24"/>
          <w:szCs w:val="24"/>
        </w:rPr>
        <w:t>However t</w:t>
      </w:r>
      <w:r w:rsidR="009D5A58" w:rsidRPr="005F64AF">
        <w:rPr>
          <w:sz w:val="24"/>
          <w:szCs w:val="24"/>
        </w:rPr>
        <w:t xml:space="preserve">he department submits that neither is appropriate to accommodate Mr </w:t>
      </w:r>
      <w:r w:rsidR="00613950">
        <w:rPr>
          <w:sz w:val="24"/>
          <w:szCs w:val="24"/>
        </w:rPr>
        <w:t>GE</w:t>
      </w:r>
      <w:r w:rsidR="009D5A58" w:rsidRPr="005F64AF">
        <w:rPr>
          <w:sz w:val="24"/>
          <w:szCs w:val="24"/>
        </w:rPr>
        <w:t>.</w:t>
      </w:r>
      <w:r w:rsidR="00A74BB9" w:rsidRPr="005F64AF">
        <w:rPr>
          <w:sz w:val="24"/>
          <w:szCs w:val="24"/>
        </w:rPr>
        <w:t xml:space="preserve"> </w:t>
      </w:r>
    </w:p>
    <w:p w14:paraId="29A5EBE3" w14:textId="77777777" w:rsidR="00EA1134" w:rsidRPr="005F64AF" w:rsidRDefault="00EA1134" w:rsidP="00AE7382">
      <w:pPr>
        <w:keepNext/>
        <w:numPr>
          <w:ilvl w:val="0"/>
          <w:numId w:val="19"/>
        </w:numPr>
        <w:spacing w:before="240" w:after="240"/>
        <w:rPr>
          <w:sz w:val="24"/>
          <w:szCs w:val="24"/>
        </w:rPr>
      </w:pPr>
      <w:r w:rsidRPr="005F64AF">
        <w:rPr>
          <w:sz w:val="24"/>
          <w:szCs w:val="24"/>
        </w:rPr>
        <w:t xml:space="preserve">The department submits that both Perth IDC and Perth IRH are only suitable for short-term accommodation. It states that both are small facilities with limited capacity, and limited space and facilities. </w:t>
      </w:r>
    </w:p>
    <w:p w14:paraId="5D572254" w14:textId="77777777" w:rsidR="00A062F9" w:rsidRPr="005F64AF" w:rsidRDefault="00A062F9" w:rsidP="00AE7382">
      <w:pPr>
        <w:keepNext/>
        <w:numPr>
          <w:ilvl w:val="0"/>
          <w:numId w:val="19"/>
        </w:numPr>
        <w:spacing w:before="240" w:after="240"/>
        <w:rPr>
          <w:sz w:val="24"/>
          <w:szCs w:val="24"/>
        </w:rPr>
      </w:pPr>
      <w:r w:rsidRPr="005F64AF">
        <w:rPr>
          <w:sz w:val="24"/>
          <w:szCs w:val="24"/>
        </w:rPr>
        <w:t>With respect to Perth IDC, the department states:</w:t>
      </w:r>
    </w:p>
    <w:p w14:paraId="72CCD990" w14:textId="77777777" w:rsidR="0061307E" w:rsidRPr="005F64AF" w:rsidRDefault="0061307E" w:rsidP="0061307E">
      <w:pPr>
        <w:spacing w:before="240" w:after="240"/>
        <w:ind w:left="1440"/>
        <w:rPr>
          <w:sz w:val="22"/>
          <w:szCs w:val="24"/>
        </w:rPr>
      </w:pPr>
      <w:r w:rsidRPr="005F64AF">
        <w:rPr>
          <w:sz w:val="22"/>
          <w:szCs w:val="24"/>
        </w:rPr>
        <w:t xml:space="preserve">Perth IDC is only suitable for short term accommodation. Long term accommodation would carry substantial risks to client wellbeing and potentially mental health. </w:t>
      </w:r>
    </w:p>
    <w:p w14:paraId="37C35C7A" w14:textId="77777777" w:rsidR="00AE33B4" w:rsidRPr="005F64AF" w:rsidRDefault="0061307E" w:rsidP="00AE33B4">
      <w:pPr>
        <w:spacing w:before="240" w:after="240"/>
        <w:ind w:left="1440"/>
        <w:rPr>
          <w:sz w:val="22"/>
          <w:szCs w:val="24"/>
        </w:rPr>
      </w:pPr>
      <w:r w:rsidRPr="005F64AF">
        <w:rPr>
          <w:sz w:val="22"/>
          <w:szCs w:val="24"/>
        </w:rPr>
        <w:t>Perth IDC is a small, medium security facility that under normal circumstances accommodates up to around 37 clients. The facility has a total area (including both administrative and client areas)</w:t>
      </w:r>
      <w:r w:rsidR="00AA7216" w:rsidRPr="005F64AF">
        <w:rPr>
          <w:sz w:val="22"/>
          <w:szCs w:val="24"/>
        </w:rPr>
        <w:t xml:space="preserve"> of only around 1100m</w:t>
      </w:r>
      <w:r w:rsidR="00AA7216" w:rsidRPr="005F64AF">
        <w:rPr>
          <w:sz w:val="22"/>
          <w:szCs w:val="24"/>
          <w:vertAlign w:val="superscript"/>
        </w:rPr>
        <w:t>2</w:t>
      </w:r>
      <w:r w:rsidRPr="005F64AF">
        <w:rPr>
          <w:sz w:val="22"/>
          <w:szCs w:val="24"/>
        </w:rPr>
        <w:t>. Perth IDC’s small size means that it has limited recreational space, and the range of activities available to clients is therefore also limited. The department’s operational approach is to minimise the time clients are housed in Perth IDC</w:t>
      </w:r>
      <w:r w:rsidR="00AE33B4" w:rsidRPr="005F64AF">
        <w:rPr>
          <w:sz w:val="22"/>
          <w:szCs w:val="24"/>
        </w:rPr>
        <w:t xml:space="preserve"> </w:t>
      </w:r>
      <w:r w:rsidR="00AE33B4" w:rsidRPr="005F64AF">
        <w:rPr>
          <w:rFonts w:cs="Arial"/>
          <w:spacing w:val="0"/>
          <w:sz w:val="22"/>
          <w:szCs w:val="22"/>
          <w:lang w:eastAsia="en-AU"/>
        </w:rPr>
        <w:t>by seeking to:</w:t>
      </w:r>
    </w:p>
    <w:p w14:paraId="5CBF9533" w14:textId="77777777" w:rsidR="00AE33B4" w:rsidRPr="005F64AF" w:rsidRDefault="00AE33B4" w:rsidP="00AE33B4">
      <w:pPr>
        <w:tabs>
          <w:tab w:val="left" w:pos="284"/>
        </w:tabs>
        <w:autoSpaceDE w:val="0"/>
        <w:autoSpaceDN w:val="0"/>
        <w:adjustRightInd w:val="0"/>
        <w:ind w:left="2006" w:hanging="283"/>
        <w:rPr>
          <w:rFonts w:cs="Arial"/>
          <w:spacing w:val="0"/>
          <w:sz w:val="22"/>
          <w:szCs w:val="22"/>
          <w:lang w:eastAsia="en-AU"/>
        </w:rPr>
      </w:pPr>
      <w:r w:rsidRPr="005F64AF">
        <w:rPr>
          <w:rFonts w:cs="Arial"/>
          <w:spacing w:val="0"/>
          <w:sz w:val="22"/>
          <w:szCs w:val="22"/>
          <w:lang w:eastAsia="en-AU"/>
        </w:rPr>
        <w:t>a)</w:t>
      </w:r>
      <w:r w:rsidRPr="005F64AF">
        <w:rPr>
          <w:rFonts w:cs="Arial"/>
          <w:spacing w:val="0"/>
          <w:sz w:val="22"/>
          <w:szCs w:val="22"/>
          <w:lang w:eastAsia="en-AU"/>
        </w:rPr>
        <w:tab/>
        <w:t>resolve their immigration status; or</w:t>
      </w:r>
    </w:p>
    <w:p w14:paraId="3CCBC069" w14:textId="77777777" w:rsidR="001977BB" w:rsidRPr="005F64AF" w:rsidRDefault="00AE33B4" w:rsidP="00AE33B4">
      <w:pPr>
        <w:tabs>
          <w:tab w:val="left" w:pos="284"/>
        </w:tabs>
        <w:spacing w:before="240" w:after="240"/>
        <w:ind w:left="2006" w:hanging="283"/>
        <w:rPr>
          <w:rFonts w:cs="Arial"/>
          <w:sz w:val="22"/>
          <w:szCs w:val="22"/>
        </w:rPr>
      </w:pPr>
      <w:r w:rsidRPr="005F64AF">
        <w:rPr>
          <w:rFonts w:cs="Arial"/>
          <w:spacing w:val="0"/>
          <w:sz w:val="22"/>
          <w:szCs w:val="22"/>
          <w:lang w:eastAsia="en-AU"/>
        </w:rPr>
        <w:t>b)</w:t>
      </w:r>
      <w:r w:rsidRPr="005F64AF">
        <w:rPr>
          <w:rFonts w:cs="Arial"/>
          <w:spacing w:val="0"/>
          <w:sz w:val="22"/>
          <w:szCs w:val="22"/>
          <w:lang w:eastAsia="en-AU"/>
        </w:rPr>
        <w:tab/>
        <w:t>transfer them into more suitable detention arrangements as soon as possible.</w:t>
      </w:r>
      <w:r w:rsidRPr="005F64AF">
        <w:rPr>
          <w:rStyle w:val="EndnoteReference"/>
          <w:rFonts w:cs="Arial"/>
          <w:sz w:val="22"/>
          <w:szCs w:val="22"/>
        </w:rPr>
        <w:t xml:space="preserve"> </w:t>
      </w:r>
      <w:r w:rsidR="00523EA3" w:rsidRPr="005F64AF">
        <w:rPr>
          <w:rStyle w:val="EndnoteReference"/>
          <w:rFonts w:cs="Arial"/>
        </w:rPr>
        <w:endnoteReference w:id="26"/>
      </w:r>
    </w:p>
    <w:p w14:paraId="6FA151C9" w14:textId="77777777" w:rsidR="004D770C" w:rsidRPr="005F64AF" w:rsidRDefault="00AE33B4" w:rsidP="00AE7382">
      <w:pPr>
        <w:numPr>
          <w:ilvl w:val="0"/>
          <w:numId w:val="19"/>
        </w:numPr>
        <w:spacing w:before="240" w:after="240"/>
        <w:rPr>
          <w:sz w:val="24"/>
          <w:szCs w:val="24"/>
        </w:rPr>
      </w:pPr>
      <w:r w:rsidRPr="005F64AF">
        <w:rPr>
          <w:sz w:val="24"/>
          <w:szCs w:val="24"/>
        </w:rPr>
        <w:t>With respect to Perth IRH, the department states:</w:t>
      </w:r>
    </w:p>
    <w:p w14:paraId="1ACB7D77" w14:textId="77777777" w:rsidR="005E4079" w:rsidRPr="005F64AF" w:rsidRDefault="005E4079" w:rsidP="005E4079">
      <w:pPr>
        <w:autoSpaceDE w:val="0"/>
        <w:autoSpaceDN w:val="0"/>
        <w:adjustRightInd w:val="0"/>
        <w:ind w:left="1440"/>
        <w:rPr>
          <w:rFonts w:cs="Arial"/>
          <w:spacing w:val="0"/>
          <w:sz w:val="22"/>
          <w:szCs w:val="22"/>
          <w:lang w:eastAsia="en-AU"/>
        </w:rPr>
      </w:pPr>
      <w:r w:rsidRPr="005F64AF">
        <w:rPr>
          <w:rFonts w:cs="Arial"/>
          <w:spacing w:val="0"/>
          <w:sz w:val="22"/>
          <w:szCs w:val="22"/>
          <w:lang w:eastAsia="en-AU"/>
        </w:rPr>
        <w:t xml:space="preserve">Perth IRH is also unsuitable for Mr </w:t>
      </w:r>
      <w:r w:rsidR="00613950">
        <w:rPr>
          <w:rFonts w:cs="Arial"/>
          <w:spacing w:val="0"/>
          <w:sz w:val="22"/>
          <w:szCs w:val="22"/>
          <w:lang w:eastAsia="en-AU"/>
        </w:rPr>
        <w:t>GE</w:t>
      </w:r>
      <w:r w:rsidRPr="005F64AF">
        <w:rPr>
          <w:rFonts w:cs="Arial"/>
          <w:spacing w:val="0"/>
          <w:sz w:val="22"/>
          <w:szCs w:val="22"/>
          <w:lang w:eastAsia="en-AU"/>
        </w:rPr>
        <w:t xml:space="preserve"> because it is a low security facility designed to house ‘low risk’ clients who only require transit or short-term accommodation. </w:t>
      </w:r>
    </w:p>
    <w:p w14:paraId="0B98F202" w14:textId="77777777" w:rsidR="005E4079" w:rsidRPr="005F64AF" w:rsidRDefault="005E4079" w:rsidP="005E4079">
      <w:pPr>
        <w:autoSpaceDE w:val="0"/>
        <w:autoSpaceDN w:val="0"/>
        <w:adjustRightInd w:val="0"/>
        <w:ind w:left="1440"/>
        <w:rPr>
          <w:rFonts w:cs="Arial"/>
          <w:spacing w:val="0"/>
          <w:sz w:val="22"/>
          <w:szCs w:val="22"/>
          <w:lang w:eastAsia="en-AU"/>
        </w:rPr>
      </w:pPr>
    </w:p>
    <w:p w14:paraId="0588FDEA" w14:textId="77777777" w:rsidR="005E4079" w:rsidRPr="005F64AF" w:rsidRDefault="005E4079" w:rsidP="005E4079">
      <w:pPr>
        <w:autoSpaceDE w:val="0"/>
        <w:autoSpaceDN w:val="0"/>
        <w:adjustRightInd w:val="0"/>
        <w:ind w:left="1440"/>
        <w:rPr>
          <w:rFonts w:cs="Arial"/>
          <w:spacing w:val="0"/>
          <w:sz w:val="22"/>
          <w:szCs w:val="22"/>
          <w:lang w:eastAsia="en-AU"/>
        </w:rPr>
      </w:pPr>
      <w:r w:rsidRPr="005F64AF">
        <w:rPr>
          <w:rFonts w:cs="Arial"/>
          <w:spacing w:val="0"/>
          <w:sz w:val="22"/>
          <w:szCs w:val="22"/>
          <w:lang w:eastAsia="en-AU"/>
        </w:rPr>
        <w:t xml:space="preserve">Moreover, Perth IRH </w:t>
      </w:r>
      <w:r w:rsidRPr="005F64AF">
        <w:rPr>
          <w:rFonts w:cs="Arial"/>
          <w:bCs/>
          <w:iCs/>
          <w:spacing w:val="0"/>
          <w:sz w:val="22"/>
          <w:szCs w:val="22"/>
          <w:lang w:eastAsia="en-AU"/>
        </w:rPr>
        <w:t>generally</w:t>
      </w:r>
      <w:r w:rsidRPr="005F64AF">
        <w:rPr>
          <w:rFonts w:cs="Arial"/>
          <w:b/>
          <w:bCs/>
          <w:i/>
          <w:iCs/>
          <w:spacing w:val="0"/>
          <w:sz w:val="22"/>
          <w:szCs w:val="22"/>
          <w:lang w:eastAsia="en-AU"/>
        </w:rPr>
        <w:t xml:space="preserve"> </w:t>
      </w:r>
      <w:r w:rsidRPr="005F64AF">
        <w:rPr>
          <w:rFonts w:cs="Arial"/>
          <w:spacing w:val="0"/>
          <w:sz w:val="22"/>
          <w:szCs w:val="22"/>
          <w:lang w:eastAsia="en-AU"/>
        </w:rPr>
        <w:t xml:space="preserve">only accepts asylum seeker families where one or more family members have special health needs for placement. Single adults are generally not accepted for placement at this facility as it is most important to maintain a safe, supportive, family-friendly environment. Clients (such as Mr </w:t>
      </w:r>
      <w:r w:rsidR="00613950">
        <w:rPr>
          <w:rFonts w:cs="Arial"/>
          <w:spacing w:val="0"/>
          <w:sz w:val="22"/>
          <w:szCs w:val="22"/>
          <w:lang w:eastAsia="en-AU"/>
        </w:rPr>
        <w:t>GE</w:t>
      </w:r>
      <w:r w:rsidRPr="005F64AF">
        <w:rPr>
          <w:rFonts w:cs="Arial"/>
          <w:spacing w:val="0"/>
          <w:sz w:val="22"/>
          <w:szCs w:val="22"/>
          <w:lang w:eastAsia="en-AU"/>
        </w:rPr>
        <w:t xml:space="preserve">) with adverse security assessments or are otherwise assessed as being of ‘medium’ or ‘high’ risk are </w:t>
      </w:r>
      <w:r w:rsidRPr="005F64AF">
        <w:rPr>
          <w:rFonts w:cs="Arial"/>
          <w:bCs/>
          <w:iCs/>
          <w:spacing w:val="0"/>
          <w:sz w:val="22"/>
          <w:szCs w:val="22"/>
          <w:lang w:eastAsia="en-AU"/>
        </w:rPr>
        <w:t>as a rule</w:t>
      </w:r>
      <w:r w:rsidRPr="005F64AF">
        <w:rPr>
          <w:rFonts w:cs="Arial"/>
          <w:b/>
          <w:bCs/>
          <w:i/>
          <w:iCs/>
          <w:spacing w:val="0"/>
          <w:sz w:val="22"/>
          <w:szCs w:val="22"/>
          <w:lang w:eastAsia="en-AU"/>
        </w:rPr>
        <w:t xml:space="preserve"> </w:t>
      </w:r>
      <w:r w:rsidRPr="005F64AF">
        <w:rPr>
          <w:rFonts w:cs="Arial"/>
          <w:spacing w:val="0"/>
          <w:sz w:val="22"/>
          <w:szCs w:val="22"/>
          <w:lang w:eastAsia="en-AU"/>
        </w:rPr>
        <w:t>not accepted for placement at the Perth IRH.</w:t>
      </w:r>
    </w:p>
    <w:p w14:paraId="73819C8C" w14:textId="77777777" w:rsidR="005E4079" w:rsidRPr="005F64AF" w:rsidRDefault="005E4079" w:rsidP="005E4079">
      <w:pPr>
        <w:autoSpaceDE w:val="0"/>
        <w:autoSpaceDN w:val="0"/>
        <w:adjustRightInd w:val="0"/>
        <w:ind w:left="1440"/>
        <w:rPr>
          <w:rFonts w:cs="Arial"/>
          <w:spacing w:val="0"/>
          <w:sz w:val="22"/>
          <w:szCs w:val="22"/>
          <w:lang w:eastAsia="en-AU"/>
        </w:rPr>
      </w:pPr>
    </w:p>
    <w:p w14:paraId="4E5F9CF2" w14:textId="77777777" w:rsidR="004D770C" w:rsidRPr="005F64AF" w:rsidRDefault="005E4079" w:rsidP="005E4079">
      <w:pPr>
        <w:autoSpaceDE w:val="0"/>
        <w:autoSpaceDN w:val="0"/>
        <w:adjustRightInd w:val="0"/>
        <w:ind w:left="1440"/>
        <w:rPr>
          <w:rFonts w:cs="Arial"/>
          <w:spacing w:val="0"/>
          <w:sz w:val="22"/>
          <w:szCs w:val="22"/>
          <w:lang w:eastAsia="en-AU"/>
        </w:rPr>
      </w:pPr>
      <w:r w:rsidRPr="005F64AF">
        <w:rPr>
          <w:rFonts w:cs="Arial"/>
          <w:spacing w:val="0"/>
          <w:sz w:val="22"/>
          <w:szCs w:val="22"/>
          <w:lang w:eastAsia="en-AU"/>
        </w:rPr>
        <w:lastRenderedPageBreak/>
        <w:t>As with the Perth IDC, the recreational areas and facilities are limit</w:t>
      </w:r>
      <w:r w:rsidR="006F3D79" w:rsidRPr="005F64AF">
        <w:rPr>
          <w:rFonts w:cs="Arial"/>
          <w:spacing w:val="0"/>
          <w:sz w:val="22"/>
          <w:szCs w:val="22"/>
          <w:lang w:eastAsia="en-AU"/>
        </w:rPr>
        <w:t>ed….</w:t>
      </w:r>
      <w:r w:rsidRPr="005F64AF">
        <w:rPr>
          <w:rFonts w:cs="Arial"/>
          <w:spacing w:val="0"/>
          <w:sz w:val="22"/>
          <w:szCs w:val="22"/>
          <w:lang w:eastAsia="en-AU"/>
        </w:rPr>
        <w:t xml:space="preserve"> The department’s operational approach is to minimise the time clients are housed in Perth IRH by escalating their cases and seeking to transfer them into more suitable detention arrangements, as soon as can possibly be effected.</w:t>
      </w:r>
      <w:r w:rsidRPr="005F64AF">
        <w:rPr>
          <w:rStyle w:val="EndnoteReference"/>
          <w:spacing w:val="0"/>
          <w:szCs w:val="22"/>
          <w:lang w:eastAsia="en-AU"/>
        </w:rPr>
        <w:endnoteReference w:id="27"/>
      </w:r>
    </w:p>
    <w:p w14:paraId="4514D3F1" w14:textId="77777777" w:rsidR="004D770C" w:rsidRPr="005F64AF" w:rsidRDefault="00C81863" w:rsidP="00AE7382">
      <w:pPr>
        <w:numPr>
          <w:ilvl w:val="0"/>
          <w:numId w:val="19"/>
        </w:numPr>
        <w:spacing w:before="240" w:after="240"/>
        <w:rPr>
          <w:sz w:val="24"/>
          <w:szCs w:val="24"/>
        </w:rPr>
      </w:pPr>
      <w:r w:rsidRPr="005F64AF">
        <w:rPr>
          <w:sz w:val="24"/>
          <w:szCs w:val="24"/>
        </w:rPr>
        <w:t xml:space="preserve">The department </w:t>
      </w:r>
      <w:r w:rsidR="002C7B39" w:rsidRPr="005F64AF">
        <w:rPr>
          <w:sz w:val="24"/>
          <w:szCs w:val="24"/>
        </w:rPr>
        <w:t xml:space="preserve">states </w:t>
      </w:r>
      <w:r w:rsidRPr="005F64AF">
        <w:rPr>
          <w:sz w:val="24"/>
          <w:szCs w:val="24"/>
        </w:rPr>
        <w:t xml:space="preserve">that it </w:t>
      </w:r>
      <w:r w:rsidR="002C7B39" w:rsidRPr="005F64AF">
        <w:rPr>
          <w:sz w:val="24"/>
          <w:szCs w:val="24"/>
        </w:rPr>
        <w:t>has</w:t>
      </w:r>
      <w:r w:rsidRPr="005F64AF">
        <w:rPr>
          <w:sz w:val="24"/>
          <w:szCs w:val="24"/>
        </w:rPr>
        <w:t xml:space="preserve"> offered to move Mr </w:t>
      </w:r>
      <w:r w:rsidR="00613950">
        <w:rPr>
          <w:sz w:val="24"/>
          <w:szCs w:val="24"/>
        </w:rPr>
        <w:t>GE</w:t>
      </w:r>
      <w:r w:rsidRPr="005F64AF">
        <w:rPr>
          <w:sz w:val="24"/>
          <w:szCs w:val="24"/>
        </w:rPr>
        <w:t xml:space="preserve"> to Northam Immigration Detention Centre (Northam IDC), which it says is locate</w:t>
      </w:r>
      <w:r w:rsidR="002C7B39" w:rsidRPr="005F64AF">
        <w:rPr>
          <w:sz w:val="24"/>
          <w:szCs w:val="24"/>
        </w:rPr>
        <w:t xml:space="preserve">d a 70 minute drive from Perth. </w:t>
      </w:r>
      <w:r w:rsidR="00AA7216" w:rsidRPr="005F64AF">
        <w:rPr>
          <w:sz w:val="24"/>
          <w:szCs w:val="24"/>
        </w:rPr>
        <w:t xml:space="preserve">It </w:t>
      </w:r>
      <w:r w:rsidR="003E7FD1" w:rsidRPr="005F64AF">
        <w:rPr>
          <w:sz w:val="24"/>
          <w:szCs w:val="24"/>
        </w:rPr>
        <w:t>states</w:t>
      </w:r>
      <w:r w:rsidR="00AA7216" w:rsidRPr="005F64AF">
        <w:rPr>
          <w:sz w:val="24"/>
          <w:szCs w:val="24"/>
        </w:rPr>
        <w:t xml:space="preserve"> that Mr </w:t>
      </w:r>
      <w:r w:rsidR="00613950">
        <w:rPr>
          <w:sz w:val="24"/>
          <w:szCs w:val="24"/>
        </w:rPr>
        <w:t>GE</w:t>
      </w:r>
      <w:r w:rsidR="00AA7216" w:rsidRPr="005F64AF">
        <w:rPr>
          <w:sz w:val="24"/>
          <w:szCs w:val="24"/>
        </w:rPr>
        <w:t xml:space="preserve"> has refused this transfer. </w:t>
      </w:r>
    </w:p>
    <w:p w14:paraId="4B13B132" w14:textId="77777777" w:rsidR="004D770C" w:rsidRPr="005F64AF" w:rsidRDefault="00C81863" w:rsidP="00AE7382">
      <w:pPr>
        <w:numPr>
          <w:ilvl w:val="0"/>
          <w:numId w:val="19"/>
        </w:numPr>
        <w:spacing w:before="240" w:after="240"/>
        <w:rPr>
          <w:sz w:val="24"/>
          <w:szCs w:val="24"/>
        </w:rPr>
      </w:pPr>
      <w:r w:rsidRPr="005F64AF">
        <w:rPr>
          <w:sz w:val="24"/>
          <w:szCs w:val="24"/>
        </w:rPr>
        <w:t xml:space="preserve">Given the offer to </w:t>
      </w:r>
      <w:r w:rsidR="002C7B39" w:rsidRPr="005F64AF">
        <w:rPr>
          <w:sz w:val="24"/>
          <w:szCs w:val="24"/>
        </w:rPr>
        <w:t>re</w:t>
      </w:r>
      <w:r w:rsidRPr="005F64AF">
        <w:rPr>
          <w:sz w:val="24"/>
          <w:szCs w:val="24"/>
        </w:rPr>
        <w:t xml:space="preserve">locate </w:t>
      </w:r>
      <w:r w:rsidR="002C7B39" w:rsidRPr="005F64AF">
        <w:rPr>
          <w:sz w:val="24"/>
          <w:szCs w:val="24"/>
        </w:rPr>
        <w:t xml:space="preserve">Mr </w:t>
      </w:r>
      <w:r w:rsidR="00613950">
        <w:rPr>
          <w:sz w:val="24"/>
          <w:szCs w:val="24"/>
        </w:rPr>
        <w:t>GE</w:t>
      </w:r>
      <w:r w:rsidR="002C7B39" w:rsidRPr="005F64AF">
        <w:rPr>
          <w:sz w:val="24"/>
          <w:szCs w:val="24"/>
        </w:rPr>
        <w:t xml:space="preserve"> to Northam IDC, </w:t>
      </w:r>
      <w:r w:rsidRPr="005F64AF">
        <w:rPr>
          <w:sz w:val="24"/>
          <w:szCs w:val="24"/>
        </w:rPr>
        <w:t xml:space="preserve">and the limitations </w:t>
      </w:r>
      <w:r w:rsidR="002C7B39" w:rsidRPr="005F64AF">
        <w:rPr>
          <w:sz w:val="24"/>
          <w:szCs w:val="24"/>
        </w:rPr>
        <w:t xml:space="preserve">identified by the department </w:t>
      </w:r>
      <w:r w:rsidRPr="005F64AF">
        <w:rPr>
          <w:sz w:val="24"/>
          <w:szCs w:val="24"/>
        </w:rPr>
        <w:t xml:space="preserve">on the </w:t>
      </w:r>
      <w:r w:rsidR="002C7B39" w:rsidRPr="005F64AF">
        <w:rPr>
          <w:sz w:val="24"/>
          <w:szCs w:val="24"/>
        </w:rPr>
        <w:t xml:space="preserve">capacities and the </w:t>
      </w:r>
      <w:r w:rsidRPr="005F64AF">
        <w:rPr>
          <w:sz w:val="24"/>
          <w:szCs w:val="24"/>
        </w:rPr>
        <w:t xml:space="preserve">facilities available at Perth IDC and Perth IRH, </w:t>
      </w:r>
      <w:r w:rsidR="00FC61BA">
        <w:rPr>
          <w:sz w:val="24"/>
          <w:szCs w:val="24"/>
        </w:rPr>
        <w:t>I find</w:t>
      </w:r>
      <w:r w:rsidRPr="005F64AF">
        <w:rPr>
          <w:sz w:val="24"/>
          <w:szCs w:val="24"/>
        </w:rPr>
        <w:t xml:space="preserve"> that </w:t>
      </w:r>
      <w:r w:rsidR="002C7B39" w:rsidRPr="005F64AF">
        <w:rPr>
          <w:sz w:val="24"/>
          <w:szCs w:val="24"/>
        </w:rPr>
        <w:t xml:space="preserve">Mr </w:t>
      </w:r>
      <w:r w:rsidR="00613950">
        <w:rPr>
          <w:sz w:val="24"/>
          <w:szCs w:val="24"/>
        </w:rPr>
        <w:t>GE</w:t>
      </w:r>
      <w:r w:rsidR="00633DFD" w:rsidRPr="005F64AF">
        <w:rPr>
          <w:sz w:val="24"/>
          <w:szCs w:val="24"/>
        </w:rPr>
        <w:t xml:space="preserve">’s </w:t>
      </w:r>
      <w:r w:rsidR="002C7B39" w:rsidRPr="005F64AF">
        <w:rPr>
          <w:sz w:val="24"/>
          <w:szCs w:val="24"/>
        </w:rPr>
        <w:t xml:space="preserve">complaint that </w:t>
      </w:r>
      <w:r w:rsidR="005E4B98" w:rsidRPr="005F64AF">
        <w:rPr>
          <w:sz w:val="24"/>
          <w:szCs w:val="24"/>
        </w:rPr>
        <w:t xml:space="preserve">the department’s failure to relocate him to a detention facility </w:t>
      </w:r>
      <w:r w:rsidR="00B32C29" w:rsidRPr="005F64AF">
        <w:rPr>
          <w:sz w:val="24"/>
          <w:szCs w:val="24"/>
        </w:rPr>
        <w:t xml:space="preserve">closer to </w:t>
      </w:r>
      <w:r w:rsidR="005E4B98" w:rsidRPr="005F64AF">
        <w:rPr>
          <w:sz w:val="24"/>
          <w:szCs w:val="24"/>
        </w:rPr>
        <w:t>Perth (desig</w:t>
      </w:r>
      <w:r w:rsidR="0059288B">
        <w:rPr>
          <w:sz w:val="24"/>
          <w:szCs w:val="24"/>
        </w:rPr>
        <w:t>nated as ‘Act 3’ in paragraph 32</w:t>
      </w:r>
      <w:r w:rsidR="005E4B98" w:rsidRPr="005F64AF">
        <w:rPr>
          <w:sz w:val="24"/>
          <w:szCs w:val="24"/>
        </w:rPr>
        <w:t xml:space="preserve"> above) </w:t>
      </w:r>
      <w:r w:rsidR="00633DFD" w:rsidRPr="005F64AF">
        <w:rPr>
          <w:sz w:val="24"/>
          <w:szCs w:val="24"/>
        </w:rPr>
        <w:t>arbitrarily interfered with his relationship with his brother has not been substantiated.</w:t>
      </w:r>
      <w:r w:rsidR="00A74BB9" w:rsidRPr="005F64AF">
        <w:rPr>
          <w:sz w:val="24"/>
          <w:szCs w:val="24"/>
        </w:rPr>
        <w:t xml:space="preserve"> </w:t>
      </w:r>
    </w:p>
    <w:p w14:paraId="4D81B38A" w14:textId="77777777" w:rsidR="005A5A86" w:rsidRPr="005F64AF" w:rsidRDefault="005A5A86" w:rsidP="005A5A86">
      <w:pPr>
        <w:pStyle w:val="Heading1"/>
      </w:pPr>
      <w:bookmarkStart w:id="20" w:name="_Toc282704183"/>
      <w:r w:rsidRPr="005F64AF">
        <w:t xml:space="preserve">Article 7 of the ICCPR – complaint by Mr </w:t>
      </w:r>
      <w:r w:rsidR="00613950">
        <w:t>GG</w:t>
      </w:r>
      <w:bookmarkEnd w:id="20"/>
    </w:p>
    <w:p w14:paraId="03D18FF3" w14:textId="77777777" w:rsidR="005A5A86" w:rsidRPr="005F64AF" w:rsidRDefault="005A5A86" w:rsidP="00AE7382">
      <w:pPr>
        <w:numPr>
          <w:ilvl w:val="0"/>
          <w:numId w:val="19"/>
        </w:numPr>
        <w:spacing w:before="240" w:after="240"/>
        <w:rPr>
          <w:sz w:val="24"/>
          <w:szCs w:val="24"/>
        </w:rPr>
      </w:pPr>
      <w:r w:rsidRPr="005F64AF">
        <w:rPr>
          <w:sz w:val="24"/>
          <w:szCs w:val="24"/>
        </w:rPr>
        <w:t xml:space="preserve">Whilst the claim is not clearly particularised, Mr </w:t>
      </w:r>
      <w:r w:rsidR="00613950">
        <w:rPr>
          <w:sz w:val="24"/>
          <w:szCs w:val="24"/>
        </w:rPr>
        <w:t>GG</w:t>
      </w:r>
      <w:r w:rsidRPr="005F64AF">
        <w:rPr>
          <w:sz w:val="24"/>
          <w:szCs w:val="24"/>
        </w:rPr>
        <w:t xml:space="preserve"> appears to claim that the adverse impact of detention on his mental health amounts to a breach of his human rights. </w:t>
      </w:r>
    </w:p>
    <w:p w14:paraId="198C1673" w14:textId="77777777" w:rsidR="005A5A86" w:rsidRPr="005F64AF" w:rsidRDefault="005A5A86" w:rsidP="00AE7382">
      <w:pPr>
        <w:numPr>
          <w:ilvl w:val="0"/>
          <w:numId w:val="19"/>
        </w:numPr>
        <w:spacing w:before="240" w:after="240"/>
        <w:rPr>
          <w:sz w:val="24"/>
          <w:szCs w:val="24"/>
        </w:rPr>
      </w:pPr>
      <w:r w:rsidRPr="005F64AF">
        <w:rPr>
          <w:sz w:val="24"/>
          <w:szCs w:val="24"/>
        </w:rPr>
        <w:t>Article 7 of the ICCPR states</w:t>
      </w:r>
      <w:r w:rsidR="00570731" w:rsidRPr="005F64AF">
        <w:rPr>
          <w:sz w:val="24"/>
          <w:szCs w:val="24"/>
        </w:rPr>
        <w:t>:</w:t>
      </w:r>
    </w:p>
    <w:p w14:paraId="2E4603F5" w14:textId="77777777" w:rsidR="005A5A86" w:rsidRPr="005F64AF" w:rsidRDefault="005A5A86" w:rsidP="002A242F">
      <w:pPr>
        <w:spacing w:before="240" w:after="240"/>
        <w:ind w:left="1440"/>
        <w:rPr>
          <w:sz w:val="22"/>
          <w:szCs w:val="24"/>
        </w:rPr>
      </w:pPr>
      <w:r w:rsidRPr="005F64AF">
        <w:rPr>
          <w:sz w:val="22"/>
          <w:szCs w:val="24"/>
        </w:rPr>
        <w:t>No one shall be subjected to torture or to cruel, inhuman or degrading treatment or punishment. In particular, no one shall be subjected without his free consent to medical or scientific experimentation.</w:t>
      </w:r>
    </w:p>
    <w:p w14:paraId="4F12A119" w14:textId="77777777" w:rsidR="005A5A86" w:rsidRPr="005F64AF" w:rsidRDefault="005A5A86" w:rsidP="00AE7382">
      <w:pPr>
        <w:numPr>
          <w:ilvl w:val="0"/>
          <w:numId w:val="19"/>
        </w:numPr>
        <w:tabs>
          <w:tab w:val="num" w:pos="2127"/>
        </w:tabs>
        <w:spacing w:before="240" w:after="240"/>
        <w:rPr>
          <w:sz w:val="24"/>
          <w:szCs w:val="24"/>
        </w:rPr>
      </w:pPr>
      <w:r w:rsidRPr="005F64AF">
        <w:rPr>
          <w:sz w:val="24"/>
          <w:szCs w:val="24"/>
        </w:rPr>
        <w:t xml:space="preserve">In </w:t>
      </w:r>
      <w:r w:rsidRPr="005F64AF">
        <w:rPr>
          <w:i/>
          <w:sz w:val="24"/>
          <w:szCs w:val="24"/>
        </w:rPr>
        <w:t>C v Australia</w:t>
      </w:r>
      <w:r w:rsidRPr="005F64AF">
        <w:rPr>
          <w:szCs w:val="24"/>
          <w:vertAlign w:val="superscript"/>
        </w:rPr>
        <w:endnoteReference w:id="28"/>
      </w:r>
      <w:r w:rsidRPr="005F64AF">
        <w:rPr>
          <w:sz w:val="24"/>
          <w:szCs w:val="24"/>
        </w:rPr>
        <w:t>, the United Nations Human Rights Committee found that the continued detention of C when the State party was aware of the deterioration of C’s mental health constituted a breach of article 7 of the ICCPR. The Committee stated:</w:t>
      </w:r>
    </w:p>
    <w:p w14:paraId="18BB26C8" w14:textId="77777777" w:rsidR="005A5A86" w:rsidRPr="005F64AF" w:rsidRDefault="00033A88" w:rsidP="00033A88">
      <w:pPr>
        <w:spacing w:before="240" w:after="240"/>
        <w:ind w:left="1440"/>
        <w:rPr>
          <w:sz w:val="22"/>
          <w:szCs w:val="24"/>
        </w:rPr>
      </w:pPr>
      <w:r w:rsidRPr="005F64AF">
        <w:rPr>
          <w:sz w:val="22"/>
          <w:szCs w:val="24"/>
        </w:rPr>
        <w:t>..</w:t>
      </w:r>
      <w:r w:rsidR="005A5A86" w:rsidRPr="005F64AF">
        <w:rPr>
          <w:sz w:val="22"/>
          <w:szCs w:val="24"/>
        </w:rPr>
        <w:t>.the State party was aware, at least from August 1992 when he was prescribed the use of tranquilisers, of psychiatric difficulties the author faced. Indeed, by August 1993, it was evident that there was a conflict between the author’s continued detention and his sanity. Despite increasingly serious assessments of the author’s conditions in February and June 1994 (and a suicide attempt) it was only in August 1994 that the Minister exercised his exceptional power to release him from immigration detention on medical grounds (while legally he remained in detention). As subsequent events showed, by that point the author’s illness had reached such a level of severity that irreversible consequences were to follow.</w:t>
      </w:r>
      <w:r w:rsidR="005A5A86" w:rsidRPr="005F64AF">
        <w:rPr>
          <w:szCs w:val="24"/>
          <w:vertAlign w:val="superscript"/>
        </w:rPr>
        <w:endnoteReference w:id="29"/>
      </w:r>
    </w:p>
    <w:p w14:paraId="5ECB934E" w14:textId="77777777" w:rsidR="005A5A86" w:rsidRPr="005F64AF" w:rsidRDefault="005A5A86" w:rsidP="00AE7382">
      <w:pPr>
        <w:numPr>
          <w:ilvl w:val="0"/>
          <w:numId w:val="19"/>
        </w:numPr>
        <w:tabs>
          <w:tab w:val="num" w:pos="1418"/>
        </w:tabs>
        <w:spacing w:before="240" w:after="240"/>
        <w:rPr>
          <w:sz w:val="24"/>
          <w:szCs w:val="24"/>
        </w:rPr>
      </w:pPr>
      <w:r w:rsidRPr="005F64AF">
        <w:rPr>
          <w:sz w:val="24"/>
          <w:szCs w:val="24"/>
        </w:rPr>
        <w:t>The relevant question for the purposes of artic</w:t>
      </w:r>
      <w:r w:rsidR="00937DC7" w:rsidRPr="005F64AF">
        <w:rPr>
          <w:sz w:val="24"/>
          <w:szCs w:val="24"/>
        </w:rPr>
        <w:t>le 7 of the ICCPR is whether Mr </w:t>
      </w:r>
      <w:r w:rsidR="00613950">
        <w:rPr>
          <w:sz w:val="24"/>
          <w:szCs w:val="24"/>
        </w:rPr>
        <w:t>GG</w:t>
      </w:r>
      <w:r w:rsidRPr="005F64AF">
        <w:rPr>
          <w:sz w:val="24"/>
          <w:szCs w:val="24"/>
        </w:rPr>
        <w:t>’s detention has caused a level of mental impairment such that it amounts to cruel, inhuman or degrading treatment or punishment.</w:t>
      </w:r>
    </w:p>
    <w:p w14:paraId="42DF1092" w14:textId="77777777" w:rsidR="005A5A86" w:rsidRPr="005F64AF" w:rsidRDefault="005A5A86" w:rsidP="00AE7382">
      <w:pPr>
        <w:numPr>
          <w:ilvl w:val="0"/>
          <w:numId w:val="19"/>
        </w:numPr>
        <w:tabs>
          <w:tab w:val="num" w:pos="1843"/>
        </w:tabs>
        <w:spacing w:before="240" w:after="240"/>
        <w:rPr>
          <w:sz w:val="24"/>
          <w:szCs w:val="24"/>
        </w:rPr>
      </w:pPr>
      <w:r w:rsidRPr="005F64AF">
        <w:rPr>
          <w:sz w:val="24"/>
          <w:szCs w:val="24"/>
        </w:rPr>
        <w:t xml:space="preserve">Mr </w:t>
      </w:r>
      <w:r w:rsidR="00613950">
        <w:rPr>
          <w:sz w:val="24"/>
          <w:szCs w:val="24"/>
        </w:rPr>
        <w:t>GG</w:t>
      </w:r>
      <w:r w:rsidRPr="005F64AF">
        <w:rPr>
          <w:sz w:val="24"/>
          <w:szCs w:val="24"/>
        </w:rPr>
        <w:t xml:space="preserve"> has been assessed by a number of different psychiatrists over what is now a period of years. The psychiatrists who have assessed Mr </w:t>
      </w:r>
      <w:r w:rsidR="00613950">
        <w:rPr>
          <w:sz w:val="24"/>
          <w:szCs w:val="24"/>
        </w:rPr>
        <w:t>GG</w:t>
      </w:r>
      <w:r w:rsidRPr="005F64AF">
        <w:rPr>
          <w:sz w:val="24"/>
          <w:szCs w:val="24"/>
        </w:rPr>
        <w:t xml:space="preserve"> have expressed different opinions about the degree to which he is psychiatrically impaired and the extent to which this condition is caused by his placement in immigration detention. </w:t>
      </w:r>
    </w:p>
    <w:p w14:paraId="028B86D6" w14:textId="77777777" w:rsidR="005A5A86" w:rsidRPr="005F64AF" w:rsidRDefault="005A5A86" w:rsidP="00AE7382">
      <w:pPr>
        <w:numPr>
          <w:ilvl w:val="0"/>
          <w:numId w:val="19"/>
        </w:numPr>
        <w:tabs>
          <w:tab w:val="num" w:pos="1134"/>
        </w:tabs>
        <w:spacing w:before="240" w:after="240"/>
        <w:rPr>
          <w:sz w:val="24"/>
          <w:szCs w:val="24"/>
        </w:rPr>
      </w:pPr>
      <w:r w:rsidRPr="005F64AF">
        <w:rPr>
          <w:sz w:val="24"/>
          <w:szCs w:val="24"/>
        </w:rPr>
        <w:lastRenderedPageBreak/>
        <w:t>For example, in a report dated 24 November 2011</w:t>
      </w:r>
      <w:r w:rsidR="003B4CCD" w:rsidRPr="005F64AF">
        <w:rPr>
          <w:sz w:val="24"/>
          <w:szCs w:val="24"/>
        </w:rPr>
        <w:t>,</w:t>
      </w:r>
      <w:r w:rsidRPr="005F64AF">
        <w:rPr>
          <w:sz w:val="24"/>
          <w:szCs w:val="24"/>
        </w:rPr>
        <w:t xml:space="preserve"> Professor Jon Jureidini, Child Psychiatrist, states that Mr </w:t>
      </w:r>
      <w:r w:rsidR="00613950">
        <w:rPr>
          <w:sz w:val="24"/>
          <w:szCs w:val="24"/>
        </w:rPr>
        <w:t>GG</w:t>
      </w:r>
      <w:r w:rsidRPr="005F64AF">
        <w:rPr>
          <w:sz w:val="24"/>
          <w:szCs w:val="24"/>
        </w:rPr>
        <w:t xml:space="preserve"> ‘is clearly significantly psychiatrically impaired’. Professor Jureidini was of the view that Mr </w:t>
      </w:r>
      <w:r w:rsidR="00613950">
        <w:rPr>
          <w:sz w:val="24"/>
          <w:szCs w:val="24"/>
        </w:rPr>
        <w:t>GG</w:t>
      </w:r>
      <w:r w:rsidRPr="005F64AF">
        <w:rPr>
          <w:sz w:val="24"/>
          <w:szCs w:val="24"/>
        </w:rPr>
        <w:t xml:space="preserve"> clearly met the criteria for major depressive disorder and that his range of symptoms was such that his condition was considered severe. Professor Jureidini notes that Mr </w:t>
      </w:r>
      <w:r w:rsidR="00613950">
        <w:rPr>
          <w:sz w:val="24"/>
          <w:szCs w:val="24"/>
        </w:rPr>
        <w:t>GG</w:t>
      </w:r>
      <w:r w:rsidRPr="005F64AF">
        <w:rPr>
          <w:sz w:val="24"/>
          <w:szCs w:val="24"/>
        </w:rPr>
        <w:t xml:space="preserve"> appears to have experienced a period of depression </w:t>
      </w:r>
      <w:r w:rsidR="00BE3AE2" w:rsidRPr="005F64AF">
        <w:rPr>
          <w:sz w:val="24"/>
          <w:szCs w:val="24"/>
        </w:rPr>
        <w:t xml:space="preserve">while resident in </w:t>
      </w:r>
      <w:r w:rsidRPr="005F64AF">
        <w:rPr>
          <w:sz w:val="24"/>
          <w:szCs w:val="24"/>
        </w:rPr>
        <w:t xml:space="preserve">Indonesia </w:t>
      </w:r>
      <w:r w:rsidR="00BE3AE2" w:rsidRPr="005F64AF">
        <w:rPr>
          <w:sz w:val="24"/>
          <w:szCs w:val="24"/>
        </w:rPr>
        <w:t xml:space="preserve">before travelling to Christmas Island, </w:t>
      </w:r>
      <w:r w:rsidRPr="005F64AF">
        <w:rPr>
          <w:sz w:val="24"/>
          <w:szCs w:val="24"/>
        </w:rPr>
        <w:t xml:space="preserve">but considers that his condition at the time of assessment by Professor Jureidini was separate to whatever Mr </w:t>
      </w:r>
      <w:r w:rsidR="00613950">
        <w:rPr>
          <w:sz w:val="24"/>
          <w:szCs w:val="24"/>
        </w:rPr>
        <w:t>GG</w:t>
      </w:r>
      <w:r w:rsidRPr="005F64AF">
        <w:rPr>
          <w:sz w:val="24"/>
          <w:szCs w:val="24"/>
        </w:rPr>
        <w:t xml:space="preserve"> experienced in Indonesia.</w:t>
      </w:r>
    </w:p>
    <w:p w14:paraId="3DC07265" w14:textId="77777777" w:rsidR="005A5A86" w:rsidRPr="005F64AF" w:rsidRDefault="005A5A86" w:rsidP="00AE7382">
      <w:pPr>
        <w:numPr>
          <w:ilvl w:val="0"/>
          <w:numId w:val="19"/>
        </w:numPr>
        <w:tabs>
          <w:tab w:val="num" w:pos="1134"/>
        </w:tabs>
        <w:spacing w:before="240" w:after="240"/>
        <w:rPr>
          <w:sz w:val="24"/>
          <w:szCs w:val="24"/>
        </w:rPr>
      </w:pPr>
      <w:r w:rsidRPr="005F64AF">
        <w:rPr>
          <w:sz w:val="24"/>
          <w:szCs w:val="24"/>
        </w:rPr>
        <w:t xml:space="preserve">Conversely Dr Joel Aizentros, who examined Mr </w:t>
      </w:r>
      <w:r w:rsidR="00613950">
        <w:rPr>
          <w:sz w:val="24"/>
          <w:szCs w:val="24"/>
        </w:rPr>
        <w:t>GG</w:t>
      </w:r>
      <w:r w:rsidRPr="005F64AF">
        <w:rPr>
          <w:sz w:val="24"/>
          <w:szCs w:val="24"/>
        </w:rPr>
        <w:t xml:space="preserve"> on 23 December 2011, was of the opinion that Mr </w:t>
      </w:r>
      <w:r w:rsidR="00613950">
        <w:rPr>
          <w:sz w:val="24"/>
          <w:szCs w:val="24"/>
        </w:rPr>
        <w:t>GG</w:t>
      </w:r>
      <w:r w:rsidRPr="005F64AF">
        <w:rPr>
          <w:sz w:val="24"/>
          <w:szCs w:val="24"/>
        </w:rPr>
        <w:t xml:space="preserve"> was in remission from chronic adjustment disorder with anxious and depressed mood. However, Dr Aizentros was of the view that Mr </w:t>
      </w:r>
      <w:r w:rsidR="00613950">
        <w:rPr>
          <w:sz w:val="24"/>
          <w:szCs w:val="24"/>
        </w:rPr>
        <w:t>GG</w:t>
      </w:r>
      <w:r w:rsidRPr="005F64AF">
        <w:rPr>
          <w:sz w:val="24"/>
          <w:szCs w:val="24"/>
        </w:rPr>
        <w:t xml:space="preserve"> was at risk of developing a major depressive illness and/or Post Traumatic Stress Disorder. Dr Aizentros considered that Mr </w:t>
      </w:r>
      <w:r w:rsidR="00613950">
        <w:rPr>
          <w:sz w:val="24"/>
          <w:szCs w:val="24"/>
        </w:rPr>
        <w:t>GG</w:t>
      </w:r>
      <w:r w:rsidRPr="005F64AF">
        <w:rPr>
          <w:sz w:val="24"/>
          <w:szCs w:val="24"/>
        </w:rPr>
        <w:t xml:space="preserve">’s difficulties in Australian detention centres had aggravated his pre-existing psychological difficulties. Dr Aizentros was of the opinion that the manner and level of treatment that was being provided to Mr </w:t>
      </w:r>
      <w:r w:rsidR="00613950">
        <w:rPr>
          <w:sz w:val="24"/>
          <w:szCs w:val="24"/>
        </w:rPr>
        <w:t>GG</w:t>
      </w:r>
      <w:r w:rsidRPr="005F64AF">
        <w:rPr>
          <w:sz w:val="24"/>
          <w:szCs w:val="24"/>
        </w:rPr>
        <w:t xml:space="preserve"> at that time was sufficient to ensure his health and safety.</w:t>
      </w:r>
    </w:p>
    <w:p w14:paraId="1AF15E71" w14:textId="77777777" w:rsidR="005A5A86" w:rsidRPr="005F64AF" w:rsidRDefault="005A5A86" w:rsidP="00AE7382">
      <w:pPr>
        <w:numPr>
          <w:ilvl w:val="0"/>
          <w:numId w:val="19"/>
        </w:numPr>
        <w:tabs>
          <w:tab w:val="num" w:pos="2127"/>
        </w:tabs>
        <w:spacing w:before="240" w:after="240"/>
        <w:rPr>
          <w:sz w:val="24"/>
          <w:szCs w:val="24"/>
        </w:rPr>
      </w:pPr>
      <w:r w:rsidRPr="005F64AF">
        <w:rPr>
          <w:sz w:val="24"/>
          <w:szCs w:val="24"/>
        </w:rPr>
        <w:t>In the latest psychiatrist’s report that has been provided to the Commission, dated 17 May 2012</w:t>
      </w:r>
      <w:r w:rsidR="003B4CCD" w:rsidRPr="005F64AF">
        <w:rPr>
          <w:sz w:val="24"/>
          <w:szCs w:val="24"/>
        </w:rPr>
        <w:t>,</w:t>
      </w:r>
      <w:r w:rsidRPr="005F64AF">
        <w:rPr>
          <w:sz w:val="24"/>
          <w:szCs w:val="24"/>
        </w:rPr>
        <w:t xml:space="preserve"> Dr Roman Onilov states:</w:t>
      </w:r>
    </w:p>
    <w:p w14:paraId="38C0E60D" w14:textId="77777777" w:rsidR="005A5A86" w:rsidRPr="005F64AF" w:rsidRDefault="005A5A86" w:rsidP="00033A88">
      <w:pPr>
        <w:spacing w:before="240" w:after="240"/>
        <w:ind w:left="1440"/>
        <w:rPr>
          <w:sz w:val="22"/>
          <w:szCs w:val="24"/>
        </w:rPr>
      </w:pPr>
      <w:r w:rsidRPr="005F64AF">
        <w:rPr>
          <w:sz w:val="22"/>
          <w:szCs w:val="24"/>
        </w:rPr>
        <w:t>I still believe that he presents with Chronic Adjustment Disorder and maladaptive personality traits. No doubt that a number of presenting symptoms are conditioned by ongoing detention in low stimulus environment and ongoing stay in current APOD is contraindicated for his mental well being.</w:t>
      </w:r>
    </w:p>
    <w:p w14:paraId="5B4641C2" w14:textId="77777777" w:rsidR="005A5A86" w:rsidRPr="005F64AF" w:rsidRDefault="005A5A86" w:rsidP="00AE7382">
      <w:pPr>
        <w:numPr>
          <w:ilvl w:val="0"/>
          <w:numId w:val="19"/>
        </w:numPr>
        <w:tabs>
          <w:tab w:val="num" w:pos="1276"/>
        </w:tabs>
        <w:spacing w:before="240" w:after="240"/>
        <w:rPr>
          <w:sz w:val="24"/>
          <w:szCs w:val="24"/>
        </w:rPr>
      </w:pPr>
      <w:r w:rsidRPr="005F64AF">
        <w:rPr>
          <w:sz w:val="24"/>
          <w:szCs w:val="24"/>
        </w:rPr>
        <w:t xml:space="preserve">It may be expected that there have been fluctuations in Mr </w:t>
      </w:r>
      <w:r w:rsidR="00613950">
        <w:rPr>
          <w:sz w:val="24"/>
          <w:szCs w:val="24"/>
        </w:rPr>
        <w:t>GG</w:t>
      </w:r>
      <w:r w:rsidRPr="005F64AF">
        <w:rPr>
          <w:sz w:val="24"/>
          <w:szCs w:val="24"/>
        </w:rPr>
        <w:t xml:space="preserve">’s psychiatric health over time and that that is reflected in the opinions of the mental health professionals who have assessed him. However, it is not disputed that Mr </w:t>
      </w:r>
      <w:r w:rsidR="00613950">
        <w:rPr>
          <w:sz w:val="24"/>
          <w:szCs w:val="24"/>
        </w:rPr>
        <w:t>GG</w:t>
      </w:r>
      <w:r w:rsidRPr="005F64AF">
        <w:rPr>
          <w:sz w:val="24"/>
          <w:szCs w:val="24"/>
        </w:rPr>
        <w:t xml:space="preserve"> has engaged in serious acts of self-harm. Mr </w:t>
      </w:r>
      <w:r w:rsidR="00613950">
        <w:rPr>
          <w:sz w:val="24"/>
          <w:szCs w:val="24"/>
        </w:rPr>
        <w:t>GG</w:t>
      </w:r>
      <w:r w:rsidRPr="005F64AF">
        <w:rPr>
          <w:sz w:val="24"/>
          <w:szCs w:val="24"/>
        </w:rPr>
        <w:t xml:space="preserve"> sewed his lips together in July 2011 and attempted to hang himself in November 2011. Mr </w:t>
      </w:r>
      <w:r w:rsidR="00613950">
        <w:rPr>
          <w:sz w:val="24"/>
          <w:szCs w:val="24"/>
        </w:rPr>
        <w:t>GG</w:t>
      </w:r>
      <w:r w:rsidRPr="005F64AF">
        <w:rPr>
          <w:sz w:val="24"/>
          <w:szCs w:val="24"/>
        </w:rPr>
        <w:t xml:space="preserve"> has engaged in acts of self-cutting on several occasions whilst he has been in detention. The medical information before me indicates that these acts continue to occur on a reasonably frequent basis. </w:t>
      </w:r>
    </w:p>
    <w:p w14:paraId="3155A2CB" w14:textId="77777777" w:rsidR="005A5A86" w:rsidRPr="005F64AF" w:rsidRDefault="005A5A86" w:rsidP="00AE7382">
      <w:pPr>
        <w:numPr>
          <w:ilvl w:val="0"/>
          <w:numId w:val="19"/>
        </w:numPr>
        <w:tabs>
          <w:tab w:val="num" w:pos="1560"/>
        </w:tabs>
        <w:spacing w:before="240" w:after="240"/>
        <w:rPr>
          <w:sz w:val="24"/>
          <w:szCs w:val="24"/>
        </w:rPr>
      </w:pPr>
      <w:r w:rsidRPr="005F64AF">
        <w:rPr>
          <w:sz w:val="24"/>
          <w:szCs w:val="24"/>
        </w:rPr>
        <w:t xml:space="preserve">Whilst it appears that Mr </w:t>
      </w:r>
      <w:r w:rsidR="00613950">
        <w:rPr>
          <w:sz w:val="24"/>
          <w:szCs w:val="24"/>
        </w:rPr>
        <w:t>GG</w:t>
      </w:r>
      <w:r w:rsidRPr="005F64AF">
        <w:rPr>
          <w:sz w:val="24"/>
          <w:szCs w:val="24"/>
        </w:rPr>
        <w:t xml:space="preserve"> exhibited symptoms of mental illness before arriving in Australia, the information before me suggests that his condition has been exacerbated as a result of his detention by the Commonwealth. Whilst Mr </w:t>
      </w:r>
      <w:r w:rsidR="00613950">
        <w:rPr>
          <w:sz w:val="24"/>
          <w:szCs w:val="24"/>
        </w:rPr>
        <w:t>GG</w:t>
      </w:r>
      <w:r w:rsidRPr="005F64AF">
        <w:rPr>
          <w:sz w:val="24"/>
          <w:szCs w:val="24"/>
        </w:rPr>
        <w:t xml:space="preserve"> does not appear to be irreversibly psychologically impaired at this time, his detention is continuing and is having serious adverse effects on his mental health. </w:t>
      </w:r>
    </w:p>
    <w:p w14:paraId="3D530E21" w14:textId="77777777" w:rsidR="0084097D" w:rsidRPr="005F64AF" w:rsidRDefault="0084097D" w:rsidP="00AE7382">
      <w:pPr>
        <w:numPr>
          <w:ilvl w:val="0"/>
          <w:numId w:val="19"/>
        </w:numPr>
        <w:spacing w:before="240" w:after="240"/>
        <w:rPr>
          <w:sz w:val="24"/>
          <w:szCs w:val="24"/>
        </w:rPr>
      </w:pPr>
      <w:r w:rsidRPr="005F64AF">
        <w:rPr>
          <w:sz w:val="24"/>
          <w:szCs w:val="24"/>
        </w:rPr>
        <w:t xml:space="preserve">The </w:t>
      </w:r>
      <w:r w:rsidR="00570731" w:rsidRPr="005F64AF">
        <w:rPr>
          <w:sz w:val="24"/>
          <w:szCs w:val="24"/>
        </w:rPr>
        <w:t>UN</w:t>
      </w:r>
      <w:r w:rsidRPr="005F64AF">
        <w:rPr>
          <w:sz w:val="24"/>
          <w:szCs w:val="24"/>
        </w:rPr>
        <w:t xml:space="preserve"> Human Rights Committee has recently expressly considered claims of violations of article 7 of the ICCPR by a number of </w:t>
      </w:r>
      <w:r w:rsidR="0068057C" w:rsidRPr="005F64AF">
        <w:rPr>
          <w:sz w:val="24"/>
          <w:szCs w:val="24"/>
        </w:rPr>
        <w:t>asylum seekers detained in Australia as a result of receiving adverse security assessments, who have, in consequence, suffered psychological harm.</w:t>
      </w:r>
      <w:r w:rsidR="00E727D7" w:rsidRPr="005F64AF">
        <w:rPr>
          <w:sz w:val="24"/>
          <w:szCs w:val="24"/>
        </w:rPr>
        <w:t xml:space="preserve"> </w:t>
      </w:r>
      <w:r w:rsidR="0068057C" w:rsidRPr="005F64AF">
        <w:rPr>
          <w:sz w:val="24"/>
          <w:szCs w:val="24"/>
        </w:rPr>
        <w:t>The Committee stated:</w:t>
      </w:r>
      <w:r w:rsidR="00E727D7" w:rsidRPr="005F64AF">
        <w:rPr>
          <w:sz w:val="24"/>
          <w:szCs w:val="24"/>
        </w:rPr>
        <w:t xml:space="preserve"> </w:t>
      </w:r>
    </w:p>
    <w:p w14:paraId="3651CD4C" w14:textId="77777777" w:rsidR="0068057C" w:rsidRPr="005F64AF" w:rsidRDefault="0068057C" w:rsidP="0068057C">
      <w:pPr>
        <w:pStyle w:val="ListParagraph"/>
        <w:tabs>
          <w:tab w:val="num" w:pos="1843"/>
        </w:tabs>
        <w:spacing w:before="240" w:after="240"/>
        <w:ind w:left="1440"/>
        <w:rPr>
          <w:sz w:val="22"/>
          <w:szCs w:val="24"/>
        </w:rPr>
      </w:pPr>
      <w:r w:rsidRPr="005F64AF">
        <w:rPr>
          <w:sz w:val="22"/>
          <w:szCs w:val="24"/>
        </w:rPr>
        <w:t>… the combination of the arbitrary character of the authors’ detention, its protracted and/or indefinite duration, the refusal to provide information and procedural rights to the authors and the difficult conditions of detention are cumulatively inflicting serious psychological harm upon them, and constitute treatment contrary to article 7 of the Covenant.</w:t>
      </w:r>
      <w:r w:rsidRPr="005F64AF">
        <w:rPr>
          <w:rStyle w:val="EndnoteReference"/>
          <w:szCs w:val="24"/>
        </w:rPr>
        <w:endnoteReference w:id="30"/>
      </w:r>
    </w:p>
    <w:p w14:paraId="7B3DB71F" w14:textId="77777777" w:rsidR="0068057C" w:rsidRPr="005F64AF" w:rsidRDefault="0068057C" w:rsidP="00AE7382">
      <w:pPr>
        <w:numPr>
          <w:ilvl w:val="0"/>
          <w:numId w:val="19"/>
        </w:numPr>
        <w:spacing w:before="240" w:after="240"/>
        <w:rPr>
          <w:sz w:val="24"/>
          <w:szCs w:val="24"/>
        </w:rPr>
      </w:pPr>
      <w:r w:rsidRPr="005F64AF">
        <w:rPr>
          <w:sz w:val="24"/>
          <w:szCs w:val="24"/>
        </w:rPr>
        <w:lastRenderedPageBreak/>
        <w:t>Based on all of the information before me</w:t>
      </w:r>
      <w:r w:rsidR="00FC61BA">
        <w:rPr>
          <w:sz w:val="24"/>
          <w:szCs w:val="24"/>
        </w:rPr>
        <w:t>, I find</w:t>
      </w:r>
      <w:r w:rsidRPr="005F64AF">
        <w:rPr>
          <w:sz w:val="24"/>
          <w:szCs w:val="24"/>
        </w:rPr>
        <w:t xml:space="preserve"> that the same reasoning applies to Mr </w:t>
      </w:r>
      <w:r w:rsidR="00613950">
        <w:rPr>
          <w:sz w:val="24"/>
          <w:szCs w:val="24"/>
        </w:rPr>
        <w:t>GG</w:t>
      </w:r>
      <w:r w:rsidRPr="005F64AF">
        <w:rPr>
          <w:sz w:val="24"/>
          <w:szCs w:val="24"/>
        </w:rPr>
        <w:t xml:space="preserve">. </w:t>
      </w:r>
      <w:r w:rsidR="009D05D0" w:rsidRPr="005F64AF">
        <w:rPr>
          <w:sz w:val="24"/>
          <w:szCs w:val="24"/>
        </w:rPr>
        <w:t xml:space="preserve">As a result, </w:t>
      </w:r>
      <w:r w:rsidR="00CD743F">
        <w:rPr>
          <w:sz w:val="24"/>
          <w:szCs w:val="24"/>
        </w:rPr>
        <w:t>I find</w:t>
      </w:r>
      <w:r w:rsidRPr="005F64AF">
        <w:rPr>
          <w:sz w:val="24"/>
          <w:szCs w:val="24"/>
        </w:rPr>
        <w:t xml:space="preserve"> </w:t>
      </w:r>
      <w:r w:rsidR="009D05D0" w:rsidRPr="005F64AF">
        <w:rPr>
          <w:sz w:val="24"/>
          <w:szCs w:val="24"/>
        </w:rPr>
        <w:t xml:space="preserve">that </w:t>
      </w:r>
      <w:r w:rsidRPr="005F64AF">
        <w:rPr>
          <w:sz w:val="24"/>
          <w:szCs w:val="24"/>
        </w:rPr>
        <w:t xml:space="preserve">Mr </w:t>
      </w:r>
      <w:r w:rsidR="00613950">
        <w:rPr>
          <w:sz w:val="24"/>
          <w:szCs w:val="24"/>
        </w:rPr>
        <w:t>GG</w:t>
      </w:r>
      <w:r w:rsidRPr="005F64AF">
        <w:rPr>
          <w:sz w:val="24"/>
          <w:szCs w:val="24"/>
        </w:rPr>
        <w:t>’s continued detention amounts to cruel, inhuman or degrading treatment within the meaning of article 7 of the ICCPR.</w:t>
      </w:r>
    </w:p>
    <w:p w14:paraId="09A70A4A" w14:textId="77777777" w:rsidR="00A24194" w:rsidRPr="00A24194" w:rsidRDefault="00045A7E" w:rsidP="00A24194">
      <w:pPr>
        <w:pStyle w:val="Heading1"/>
      </w:pPr>
      <w:bookmarkStart w:id="21" w:name="_Toc282704184"/>
      <w:r w:rsidRPr="00045A7E">
        <w:t xml:space="preserve">Conclusions and </w:t>
      </w:r>
      <w:r w:rsidR="00A24194">
        <w:t>Recommendations</w:t>
      </w:r>
      <w:bookmarkEnd w:id="21"/>
    </w:p>
    <w:p w14:paraId="68426D41" w14:textId="77777777" w:rsidR="00A24194" w:rsidRPr="00A24194" w:rsidRDefault="00A24194" w:rsidP="00A24194">
      <w:pPr>
        <w:pStyle w:val="Heading2"/>
      </w:pPr>
      <w:bookmarkStart w:id="22" w:name="_Toc282704185"/>
      <w:r>
        <w:t>Conclusions</w:t>
      </w:r>
      <w:bookmarkEnd w:id="22"/>
    </w:p>
    <w:p w14:paraId="5766558A" w14:textId="77777777" w:rsidR="00065C3F" w:rsidRDefault="00A24194" w:rsidP="00AE7382">
      <w:pPr>
        <w:numPr>
          <w:ilvl w:val="0"/>
          <w:numId w:val="19"/>
        </w:numPr>
        <w:spacing w:before="240" w:after="240"/>
        <w:rPr>
          <w:sz w:val="24"/>
          <w:szCs w:val="24"/>
        </w:rPr>
      </w:pPr>
      <w:bookmarkStart w:id="23" w:name="OLE_LINK1"/>
      <w:r w:rsidRPr="00A24194">
        <w:rPr>
          <w:sz w:val="24"/>
          <w:szCs w:val="24"/>
        </w:rPr>
        <w:t>I find that the following acts amount to a breach of article 9(1) of the ICCPR:</w:t>
      </w:r>
    </w:p>
    <w:p w14:paraId="0BEC83CD" w14:textId="77777777" w:rsidR="00065C3F" w:rsidRPr="00065C3F" w:rsidRDefault="00065C3F" w:rsidP="00AE7382">
      <w:pPr>
        <w:numPr>
          <w:ilvl w:val="1"/>
          <w:numId w:val="19"/>
        </w:numPr>
        <w:spacing w:before="240" w:after="240"/>
        <w:ind w:left="1276" w:hanging="567"/>
        <w:rPr>
          <w:sz w:val="32"/>
          <w:szCs w:val="24"/>
        </w:rPr>
      </w:pPr>
      <w:r w:rsidRPr="00065C3F">
        <w:rPr>
          <w:sz w:val="24"/>
        </w:rPr>
        <w:t xml:space="preserve">the failure by the department to ask ASIO to assess the complainants’ individual suitability for community based detention while awaiting their security clearance (either at all, or for </w:t>
      </w:r>
      <w:r w:rsidR="003614C7">
        <w:rPr>
          <w:sz w:val="24"/>
        </w:rPr>
        <w:t>an extended period</w:t>
      </w:r>
      <w:r w:rsidRPr="00065C3F">
        <w:rPr>
          <w:sz w:val="24"/>
        </w:rPr>
        <w:t xml:space="preserve"> without reasonable explanation)</w:t>
      </w:r>
      <w:r w:rsidR="006321D3">
        <w:rPr>
          <w:sz w:val="24"/>
        </w:rPr>
        <w:t>; and</w:t>
      </w:r>
    </w:p>
    <w:p w14:paraId="0B88FBD5" w14:textId="77777777" w:rsidR="00065C3F" w:rsidRPr="00065C3F" w:rsidRDefault="00065C3F" w:rsidP="00AE7382">
      <w:pPr>
        <w:numPr>
          <w:ilvl w:val="1"/>
          <w:numId w:val="19"/>
        </w:numPr>
        <w:spacing w:before="240" w:after="240"/>
        <w:ind w:left="1276" w:hanging="567"/>
        <w:rPr>
          <w:sz w:val="32"/>
          <w:szCs w:val="24"/>
        </w:rPr>
      </w:pPr>
      <w:r w:rsidRPr="00065C3F">
        <w:rPr>
          <w:sz w:val="24"/>
        </w:rPr>
        <w:t>the failure to assess on an individual basis whether the circumstances of each individual complainant indicated that they could be placed in less restrictive forms of detention.</w:t>
      </w:r>
    </w:p>
    <w:bookmarkEnd w:id="23"/>
    <w:p w14:paraId="2131E23D" w14:textId="77777777" w:rsidR="00A24194" w:rsidRPr="00A24194" w:rsidRDefault="00A24194" w:rsidP="00AE7382">
      <w:pPr>
        <w:numPr>
          <w:ilvl w:val="0"/>
          <w:numId w:val="19"/>
        </w:numPr>
        <w:spacing w:before="240" w:after="240"/>
        <w:rPr>
          <w:sz w:val="24"/>
          <w:szCs w:val="24"/>
        </w:rPr>
      </w:pPr>
      <w:r w:rsidRPr="00A24194">
        <w:rPr>
          <w:sz w:val="24"/>
          <w:szCs w:val="24"/>
        </w:rPr>
        <w:t>The failure to take these steps raises the real possibility that each of the complainants was either detained unnecessarily or detained in a more restrictive way than their circumstances required. The detention of the complainants in these circumstances was arbitrary.</w:t>
      </w:r>
    </w:p>
    <w:p w14:paraId="11C0F90F" w14:textId="77777777" w:rsidR="00841D1C" w:rsidRPr="00841D1C" w:rsidRDefault="00841D1C" w:rsidP="00AE7382">
      <w:pPr>
        <w:numPr>
          <w:ilvl w:val="0"/>
          <w:numId w:val="19"/>
        </w:numPr>
        <w:spacing w:before="240" w:after="240"/>
        <w:rPr>
          <w:sz w:val="24"/>
          <w:szCs w:val="24"/>
        </w:rPr>
      </w:pPr>
      <w:r w:rsidRPr="00841D1C">
        <w:rPr>
          <w:sz w:val="24"/>
          <w:szCs w:val="24"/>
        </w:rPr>
        <w:t xml:space="preserve">I find that Mr </w:t>
      </w:r>
      <w:r w:rsidR="00613950">
        <w:rPr>
          <w:sz w:val="24"/>
          <w:szCs w:val="24"/>
        </w:rPr>
        <w:t>GG</w:t>
      </w:r>
      <w:r w:rsidRPr="00841D1C">
        <w:rPr>
          <w:sz w:val="24"/>
          <w:szCs w:val="24"/>
        </w:rPr>
        <w:t xml:space="preserve">’s continued detention in an immigration detention facility amounts to cruel, inhuman or degrading treatment within the meaning of article 7 of the ICCPR and is therefore inconsistent with or contrary to the rights recognised in that article. </w:t>
      </w:r>
    </w:p>
    <w:p w14:paraId="331F5F16" w14:textId="77777777" w:rsidR="00841D1C" w:rsidRPr="00841D1C" w:rsidRDefault="00841D1C" w:rsidP="00AE7382">
      <w:pPr>
        <w:numPr>
          <w:ilvl w:val="0"/>
          <w:numId w:val="19"/>
        </w:numPr>
        <w:spacing w:before="240" w:after="240"/>
        <w:rPr>
          <w:sz w:val="24"/>
          <w:szCs w:val="24"/>
        </w:rPr>
      </w:pPr>
      <w:r w:rsidRPr="00841D1C">
        <w:rPr>
          <w:sz w:val="24"/>
          <w:szCs w:val="24"/>
        </w:rPr>
        <w:t xml:space="preserve">I find that Mr </w:t>
      </w:r>
      <w:r w:rsidR="00613950">
        <w:rPr>
          <w:sz w:val="24"/>
          <w:szCs w:val="24"/>
        </w:rPr>
        <w:t>GE</w:t>
      </w:r>
      <w:r w:rsidRPr="00841D1C">
        <w:rPr>
          <w:sz w:val="24"/>
          <w:szCs w:val="24"/>
        </w:rPr>
        <w:t xml:space="preserve">’s complaint that the location of his detention in immigration detention facilities interfered with his family in a manner inconsistent with the rights recognised in articles 17(1) and 23(1) of the ICCPR has not been substantiated. </w:t>
      </w:r>
    </w:p>
    <w:p w14:paraId="558F9007" w14:textId="77777777" w:rsidR="00A24194" w:rsidRPr="00A24194" w:rsidRDefault="00A24194" w:rsidP="00AE7382">
      <w:pPr>
        <w:numPr>
          <w:ilvl w:val="0"/>
          <w:numId w:val="19"/>
        </w:numPr>
        <w:spacing w:before="240" w:after="240"/>
        <w:rPr>
          <w:sz w:val="24"/>
          <w:szCs w:val="24"/>
        </w:rPr>
      </w:pPr>
      <w:r w:rsidRPr="00A24194">
        <w:rPr>
          <w:sz w:val="24"/>
          <w:szCs w:val="24"/>
        </w:rPr>
        <w:t xml:space="preserve">Where, after conducting an inquiry, the Commission finds that an act or practice engaged in by a respondent is inconsistent with or contrary to any human right, the Commission is required to serve notice on the respondent setting out its findings and reasons for those </w:t>
      </w:r>
      <w:r w:rsidR="002A5323">
        <w:rPr>
          <w:sz w:val="24"/>
          <w:szCs w:val="24"/>
        </w:rPr>
        <w:t>findings.</w:t>
      </w:r>
      <w:r w:rsidR="002A5323">
        <w:rPr>
          <w:rStyle w:val="EndnoteReference"/>
          <w:szCs w:val="24"/>
        </w:rPr>
        <w:endnoteReference w:id="31"/>
      </w:r>
      <w:r w:rsidRPr="00A24194">
        <w:rPr>
          <w:sz w:val="24"/>
          <w:szCs w:val="24"/>
        </w:rPr>
        <w:t xml:space="preserve"> The Commission may include in the notice any recommendations for preventing a repetition of the act or a</w:t>
      </w:r>
      <w:r w:rsidR="002A5323">
        <w:rPr>
          <w:sz w:val="24"/>
          <w:szCs w:val="24"/>
        </w:rPr>
        <w:t xml:space="preserve"> continuation of the practice.</w:t>
      </w:r>
      <w:r w:rsidR="002A5323">
        <w:rPr>
          <w:rStyle w:val="EndnoteReference"/>
          <w:szCs w:val="24"/>
        </w:rPr>
        <w:endnoteReference w:id="32"/>
      </w:r>
    </w:p>
    <w:p w14:paraId="7F954FDB" w14:textId="77777777" w:rsidR="00DA6A63" w:rsidRPr="00A24194" w:rsidRDefault="001D5BB3" w:rsidP="00DA6A63">
      <w:pPr>
        <w:pStyle w:val="Heading2"/>
      </w:pPr>
      <w:bookmarkStart w:id="24" w:name="_Toc282704186"/>
      <w:r>
        <w:t>Independent review process</w:t>
      </w:r>
      <w:bookmarkEnd w:id="24"/>
    </w:p>
    <w:p w14:paraId="1E25734E" w14:textId="77777777" w:rsidR="0098390B" w:rsidRDefault="00DF76E3" w:rsidP="00AE7382">
      <w:pPr>
        <w:numPr>
          <w:ilvl w:val="0"/>
          <w:numId w:val="19"/>
        </w:numPr>
        <w:spacing w:before="240" w:after="240"/>
        <w:rPr>
          <w:sz w:val="24"/>
          <w:szCs w:val="24"/>
        </w:rPr>
      </w:pPr>
      <w:r w:rsidRPr="00DF76E3">
        <w:rPr>
          <w:sz w:val="24"/>
          <w:szCs w:val="24"/>
        </w:rPr>
        <w:t xml:space="preserve">Before making my recommendations in relation to the present inquiry, I note the </w:t>
      </w:r>
      <w:r w:rsidR="004744E9">
        <w:rPr>
          <w:sz w:val="24"/>
          <w:szCs w:val="24"/>
        </w:rPr>
        <w:t xml:space="preserve">submissions made by the Commonwealth with regard to the review of the complainants’ adverse security assessments by the </w:t>
      </w:r>
      <w:r w:rsidR="0098390B">
        <w:rPr>
          <w:sz w:val="24"/>
          <w:szCs w:val="24"/>
        </w:rPr>
        <w:t>Independent Reviewer of Security Assessment</w:t>
      </w:r>
      <w:r w:rsidR="00ED4EB0">
        <w:rPr>
          <w:sz w:val="24"/>
          <w:szCs w:val="24"/>
        </w:rPr>
        <w:t>s</w:t>
      </w:r>
      <w:r w:rsidR="0098390B">
        <w:rPr>
          <w:sz w:val="24"/>
          <w:szCs w:val="24"/>
        </w:rPr>
        <w:t xml:space="preserve">. </w:t>
      </w:r>
    </w:p>
    <w:p w14:paraId="1DC53CCC" w14:textId="77777777" w:rsidR="00D967EA" w:rsidRDefault="00D967EA" w:rsidP="00AE7382">
      <w:pPr>
        <w:numPr>
          <w:ilvl w:val="0"/>
          <w:numId w:val="19"/>
        </w:numPr>
        <w:spacing w:before="240" w:after="240"/>
        <w:rPr>
          <w:sz w:val="24"/>
          <w:szCs w:val="24"/>
        </w:rPr>
      </w:pPr>
      <w:r>
        <w:rPr>
          <w:sz w:val="24"/>
          <w:szCs w:val="24"/>
        </w:rPr>
        <w:t xml:space="preserve">The Commission has welcomed the introduction of the independent review process. </w:t>
      </w:r>
      <w:r w:rsidR="0098390B">
        <w:rPr>
          <w:sz w:val="24"/>
          <w:szCs w:val="24"/>
        </w:rPr>
        <w:t xml:space="preserve">I </w:t>
      </w:r>
      <w:r w:rsidR="00ED4EB0">
        <w:rPr>
          <w:sz w:val="24"/>
          <w:szCs w:val="24"/>
        </w:rPr>
        <w:t xml:space="preserve">have previously </w:t>
      </w:r>
      <w:r w:rsidR="0098390B">
        <w:rPr>
          <w:sz w:val="24"/>
          <w:szCs w:val="24"/>
        </w:rPr>
        <w:t xml:space="preserve">discussed </w:t>
      </w:r>
      <w:r w:rsidR="00ED4EB0">
        <w:rPr>
          <w:sz w:val="24"/>
          <w:szCs w:val="24"/>
        </w:rPr>
        <w:t>that</w:t>
      </w:r>
      <w:r w:rsidR="0098390B">
        <w:rPr>
          <w:sz w:val="24"/>
          <w:szCs w:val="24"/>
        </w:rPr>
        <w:t xml:space="preserve"> process in Commission report [2013] AusHRC 64.</w:t>
      </w:r>
      <w:r w:rsidR="0098390B">
        <w:rPr>
          <w:rStyle w:val="EndnoteReference"/>
          <w:szCs w:val="24"/>
        </w:rPr>
        <w:endnoteReference w:id="33"/>
      </w:r>
      <w:r>
        <w:rPr>
          <w:sz w:val="24"/>
          <w:szCs w:val="24"/>
        </w:rPr>
        <w:t xml:space="preserve"> </w:t>
      </w:r>
    </w:p>
    <w:p w14:paraId="32BA2033" w14:textId="77777777" w:rsidR="001C3A8D" w:rsidRDefault="00DF76E3" w:rsidP="00AE7382">
      <w:pPr>
        <w:numPr>
          <w:ilvl w:val="0"/>
          <w:numId w:val="19"/>
        </w:numPr>
        <w:spacing w:before="240" w:after="240"/>
        <w:rPr>
          <w:sz w:val="24"/>
          <w:szCs w:val="24"/>
        </w:rPr>
      </w:pPr>
      <w:r w:rsidRPr="00DF76E3">
        <w:rPr>
          <w:sz w:val="24"/>
          <w:szCs w:val="24"/>
        </w:rPr>
        <w:lastRenderedPageBreak/>
        <w:t>Under the Government’s terms of reference, the primary review function of</w:t>
      </w:r>
      <w:r w:rsidR="001C3A8D">
        <w:rPr>
          <w:sz w:val="24"/>
          <w:szCs w:val="24"/>
        </w:rPr>
        <w:t xml:space="preserve"> the Independent Reviewer is to</w:t>
      </w:r>
      <w:r w:rsidR="004744E9">
        <w:rPr>
          <w:sz w:val="24"/>
          <w:szCs w:val="24"/>
        </w:rPr>
        <w:t>:</w:t>
      </w:r>
    </w:p>
    <w:p w14:paraId="2971FFF2" w14:textId="77777777" w:rsidR="00DF76E3" w:rsidRPr="001C3A8D" w:rsidRDefault="00DF76E3" w:rsidP="003363FA">
      <w:pPr>
        <w:pStyle w:val="ListParagraph"/>
        <w:numPr>
          <w:ilvl w:val="0"/>
          <w:numId w:val="10"/>
        </w:numPr>
        <w:spacing w:before="120" w:after="120"/>
        <w:ind w:left="1134" w:hanging="425"/>
        <w:contextualSpacing w:val="0"/>
        <w:rPr>
          <w:sz w:val="24"/>
          <w:szCs w:val="24"/>
        </w:rPr>
      </w:pPr>
      <w:r w:rsidRPr="001C3A8D">
        <w:rPr>
          <w:sz w:val="24"/>
          <w:szCs w:val="24"/>
        </w:rPr>
        <w:t>conduct an independent review of each relevant adverse security assessment;</w:t>
      </w:r>
    </w:p>
    <w:p w14:paraId="1574C254" w14:textId="77777777" w:rsidR="00DF76E3" w:rsidRPr="001C3A8D" w:rsidRDefault="00DF76E3" w:rsidP="003363FA">
      <w:pPr>
        <w:pStyle w:val="ListParagraph"/>
        <w:numPr>
          <w:ilvl w:val="0"/>
          <w:numId w:val="10"/>
        </w:numPr>
        <w:spacing w:before="120" w:after="120"/>
        <w:ind w:left="1134" w:hanging="425"/>
        <w:contextualSpacing w:val="0"/>
        <w:rPr>
          <w:sz w:val="24"/>
          <w:szCs w:val="24"/>
        </w:rPr>
      </w:pPr>
      <w:r w:rsidRPr="001C3A8D">
        <w:rPr>
          <w:sz w:val="24"/>
          <w:szCs w:val="24"/>
        </w:rPr>
        <w:t>examine all of the ASIO material that was relied upon by ASIO in making the adverse security assessment;</w:t>
      </w:r>
    </w:p>
    <w:p w14:paraId="3B4FDB12" w14:textId="77777777" w:rsidR="00DF76E3" w:rsidRPr="001C3A8D" w:rsidRDefault="00DF76E3" w:rsidP="003363FA">
      <w:pPr>
        <w:pStyle w:val="ListParagraph"/>
        <w:numPr>
          <w:ilvl w:val="0"/>
          <w:numId w:val="10"/>
        </w:numPr>
        <w:spacing w:before="120" w:after="120"/>
        <w:ind w:left="1134" w:hanging="425"/>
        <w:contextualSpacing w:val="0"/>
        <w:rPr>
          <w:sz w:val="24"/>
          <w:szCs w:val="24"/>
        </w:rPr>
      </w:pPr>
      <w:r w:rsidRPr="001C3A8D">
        <w:rPr>
          <w:sz w:val="24"/>
          <w:szCs w:val="24"/>
        </w:rPr>
        <w:t>form and record in writing an opinion as to whether the assessment is an appropriate outcome based on the material ASIO relied upon (including any new material) and provide such opinion to the Director-General of ASIO, including recommendations as appropriate;</w:t>
      </w:r>
    </w:p>
    <w:p w14:paraId="0194111E" w14:textId="77777777" w:rsidR="00DF76E3" w:rsidRPr="001C3A8D" w:rsidRDefault="00DF76E3" w:rsidP="003363FA">
      <w:pPr>
        <w:pStyle w:val="ListParagraph"/>
        <w:numPr>
          <w:ilvl w:val="0"/>
          <w:numId w:val="10"/>
        </w:numPr>
        <w:spacing w:before="120" w:after="120"/>
        <w:ind w:left="1134" w:hanging="425"/>
        <w:contextualSpacing w:val="0"/>
        <w:rPr>
          <w:sz w:val="24"/>
          <w:szCs w:val="24"/>
        </w:rPr>
      </w:pPr>
      <w:r w:rsidRPr="001C3A8D">
        <w:rPr>
          <w:sz w:val="24"/>
          <w:szCs w:val="24"/>
        </w:rPr>
        <w:t>provide a copy of that written opinion to the Attorney-General,</w:t>
      </w:r>
      <w:r w:rsidR="001E6F50">
        <w:rPr>
          <w:sz w:val="24"/>
          <w:szCs w:val="24"/>
        </w:rPr>
        <w:t xml:space="preserve"> the Minister and the Inspector-</w:t>
      </w:r>
      <w:r w:rsidRPr="001C3A8D">
        <w:rPr>
          <w:sz w:val="24"/>
          <w:szCs w:val="24"/>
        </w:rPr>
        <w:t xml:space="preserve">General of Intelligence and Security; and </w:t>
      </w:r>
    </w:p>
    <w:p w14:paraId="28615BA1" w14:textId="77777777" w:rsidR="00DF76E3" w:rsidRPr="001C3A8D" w:rsidRDefault="00DF76E3" w:rsidP="003363FA">
      <w:pPr>
        <w:pStyle w:val="ListParagraph"/>
        <w:numPr>
          <w:ilvl w:val="0"/>
          <w:numId w:val="10"/>
        </w:numPr>
        <w:spacing w:before="120" w:after="120"/>
        <w:ind w:left="1134" w:hanging="425"/>
        <w:contextualSpacing w:val="0"/>
        <w:rPr>
          <w:sz w:val="24"/>
          <w:szCs w:val="24"/>
        </w:rPr>
      </w:pPr>
      <w:r w:rsidRPr="001C3A8D">
        <w:rPr>
          <w:sz w:val="24"/>
          <w:szCs w:val="24"/>
        </w:rPr>
        <w:t xml:space="preserve">advise the subject of the security assessment in writing of the outcome of the review. </w:t>
      </w:r>
    </w:p>
    <w:p w14:paraId="3A04FE04" w14:textId="77777777" w:rsidR="00ED4EB0" w:rsidRDefault="00ED4EB0" w:rsidP="00AE7382">
      <w:pPr>
        <w:numPr>
          <w:ilvl w:val="0"/>
          <w:numId w:val="19"/>
        </w:numPr>
        <w:spacing w:before="240" w:after="240"/>
        <w:rPr>
          <w:sz w:val="24"/>
          <w:szCs w:val="24"/>
        </w:rPr>
      </w:pPr>
      <w:r>
        <w:rPr>
          <w:sz w:val="24"/>
          <w:szCs w:val="24"/>
        </w:rPr>
        <w:t>All the complainants have had, or are in the process of having, their security assessments reviewed by the Independent Reviewer</w:t>
      </w:r>
      <w:r w:rsidR="00F22F81">
        <w:rPr>
          <w:sz w:val="24"/>
          <w:szCs w:val="24"/>
        </w:rPr>
        <w:t>.</w:t>
      </w:r>
      <w:r>
        <w:rPr>
          <w:sz w:val="24"/>
          <w:szCs w:val="24"/>
        </w:rPr>
        <w:t xml:space="preserve"> </w:t>
      </w:r>
      <w:r w:rsidRPr="00ED4EB0">
        <w:rPr>
          <w:sz w:val="24"/>
          <w:szCs w:val="24"/>
        </w:rPr>
        <w:t xml:space="preserve">On 2 June 2014, the department provided the following </w:t>
      </w:r>
      <w:r>
        <w:rPr>
          <w:sz w:val="24"/>
          <w:szCs w:val="24"/>
        </w:rPr>
        <w:t>update of their reviews:</w:t>
      </w:r>
    </w:p>
    <w:p w14:paraId="6C91AC37" w14:textId="77777777" w:rsidR="00F22F81" w:rsidRDefault="00F22F81" w:rsidP="003363FA">
      <w:pPr>
        <w:pStyle w:val="ListParagraph"/>
        <w:numPr>
          <w:ilvl w:val="0"/>
          <w:numId w:val="11"/>
        </w:numPr>
        <w:spacing w:before="120" w:after="120"/>
        <w:ind w:left="1417" w:hanging="357"/>
        <w:contextualSpacing w:val="0"/>
        <w:rPr>
          <w:sz w:val="22"/>
          <w:szCs w:val="24"/>
        </w:rPr>
      </w:pPr>
      <w:r>
        <w:rPr>
          <w:sz w:val="22"/>
          <w:szCs w:val="24"/>
        </w:rPr>
        <w:t xml:space="preserve">Mr </w:t>
      </w:r>
      <w:r w:rsidR="0039144D">
        <w:rPr>
          <w:sz w:val="22"/>
          <w:szCs w:val="24"/>
        </w:rPr>
        <w:t>GA</w:t>
      </w:r>
      <w:r>
        <w:rPr>
          <w:sz w:val="22"/>
          <w:szCs w:val="24"/>
        </w:rPr>
        <w:t xml:space="preserve">’s security assessment </w:t>
      </w:r>
      <w:r w:rsidR="00CD7853">
        <w:rPr>
          <w:sz w:val="22"/>
          <w:szCs w:val="24"/>
        </w:rPr>
        <w:t xml:space="preserve">was reviewed in December 2013. </w:t>
      </w:r>
      <w:r>
        <w:rPr>
          <w:sz w:val="22"/>
          <w:szCs w:val="24"/>
        </w:rPr>
        <w:t>Following the outcome of that review, he was subsequently granted a Removal Pending Bridging visa and now resides in the community.</w:t>
      </w:r>
    </w:p>
    <w:p w14:paraId="2B88AA86" w14:textId="77777777" w:rsidR="00F22F81" w:rsidRDefault="00F22F81" w:rsidP="003363FA">
      <w:pPr>
        <w:pStyle w:val="ListParagraph"/>
        <w:numPr>
          <w:ilvl w:val="0"/>
          <w:numId w:val="11"/>
        </w:numPr>
        <w:spacing w:before="120" w:after="120"/>
        <w:ind w:left="1417" w:hanging="357"/>
        <w:contextualSpacing w:val="0"/>
        <w:rPr>
          <w:sz w:val="22"/>
          <w:szCs w:val="24"/>
        </w:rPr>
      </w:pPr>
      <w:r>
        <w:rPr>
          <w:sz w:val="22"/>
          <w:szCs w:val="24"/>
        </w:rPr>
        <w:t xml:space="preserve">Mr </w:t>
      </w:r>
      <w:r w:rsidR="0039144D">
        <w:rPr>
          <w:sz w:val="22"/>
          <w:szCs w:val="24"/>
        </w:rPr>
        <w:t>GB</w:t>
      </w:r>
      <w:r>
        <w:rPr>
          <w:sz w:val="22"/>
          <w:szCs w:val="24"/>
        </w:rPr>
        <w:t xml:space="preserve"> is currently scheduled to provide oral submissions as part of the review of his security assessment in October 2014</w:t>
      </w:r>
      <w:r w:rsidR="00CD7853">
        <w:rPr>
          <w:sz w:val="22"/>
          <w:szCs w:val="24"/>
        </w:rPr>
        <w:t>….</w:t>
      </w:r>
    </w:p>
    <w:p w14:paraId="3502A9ED" w14:textId="77777777" w:rsidR="00CD7853" w:rsidRDefault="00CD7853" w:rsidP="003363FA">
      <w:pPr>
        <w:pStyle w:val="ListParagraph"/>
        <w:numPr>
          <w:ilvl w:val="0"/>
          <w:numId w:val="11"/>
        </w:numPr>
        <w:spacing w:before="120" w:after="120"/>
        <w:ind w:left="1417" w:hanging="357"/>
        <w:contextualSpacing w:val="0"/>
        <w:rPr>
          <w:sz w:val="22"/>
          <w:szCs w:val="24"/>
        </w:rPr>
      </w:pPr>
      <w:r>
        <w:rPr>
          <w:sz w:val="22"/>
          <w:szCs w:val="24"/>
        </w:rPr>
        <w:t xml:space="preserve">Mr </w:t>
      </w:r>
      <w:r w:rsidR="0039144D">
        <w:rPr>
          <w:sz w:val="22"/>
          <w:szCs w:val="24"/>
        </w:rPr>
        <w:t>GC</w:t>
      </w:r>
      <w:r>
        <w:rPr>
          <w:sz w:val="22"/>
          <w:szCs w:val="24"/>
        </w:rPr>
        <w:t xml:space="preserve"> is currently scheduled to provide oral submissions as part of the review of his security assessment in July 2014….</w:t>
      </w:r>
    </w:p>
    <w:p w14:paraId="423DBB5E" w14:textId="77777777" w:rsidR="00CD7853" w:rsidRDefault="00CD7853" w:rsidP="003363FA">
      <w:pPr>
        <w:pStyle w:val="ListParagraph"/>
        <w:numPr>
          <w:ilvl w:val="0"/>
          <w:numId w:val="11"/>
        </w:numPr>
        <w:spacing w:before="120" w:after="120"/>
        <w:ind w:left="1417" w:hanging="357"/>
        <w:contextualSpacing w:val="0"/>
        <w:rPr>
          <w:sz w:val="22"/>
          <w:szCs w:val="24"/>
        </w:rPr>
      </w:pPr>
      <w:r>
        <w:rPr>
          <w:sz w:val="22"/>
          <w:szCs w:val="24"/>
        </w:rPr>
        <w:t xml:space="preserve">Mr </w:t>
      </w:r>
      <w:r w:rsidR="00AD1102">
        <w:rPr>
          <w:sz w:val="22"/>
          <w:szCs w:val="24"/>
        </w:rPr>
        <w:t>[Razamiya]</w:t>
      </w:r>
      <w:r>
        <w:rPr>
          <w:sz w:val="22"/>
          <w:szCs w:val="24"/>
        </w:rPr>
        <w:t xml:space="preserve"> is currently scheduled to </w:t>
      </w:r>
      <w:r w:rsidR="006A0DCB">
        <w:rPr>
          <w:sz w:val="22"/>
          <w:szCs w:val="24"/>
        </w:rPr>
        <w:t>provide oral submissions as part of the independent review of his security assessment in June 2014….</w:t>
      </w:r>
    </w:p>
    <w:p w14:paraId="5549EFEC" w14:textId="77777777" w:rsidR="006A0DCB" w:rsidRPr="006A0DCB" w:rsidRDefault="006A0DCB" w:rsidP="003363FA">
      <w:pPr>
        <w:pStyle w:val="ListParagraph"/>
        <w:numPr>
          <w:ilvl w:val="0"/>
          <w:numId w:val="11"/>
        </w:numPr>
        <w:spacing w:before="120" w:after="120"/>
        <w:ind w:left="1417" w:hanging="357"/>
        <w:contextualSpacing w:val="0"/>
        <w:rPr>
          <w:sz w:val="22"/>
          <w:szCs w:val="24"/>
        </w:rPr>
      </w:pPr>
      <w:r>
        <w:rPr>
          <w:sz w:val="22"/>
          <w:szCs w:val="24"/>
        </w:rPr>
        <w:t xml:space="preserve">Mr </w:t>
      </w:r>
      <w:r w:rsidR="00613950">
        <w:rPr>
          <w:sz w:val="22"/>
          <w:szCs w:val="24"/>
        </w:rPr>
        <w:t>GD</w:t>
      </w:r>
      <w:r w:rsidRPr="006A0DCB">
        <w:rPr>
          <w:sz w:val="22"/>
          <w:szCs w:val="24"/>
        </w:rPr>
        <w:t xml:space="preserve"> is currently scheduled to provide oral submissions as part of the independent review of his security assessment in </w:t>
      </w:r>
      <w:r>
        <w:rPr>
          <w:sz w:val="22"/>
          <w:szCs w:val="24"/>
        </w:rPr>
        <w:t>September</w:t>
      </w:r>
      <w:r w:rsidRPr="006A0DCB">
        <w:rPr>
          <w:sz w:val="22"/>
          <w:szCs w:val="24"/>
        </w:rPr>
        <w:t xml:space="preserve"> 2014….</w:t>
      </w:r>
    </w:p>
    <w:p w14:paraId="1086045C" w14:textId="77777777" w:rsidR="006A0DCB" w:rsidRDefault="006A0DCB" w:rsidP="003363FA">
      <w:pPr>
        <w:pStyle w:val="ListParagraph"/>
        <w:numPr>
          <w:ilvl w:val="0"/>
          <w:numId w:val="11"/>
        </w:numPr>
        <w:spacing w:before="120" w:after="120"/>
        <w:ind w:left="1417" w:hanging="357"/>
        <w:contextualSpacing w:val="0"/>
        <w:rPr>
          <w:sz w:val="22"/>
          <w:szCs w:val="24"/>
        </w:rPr>
      </w:pPr>
      <w:r>
        <w:rPr>
          <w:sz w:val="22"/>
          <w:szCs w:val="24"/>
        </w:rPr>
        <w:t xml:space="preserve">Mr </w:t>
      </w:r>
      <w:r w:rsidR="00613950">
        <w:rPr>
          <w:sz w:val="22"/>
          <w:szCs w:val="24"/>
        </w:rPr>
        <w:t>GE</w:t>
      </w:r>
      <w:r w:rsidRPr="006A0DCB">
        <w:rPr>
          <w:sz w:val="22"/>
          <w:szCs w:val="24"/>
        </w:rPr>
        <w:t xml:space="preserve"> is currently scheduled to provide oral submissions as part of the independent review of his security assessment in </w:t>
      </w:r>
      <w:r>
        <w:rPr>
          <w:sz w:val="22"/>
          <w:szCs w:val="24"/>
        </w:rPr>
        <w:t>July</w:t>
      </w:r>
      <w:r w:rsidRPr="006A0DCB">
        <w:rPr>
          <w:sz w:val="22"/>
          <w:szCs w:val="24"/>
        </w:rPr>
        <w:t xml:space="preserve"> 2014….</w:t>
      </w:r>
    </w:p>
    <w:p w14:paraId="0061E5D0" w14:textId="77777777" w:rsidR="006A0DCB" w:rsidRPr="006A0DCB" w:rsidRDefault="006A0DCB" w:rsidP="003363FA">
      <w:pPr>
        <w:pStyle w:val="ListParagraph"/>
        <w:numPr>
          <w:ilvl w:val="0"/>
          <w:numId w:val="11"/>
        </w:numPr>
        <w:spacing w:before="120" w:after="120"/>
        <w:ind w:left="1417" w:hanging="357"/>
        <w:contextualSpacing w:val="0"/>
        <w:rPr>
          <w:sz w:val="22"/>
          <w:szCs w:val="24"/>
        </w:rPr>
      </w:pPr>
      <w:r>
        <w:rPr>
          <w:sz w:val="22"/>
          <w:szCs w:val="24"/>
        </w:rPr>
        <w:t xml:space="preserve">Mr </w:t>
      </w:r>
      <w:r w:rsidR="00613950">
        <w:rPr>
          <w:sz w:val="22"/>
          <w:szCs w:val="24"/>
        </w:rPr>
        <w:t>GF</w:t>
      </w:r>
      <w:r w:rsidRPr="006A0DCB">
        <w:rPr>
          <w:sz w:val="22"/>
          <w:szCs w:val="24"/>
        </w:rPr>
        <w:t xml:space="preserve"> is currently scheduled to provide oral submissions as part of the independent review of his security assessment in June 2014….</w:t>
      </w:r>
    </w:p>
    <w:p w14:paraId="46BA0C5E" w14:textId="77777777" w:rsidR="006A0DCB" w:rsidRPr="006A0DCB" w:rsidRDefault="006A0DCB" w:rsidP="003363FA">
      <w:pPr>
        <w:pStyle w:val="ListParagraph"/>
        <w:numPr>
          <w:ilvl w:val="0"/>
          <w:numId w:val="11"/>
        </w:numPr>
        <w:spacing w:before="120" w:after="120"/>
        <w:ind w:left="1417" w:hanging="357"/>
        <w:contextualSpacing w:val="0"/>
        <w:rPr>
          <w:sz w:val="22"/>
          <w:szCs w:val="24"/>
        </w:rPr>
      </w:pPr>
      <w:r w:rsidRPr="006A0DCB">
        <w:rPr>
          <w:sz w:val="22"/>
          <w:szCs w:val="24"/>
        </w:rPr>
        <w:t xml:space="preserve">Mr </w:t>
      </w:r>
      <w:r w:rsidR="00AD1102">
        <w:rPr>
          <w:sz w:val="22"/>
          <w:szCs w:val="24"/>
        </w:rPr>
        <w:t>[</w:t>
      </w:r>
      <w:r w:rsidR="00421F38">
        <w:rPr>
          <w:sz w:val="22"/>
          <w:szCs w:val="24"/>
        </w:rPr>
        <w:t>Bonifass</w:t>
      </w:r>
      <w:r w:rsidR="00AD1102">
        <w:rPr>
          <w:sz w:val="22"/>
          <w:szCs w:val="24"/>
        </w:rPr>
        <w:t>]</w:t>
      </w:r>
      <w:r>
        <w:rPr>
          <w:sz w:val="22"/>
          <w:szCs w:val="24"/>
        </w:rPr>
        <w:t xml:space="preserve"> </w:t>
      </w:r>
      <w:r w:rsidRPr="006A0DCB">
        <w:rPr>
          <w:sz w:val="22"/>
          <w:szCs w:val="24"/>
        </w:rPr>
        <w:t>provide</w:t>
      </w:r>
      <w:r>
        <w:rPr>
          <w:sz w:val="22"/>
          <w:szCs w:val="24"/>
        </w:rPr>
        <w:t>d</w:t>
      </w:r>
      <w:r w:rsidRPr="006A0DCB">
        <w:rPr>
          <w:sz w:val="22"/>
          <w:szCs w:val="24"/>
        </w:rPr>
        <w:t xml:space="preserve"> oral submissions </w:t>
      </w:r>
      <w:r w:rsidR="00703746">
        <w:rPr>
          <w:sz w:val="22"/>
          <w:szCs w:val="24"/>
        </w:rPr>
        <w:t>in support of in Independent Review of his security in November 2013 and is awaiting the outcome of this review….</w:t>
      </w:r>
    </w:p>
    <w:p w14:paraId="6A7947A4" w14:textId="77777777" w:rsidR="00703746" w:rsidRDefault="00703746" w:rsidP="003363FA">
      <w:pPr>
        <w:pStyle w:val="ListParagraph"/>
        <w:numPr>
          <w:ilvl w:val="0"/>
          <w:numId w:val="11"/>
        </w:numPr>
        <w:spacing w:before="120" w:after="120"/>
        <w:ind w:left="1417" w:hanging="357"/>
        <w:contextualSpacing w:val="0"/>
        <w:rPr>
          <w:sz w:val="22"/>
          <w:szCs w:val="24"/>
        </w:rPr>
      </w:pPr>
      <w:r>
        <w:rPr>
          <w:sz w:val="22"/>
          <w:szCs w:val="24"/>
        </w:rPr>
        <w:t xml:space="preserve">Mr </w:t>
      </w:r>
      <w:r w:rsidR="00AD1102">
        <w:rPr>
          <w:sz w:val="22"/>
          <w:szCs w:val="24"/>
        </w:rPr>
        <w:t>[</w:t>
      </w:r>
      <w:r w:rsidR="00421F38">
        <w:rPr>
          <w:sz w:val="22"/>
          <w:szCs w:val="24"/>
        </w:rPr>
        <w:t>Subramaniyam</w:t>
      </w:r>
      <w:r w:rsidR="00AD1102">
        <w:rPr>
          <w:sz w:val="22"/>
          <w:szCs w:val="24"/>
        </w:rPr>
        <w:t>]</w:t>
      </w:r>
      <w:r w:rsidRPr="00703746">
        <w:rPr>
          <w:sz w:val="22"/>
          <w:szCs w:val="24"/>
        </w:rPr>
        <w:t xml:space="preserve"> provided oral submissions </w:t>
      </w:r>
      <w:r>
        <w:rPr>
          <w:sz w:val="22"/>
          <w:szCs w:val="24"/>
        </w:rPr>
        <w:t>as part of the independent review of</w:t>
      </w:r>
      <w:r w:rsidRPr="00703746">
        <w:rPr>
          <w:sz w:val="22"/>
          <w:szCs w:val="24"/>
        </w:rPr>
        <w:t xml:space="preserve"> his security </w:t>
      </w:r>
      <w:r>
        <w:rPr>
          <w:sz w:val="22"/>
          <w:szCs w:val="24"/>
        </w:rPr>
        <w:t>assessment o</w:t>
      </w:r>
      <w:r w:rsidRPr="00703746">
        <w:rPr>
          <w:sz w:val="22"/>
          <w:szCs w:val="24"/>
        </w:rPr>
        <w:t xml:space="preserve">n </w:t>
      </w:r>
      <w:r w:rsidR="004E1040">
        <w:rPr>
          <w:sz w:val="22"/>
          <w:szCs w:val="24"/>
        </w:rPr>
        <w:t>30 April 2013.</w:t>
      </w:r>
      <w:r>
        <w:rPr>
          <w:sz w:val="22"/>
          <w:szCs w:val="24"/>
        </w:rPr>
        <w:t xml:space="preserve"> A new adverse security assessment (ASA) was issued by ASIO on 13 December 2013 which superseded the previous ASA issued on 29 March</w:t>
      </w:r>
      <w:r w:rsidR="004E1040">
        <w:rPr>
          <w:sz w:val="22"/>
          <w:szCs w:val="24"/>
        </w:rPr>
        <w:t xml:space="preserve"> 2011.</w:t>
      </w:r>
      <w:r>
        <w:rPr>
          <w:sz w:val="22"/>
          <w:szCs w:val="24"/>
        </w:rPr>
        <w:t xml:space="preserve"> On the 10 February 2014 the Independent Reviewer agreed that both ASA decisions were appropriate in the circumstances…. </w:t>
      </w:r>
    </w:p>
    <w:p w14:paraId="49BE5078" w14:textId="77777777" w:rsidR="006A0DCB" w:rsidRPr="00766972" w:rsidRDefault="00766972" w:rsidP="003363FA">
      <w:pPr>
        <w:pStyle w:val="ListParagraph"/>
        <w:numPr>
          <w:ilvl w:val="0"/>
          <w:numId w:val="11"/>
        </w:numPr>
        <w:spacing w:before="120" w:after="120"/>
        <w:ind w:left="1417" w:hanging="357"/>
        <w:contextualSpacing w:val="0"/>
        <w:rPr>
          <w:sz w:val="22"/>
          <w:szCs w:val="24"/>
        </w:rPr>
      </w:pPr>
      <w:r>
        <w:rPr>
          <w:sz w:val="22"/>
          <w:szCs w:val="24"/>
        </w:rPr>
        <w:t xml:space="preserve">Mr </w:t>
      </w:r>
      <w:r w:rsidR="00613950">
        <w:rPr>
          <w:sz w:val="22"/>
          <w:szCs w:val="24"/>
        </w:rPr>
        <w:t>GG</w:t>
      </w:r>
      <w:r w:rsidRPr="00703746">
        <w:rPr>
          <w:sz w:val="22"/>
          <w:szCs w:val="24"/>
        </w:rPr>
        <w:t xml:space="preserve"> provided oral submissions </w:t>
      </w:r>
      <w:r>
        <w:rPr>
          <w:sz w:val="22"/>
          <w:szCs w:val="24"/>
        </w:rPr>
        <w:t>as part of the independent review of</w:t>
      </w:r>
      <w:r w:rsidRPr="00703746">
        <w:rPr>
          <w:sz w:val="22"/>
          <w:szCs w:val="24"/>
        </w:rPr>
        <w:t xml:space="preserve"> his security </w:t>
      </w:r>
      <w:r>
        <w:rPr>
          <w:sz w:val="22"/>
          <w:szCs w:val="24"/>
        </w:rPr>
        <w:t>assessment o</w:t>
      </w:r>
      <w:r w:rsidRPr="00703746">
        <w:rPr>
          <w:sz w:val="22"/>
          <w:szCs w:val="24"/>
        </w:rPr>
        <w:t xml:space="preserve">n </w:t>
      </w:r>
      <w:r>
        <w:rPr>
          <w:sz w:val="22"/>
          <w:szCs w:val="24"/>
        </w:rPr>
        <w:t>19 November 2013. On 7 March 2014, the Independent Reviewer agreed that the adverse security assessment was appropriate in his circumstances….</w:t>
      </w:r>
    </w:p>
    <w:p w14:paraId="2521E908" w14:textId="77777777" w:rsidR="00766972" w:rsidRDefault="004E1040" w:rsidP="00AE7382">
      <w:pPr>
        <w:numPr>
          <w:ilvl w:val="0"/>
          <w:numId w:val="19"/>
        </w:numPr>
        <w:spacing w:before="240" w:after="240"/>
        <w:rPr>
          <w:sz w:val="24"/>
          <w:szCs w:val="24"/>
        </w:rPr>
      </w:pPr>
      <w:r>
        <w:rPr>
          <w:sz w:val="24"/>
          <w:szCs w:val="24"/>
        </w:rPr>
        <w:lastRenderedPageBreak/>
        <w:t xml:space="preserve">With the exception of Mr </w:t>
      </w:r>
      <w:r w:rsidR="0039144D">
        <w:rPr>
          <w:sz w:val="24"/>
          <w:szCs w:val="24"/>
        </w:rPr>
        <w:t>GA</w:t>
      </w:r>
      <w:r>
        <w:rPr>
          <w:sz w:val="24"/>
          <w:szCs w:val="24"/>
        </w:rPr>
        <w:t xml:space="preserve">, all the complainants remain </w:t>
      </w:r>
      <w:r w:rsidR="00B92B35">
        <w:rPr>
          <w:sz w:val="24"/>
          <w:szCs w:val="24"/>
        </w:rPr>
        <w:t xml:space="preserve">detained </w:t>
      </w:r>
      <w:r>
        <w:rPr>
          <w:sz w:val="24"/>
          <w:szCs w:val="24"/>
        </w:rPr>
        <w:t xml:space="preserve">in immigration detention facilities. </w:t>
      </w:r>
    </w:p>
    <w:p w14:paraId="20F59ECA" w14:textId="77777777" w:rsidR="00DF76E3" w:rsidRDefault="004E1040" w:rsidP="00AE7382">
      <w:pPr>
        <w:numPr>
          <w:ilvl w:val="0"/>
          <w:numId w:val="19"/>
        </w:numPr>
        <w:spacing w:before="240" w:after="240"/>
        <w:rPr>
          <w:sz w:val="24"/>
          <w:szCs w:val="24"/>
        </w:rPr>
      </w:pPr>
      <w:r>
        <w:rPr>
          <w:sz w:val="24"/>
          <w:szCs w:val="24"/>
        </w:rPr>
        <w:t>As noted in report [2013] AusHRC 64, t</w:t>
      </w:r>
      <w:r w:rsidR="00DF76E3" w:rsidRPr="00DF76E3">
        <w:rPr>
          <w:sz w:val="24"/>
          <w:szCs w:val="24"/>
        </w:rPr>
        <w:t xml:space="preserve">he department has informed the Commission that each of </w:t>
      </w:r>
      <w:r w:rsidR="0041702E">
        <w:rPr>
          <w:sz w:val="24"/>
          <w:szCs w:val="24"/>
        </w:rPr>
        <w:t>those persons</w:t>
      </w:r>
      <w:r w:rsidR="00DF76E3" w:rsidRPr="00DF76E3">
        <w:rPr>
          <w:sz w:val="24"/>
          <w:szCs w:val="24"/>
        </w:rPr>
        <w:t xml:space="preserve"> covered by the independent review process has been contacted about the process and has formally requested a review of their circumstances. The department has said that, ‘consistent with previous Government policy, while this review process is undertaken the Minister is not minded to exercise his non-compellable powers under section 46, section 195A or section 197AB’.</w:t>
      </w:r>
      <w:r w:rsidR="00FE3A67">
        <w:rPr>
          <w:rStyle w:val="EndnoteReference"/>
          <w:szCs w:val="24"/>
        </w:rPr>
        <w:endnoteReference w:id="34"/>
      </w:r>
      <w:r w:rsidR="00DF76E3" w:rsidRPr="00DF76E3">
        <w:rPr>
          <w:sz w:val="24"/>
          <w:szCs w:val="24"/>
        </w:rPr>
        <w:t xml:space="preserve"> </w:t>
      </w:r>
    </w:p>
    <w:p w14:paraId="09D97EC8" w14:textId="77777777" w:rsidR="00B92B35" w:rsidRDefault="00B92B35" w:rsidP="00AE7382">
      <w:pPr>
        <w:numPr>
          <w:ilvl w:val="0"/>
          <w:numId w:val="19"/>
        </w:numPr>
        <w:spacing w:before="240" w:after="240"/>
        <w:rPr>
          <w:sz w:val="24"/>
          <w:szCs w:val="24"/>
        </w:rPr>
      </w:pPr>
      <w:r>
        <w:rPr>
          <w:sz w:val="24"/>
          <w:szCs w:val="24"/>
        </w:rPr>
        <w:t>The circumstances of the complainants demonstrate:</w:t>
      </w:r>
    </w:p>
    <w:p w14:paraId="77E1787F" w14:textId="77777777" w:rsidR="00B92B35" w:rsidRDefault="00470AF2" w:rsidP="00AE7382">
      <w:pPr>
        <w:numPr>
          <w:ilvl w:val="1"/>
          <w:numId w:val="19"/>
        </w:numPr>
        <w:spacing w:before="240" w:after="240"/>
        <w:rPr>
          <w:sz w:val="24"/>
          <w:szCs w:val="24"/>
        </w:rPr>
      </w:pPr>
      <w:r>
        <w:rPr>
          <w:sz w:val="24"/>
          <w:szCs w:val="24"/>
        </w:rPr>
        <w:t>i</w:t>
      </w:r>
      <w:r w:rsidR="00B92B35">
        <w:rPr>
          <w:sz w:val="24"/>
          <w:szCs w:val="24"/>
        </w:rPr>
        <w:t xml:space="preserve">n the case of Mr </w:t>
      </w:r>
      <w:r w:rsidR="0039144D">
        <w:rPr>
          <w:sz w:val="24"/>
          <w:szCs w:val="24"/>
        </w:rPr>
        <w:t>GA</w:t>
      </w:r>
      <w:r w:rsidR="00B92B35">
        <w:rPr>
          <w:sz w:val="24"/>
          <w:szCs w:val="24"/>
        </w:rPr>
        <w:t xml:space="preserve"> – that the government’s policies can lead to the detention of persons for very long periods (Mr </w:t>
      </w:r>
      <w:r w:rsidR="0039144D">
        <w:rPr>
          <w:sz w:val="24"/>
          <w:szCs w:val="24"/>
        </w:rPr>
        <w:t>GA</w:t>
      </w:r>
      <w:r w:rsidR="00B92B35">
        <w:rPr>
          <w:sz w:val="24"/>
          <w:szCs w:val="24"/>
        </w:rPr>
        <w:t xml:space="preserve"> was detained for over four years) </w:t>
      </w:r>
      <w:r w:rsidR="00C2386B">
        <w:rPr>
          <w:sz w:val="24"/>
          <w:szCs w:val="24"/>
        </w:rPr>
        <w:t xml:space="preserve">in circumstances </w:t>
      </w:r>
      <w:r w:rsidR="00B92B35">
        <w:rPr>
          <w:sz w:val="24"/>
          <w:szCs w:val="24"/>
        </w:rPr>
        <w:t xml:space="preserve">where on review it </w:t>
      </w:r>
      <w:r w:rsidR="00C2386B">
        <w:rPr>
          <w:sz w:val="24"/>
          <w:szCs w:val="24"/>
        </w:rPr>
        <w:t>is</w:t>
      </w:r>
      <w:r w:rsidR="00B92B35">
        <w:rPr>
          <w:sz w:val="24"/>
          <w:szCs w:val="24"/>
        </w:rPr>
        <w:t xml:space="preserve"> found </w:t>
      </w:r>
      <w:r w:rsidR="00C2386B">
        <w:rPr>
          <w:sz w:val="24"/>
          <w:szCs w:val="24"/>
        </w:rPr>
        <w:t xml:space="preserve">that </w:t>
      </w:r>
      <w:r w:rsidR="00B92B35">
        <w:rPr>
          <w:sz w:val="24"/>
          <w:szCs w:val="24"/>
        </w:rPr>
        <w:t>their adverse security assessment was not justified</w:t>
      </w:r>
      <w:r w:rsidR="001877F9">
        <w:rPr>
          <w:sz w:val="24"/>
          <w:szCs w:val="24"/>
        </w:rPr>
        <w:t>; and</w:t>
      </w:r>
    </w:p>
    <w:p w14:paraId="1FD8A908" w14:textId="77777777" w:rsidR="00C2386B" w:rsidRDefault="00421F38" w:rsidP="00AE7382">
      <w:pPr>
        <w:numPr>
          <w:ilvl w:val="1"/>
          <w:numId w:val="19"/>
        </w:numPr>
        <w:spacing w:before="240" w:after="240"/>
        <w:rPr>
          <w:sz w:val="24"/>
          <w:szCs w:val="24"/>
        </w:rPr>
      </w:pPr>
      <w:r>
        <w:rPr>
          <w:sz w:val="24"/>
          <w:szCs w:val="24"/>
        </w:rPr>
        <w:t>i</w:t>
      </w:r>
      <w:r w:rsidR="00C2386B">
        <w:rPr>
          <w:sz w:val="24"/>
          <w:szCs w:val="24"/>
        </w:rPr>
        <w:t xml:space="preserve">n the cases of </w:t>
      </w:r>
      <w:r>
        <w:rPr>
          <w:sz w:val="24"/>
          <w:szCs w:val="24"/>
        </w:rPr>
        <w:t>all complainants</w:t>
      </w:r>
      <w:r w:rsidR="00470AF2">
        <w:rPr>
          <w:sz w:val="24"/>
          <w:szCs w:val="24"/>
        </w:rPr>
        <w:t xml:space="preserve"> –</w:t>
      </w:r>
      <w:r w:rsidR="00C2386B">
        <w:rPr>
          <w:sz w:val="24"/>
          <w:szCs w:val="24"/>
        </w:rPr>
        <w:t xml:space="preserve"> that the </w:t>
      </w:r>
      <w:r w:rsidR="00B87481">
        <w:rPr>
          <w:sz w:val="24"/>
          <w:szCs w:val="24"/>
        </w:rPr>
        <w:t>government’s</w:t>
      </w:r>
      <w:r w:rsidR="00C2386B">
        <w:rPr>
          <w:sz w:val="24"/>
          <w:szCs w:val="24"/>
        </w:rPr>
        <w:t xml:space="preserve"> policies can lead to the continued detention of persons </w:t>
      </w:r>
      <w:r w:rsidR="00B87481">
        <w:rPr>
          <w:sz w:val="24"/>
          <w:szCs w:val="24"/>
        </w:rPr>
        <w:t xml:space="preserve">for lengthy periods </w:t>
      </w:r>
      <w:r w:rsidR="00C2386B">
        <w:rPr>
          <w:sz w:val="24"/>
          <w:szCs w:val="24"/>
        </w:rPr>
        <w:t>while they wait fo</w:t>
      </w:r>
      <w:r w:rsidR="00B87481">
        <w:rPr>
          <w:sz w:val="24"/>
          <w:szCs w:val="24"/>
        </w:rPr>
        <w:t>r the Independent Reviewer to review their security assessments</w:t>
      </w:r>
      <w:r w:rsidR="001E6F50">
        <w:rPr>
          <w:sz w:val="24"/>
          <w:szCs w:val="24"/>
        </w:rPr>
        <w:t>.</w:t>
      </w:r>
    </w:p>
    <w:p w14:paraId="55D96C59" w14:textId="77777777" w:rsidR="002E36AC" w:rsidRPr="00A24194" w:rsidRDefault="002E36AC" w:rsidP="002E36AC">
      <w:pPr>
        <w:pStyle w:val="Heading2"/>
      </w:pPr>
      <w:bookmarkStart w:id="25" w:name="_Toc282704187"/>
      <w:r>
        <w:t>Recommendation to the Minister</w:t>
      </w:r>
      <w:bookmarkEnd w:id="25"/>
    </w:p>
    <w:p w14:paraId="111E8760" w14:textId="77777777" w:rsidR="003363FA" w:rsidRPr="006818B2" w:rsidRDefault="003363FA" w:rsidP="00AE7382">
      <w:pPr>
        <w:numPr>
          <w:ilvl w:val="0"/>
          <w:numId w:val="19"/>
        </w:numPr>
        <w:spacing w:before="240" w:after="240"/>
        <w:rPr>
          <w:sz w:val="24"/>
          <w:szCs w:val="24"/>
        </w:rPr>
      </w:pPr>
      <w:r w:rsidRPr="006818B2">
        <w:rPr>
          <w:sz w:val="24"/>
          <w:szCs w:val="24"/>
        </w:rPr>
        <w:t xml:space="preserve">As noted above, it is </w:t>
      </w:r>
      <w:r w:rsidR="006818B2" w:rsidRPr="006818B2">
        <w:rPr>
          <w:sz w:val="24"/>
          <w:szCs w:val="24"/>
        </w:rPr>
        <w:t xml:space="preserve">a </w:t>
      </w:r>
      <w:r w:rsidRPr="006818B2">
        <w:rPr>
          <w:sz w:val="24"/>
          <w:szCs w:val="24"/>
        </w:rPr>
        <w:t xml:space="preserve">possible </w:t>
      </w:r>
      <w:r w:rsidR="006818B2" w:rsidRPr="006818B2">
        <w:rPr>
          <w:sz w:val="24"/>
          <w:szCs w:val="24"/>
        </w:rPr>
        <w:t xml:space="preserve">outcome of the independent review process </w:t>
      </w:r>
      <w:r w:rsidRPr="006818B2">
        <w:rPr>
          <w:sz w:val="24"/>
          <w:szCs w:val="24"/>
        </w:rPr>
        <w:t>that the Independent Reviewer will form the view that the adverse security assessment furnished by ASIO to the department in relation to the grant of</w:t>
      </w:r>
      <w:r w:rsidR="001877F9">
        <w:rPr>
          <w:sz w:val="24"/>
          <w:szCs w:val="24"/>
        </w:rPr>
        <w:t xml:space="preserve"> a</w:t>
      </w:r>
      <w:r w:rsidRPr="006818B2">
        <w:rPr>
          <w:sz w:val="24"/>
          <w:szCs w:val="24"/>
        </w:rPr>
        <w:t xml:space="preserve"> permanent visa to a particular person was an appropriate outcome. </w:t>
      </w:r>
      <w:r w:rsidR="00D3688F">
        <w:rPr>
          <w:sz w:val="24"/>
          <w:szCs w:val="24"/>
        </w:rPr>
        <w:t>In the cases of Messrs Subramaniyam</w:t>
      </w:r>
      <w:r w:rsidR="006818B2">
        <w:rPr>
          <w:sz w:val="24"/>
          <w:szCs w:val="24"/>
        </w:rPr>
        <w:t xml:space="preserve"> and </w:t>
      </w:r>
      <w:r w:rsidR="00613950">
        <w:rPr>
          <w:sz w:val="24"/>
          <w:szCs w:val="24"/>
        </w:rPr>
        <w:t>GG</w:t>
      </w:r>
      <w:r w:rsidR="006818B2">
        <w:rPr>
          <w:sz w:val="24"/>
          <w:szCs w:val="24"/>
        </w:rPr>
        <w:t xml:space="preserve">, that has occurred. </w:t>
      </w:r>
    </w:p>
    <w:p w14:paraId="5B3C16B6" w14:textId="77777777" w:rsidR="003363FA" w:rsidRPr="003363FA" w:rsidRDefault="003363FA" w:rsidP="00AE7382">
      <w:pPr>
        <w:numPr>
          <w:ilvl w:val="0"/>
          <w:numId w:val="19"/>
        </w:numPr>
        <w:spacing w:before="240" w:after="240"/>
        <w:rPr>
          <w:sz w:val="24"/>
          <w:szCs w:val="24"/>
        </w:rPr>
      </w:pPr>
      <w:r w:rsidRPr="003363FA">
        <w:rPr>
          <w:sz w:val="24"/>
          <w:szCs w:val="24"/>
        </w:rPr>
        <w:t xml:space="preserve">The Independent Reviewer has not been asked to separately consider whether it would be consistent with the requirements of security for a person to be placed into community detention, along with any conditions necessary to mitigate any security risk. </w:t>
      </w:r>
    </w:p>
    <w:p w14:paraId="2B401DBC" w14:textId="77777777" w:rsidR="00F86370" w:rsidRDefault="003363FA" w:rsidP="00AE7382">
      <w:pPr>
        <w:numPr>
          <w:ilvl w:val="0"/>
          <w:numId w:val="19"/>
        </w:numPr>
        <w:spacing w:before="240" w:after="240"/>
        <w:rPr>
          <w:sz w:val="24"/>
          <w:szCs w:val="24"/>
        </w:rPr>
      </w:pPr>
      <w:r w:rsidRPr="003363FA">
        <w:rPr>
          <w:sz w:val="24"/>
          <w:szCs w:val="24"/>
        </w:rPr>
        <w:t>A possible outcome of the independent review process is that one or more people with adverse security assessments in relation to the grant of a permanent visa will continue to be kept in held detention without an assessment of whether their circumstances indicated that they could be placed in less restrictive forms of dete</w:t>
      </w:r>
      <w:r w:rsidR="00C670A9">
        <w:rPr>
          <w:sz w:val="24"/>
          <w:szCs w:val="24"/>
        </w:rPr>
        <w:t>ntion. This is a result of the g</w:t>
      </w:r>
      <w:r w:rsidRPr="003363FA">
        <w:rPr>
          <w:sz w:val="24"/>
          <w:szCs w:val="24"/>
        </w:rPr>
        <w:t>overnment</w:t>
      </w:r>
      <w:r w:rsidR="00C670A9">
        <w:rPr>
          <w:sz w:val="24"/>
          <w:szCs w:val="24"/>
        </w:rPr>
        <w:t>’s</w:t>
      </w:r>
      <w:r w:rsidRPr="003363FA">
        <w:rPr>
          <w:sz w:val="24"/>
          <w:szCs w:val="24"/>
        </w:rPr>
        <w:t xml:space="preserve"> pol</w:t>
      </w:r>
      <w:r w:rsidR="00F17D2C">
        <w:rPr>
          <w:sz w:val="24"/>
          <w:szCs w:val="24"/>
        </w:rPr>
        <w:t xml:space="preserve">icy </w:t>
      </w:r>
      <w:r w:rsidR="00F86370">
        <w:rPr>
          <w:sz w:val="24"/>
          <w:szCs w:val="24"/>
        </w:rPr>
        <w:t>that:</w:t>
      </w:r>
    </w:p>
    <w:p w14:paraId="55C17210" w14:textId="77777777" w:rsidR="00F86370" w:rsidRPr="00F86370" w:rsidRDefault="00F86370" w:rsidP="00F86370">
      <w:pPr>
        <w:spacing w:before="240" w:after="240"/>
        <w:ind w:left="1440"/>
        <w:rPr>
          <w:sz w:val="22"/>
          <w:szCs w:val="24"/>
        </w:rPr>
      </w:pPr>
      <w:r>
        <w:rPr>
          <w:sz w:val="22"/>
          <w:szCs w:val="24"/>
        </w:rPr>
        <w:t>individuals who have been assessed by ASIO to be directly or indirectly a risk to security should remain in held detention, rather than the community, until such time as resettlement in a third country or removal is practicable.</w:t>
      </w:r>
      <w:r w:rsidR="00DD3393">
        <w:rPr>
          <w:rStyle w:val="EndnoteReference"/>
          <w:szCs w:val="24"/>
        </w:rPr>
        <w:endnoteReference w:id="35"/>
      </w:r>
      <w:r>
        <w:rPr>
          <w:sz w:val="22"/>
          <w:szCs w:val="24"/>
        </w:rPr>
        <w:t xml:space="preserve"> </w:t>
      </w:r>
    </w:p>
    <w:p w14:paraId="7941B590" w14:textId="77777777" w:rsidR="00BD3CD6" w:rsidRPr="00BD3CD6" w:rsidRDefault="00DD3393" w:rsidP="00AE7382">
      <w:pPr>
        <w:numPr>
          <w:ilvl w:val="0"/>
          <w:numId w:val="19"/>
        </w:numPr>
        <w:spacing w:before="240" w:after="240"/>
        <w:rPr>
          <w:sz w:val="24"/>
          <w:szCs w:val="24"/>
        </w:rPr>
      </w:pPr>
      <w:r>
        <w:rPr>
          <w:sz w:val="24"/>
          <w:szCs w:val="24"/>
        </w:rPr>
        <w:t xml:space="preserve">This policy has been discussed </w:t>
      </w:r>
      <w:r w:rsidR="00F17D2C">
        <w:rPr>
          <w:sz w:val="24"/>
          <w:szCs w:val="24"/>
        </w:rPr>
        <w:t>in paragraph [57] in the Commission’s report [2013] AusHRC 64 and</w:t>
      </w:r>
      <w:r w:rsidR="003363FA" w:rsidRPr="003363FA">
        <w:rPr>
          <w:sz w:val="24"/>
          <w:szCs w:val="24"/>
        </w:rPr>
        <w:t xml:space="preserve"> in the Commission’s report [2012] AusHRC 56 at paragraphs </w:t>
      </w:r>
      <w:r w:rsidR="00F17D2C">
        <w:rPr>
          <w:sz w:val="24"/>
          <w:szCs w:val="24"/>
        </w:rPr>
        <w:t>[</w:t>
      </w:r>
      <w:r w:rsidR="003363FA" w:rsidRPr="003363FA">
        <w:rPr>
          <w:sz w:val="24"/>
          <w:szCs w:val="24"/>
        </w:rPr>
        <w:t>71</w:t>
      </w:r>
      <w:r w:rsidR="00F17D2C">
        <w:rPr>
          <w:sz w:val="24"/>
          <w:szCs w:val="24"/>
        </w:rPr>
        <w:t>]</w:t>
      </w:r>
      <w:r w:rsidR="003363FA" w:rsidRPr="003363FA">
        <w:rPr>
          <w:sz w:val="24"/>
          <w:szCs w:val="24"/>
        </w:rPr>
        <w:t>-</w:t>
      </w:r>
      <w:r w:rsidR="00F17D2C">
        <w:rPr>
          <w:sz w:val="24"/>
          <w:szCs w:val="24"/>
        </w:rPr>
        <w:t>[</w:t>
      </w:r>
      <w:r w:rsidR="003363FA" w:rsidRPr="003363FA">
        <w:rPr>
          <w:sz w:val="24"/>
          <w:szCs w:val="24"/>
        </w:rPr>
        <w:t>83</w:t>
      </w:r>
      <w:r w:rsidR="00F17D2C">
        <w:rPr>
          <w:sz w:val="24"/>
          <w:szCs w:val="24"/>
        </w:rPr>
        <w:t>]</w:t>
      </w:r>
      <w:r w:rsidR="003363FA" w:rsidRPr="003363FA">
        <w:rPr>
          <w:sz w:val="24"/>
          <w:szCs w:val="24"/>
        </w:rPr>
        <w:t>.</w:t>
      </w:r>
      <w:r w:rsidR="004C71A2">
        <w:rPr>
          <w:sz w:val="24"/>
          <w:szCs w:val="24"/>
        </w:rPr>
        <w:t xml:space="preserve"> </w:t>
      </w:r>
    </w:p>
    <w:p w14:paraId="68DF48C6" w14:textId="77777777" w:rsidR="003363FA" w:rsidRDefault="003363FA" w:rsidP="00AE7382">
      <w:pPr>
        <w:numPr>
          <w:ilvl w:val="0"/>
          <w:numId w:val="19"/>
        </w:numPr>
        <w:spacing w:before="240" w:after="240"/>
        <w:rPr>
          <w:sz w:val="24"/>
          <w:szCs w:val="24"/>
        </w:rPr>
      </w:pPr>
      <w:r w:rsidRPr="003363FA">
        <w:rPr>
          <w:sz w:val="24"/>
          <w:szCs w:val="24"/>
        </w:rPr>
        <w:lastRenderedPageBreak/>
        <w:t>The result of the Government’s policy is that a person refused a visa on security grounds is precluded from consideration for community detention or other forms of community placement. However, it may be</w:t>
      </w:r>
      <w:r w:rsidR="00011D72">
        <w:rPr>
          <w:sz w:val="24"/>
          <w:szCs w:val="24"/>
        </w:rPr>
        <w:t xml:space="preserve"> that</w:t>
      </w:r>
      <w:r w:rsidRPr="003363FA">
        <w:rPr>
          <w:sz w:val="24"/>
          <w:szCs w:val="24"/>
        </w:rPr>
        <w:t xml:space="preserve"> ASIO would not assess that person as a risk to security if placed in community detention</w:t>
      </w:r>
      <w:r w:rsidR="00DE4481">
        <w:rPr>
          <w:sz w:val="24"/>
          <w:szCs w:val="24"/>
        </w:rPr>
        <w:t>,</w:t>
      </w:r>
      <w:r w:rsidRPr="003363FA">
        <w:rPr>
          <w:sz w:val="24"/>
          <w:szCs w:val="24"/>
        </w:rPr>
        <w:t xml:space="preserve"> or would consider that any risk </w:t>
      </w:r>
      <w:r w:rsidR="00DE4481">
        <w:rPr>
          <w:sz w:val="24"/>
          <w:szCs w:val="24"/>
        </w:rPr>
        <w:t xml:space="preserve">that a person might pose if placed in community detention </w:t>
      </w:r>
      <w:r w:rsidRPr="003363FA">
        <w:rPr>
          <w:sz w:val="24"/>
          <w:szCs w:val="24"/>
        </w:rPr>
        <w:t>could be mitigated through imposing other conditions.</w:t>
      </w:r>
      <w:r w:rsidR="00F86370">
        <w:rPr>
          <w:sz w:val="24"/>
          <w:szCs w:val="24"/>
        </w:rPr>
        <w:t xml:space="preserve"> </w:t>
      </w:r>
    </w:p>
    <w:p w14:paraId="58F7D0AF" w14:textId="77777777" w:rsidR="00F86370" w:rsidRDefault="00BD3CD6" w:rsidP="00AE7382">
      <w:pPr>
        <w:numPr>
          <w:ilvl w:val="0"/>
          <w:numId w:val="19"/>
        </w:numPr>
        <w:spacing w:before="240" w:after="240"/>
        <w:rPr>
          <w:sz w:val="24"/>
          <w:szCs w:val="24"/>
        </w:rPr>
      </w:pPr>
      <w:r>
        <w:rPr>
          <w:sz w:val="24"/>
          <w:szCs w:val="24"/>
        </w:rPr>
        <w:t>As a result of these considerations, in Commission report [2013] AusHRC 64 I made a recommendation to the then Minister in the following terms:</w:t>
      </w:r>
    </w:p>
    <w:p w14:paraId="360DB3F9" w14:textId="77777777" w:rsidR="00A24194" w:rsidRPr="00BD3CD6" w:rsidRDefault="003363FA" w:rsidP="00BD3CD6">
      <w:pPr>
        <w:spacing w:before="240" w:after="240"/>
        <w:ind w:left="1440"/>
        <w:rPr>
          <w:sz w:val="22"/>
          <w:szCs w:val="24"/>
        </w:rPr>
      </w:pPr>
      <w:r w:rsidRPr="00BD3CD6">
        <w:rPr>
          <w:iCs/>
          <w:sz w:val="22"/>
          <w:szCs w:val="24"/>
        </w:rPr>
        <w:t>The Minister for Immigration and Citizenship indicate to his department that he will not refuse to consider a person in immigration detention for release from detention or placement in a less restrictive form of detention merely because the department has received advice from ASIO that the person not be granted a visa on security grounds.</w:t>
      </w:r>
      <w:r w:rsidR="00BD3CD6">
        <w:rPr>
          <w:rStyle w:val="EndnoteReference"/>
          <w:iCs/>
          <w:szCs w:val="24"/>
        </w:rPr>
        <w:endnoteReference w:id="36"/>
      </w:r>
    </w:p>
    <w:p w14:paraId="46BE2E99" w14:textId="77777777" w:rsidR="00A24194" w:rsidRDefault="00CE0BCE" w:rsidP="00AE7382">
      <w:pPr>
        <w:numPr>
          <w:ilvl w:val="0"/>
          <w:numId w:val="19"/>
        </w:numPr>
        <w:spacing w:before="240" w:after="240"/>
        <w:rPr>
          <w:sz w:val="24"/>
          <w:szCs w:val="24"/>
        </w:rPr>
      </w:pPr>
      <w:r>
        <w:rPr>
          <w:sz w:val="24"/>
          <w:szCs w:val="24"/>
        </w:rPr>
        <w:t xml:space="preserve">The Minister did not accept that recommendation. </w:t>
      </w:r>
    </w:p>
    <w:p w14:paraId="090E86F1" w14:textId="77777777" w:rsidR="00CE0BCE" w:rsidRDefault="00CE0BCE" w:rsidP="00AE7382">
      <w:pPr>
        <w:numPr>
          <w:ilvl w:val="0"/>
          <w:numId w:val="19"/>
        </w:numPr>
        <w:spacing w:before="240" w:after="240"/>
        <w:rPr>
          <w:sz w:val="24"/>
          <w:szCs w:val="24"/>
        </w:rPr>
      </w:pPr>
      <w:r>
        <w:rPr>
          <w:sz w:val="24"/>
          <w:szCs w:val="24"/>
        </w:rPr>
        <w:t>Since I made the recommendation described above, the current Minister has in fact further entrenched the current policy. On 18 February 2014, the Minister issued revised guidelines to the</w:t>
      </w:r>
      <w:r w:rsidR="007377A4">
        <w:rPr>
          <w:sz w:val="24"/>
          <w:szCs w:val="24"/>
        </w:rPr>
        <w:t xml:space="preserve"> department about when the department should refer cases to him to consider the exercise of his power to make a residence determination under s 197AB of the Migration Act. In these revised guidelines, the Minister states that cases should generally not be referred to him</w:t>
      </w:r>
      <w:r w:rsidR="004C71A2">
        <w:rPr>
          <w:sz w:val="24"/>
          <w:szCs w:val="24"/>
        </w:rPr>
        <w:t>:</w:t>
      </w:r>
    </w:p>
    <w:p w14:paraId="0D5B797C" w14:textId="77777777" w:rsidR="007377A4" w:rsidRPr="00AE097A" w:rsidRDefault="00AE097A" w:rsidP="007377A4">
      <w:pPr>
        <w:spacing w:before="240" w:after="240"/>
        <w:ind w:left="1440"/>
        <w:rPr>
          <w:b/>
          <w:sz w:val="22"/>
          <w:szCs w:val="24"/>
        </w:rPr>
      </w:pPr>
      <w:r>
        <w:rPr>
          <w:sz w:val="22"/>
          <w:szCs w:val="24"/>
        </w:rPr>
        <w:t>wh</w:t>
      </w:r>
      <w:r w:rsidR="007377A4">
        <w:rPr>
          <w:sz w:val="22"/>
          <w:szCs w:val="24"/>
        </w:rPr>
        <w:t>ere a person</w:t>
      </w:r>
      <w:r>
        <w:rPr>
          <w:sz w:val="22"/>
          <w:szCs w:val="24"/>
        </w:rPr>
        <w:t xml:space="preserve"> </w:t>
      </w:r>
      <w:r w:rsidR="004C71A2">
        <w:rPr>
          <w:sz w:val="22"/>
          <w:szCs w:val="24"/>
        </w:rPr>
        <w:t>[has been issued by ASIO]</w:t>
      </w:r>
      <w:r w:rsidR="007377A4">
        <w:rPr>
          <w:sz w:val="22"/>
          <w:szCs w:val="24"/>
        </w:rPr>
        <w:t xml:space="preserve"> an adverse security assessment which states that “ASIO assesses [the person] to be directly or indirectly a risk to security, within the meaning of section 4 of the </w:t>
      </w:r>
      <w:r w:rsidR="007377A4" w:rsidRPr="00AE097A">
        <w:rPr>
          <w:i/>
          <w:sz w:val="22"/>
          <w:szCs w:val="24"/>
        </w:rPr>
        <w:t>Australian Security Intelligence Organisation Act 1979”</w:t>
      </w:r>
      <w:r w:rsidR="004C71A2">
        <w:rPr>
          <w:i/>
          <w:sz w:val="22"/>
          <w:szCs w:val="24"/>
        </w:rPr>
        <w:t>.</w:t>
      </w:r>
    </w:p>
    <w:p w14:paraId="09504ACA" w14:textId="77777777" w:rsidR="004C71A2" w:rsidRDefault="004C71A2" w:rsidP="00AE7382">
      <w:pPr>
        <w:numPr>
          <w:ilvl w:val="0"/>
          <w:numId w:val="19"/>
        </w:numPr>
        <w:spacing w:before="240" w:after="240"/>
        <w:rPr>
          <w:sz w:val="24"/>
          <w:szCs w:val="24"/>
        </w:rPr>
      </w:pPr>
      <w:r>
        <w:rPr>
          <w:sz w:val="24"/>
          <w:szCs w:val="24"/>
        </w:rPr>
        <w:t>This guideline does not preclude the department referring a case where there are ‘exceptional circumstances’.</w:t>
      </w:r>
      <w:r w:rsidR="00C53BD6">
        <w:rPr>
          <w:sz w:val="24"/>
          <w:szCs w:val="24"/>
        </w:rPr>
        <w:t xml:space="preserve"> </w:t>
      </w:r>
    </w:p>
    <w:p w14:paraId="6851D875" w14:textId="77777777" w:rsidR="00A24194" w:rsidRDefault="004C71A2" w:rsidP="00AE7382">
      <w:pPr>
        <w:numPr>
          <w:ilvl w:val="0"/>
          <w:numId w:val="19"/>
        </w:numPr>
        <w:spacing w:before="240" w:after="240"/>
        <w:rPr>
          <w:sz w:val="24"/>
          <w:szCs w:val="24"/>
        </w:rPr>
      </w:pPr>
      <w:r>
        <w:rPr>
          <w:sz w:val="24"/>
          <w:szCs w:val="24"/>
        </w:rPr>
        <w:t>I</w:t>
      </w:r>
      <w:r w:rsidR="00340659">
        <w:rPr>
          <w:sz w:val="24"/>
          <w:szCs w:val="24"/>
        </w:rPr>
        <w:t>n</w:t>
      </w:r>
      <w:r>
        <w:rPr>
          <w:sz w:val="24"/>
          <w:szCs w:val="24"/>
        </w:rPr>
        <w:t xml:space="preserve"> </w:t>
      </w:r>
      <w:r w:rsidR="00E406AC">
        <w:rPr>
          <w:sz w:val="24"/>
          <w:szCs w:val="24"/>
        </w:rPr>
        <w:t xml:space="preserve">these circumstances, I </w:t>
      </w:r>
      <w:r>
        <w:rPr>
          <w:sz w:val="24"/>
          <w:szCs w:val="24"/>
        </w:rPr>
        <w:t xml:space="preserve">consider it is appropriate to </w:t>
      </w:r>
      <w:r w:rsidR="00E05F28">
        <w:rPr>
          <w:sz w:val="24"/>
          <w:szCs w:val="24"/>
        </w:rPr>
        <w:t>make a</w:t>
      </w:r>
      <w:r w:rsidR="00E406AC">
        <w:rPr>
          <w:sz w:val="24"/>
          <w:szCs w:val="24"/>
        </w:rPr>
        <w:t xml:space="preserve"> recommendation to the Minister </w:t>
      </w:r>
      <w:r w:rsidR="00E05F28">
        <w:rPr>
          <w:sz w:val="24"/>
          <w:szCs w:val="24"/>
        </w:rPr>
        <w:t>in the following terms.</w:t>
      </w:r>
      <w:r w:rsidR="00E406AC">
        <w:rPr>
          <w:sz w:val="24"/>
          <w:szCs w:val="24"/>
        </w:rPr>
        <w:t xml:space="preserve"> </w:t>
      </w:r>
    </w:p>
    <w:p w14:paraId="26E9FFBC" w14:textId="77777777" w:rsidR="00E406AC" w:rsidRPr="00E406AC" w:rsidRDefault="00E406AC" w:rsidP="00E406AC">
      <w:pPr>
        <w:spacing w:before="240" w:after="240"/>
        <w:ind w:left="720"/>
        <w:rPr>
          <w:b/>
          <w:sz w:val="24"/>
          <w:szCs w:val="24"/>
        </w:rPr>
      </w:pPr>
      <w:r w:rsidRPr="00E406AC">
        <w:rPr>
          <w:b/>
          <w:sz w:val="24"/>
          <w:szCs w:val="24"/>
        </w:rPr>
        <w:t>Recommendation 1</w:t>
      </w:r>
    </w:p>
    <w:p w14:paraId="7A04931B" w14:textId="77777777" w:rsidR="00E406AC" w:rsidRPr="00DB59E9" w:rsidRDefault="00E406AC" w:rsidP="00E406AC">
      <w:pPr>
        <w:spacing w:before="240" w:after="240"/>
        <w:ind w:left="720"/>
        <w:rPr>
          <w:i/>
          <w:sz w:val="24"/>
          <w:szCs w:val="24"/>
        </w:rPr>
      </w:pPr>
      <w:r w:rsidRPr="00DB59E9">
        <w:rPr>
          <w:i/>
          <w:sz w:val="24"/>
          <w:szCs w:val="24"/>
        </w:rPr>
        <w:t xml:space="preserve">The Minister for Immigration and Border Protection indicate to his department that he will not refuse to consider a person in immigration detention for release from detention or placement in a less restrictive form of detention </w:t>
      </w:r>
      <w:r w:rsidR="00DF050B" w:rsidRPr="00DF050B">
        <w:rPr>
          <w:i/>
          <w:sz w:val="24"/>
          <w:szCs w:val="24"/>
        </w:rPr>
        <w:t>because the department has received an adverse security assessment in relation to that person from ASIO, unless the department has taken appropriate steps to determine whether any risks the individual might pose could be mitigated (for instance, through the imposition of appropriate conditions).</w:t>
      </w:r>
    </w:p>
    <w:p w14:paraId="1C8C5B69" w14:textId="77777777" w:rsidR="00B77700" w:rsidRPr="00A24194" w:rsidRDefault="00B77700" w:rsidP="00B77700">
      <w:pPr>
        <w:pStyle w:val="Heading2"/>
      </w:pPr>
      <w:bookmarkStart w:id="26" w:name="_Toc282704188"/>
      <w:r>
        <w:t>Recommendations to the department</w:t>
      </w:r>
      <w:bookmarkEnd w:id="26"/>
    </w:p>
    <w:p w14:paraId="4F9B9480" w14:textId="77777777" w:rsidR="00193A8D" w:rsidRDefault="00193A8D" w:rsidP="00AE7382">
      <w:pPr>
        <w:numPr>
          <w:ilvl w:val="0"/>
          <w:numId w:val="19"/>
        </w:numPr>
        <w:spacing w:before="240" w:after="240"/>
        <w:rPr>
          <w:sz w:val="24"/>
          <w:szCs w:val="24"/>
        </w:rPr>
      </w:pPr>
      <w:r>
        <w:rPr>
          <w:sz w:val="24"/>
          <w:szCs w:val="24"/>
        </w:rPr>
        <w:t>I consider it is appropriate to make recommendations in relation to the present complainants in the same terms as those I made in Commission report [2013] AusHRC 64, for the</w:t>
      </w:r>
      <w:r w:rsidR="003447A1">
        <w:rPr>
          <w:sz w:val="24"/>
          <w:szCs w:val="24"/>
        </w:rPr>
        <w:t xml:space="preserve"> reasons given in that report. These recommendations are not made with respect to Mr </w:t>
      </w:r>
      <w:r w:rsidR="0039144D">
        <w:rPr>
          <w:sz w:val="24"/>
          <w:szCs w:val="24"/>
        </w:rPr>
        <w:t>GA</w:t>
      </w:r>
      <w:r w:rsidR="003447A1">
        <w:rPr>
          <w:sz w:val="24"/>
          <w:szCs w:val="24"/>
        </w:rPr>
        <w:t>, as he has now been released from immigration detention.</w:t>
      </w:r>
    </w:p>
    <w:p w14:paraId="1E9CC5AC" w14:textId="77777777" w:rsidR="00DB59E9" w:rsidRPr="00DB59E9" w:rsidRDefault="00DB59E9" w:rsidP="00DB59E9">
      <w:pPr>
        <w:spacing w:before="240" w:after="240"/>
        <w:ind w:left="720"/>
        <w:rPr>
          <w:sz w:val="24"/>
          <w:szCs w:val="24"/>
        </w:rPr>
      </w:pPr>
      <w:r w:rsidRPr="00DB59E9">
        <w:rPr>
          <w:b/>
          <w:bCs/>
          <w:sz w:val="24"/>
          <w:szCs w:val="24"/>
        </w:rPr>
        <w:lastRenderedPageBreak/>
        <w:t>Recommendation 2</w:t>
      </w:r>
    </w:p>
    <w:p w14:paraId="7F5822C9" w14:textId="77777777" w:rsidR="00DB59E9" w:rsidRPr="00DB59E9" w:rsidRDefault="00DB59E9" w:rsidP="00DB59E9">
      <w:pPr>
        <w:spacing w:before="240" w:after="240"/>
        <w:ind w:left="720"/>
        <w:rPr>
          <w:sz w:val="24"/>
          <w:szCs w:val="24"/>
        </w:rPr>
      </w:pPr>
      <w:r w:rsidRPr="00DB59E9">
        <w:rPr>
          <w:i/>
          <w:iCs/>
          <w:sz w:val="24"/>
          <w:szCs w:val="24"/>
        </w:rPr>
        <w:t xml:space="preserve">The department refer each of the complainants </w:t>
      </w:r>
      <w:r w:rsidR="000E326B">
        <w:rPr>
          <w:i/>
          <w:iCs/>
          <w:sz w:val="24"/>
          <w:szCs w:val="24"/>
        </w:rPr>
        <w:t xml:space="preserve">specified below </w:t>
      </w:r>
      <w:r w:rsidRPr="00DB59E9">
        <w:rPr>
          <w:i/>
          <w:iCs/>
          <w:sz w:val="24"/>
          <w:szCs w:val="24"/>
        </w:rPr>
        <w:t>to ASIO and request that ASIO provide a security assessment pursuant to s 37(1) of the ASIO Act relevant to the following prescribed administrative actions:</w:t>
      </w:r>
    </w:p>
    <w:p w14:paraId="733B67E9" w14:textId="77777777" w:rsidR="00DB59E9" w:rsidRPr="00DB59E9" w:rsidRDefault="00DB59E9" w:rsidP="003447A1">
      <w:pPr>
        <w:spacing w:before="240" w:after="240"/>
        <w:ind w:left="1560" w:hanging="426"/>
        <w:rPr>
          <w:sz w:val="24"/>
          <w:szCs w:val="24"/>
        </w:rPr>
      </w:pPr>
      <w:r w:rsidRPr="00DB59E9">
        <w:rPr>
          <w:i/>
          <w:iCs/>
          <w:sz w:val="24"/>
          <w:szCs w:val="24"/>
        </w:rPr>
        <w:t xml:space="preserve">(a) </w:t>
      </w:r>
      <w:r w:rsidR="003447A1">
        <w:rPr>
          <w:i/>
          <w:iCs/>
          <w:sz w:val="24"/>
          <w:szCs w:val="24"/>
        </w:rPr>
        <w:tab/>
      </w:r>
      <w:r w:rsidR="000E326B">
        <w:rPr>
          <w:i/>
          <w:iCs/>
          <w:sz w:val="24"/>
          <w:szCs w:val="24"/>
        </w:rPr>
        <w:t xml:space="preserve">(with respect to all complainants except Mr GA) </w:t>
      </w:r>
      <w:r w:rsidRPr="00DB59E9">
        <w:rPr>
          <w:i/>
          <w:iCs/>
          <w:sz w:val="24"/>
          <w:szCs w:val="24"/>
        </w:rPr>
        <w:t>granting the complainant a temporary visa and imposing additional conditions necessary to deal with any identified risk to security, for example, a requirement to reside at a specified location, curfews, travel restrictions, reporting requirements or sureties;</w:t>
      </w:r>
    </w:p>
    <w:p w14:paraId="490E4F41" w14:textId="77777777" w:rsidR="00DB59E9" w:rsidRPr="00DB59E9" w:rsidRDefault="00DB59E9" w:rsidP="00F86EF8">
      <w:pPr>
        <w:spacing w:before="240" w:after="240"/>
        <w:ind w:left="1560" w:hanging="426"/>
        <w:rPr>
          <w:sz w:val="24"/>
          <w:szCs w:val="24"/>
        </w:rPr>
      </w:pPr>
      <w:r w:rsidRPr="00DB59E9">
        <w:rPr>
          <w:i/>
          <w:iCs/>
          <w:sz w:val="24"/>
          <w:szCs w:val="24"/>
        </w:rPr>
        <w:t xml:space="preserve">(b) </w:t>
      </w:r>
      <w:r w:rsidR="003447A1">
        <w:rPr>
          <w:i/>
          <w:iCs/>
          <w:sz w:val="24"/>
          <w:szCs w:val="24"/>
        </w:rPr>
        <w:tab/>
      </w:r>
      <w:r w:rsidR="000E326B">
        <w:rPr>
          <w:i/>
          <w:iCs/>
          <w:sz w:val="24"/>
          <w:szCs w:val="24"/>
        </w:rPr>
        <w:t xml:space="preserve">(with respect to Messrs </w:t>
      </w:r>
      <w:r w:rsidR="00F86EF8">
        <w:rPr>
          <w:i/>
          <w:iCs/>
          <w:sz w:val="24"/>
          <w:szCs w:val="24"/>
        </w:rPr>
        <w:t xml:space="preserve">GB, GC, </w:t>
      </w:r>
      <w:r w:rsidR="00F86EF8" w:rsidRPr="00F86EF8">
        <w:rPr>
          <w:i/>
          <w:iCs/>
          <w:sz w:val="24"/>
          <w:szCs w:val="24"/>
        </w:rPr>
        <w:t>GF</w:t>
      </w:r>
      <w:r w:rsidR="00F86EF8">
        <w:rPr>
          <w:i/>
          <w:iCs/>
          <w:sz w:val="24"/>
          <w:szCs w:val="24"/>
        </w:rPr>
        <w:t>,</w:t>
      </w:r>
      <w:r w:rsidR="00F86EF8" w:rsidRPr="00F86EF8">
        <w:rPr>
          <w:i/>
          <w:iCs/>
          <w:sz w:val="24"/>
          <w:szCs w:val="24"/>
        </w:rPr>
        <w:t xml:space="preserve"> Bonifass </w:t>
      </w:r>
      <w:r w:rsidR="00F86EF8">
        <w:rPr>
          <w:i/>
          <w:iCs/>
          <w:sz w:val="24"/>
          <w:szCs w:val="24"/>
        </w:rPr>
        <w:t xml:space="preserve">and </w:t>
      </w:r>
      <w:r w:rsidR="00F86EF8" w:rsidRPr="00F86EF8">
        <w:rPr>
          <w:i/>
          <w:iCs/>
          <w:sz w:val="24"/>
          <w:szCs w:val="24"/>
        </w:rPr>
        <w:t>Subramaniyam</w:t>
      </w:r>
      <w:r w:rsidR="00F86EF8">
        <w:rPr>
          <w:i/>
          <w:iCs/>
          <w:sz w:val="24"/>
          <w:szCs w:val="24"/>
        </w:rPr>
        <w:t xml:space="preserve">) </w:t>
      </w:r>
      <w:r w:rsidRPr="00DB59E9">
        <w:rPr>
          <w:i/>
          <w:iCs/>
          <w:sz w:val="24"/>
          <w:szCs w:val="24"/>
        </w:rPr>
        <w:t>making a residence determination under s 197AB of the Migration Act in favour of the complainant;</w:t>
      </w:r>
    </w:p>
    <w:p w14:paraId="450342F6" w14:textId="77777777" w:rsidR="00DB59E9" w:rsidRPr="00DB59E9" w:rsidRDefault="00DB59E9" w:rsidP="003447A1">
      <w:pPr>
        <w:spacing w:before="240" w:after="240"/>
        <w:ind w:left="1560" w:hanging="426"/>
        <w:rPr>
          <w:sz w:val="24"/>
          <w:szCs w:val="24"/>
        </w:rPr>
      </w:pPr>
      <w:r w:rsidRPr="00DB59E9">
        <w:rPr>
          <w:i/>
          <w:iCs/>
          <w:sz w:val="24"/>
          <w:szCs w:val="24"/>
        </w:rPr>
        <w:t xml:space="preserve">(c) </w:t>
      </w:r>
      <w:r w:rsidR="003447A1">
        <w:rPr>
          <w:i/>
          <w:iCs/>
          <w:sz w:val="24"/>
          <w:szCs w:val="24"/>
        </w:rPr>
        <w:tab/>
      </w:r>
      <w:r w:rsidR="00F86EF8" w:rsidRPr="00F86EF8">
        <w:rPr>
          <w:i/>
          <w:iCs/>
          <w:sz w:val="24"/>
          <w:szCs w:val="24"/>
        </w:rPr>
        <w:t xml:space="preserve">(with respect to all complainants except Mr GA) </w:t>
      </w:r>
      <w:r w:rsidRPr="00DB59E9">
        <w:rPr>
          <w:i/>
          <w:iCs/>
          <w:sz w:val="24"/>
          <w:szCs w:val="24"/>
        </w:rPr>
        <w:t xml:space="preserve">making a residence determination in favour of the complainant, if necessary subject to special conditions to ameliorate any identified risk to security, for example, curfews, travel restrictions, reporting requirements or sureties. </w:t>
      </w:r>
    </w:p>
    <w:p w14:paraId="292CA2BF" w14:textId="77777777" w:rsidR="00DB59E9" w:rsidRPr="00DB59E9" w:rsidRDefault="00DB59E9" w:rsidP="00DB59E9">
      <w:pPr>
        <w:spacing w:before="240" w:after="240"/>
        <w:ind w:left="720"/>
        <w:rPr>
          <w:sz w:val="24"/>
          <w:szCs w:val="24"/>
        </w:rPr>
      </w:pPr>
      <w:r w:rsidRPr="00DB59E9">
        <w:rPr>
          <w:b/>
          <w:bCs/>
          <w:sz w:val="24"/>
          <w:szCs w:val="24"/>
        </w:rPr>
        <w:t xml:space="preserve">Recommendation 3 </w:t>
      </w:r>
    </w:p>
    <w:p w14:paraId="306C48E3" w14:textId="77777777" w:rsidR="00DB59E9" w:rsidRPr="00DB59E9" w:rsidRDefault="00DB59E9" w:rsidP="00DB59E9">
      <w:pPr>
        <w:spacing w:before="240" w:after="240"/>
        <w:ind w:left="720"/>
        <w:rPr>
          <w:sz w:val="24"/>
          <w:szCs w:val="24"/>
        </w:rPr>
      </w:pPr>
      <w:r w:rsidRPr="00DB59E9">
        <w:rPr>
          <w:i/>
          <w:iCs/>
          <w:sz w:val="24"/>
          <w:szCs w:val="24"/>
        </w:rPr>
        <w:t xml:space="preserve">To the extent that the security assessment carried out in Recommendation 2 would result in an adverse security assessment, the department ask ASIO to advise it of any measures that could be taken to allow the complainants to be placed in a less restrictive form of detention consistently with the requirements of national security. </w:t>
      </w:r>
    </w:p>
    <w:p w14:paraId="4534FB97" w14:textId="77777777" w:rsidR="00DB59E9" w:rsidRPr="00DB59E9" w:rsidRDefault="00DB59E9" w:rsidP="009558FE">
      <w:pPr>
        <w:keepNext/>
        <w:spacing w:before="240" w:after="240"/>
        <w:ind w:left="720"/>
        <w:rPr>
          <w:sz w:val="24"/>
          <w:szCs w:val="24"/>
        </w:rPr>
      </w:pPr>
      <w:r w:rsidRPr="00DB59E9">
        <w:rPr>
          <w:b/>
          <w:bCs/>
          <w:sz w:val="24"/>
          <w:szCs w:val="24"/>
        </w:rPr>
        <w:t xml:space="preserve">Recommendation 4 </w:t>
      </w:r>
    </w:p>
    <w:p w14:paraId="1CA4A281" w14:textId="77777777" w:rsidR="00DB59E9" w:rsidRPr="00DB59E9" w:rsidRDefault="00DB59E9" w:rsidP="003A6685">
      <w:pPr>
        <w:spacing w:before="240" w:after="240"/>
        <w:ind w:left="720"/>
        <w:rPr>
          <w:sz w:val="24"/>
          <w:szCs w:val="24"/>
        </w:rPr>
      </w:pPr>
      <w:r w:rsidRPr="00DB59E9">
        <w:rPr>
          <w:i/>
          <w:iCs/>
          <w:sz w:val="24"/>
          <w:szCs w:val="24"/>
        </w:rPr>
        <w:t xml:space="preserve">The department seek </w:t>
      </w:r>
      <w:r w:rsidRPr="009558FE">
        <w:rPr>
          <w:i/>
          <w:iCs/>
          <w:sz w:val="24"/>
          <w:szCs w:val="24"/>
        </w:rPr>
        <w:t>advice from ASIO of the kind identified in Recommendations 2 and 3 in respect of each person held in immigration detention who has received an adverse security assessment</w:t>
      </w:r>
      <w:r w:rsidRPr="00DB59E9">
        <w:rPr>
          <w:i/>
          <w:iCs/>
          <w:sz w:val="24"/>
          <w:szCs w:val="24"/>
        </w:rPr>
        <w:t xml:space="preserve"> from ASIO. </w:t>
      </w:r>
    </w:p>
    <w:p w14:paraId="72FAEFC0" w14:textId="77777777" w:rsidR="00DB59E9" w:rsidRPr="00DB59E9" w:rsidRDefault="00DB59E9" w:rsidP="000D380C">
      <w:pPr>
        <w:keepNext/>
        <w:spacing w:before="240" w:after="240"/>
        <w:ind w:left="720"/>
        <w:rPr>
          <w:sz w:val="24"/>
          <w:szCs w:val="24"/>
        </w:rPr>
      </w:pPr>
      <w:r w:rsidRPr="00DB59E9">
        <w:rPr>
          <w:b/>
          <w:bCs/>
          <w:sz w:val="24"/>
          <w:szCs w:val="24"/>
        </w:rPr>
        <w:t xml:space="preserve">Recommendation 5 </w:t>
      </w:r>
    </w:p>
    <w:p w14:paraId="1FCC7E21" w14:textId="77777777" w:rsidR="00DB59E9" w:rsidRPr="00DB59E9" w:rsidRDefault="00DB59E9" w:rsidP="003A6685">
      <w:pPr>
        <w:spacing w:before="240" w:after="240"/>
        <w:ind w:left="720"/>
        <w:rPr>
          <w:sz w:val="24"/>
          <w:szCs w:val="24"/>
        </w:rPr>
      </w:pPr>
      <w:r w:rsidRPr="00DB59E9">
        <w:rPr>
          <w:i/>
          <w:iCs/>
          <w:sz w:val="24"/>
          <w:szCs w:val="24"/>
        </w:rPr>
        <w:t xml:space="preserve">As the department receives advice sought from ASIO in relation to Recommendations 2, 3 and 4, the department refer the cases of each relevant person to the Minister for consideration of the exercise of appropriate public interest powers. The submissions accompanying the referrals should include details of how any potential risk identified by ASIO can be mitigated. </w:t>
      </w:r>
    </w:p>
    <w:p w14:paraId="030F88B1" w14:textId="77777777" w:rsidR="00DB59E9" w:rsidRPr="00DB59E9" w:rsidRDefault="00DB59E9" w:rsidP="000D380C">
      <w:pPr>
        <w:keepNext/>
        <w:spacing w:before="240" w:after="240"/>
        <w:ind w:left="720"/>
        <w:rPr>
          <w:sz w:val="24"/>
          <w:szCs w:val="24"/>
        </w:rPr>
      </w:pPr>
      <w:r w:rsidRPr="00DB59E9">
        <w:rPr>
          <w:b/>
          <w:bCs/>
          <w:sz w:val="24"/>
          <w:szCs w:val="24"/>
        </w:rPr>
        <w:t>Recommendation 6</w:t>
      </w:r>
    </w:p>
    <w:p w14:paraId="05FB9378" w14:textId="77777777" w:rsidR="00A24194" w:rsidRDefault="00DB59E9" w:rsidP="003A6685">
      <w:pPr>
        <w:spacing w:before="240" w:after="240"/>
        <w:ind w:left="720"/>
        <w:rPr>
          <w:sz w:val="24"/>
          <w:szCs w:val="24"/>
        </w:rPr>
      </w:pPr>
      <w:r w:rsidRPr="00DB59E9">
        <w:rPr>
          <w:i/>
          <w:iCs/>
          <w:sz w:val="24"/>
          <w:szCs w:val="24"/>
        </w:rPr>
        <w:t>The Commonwealth continue actively to pursue alternatives to detention, including the prospect of third country resettlement, for each of the complainants and for other people in immigration detention who are facing the prospect of indefinite detention. The Commonwealth inform each of these individuals on a regular basis of the steps taken to secure alternatives to detention and the Commonwealth’s assessment of the prospects of success of these steps.</w:t>
      </w:r>
    </w:p>
    <w:p w14:paraId="1F5519AC" w14:textId="77777777" w:rsidR="001279F6" w:rsidRPr="001279F6" w:rsidRDefault="001279F6" w:rsidP="001279F6">
      <w:pPr>
        <w:pStyle w:val="Heading1"/>
        <w:rPr>
          <w:noProof/>
          <w:lang w:eastAsia="en-AU"/>
        </w:rPr>
      </w:pPr>
      <w:bookmarkStart w:id="27" w:name="_Toc282704189"/>
      <w:r>
        <w:rPr>
          <w:noProof/>
          <w:lang w:eastAsia="en-AU"/>
        </w:rPr>
        <w:lastRenderedPageBreak/>
        <w:t xml:space="preserve">The Minister’s and </w:t>
      </w:r>
      <w:r w:rsidR="00F711BF">
        <w:rPr>
          <w:noProof/>
          <w:lang w:eastAsia="en-AU"/>
        </w:rPr>
        <w:t>department</w:t>
      </w:r>
      <w:r>
        <w:rPr>
          <w:noProof/>
          <w:lang w:eastAsia="en-AU"/>
        </w:rPr>
        <w:t>’s responses to my conclusions and recommendations</w:t>
      </w:r>
      <w:bookmarkEnd w:id="27"/>
    </w:p>
    <w:p w14:paraId="1EC69300" w14:textId="77777777" w:rsidR="005B268C" w:rsidRPr="00626FBC" w:rsidRDefault="00752109" w:rsidP="00AE7382">
      <w:pPr>
        <w:pStyle w:val="ListParagraph"/>
        <w:numPr>
          <w:ilvl w:val="0"/>
          <w:numId w:val="19"/>
        </w:numPr>
        <w:spacing w:before="240" w:after="240"/>
        <w:rPr>
          <w:noProof/>
          <w:sz w:val="24"/>
          <w:szCs w:val="24"/>
          <w:lang w:eastAsia="en-AU"/>
        </w:rPr>
      </w:pPr>
      <w:r w:rsidRPr="00626FBC">
        <w:rPr>
          <w:noProof/>
          <w:sz w:val="24"/>
          <w:szCs w:val="24"/>
          <w:lang w:eastAsia="en-AU"/>
        </w:rPr>
        <w:t xml:space="preserve">On 27 August 2014 I provided a notice to the </w:t>
      </w:r>
      <w:r w:rsidR="00D17F14">
        <w:rPr>
          <w:noProof/>
          <w:sz w:val="24"/>
          <w:szCs w:val="24"/>
          <w:lang w:eastAsia="en-AU"/>
        </w:rPr>
        <w:t xml:space="preserve">Minister for Immigration and Border Protection, Mr Scott Morrison MP, and the </w:t>
      </w:r>
      <w:r w:rsidR="00F711BF">
        <w:rPr>
          <w:noProof/>
          <w:sz w:val="24"/>
          <w:szCs w:val="24"/>
          <w:lang w:eastAsia="en-AU"/>
        </w:rPr>
        <w:t>d</w:t>
      </w:r>
      <w:r w:rsidRPr="00626FBC">
        <w:rPr>
          <w:noProof/>
          <w:sz w:val="24"/>
          <w:szCs w:val="24"/>
          <w:lang w:eastAsia="en-AU"/>
        </w:rPr>
        <w:t>epartment under s 29(2)(a) of the AHRC Act setting out my findings and recommendations in relation to the complaints dealt with in this report.</w:t>
      </w:r>
      <w:r w:rsidRPr="00626FBC">
        <w:rPr>
          <w:noProof/>
          <w:sz w:val="24"/>
          <w:szCs w:val="24"/>
          <w:lang w:eastAsia="en-AU"/>
        </w:rPr>
        <w:br/>
      </w:r>
    </w:p>
    <w:p w14:paraId="43022215" w14:textId="77777777" w:rsidR="00626FBC" w:rsidRPr="00626FBC" w:rsidRDefault="00752109" w:rsidP="00AE7382">
      <w:pPr>
        <w:pStyle w:val="ListParagraph"/>
        <w:numPr>
          <w:ilvl w:val="0"/>
          <w:numId w:val="19"/>
        </w:numPr>
        <w:spacing w:before="240" w:after="240"/>
        <w:rPr>
          <w:noProof/>
          <w:sz w:val="24"/>
          <w:szCs w:val="24"/>
          <w:lang w:eastAsia="en-AU"/>
        </w:rPr>
      </w:pPr>
      <w:r w:rsidRPr="00626FBC">
        <w:rPr>
          <w:noProof/>
          <w:sz w:val="24"/>
          <w:szCs w:val="24"/>
          <w:lang w:eastAsia="en-AU"/>
        </w:rPr>
        <w:t>By letter dated 23 October 2014 the Minister</w:t>
      </w:r>
      <w:r w:rsidR="00E13932" w:rsidRPr="00626FBC">
        <w:rPr>
          <w:noProof/>
          <w:sz w:val="24"/>
          <w:szCs w:val="24"/>
          <w:lang w:eastAsia="en-AU"/>
        </w:rPr>
        <w:t xml:space="preserve"> </w:t>
      </w:r>
      <w:r w:rsidR="00626FBC" w:rsidRPr="00626FBC">
        <w:rPr>
          <w:noProof/>
          <w:sz w:val="24"/>
          <w:szCs w:val="24"/>
          <w:lang w:eastAsia="en-AU"/>
        </w:rPr>
        <w:t>provided the following response</w:t>
      </w:r>
      <w:r w:rsidR="00626FBC">
        <w:rPr>
          <w:noProof/>
          <w:sz w:val="24"/>
          <w:szCs w:val="24"/>
          <w:lang w:eastAsia="en-AU"/>
        </w:rPr>
        <w:t xml:space="preserve"> to </w:t>
      </w:r>
      <w:r w:rsidR="00D17F14">
        <w:rPr>
          <w:noProof/>
          <w:sz w:val="24"/>
          <w:szCs w:val="24"/>
          <w:lang w:eastAsia="en-AU"/>
        </w:rPr>
        <w:t>Recommendation 1:</w:t>
      </w:r>
    </w:p>
    <w:p w14:paraId="43E24EDE" w14:textId="1B0D5FDC" w:rsidR="00BA6BFE" w:rsidRDefault="007122F3" w:rsidP="00BA6BFE">
      <w:pPr>
        <w:spacing w:before="240" w:after="240"/>
        <w:ind w:left="1440"/>
        <w:rPr>
          <w:noProof/>
          <w:sz w:val="22"/>
          <w:szCs w:val="22"/>
          <w:lang w:eastAsia="en-AU"/>
        </w:rPr>
      </w:pPr>
      <w:r>
        <w:rPr>
          <w:noProof/>
          <w:sz w:val="22"/>
          <w:szCs w:val="22"/>
          <w:lang w:eastAsia="en-AU"/>
        </w:rPr>
        <w:t>I do not accept this recommen</w:t>
      </w:r>
      <w:r w:rsidR="00BA6BFE">
        <w:rPr>
          <w:noProof/>
          <w:sz w:val="22"/>
          <w:szCs w:val="22"/>
          <w:lang w:eastAsia="en-AU"/>
        </w:rPr>
        <w:t>dation.</w:t>
      </w:r>
    </w:p>
    <w:p w14:paraId="5BF86487" w14:textId="77777777" w:rsidR="00BA6BFE" w:rsidRDefault="00BA6BFE" w:rsidP="00BA6BFE">
      <w:pPr>
        <w:spacing w:before="240" w:after="240"/>
        <w:ind w:left="1440"/>
        <w:rPr>
          <w:noProof/>
          <w:sz w:val="22"/>
          <w:szCs w:val="22"/>
          <w:lang w:eastAsia="en-AU"/>
        </w:rPr>
      </w:pPr>
      <w:r>
        <w:rPr>
          <w:noProof/>
          <w:sz w:val="22"/>
          <w:szCs w:val="22"/>
          <w:lang w:eastAsia="en-AU"/>
        </w:rPr>
        <w:t>It is Government policy that individuals who have been assessed to be directly or indirectly a risk to Australia’s security will remain in held immigration detention until such time that a durable solution for individuals with adverse security assessments is found that is consistent with Australia’s international obligations.</w:t>
      </w:r>
    </w:p>
    <w:p w14:paraId="63356CA0" w14:textId="77777777" w:rsidR="00A628E6" w:rsidRPr="00626FBC" w:rsidRDefault="00A628E6" w:rsidP="00BA6BFE">
      <w:pPr>
        <w:spacing w:before="240" w:after="240"/>
        <w:ind w:left="1440"/>
        <w:rPr>
          <w:noProof/>
          <w:sz w:val="22"/>
          <w:szCs w:val="22"/>
          <w:lang w:eastAsia="en-AU"/>
        </w:rPr>
      </w:pPr>
      <w:r>
        <w:rPr>
          <w:noProof/>
          <w:sz w:val="22"/>
          <w:szCs w:val="22"/>
          <w:lang w:eastAsia="en-AU"/>
        </w:rPr>
        <w:t>Given the serious nature of the assessment by ASIO, and in light of Government policy, I am not minded to exercise my Ministerial intervention powers in respect of individuals with adverse security assessments.</w:t>
      </w:r>
    </w:p>
    <w:p w14:paraId="1395314F" w14:textId="77777777" w:rsidR="005B268C" w:rsidRDefault="004E28AD" w:rsidP="00AE7382">
      <w:pPr>
        <w:pStyle w:val="ListParagraph"/>
        <w:numPr>
          <w:ilvl w:val="0"/>
          <w:numId w:val="19"/>
        </w:numPr>
        <w:spacing w:before="240" w:after="240"/>
        <w:rPr>
          <w:noProof/>
          <w:sz w:val="24"/>
          <w:lang w:eastAsia="en-AU"/>
        </w:rPr>
      </w:pPr>
      <w:r>
        <w:rPr>
          <w:noProof/>
          <w:sz w:val="24"/>
          <w:lang w:eastAsia="en-AU"/>
        </w:rPr>
        <w:t xml:space="preserve">By letter dated 9 October 2014 the </w:t>
      </w:r>
      <w:r w:rsidR="00F711BF">
        <w:rPr>
          <w:noProof/>
          <w:sz w:val="24"/>
          <w:lang w:eastAsia="en-AU"/>
        </w:rPr>
        <w:t>department</w:t>
      </w:r>
      <w:r>
        <w:rPr>
          <w:noProof/>
          <w:sz w:val="24"/>
          <w:lang w:eastAsia="en-AU"/>
        </w:rPr>
        <w:t xml:space="preserve"> provided the following response to </w:t>
      </w:r>
      <w:r w:rsidR="0081680E">
        <w:rPr>
          <w:noProof/>
          <w:sz w:val="24"/>
          <w:lang w:eastAsia="en-AU"/>
        </w:rPr>
        <w:t>my</w:t>
      </w:r>
      <w:r>
        <w:rPr>
          <w:noProof/>
          <w:sz w:val="24"/>
          <w:lang w:eastAsia="en-AU"/>
        </w:rPr>
        <w:t xml:space="preserve"> findings:</w:t>
      </w:r>
    </w:p>
    <w:p w14:paraId="5D916EDA" w14:textId="77777777" w:rsidR="004E28AD" w:rsidRDefault="0093408F" w:rsidP="004E28AD">
      <w:pPr>
        <w:spacing w:before="240" w:after="240"/>
        <w:ind w:left="1440"/>
        <w:rPr>
          <w:noProof/>
          <w:sz w:val="22"/>
          <w:szCs w:val="22"/>
          <w:u w:val="single"/>
          <w:lang w:eastAsia="en-AU"/>
        </w:rPr>
      </w:pPr>
      <w:r>
        <w:rPr>
          <w:noProof/>
          <w:sz w:val="22"/>
          <w:szCs w:val="22"/>
          <w:u w:val="single"/>
          <w:lang w:eastAsia="en-AU"/>
        </w:rPr>
        <w:t>Response to finding 1</w:t>
      </w:r>
    </w:p>
    <w:p w14:paraId="2F568227" w14:textId="77777777" w:rsidR="0093408F" w:rsidRDefault="0093408F" w:rsidP="004E28AD">
      <w:pPr>
        <w:spacing w:before="240" w:after="240"/>
        <w:ind w:left="1440"/>
        <w:rPr>
          <w:noProof/>
          <w:sz w:val="22"/>
          <w:szCs w:val="22"/>
          <w:lang w:eastAsia="en-AU"/>
        </w:rPr>
      </w:pPr>
      <w:r>
        <w:rPr>
          <w:noProof/>
          <w:sz w:val="22"/>
          <w:szCs w:val="22"/>
          <w:lang w:eastAsia="en-AU"/>
        </w:rPr>
        <w:t xml:space="preserve">As per the response to the AHRC’s preliminary views, the Department did request that ASIO assess the individual suitability for community detention (CD) for four of the complainants (Messrs </w:t>
      </w:r>
      <w:r w:rsidR="00025487">
        <w:rPr>
          <w:noProof/>
          <w:sz w:val="22"/>
          <w:szCs w:val="22"/>
          <w:lang w:eastAsia="en-AU"/>
        </w:rPr>
        <w:t>[Razamiya]</w:t>
      </w:r>
      <w:r>
        <w:rPr>
          <w:noProof/>
          <w:sz w:val="22"/>
          <w:szCs w:val="22"/>
          <w:lang w:eastAsia="en-AU"/>
        </w:rPr>
        <w:t>, GD, GE and GG) prior to receiving the security assessment.</w:t>
      </w:r>
    </w:p>
    <w:p w14:paraId="24CBEDA8" w14:textId="77777777" w:rsidR="0093408F" w:rsidRDefault="00397626" w:rsidP="004E28AD">
      <w:pPr>
        <w:spacing w:before="240" w:after="240"/>
        <w:ind w:left="1440"/>
        <w:rPr>
          <w:noProof/>
          <w:sz w:val="22"/>
          <w:szCs w:val="22"/>
          <w:lang w:eastAsia="en-AU"/>
        </w:rPr>
      </w:pPr>
      <w:r>
        <w:rPr>
          <w:noProof/>
          <w:sz w:val="22"/>
          <w:szCs w:val="22"/>
          <w:lang w:eastAsia="en-AU"/>
        </w:rPr>
        <w:t xml:space="preserve">Mr </w:t>
      </w:r>
      <w:r w:rsidR="00025487">
        <w:rPr>
          <w:noProof/>
          <w:sz w:val="22"/>
          <w:szCs w:val="22"/>
          <w:lang w:eastAsia="en-AU"/>
        </w:rPr>
        <w:t>[Bonifass]</w:t>
      </w:r>
      <w:r>
        <w:rPr>
          <w:noProof/>
          <w:sz w:val="22"/>
          <w:szCs w:val="22"/>
          <w:lang w:eastAsia="en-AU"/>
        </w:rPr>
        <w:t xml:space="preserve"> was not referred to ASIO for an assessment as no particular vulnerabilities were identified in his case. From January 2011, only Illegal Maritime Arrival (IMA) single adult males with particular vulnerabilities were considered for a CD placement and Mr </w:t>
      </w:r>
      <w:r w:rsidR="00025487">
        <w:rPr>
          <w:noProof/>
          <w:sz w:val="22"/>
          <w:szCs w:val="22"/>
          <w:lang w:eastAsia="en-AU"/>
        </w:rPr>
        <w:t>[Bonifass]</w:t>
      </w:r>
      <w:r>
        <w:rPr>
          <w:noProof/>
          <w:sz w:val="22"/>
          <w:szCs w:val="22"/>
          <w:lang w:eastAsia="en-AU"/>
        </w:rPr>
        <w:t xml:space="preserve"> was not identified as part of this cohort.</w:t>
      </w:r>
    </w:p>
    <w:p w14:paraId="3E69178E" w14:textId="77777777" w:rsidR="00397626" w:rsidRDefault="00397626" w:rsidP="00397626">
      <w:pPr>
        <w:spacing w:before="240" w:after="240"/>
        <w:ind w:left="1440"/>
        <w:rPr>
          <w:noProof/>
          <w:sz w:val="22"/>
          <w:szCs w:val="22"/>
          <w:lang w:eastAsia="en-AU"/>
        </w:rPr>
      </w:pPr>
      <w:r>
        <w:rPr>
          <w:noProof/>
          <w:sz w:val="22"/>
          <w:szCs w:val="22"/>
          <w:lang w:eastAsia="en-AU"/>
        </w:rPr>
        <w:t>Mr GA was the subject of an adverse security assessment prior to the expansion of the CD programme in January 2011 and a further request for security advice f</w:t>
      </w:r>
      <w:r w:rsidR="00D42037">
        <w:rPr>
          <w:noProof/>
          <w:sz w:val="22"/>
          <w:szCs w:val="22"/>
          <w:lang w:eastAsia="en-AU"/>
        </w:rPr>
        <w:t>rom</w:t>
      </w:r>
      <w:r>
        <w:rPr>
          <w:noProof/>
          <w:sz w:val="22"/>
          <w:szCs w:val="22"/>
          <w:lang w:eastAsia="en-AU"/>
        </w:rPr>
        <w:t xml:space="preserve"> ASIO was not sought as the Department considered this advice as equally applicable to the appropriateness </w:t>
      </w:r>
      <w:r w:rsidR="00836328">
        <w:rPr>
          <w:noProof/>
          <w:sz w:val="22"/>
          <w:szCs w:val="22"/>
          <w:lang w:eastAsia="en-AU"/>
        </w:rPr>
        <w:t>of a CD placement.</w:t>
      </w:r>
    </w:p>
    <w:p w14:paraId="60B96E09" w14:textId="77777777" w:rsidR="00836328" w:rsidRDefault="00836328" w:rsidP="00397626">
      <w:pPr>
        <w:spacing w:before="240" w:after="240"/>
        <w:ind w:left="1440"/>
        <w:rPr>
          <w:noProof/>
          <w:sz w:val="22"/>
          <w:szCs w:val="22"/>
          <w:lang w:eastAsia="en-AU"/>
        </w:rPr>
      </w:pPr>
      <w:r>
        <w:rPr>
          <w:noProof/>
          <w:sz w:val="22"/>
          <w:szCs w:val="22"/>
          <w:lang w:eastAsia="en-AU"/>
        </w:rPr>
        <w:t xml:space="preserve">The remaining four complainants were referred for consideration of a CD placement after receipt of their adverse security assessment. As per the case of Mr GA and in light of Government policy that people who have been assessed to be directly or indirectly a risk to Australia’s security will remain in held immigration detention until such time that a durable solution for individuals </w:t>
      </w:r>
      <w:r w:rsidR="009E0F4B">
        <w:rPr>
          <w:noProof/>
          <w:sz w:val="22"/>
          <w:szCs w:val="22"/>
          <w:lang w:eastAsia="en-AU"/>
        </w:rPr>
        <w:t>with adverse security assessments is found that is consistent with Australia’s international obligations, no further security advice was requested.</w:t>
      </w:r>
    </w:p>
    <w:p w14:paraId="09167183" w14:textId="77777777" w:rsidR="00690141" w:rsidRDefault="00690141">
      <w:pPr>
        <w:keepLines w:val="0"/>
        <w:rPr>
          <w:noProof/>
          <w:sz w:val="22"/>
          <w:szCs w:val="22"/>
          <w:u w:val="single"/>
          <w:lang w:eastAsia="en-AU"/>
        </w:rPr>
      </w:pPr>
      <w:r>
        <w:rPr>
          <w:noProof/>
          <w:sz w:val="22"/>
          <w:szCs w:val="22"/>
          <w:u w:val="single"/>
          <w:lang w:eastAsia="en-AU"/>
        </w:rPr>
        <w:br w:type="page"/>
      </w:r>
    </w:p>
    <w:p w14:paraId="44BF4C1A" w14:textId="5567C5A7" w:rsidR="009E0F4B" w:rsidRDefault="009E0F4B" w:rsidP="00397626">
      <w:pPr>
        <w:spacing w:before="240" w:after="240"/>
        <w:ind w:left="1440"/>
        <w:rPr>
          <w:noProof/>
          <w:sz w:val="22"/>
          <w:szCs w:val="22"/>
          <w:u w:val="single"/>
          <w:lang w:eastAsia="en-AU"/>
        </w:rPr>
      </w:pPr>
      <w:r>
        <w:rPr>
          <w:noProof/>
          <w:sz w:val="22"/>
          <w:szCs w:val="22"/>
          <w:u w:val="single"/>
          <w:lang w:eastAsia="en-AU"/>
        </w:rPr>
        <w:lastRenderedPageBreak/>
        <w:t>Response to finding 2</w:t>
      </w:r>
    </w:p>
    <w:p w14:paraId="79D74C72" w14:textId="77777777" w:rsidR="009E0F4B" w:rsidRDefault="009E0F4B" w:rsidP="00397626">
      <w:pPr>
        <w:spacing w:before="240" w:after="240"/>
        <w:ind w:left="1440"/>
        <w:rPr>
          <w:noProof/>
          <w:sz w:val="22"/>
          <w:szCs w:val="22"/>
          <w:lang w:eastAsia="en-AU"/>
        </w:rPr>
      </w:pPr>
      <w:r>
        <w:rPr>
          <w:noProof/>
          <w:sz w:val="22"/>
          <w:szCs w:val="22"/>
          <w:lang w:eastAsia="en-AU"/>
        </w:rPr>
        <w:t xml:space="preserve">The Department considers less restrictive detention placements for each individual in line with Government policy that people who have been assessed to be directly or indirectly a risk to Australia’s security will remain in held immigration detention until such time that a durable solution for individuals with adverse security assessments is found </w:t>
      </w:r>
      <w:r w:rsidR="00142C50">
        <w:rPr>
          <w:noProof/>
          <w:sz w:val="22"/>
          <w:szCs w:val="22"/>
          <w:lang w:eastAsia="en-AU"/>
        </w:rPr>
        <w:t>that is consistent with Australia’s international obligations.</w:t>
      </w:r>
    </w:p>
    <w:p w14:paraId="539CAACC" w14:textId="7BCA1864" w:rsidR="00142C50" w:rsidRDefault="00142C50" w:rsidP="00397626">
      <w:pPr>
        <w:spacing w:before="240" w:after="240"/>
        <w:ind w:left="1440"/>
        <w:rPr>
          <w:noProof/>
          <w:sz w:val="22"/>
          <w:szCs w:val="22"/>
          <w:lang w:eastAsia="en-AU"/>
        </w:rPr>
      </w:pPr>
      <w:r>
        <w:rPr>
          <w:noProof/>
          <w:sz w:val="22"/>
          <w:szCs w:val="22"/>
          <w:lang w:eastAsia="en-AU"/>
        </w:rPr>
        <w:t xml:space="preserve">As at 5 September 2014, five of the complainants (Messrs GC, GD, GE, </w:t>
      </w:r>
      <w:r w:rsidR="00025487">
        <w:rPr>
          <w:noProof/>
          <w:sz w:val="22"/>
          <w:szCs w:val="22"/>
          <w:lang w:eastAsia="en-AU"/>
        </w:rPr>
        <w:t>[Bonifass]</w:t>
      </w:r>
      <w:r>
        <w:rPr>
          <w:noProof/>
          <w:sz w:val="22"/>
          <w:szCs w:val="22"/>
          <w:lang w:eastAsia="en-AU"/>
        </w:rPr>
        <w:t xml:space="preserve"> and GG) are placed at the Melbourne Im</w:t>
      </w:r>
      <w:r w:rsidR="00132E73">
        <w:rPr>
          <w:noProof/>
          <w:sz w:val="22"/>
          <w:szCs w:val="22"/>
          <w:lang w:eastAsia="en-AU"/>
        </w:rPr>
        <w:t>migration Transit Accommodation</w:t>
      </w:r>
      <w:r>
        <w:rPr>
          <w:noProof/>
          <w:sz w:val="22"/>
          <w:szCs w:val="22"/>
          <w:lang w:eastAsia="en-AU"/>
        </w:rPr>
        <w:t xml:space="preserve"> (MITA), one of the least restrictive detention placements available to the department.</w:t>
      </w:r>
    </w:p>
    <w:p w14:paraId="3C5137D7" w14:textId="77777777" w:rsidR="00142C50" w:rsidRDefault="00142C50" w:rsidP="00397626">
      <w:pPr>
        <w:spacing w:before="240" w:after="240"/>
        <w:ind w:left="1440"/>
        <w:rPr>
          <w:noProof/>
          <w:sz w:val="22"/>
          <w:szCs w:val="22"/>
          <w:lang w:eastAsia="en-AU"/>
        </w:rPr>
      </w:pPr>
      <w:r>
        <w:rPr>
          <w:noProof/>
          <w:sz w:val="22"/>
          <w:szCs w:val="22"/>
          <w:lang w:eastAsia="en-AU"/>
        </w:rPr>
        <w:t xml:space="preserve">The remaining four complainants are placed at Villawood Immigration Detention Centre (VIDC) Hotham. While VIDC Hotham is a more restrictive detention placement, it comprises 24 single occupancy ensuited rooms, and residents have access </w:t>
      </w:r>
      <w:r w:rsidR="0087792D">
        <w:rPr>
          <w:noProof/>
          <w:sz w:val="22"/>
          <w:szCs w:val="22"/>
          <w:lang w:eastAsia="en-AU"/>
        </w:rPr>
        <w:t>to visits, the medical centre and communal activities space in close proximity to the complex.</w:t>
      </w:r>
    </w:p>
    <w:p w14:paraId="12D803E2" w14:textId="636D238D" w:rsidR="0087792D" w:rsidRDefault="00F444FA" w:rsidP="00397626">
      <w:pPr>
        <w:spacing w:before="240" w:after="240"/>
        <w:ind w:left="1440"/>
        <w:rPr>
          <w:noProof/>
          <w:sz w:val="22"/>
          <w:szCs w:val="22"/>
          <w:lang w:eastAsia="en-AU"/>
        </w:rPr>
      </w:pPr>
      <w:r>
        <w:rPr>
          <w:noProof/>
          <w:sz w:val="22"/>
          <w:szCs w:val="22"/>
          <w:lang w:eastAsia="en-AU"/>
        </w:rPr>
        <w:t>Following the issu</w:t>
      </w:r>
      <w:r w:rsidR="0087792D">
        <w:rPr>
          <w:noProof/>
          <w:sz w:val="22"/>
          <w:szCs w:val="22"/>
          <w:lang w:eastAsia="en-AU"/>
        </w:rPr>
        <w:t>ance of a qualified security assessment, Mr GA was granted a Removal Pending Bridging visa on 24 December 2013 and released from detention.</w:t>
      </w:r>
    </w:p>
    <w:p w14:paraId="0419A13D" w14:textId="77777777" w:rsidR="0087792D" w:rsidRDefault="0087792D" w:rsidP="00397626">
      <w:pPr>
        <w:spacing w:before="240" w:after="240"/>
        <w:ind w:left="1440"/>
        <w:rPr>
          <w:noProof/>
          <w:sz w:val="22"/>
          <w:szCs w:val="22"/>
          <w:u w:val="single"/>
          <w:lang w:eastAsia="en-AU"/>
        </w:rPr>
      </w:pPr>
      <w:r>
        <w:rPr>
          <w:noProof/>
          <w:sz w:val="22"/>
          <w:szCs w:val="22"/>
          <w:u w:val="single"/>
          <w:lang w:eastAsia="en-AU"/>
        </w:rPr>
        <w:t>Response to finding 3</w:t>
      </w:r>
    </w:p>
    <w:p w14:paraId="664B541C" w14:textId="77777777" w:rsidR="0087792D" w:rsidRDefault="0087792D" w:rsidP="00397626">
      <w:pPr>
        <w:spacing w:before="240" w:after="240"/>
        <w:ind w:left="1440"/>
        <w:rPr>
          <w:noProof/>
          <w:sz w:val="22"/>
          <w:szCs w:val="22"/>
          <w:lang w:eastAsia="en-AU"/>
        </w:rPr>
      </w:pPr>
      <w:r>
        <w:rPr>
          <w:noProof/>
          <w:sz w:val="22"/>
          <w:szCs w:val="22"/>
          <w:lang w:eastAsia="en-AU"/>
        </w:rPr>
        <w:t>The Department considers less restrictive detention placements in line with Government policy as outlined above.</w:t>
      </w:r>
    </w:p>
    <w:p w14:paraId="72E6A3CA" w14:textId="77777777" w:rsidR="0087792D" w:rsidRDefault="0087792D" w:rsidP="00397626">
      <w:pPr>
        <w:spacing w:before="240" w:after="240"/>
        <w:ind w:left="1440"/>
        <w:rPr>
          <w:noProof/>
          <w:sz w:val="22"/>
          <w:szCs w:val="22"/>
          <w:lang w:eastAsia="en-AU"/>
        </w:rPr>
      </w:pPr>
      <w:r>
        <w:rPr>
          <w:noProof/>
          <w:sz w:val="22"/>
          <w:szCs w:val="22"/>
          <w:lang w:eastAsia="en-AU"/>
        </w:rPr>
        <w:t>In line with this policy, and in light of the health reports in Mr GG’s case, Mr GG is currently detained at the MITA, one of the least restrictive options available to the Department.</w:t>
      </w:r>
    </w:p>
    <w:p w14:paraId="1526729F" w14:textId="77777777" w:rsidR="0087792D" w:rsidRDefault="0087792D" w:rsidP="00397626">
      <w:pPr>
        <w:spacing w:before="240" w:after="240"/>
        <w:ind w:left="1440"/>
        <w:rPr>
          <w:noProof/>
          <w:sz w:val="22"/>
          <w:szCs w:val="22"/>
          <w:u w:val="single"/>
          <w:lang w:eastAsia="en-AU"/>
        </w:rPr>
      </w:pPr>
      <w:r>
        <w:rPr>
          <w:noProof/>
          <w:sz w:val="22"/>
          <w:szCs w:val="22"/>
          <w:u w:val="single"/>
          <w:lang w:eastAsia="en-AU"/>
        </w:rPr>
        <w:t>Response to finding 4</w:t>
      </w:r>
    </w:p>
    <w:p w14:paraId="7F080983" w14:textId="77777777" w:rsidR="0087792D" w:rsidRDefault="0087792D" w:rsidP="00397626">
      <w:pPr>
        <w:spacing w:before="240" w:after="240"/>
        <w:ind w:left="1440"/>
        <w:rPr>
          <w:noProof/>
          <w:sz w:val="22"/>
          <w:szCs w:val="22"/>
          <w:lang w:eastAsia="en-AU"/>
        </w:rPr>
      </w:pPr>
      <w:r>
        <w:rPr>
          <w:noProof/>
          <w:sz w:val="22"/>
          <w:szCs w:val="22"/>
          <w:lang w:eastAsia="en-AU"/>
        </w:rPr>
        <w:t>The Department notes the AHRC’s finding. The Department has no further comment to add in regards to Mr GE’s complaint.</w:t>
      </w:r>
    </w:p>
    <w:p w14:paraId="7261D8ED" w14:textId="77777777" w:rsidR="0081680E" w:rsidRDefault="0081680E" w:rsidP="00AE7382">
      <w:pPr>
        <w:pStyle w:val="ListParagraph"/>
        <w:numPr>
          <w:ilvl w:val="0"/>
          <w:numId w:val="19"/>
        </w:numPr>
        <w:spacing w:before="240" w:after="240"/>
        <w:rPr>
          <w:noProof/>
          <w:sz w:val="24"/>
          <w:szCs w:val="22"/>
          <w:lang w:eastAsia="en-AU"/>
        </w:rPr>
      </w:pPr>
      <w:r>
        <w:rPr>
          <w:noProof/>
          <w:sz w:val="24"/>
          <w:szCs w:val="22"/>
          <w:lang w:eastAsia="en-AU"/>
        </w:rPr>
        <w:t xml:space="preserve">The </w:t>
      </w:r>
      <w:r w:rsidR="00F711BF">
        <w:rPr>
          <w:noProof/>
          <w:sz w:val="24"/>
          <w:szCs w:val="22"/>
          <w:lang w:eastAsia="en-AU"/>
        </w:rPr>
        <w:t>department</w:t>
      </w:r>
      <w:r>
        <w:rPr>
          <w:noProof/>
          <w:sz w:val="24"/>
          <w:szCs w:val="22"/>
          <w:lang w:eastAsia="en-AU"/>
        </w:rPr>
        <w:t xml:space="preserve"> </w:t>
      </w:r>
      <w:r w:rsidRPr="0081680E">
        <w:rPr>
          <w:noProof/>
          <w:sz w:val="24"/>
          <w:szCs w:val="22"/>
          <w:lang w:eastAsia="en-AU"/>
        </w:rPr>
        <w:t>provided the following response</w:t>
      </w:r>
      <w:r>
        <w:rPr>
          <w:noProof/>
          <w:sz w:val="24"/>
          <w:szCs w:val="22"/>
          <w:lang w:eastAsia="en-AU"/>
        </w:rPr>
        <w:t xml:space="preserve"> to my recommendations:</w:t>
      </w:r>
    </w:p>
    <w:p w14:paraId="2ECC037F" w14:textId="77777777" w:rsidR="0074602C" w:rsidRPr="0074602C" w:rsidRDefault="0074602C" w:rsidP="0081680E">
      <w:pPr>
        <w:spacing w:before="240" w:after="240"/>
        <w:ind w:left="1440"/>
        <w:rPr>
          <w:noProof/>
          <w:sz w:val="22"/>
          <w:szCs w:val="22"/>
          <w:u w:val="single"/>
          <w:lang w:eastAsia="en-AU"/>
        </w:rPr>
      </w:pPr>
      <w:r>
        <w:rPr>
          <w:noProof/>
          <w:sz w:val="22"/>
          <w:szCs w:val="22"/>
          <w:u w:val="single"/>
          <w:lang w:eastAsia="en-AU"/>
        </w:rPr>
        <w:t>Response to Recommendations 2 to 5</w:t>
      </w:r>
    </w:p>
    <w:p w14:paraId="63AEDB4D" w14:textId="77777777" w:rsidR="0081680E" w:rsidRDefault="006A165B" w:rsidP="0081680E">
      <w:pPr>
        <w:spacing w:before="240" w:after="240"/>
        <w:ind w:left="1440"/>
        <w:rPr>
          <w:noProof/>
          <w:sz w:val="22"/>
          <w:szCs w:val="22"/>
          <w:lang w:eastAsia="en-AU"/>
        </w:rPr>
      </w:pPr>
      <w:r w:rsidRPr="006A165B">
        <w:rPr>
          <w:noProof/>
          <w:sz w:val="22"/>
          <w:szCs w:val="22"/>
          <w:lang w:eastAsia="en-AU"/>
        </w:rPr>
        <w:t>It is Governme</w:t>
      </w:r>
      <w:r>
        <w:rPr>
          <w:noProof/>
          <w:sz w:val="22"/>
          <w:szCs w:val="22"/>
          <w:lang w:eastAsia="en-AU"/>
        </w:rPr>
        <w:t>nt policy that individuals who have been assessed to be directly or indirectly a risk to Australia’s security will remain in held immigration detention until such time that a durable solution for individuals with adverse security assessments is found that is consistent with Australia’s international obligations.</w:t>
      </w:r>
    </w:p>
    <w:p w14:paraId="462013B5" w14:textId="77777777" w:rsidR="006A165B" w:rsidRDefault="006A165B" w:rsidP="0081680E">
      <w:pPr>
        <w:spacing w:before="240" w:after="240"/>
        <w:ind w:left="1440"/>
        <w:rPr>
          <w:noProof/>
          <w:sz w:val="22"/>
          <w:szCs w:val="22"/>
          <w:lang w:eastAsia="en-AU"/>
        </w:rPr>
      </w:pPr>
      <w:r>
        <w:rPr>
          <w:noProof/>
          <w:sz w:val="22"/>
          <w:szCs w:val="22"/>
          <w:lang w:eastAsia="en-AU"/>
        </w:rPr>
        <w:t>The Department is aware that the same threshold is applied to a security assessment whether it is requested for the purpose of Public Interest Criterion 4002 (PIC4002) or for CD purposes. This means that recipients of an adverse security assessment for permanent visa purposes would receive a further adverse response to any subsequent requests for security advice.</w:t>
      </w:r>
      <w:r w:rsidR="0074602C">
        <w:rPr>
          <w:noProof/>
          <w:sz w:val="22"/>
          <w:szCs w:val="22"/>
          <w:lang w:eastAsia="en-AU"/>
        </w:rPr>
        <w:t xml:space="preserve"> As such, the Department does not consider there to be any utility in making a further request for information in circumstances where the outcome is already known.</w:t>
      </w:r>
    </w:p>
    <w:p w14:paraId="57A0CE76" w14:textId="77777777" w:rsidR="0074602C" w:rsidRDefault="0074602C" w:rsidP="0081680E">
      <w:pPr>
        <w:spacing w:before="240" w:after="240"/>
        <w:ind w:left="1440"/>
        <w:rPr>
          <w:noProof/>
          <w:sz w:val="22"/>
          <w:szCs w:val="22"/>
          <w:lang w:eastAsia="en-AU"/>
        </w:rPr>
      </w:pPr>
      <w:r>
        <w:rPr>
          <w:noProof/>
          <w:sz w:val="22"/>
          <w:szCs w:val="22"/>
          <w:lang w:eastAsia="en-AU"/>
        </w:rPr>
        <w:lastRenderedPageBreak/>
        <w:t xml:space="preserve">The Department notes that ASIO and the Independent Reviewer of Adverse Security Assessments are currently reviewing all adverse security assessments. While two of the complainants (Messrs </w:t>
      </w:r>
      <w:r w:rsidR="00025487">
        <w:rPr>
          <w:noProof/>
          <w:sz w:val="22"/>
          <w:szCs w:val="22"/>
          <w:lang w:eastAsia="en-AU"/>
        </w:rPr>
        <w:t>[Subramaniyam]</w:t>
      </w:r>
      <w:r>
        <w:rPr>
          <w:noProof/>
          <w:sz w:val="22"/>
          <w:szCs w:val="22"/>
          <w:lang w:eastAsia="en-AU"/>
        </w:rPr>
        <w:t xml:space="preserve"> and GF) have had outcomes confirming that their adverse security assessments remain appropriate, the remaining complainants will have their assessments reviewed as part of this process.</w:t>
      </w:r>
    </w:p>
    <w:p w14:paraId="4F1D5830" w14:textId="77777777" w:rsidR="0074602C" w:rsidRDefault="0074602C" w:rsidP="0081680E">
      <w:pPr>
        <w:spacing w:before="240" w:after="240"/>
        <w:ind w:left="1440"/>
        <w:rPr>
          <w:noProof/>
          <w:sz w:val="22"/>
          <w:szCs w:val="22"/>
          <w:u w:val="single"/>
          <w:lang w:eastAsia="en-AU"/>
        </w:rPr>
      </w:pPr>
      <w:r>
        <w:rPr>
          <w:noProof/>
          <w:sz w:val="22"/>
          <w:szCs w:val="22"/>
          <w:u w:val="single"/>
          <w:lang w:eastAsia="en-AU"/>
        </w:rPr>
        <w:t>Response to Recommendation 6</w:t>
      </w:r>
    </w:p>
    <w:p w14:paraId="33CD02AE" w14:textId="77777777" w:rsidR="0074602C" w:rsidRDefault="0074602C" w:rsidP="0081680E">
      <w:pPr>
        <w:spacing w:before="240" w:after="240"/>
        <w:ind w:left="1440"/>
        <w:rPr>
          <w:noProof/>
          <w:sz w:val="22"/>
          <w:szCs w:val="22"/>
          <w:lang w:eastAsia="en-AU"/>
        </w:rPr>
      </w:pPr>
      <w:r>
        <w:rPr>
          <w:noProof/>
          <w:sz w:val="22"/>
          <w:szCs w:val="22"/>
          <w:lang w:eastAsia="en-AU"/>
        </w:rPr>
        <w:t>The Department continues to explore op</w:t>
      </w:r>
      <w:r w:rsidR="009149DF">
        <w:rPr>
          <w:noProof/>
          <w:sz w:val="22"/>
          <w:szCs w:val="22"/>
          <w:lang w:eastAsia="en-AU"/>
        </w:rPr>
        <w:t>tions for these people, including</w:t>
      </w:r>
      <w:r>
        <w:rPr>
          <w:noProof/>
          <w:sz w:val="22"/>
          <w:szCs w:val="22"/>
          <w:lang w:eastAsia="en-AU"/>
        </w:rPr>
        <w:t xml:space="preserve"> third country resettlement, together with taking prompt action regarding any independent reviewer assessments or ASIO inter</w:t>
      </w:r>
      <w:r w:rsidR="00D45D3B">
        <w:rPr>
          <w:noProof/>
          <w:sz w:val="22"/>
          <w:szCs w:val="22"/>
          <w:lang w:eastAsia="en-AU"/>
        </w:rPr>
        <w:t>n</w:t>
      </w:r>
      <w:r>
        <w:rPr>
          <w:noProof/>
          <w:sz w:val="22"/>
          <w:szCs w:val="22"/>
          <w:lang w:eastAsia="en-AU"/>
        </w:rPr>
        <w:t>al review process that may change the status of a security assessment. As a result of the independent review and ASIO review process, ten people who formerly held adverse security assessments have been granted visas and released from detention.</w:t>
      </w:r>
    </w:p>
    <w:p w14:paraId="5AEC8D80" w14:textId="77777777" w:rsidR="0074602C" w:rsidRPr="0074602C" w:rsidRDefault="0074602C" w:rsidP="0081680E">
      <w:pPr>
        <w:spacing w:before="240" w:after="240"/>
        <w:ind w:left="1440"/>
        <w:rPr>
          <w:noProof/>
          <w:sz w:val="22"/>
          <w:szCs w:val="22"/>
          <w:lang w:eastAsia="en-AU"/>
        </w:rPr>
      </w:pPr>
      <w:r>
        <w:rPr>
          <w:noProof/>
          <w:sz w:val="22"/>
          <w:szCs w:val="22"/>
          <w:lang w:eastAsia="en-AU"/>
        </w:rPr>
        <w:t>Case managers have regular discussions with people in detention to advise them of the outcome of detention placement decisions and other steps that are being pursued to resolve their case.</w:t>
      </w:r>
    </w:p>
    <w:p w14:paraId="3FFD3B7F" w14:textId="77777777" w:rsidR="00CC6C01" w:rsidRPr="005F64AF" w:rsidRDefault="00E4472A" w:rsidP="00E4472A">
      <w:pPr>
        <w:spacing w:before="240" w:after="240"/>
        <w:rPr>
          <w:rFonts w:cs="Arial"/>
          <w:sz w:val="24"/>
          <w:szCs w:val="24"/>
        </w:rPr>
      </w:pPr>
      <w:r>
        <w:rPr>
          <w:rFonts w:cs="Arial"/>
          <w:sz w:val="24"/>
          <w:szCs w:val="24"/>
        </w:rPr>
        <w:br/>
      </w:r>
      <w:r w:rsidR="00C361BD">
        <w:rPr>
          <w:sz w:val="24"/>
          <w:szCs w:val="24"/>
        </w:rPr>
        <w:t>I report accordingly to the Attorney-General.</w:t>
      </w:r>
      <w:r w:rsidR="00C361BD">
        <w:rPr>
          <w:sz w:val="24"/>
          <w:szCs w:val="24"/>
        </w:rPr>
        <w:br/>
      </w:r>
      <w:r w:rsidR="00C361BD">
        <w:rPr>
          <w:sz w:val="24"/>
          <w:szCs w:val="24"/>
        </w:rPr>
        <w:br/>
      </w:r>
      <w:r w:rsidR="00C361BD">
        <w:rPr>
          <w:sz w:val="24"/>
          <w:szCs w:val="24"/>
        </w:rPr>
        <w:br/>
      </w:r>
      <w:r w:rsidR="008F738D">
        <w:rPr>
          <w:noProof/>
          <w:lang w:eastAsia="en-AU"/>
        </w:rPr>
        <w:drawing>
          <wp:inline distT="0" distB="0" distL="0" distR="0" wp14:anchorId="033A89EA" wp14:editId="77C982E3">
            <wp:extent cx="2009775" cy="1190625"/>
            <wp:effectExtent l="0" t="0" r="9525" b="9525"/>
            <wp:docPr id="2" name="Picture 2" descr="cid:image006.jpg@01CFD652.DC74FA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6.jpg@01CFD652.DC74FAF0"/>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2009775" cy="1190625"/>
                    </a:xfrm>
                    <a:prstGeom prst="rect">
                      <a:avLst/>
                    </a:prstGeom>
                    <a:noFill/>
                    <a:ln>
                      <a:noFill/>
                    </a:ln>
                  </pic:spPr>
                </pic:pic>
              </a:graphicData>
            </a:graphic>
          </wp:inline>
        </w:drawing>
      </w:r>
      <w:r w:rsidR="00C361BD">
        <w:rPr>
          <w:sz w:val="24"/>
          <w:szCs w:val="24"/>
        </w:rPr>
        <w:br/>
      </w:r>
      <w:r w:rsidR="00C361BD">
        <w:rPr>
          <w:sz w:val="24"/>
          <w:szCs w:val="24"/>
        </w:rPr>
        <w:br/>
      </w:r>
      <w:r w:rsidR="00E5523A" w:rsidRPr="005F64AF">
        <w:rPr>
          <w:sz w:val="24"/>
          <w:szCs w:val="24"/>
        </w:rPr>
        <w:t>Gillian Triggs</w:t>
      </w:r>
      <w:r>
        <w:rPr>
          <w:sz w:val="24"/>
          <w:szCs w:val="24"/>
        </w:rPr>
        <w:br/>
      </w:r>
      <w:r w:rsidR="00CC6C01" w:rsidRPr="005F64AF">
        <w:rPr>
          <w:b/>
          <w:sz w:val="24"/>
          <w:szCs w:val="24"/>
        </w:rPr>
        <w:t>President</w:t>
      </w:r>
      <w:r w:rsidR="00CC6C01" w:rsidRPr="005F64AF">
        <w:rPr>
          <w:sz w:val="24"/>
          <w:szCs w:val="24"/>
        </w:rPr>
        <w:t xml:space="preserve"> </w:t>
      </w:r>
      <w:r>
        <w:rPr>
          <w:sz w:val="24"/>
          <w:szCs w:val="24"/>
        </w:rPr>
        <w:br/>
      </w:r>
      <w:r w:rsidR="00CC6C01" w:rsidRPr="005F64AF">
        <w:rPr>
          <w:sz w:val="24"/>
          <w:szCs w:val="24"/>
        </w:rPr>
        <w:t>Australian Human Rights Commission</w:t>
      </w:r>
      <w:r>
        <w:rPr>
          <w:sz w:val="24"/>
          <w:szCs w:val="24"/>
        </w:rPr>
        <w:br/>
      </w:r>
      <w:r w:rsidR="00C361BD">
        <w:rPr>
          <w:rFonts w:cs="Arial"/>
          <w:sz w:val="24"/>
          <w:szCs w:val="24"/>
        </w:rPr>
        <w:t>November 2014</w:t>
      </w:r>
    </w:p>
    <w:p w14:paraId="70E0425D" w14:textId="77777777" w:rsidR="00A61DAC" w:rsidRPr="005F64AF" w:rsidRDefault="00A61DAC" w:rsidP="00961430">
      <w:pPr>
        <w:spacing w:before="240" w:after="240"/>
        <w:rPr>
          <w:rFonts w:cs="Arial"/>
          <w:sz w:val="24"/>
          <w:szCs w:val="24"/>
        </w:rPr>
      </w:pPr>
    </w:p>
    <w:p w14:paraId="665ED1B5" w14:textId="77777777" w:rsidR="00BF53CB" w:rsidRPr="005F64AF" w:rsidRDefault="00BF53CB" w:rsidP="00836328">
      <w:pPr>
        <w:rPr>
          <w:rFonts w:cs="Arial"/>
          <w:sz w:val="24"/>
          <w:szCs w:val="24"/>
        </w:rPr>
      </w:pPr>
      <w:r w:rsidRPr="005F64AF">
        <w:rPr>
          <w:rFonts w:cs="Arial"/>
          <w:sz w:val="24"/>
          <w:szCs w:val="24"/>
        </w:rPr>
        <w:br w:type="page"/>
      </w:r>
    </w:p>
    <w:p w14:paraId="3CC1E8D1" w14:textId="3D0D655D" w:rsidR="00433EFB" w:rsidRDefault="00BF53CB" w:rsidP="00690141">
      <w:pPr>
        <w:pStyle w:val="Heading1"/>
        <w:numPr>
          <w:ilvl w:val="0"/>
          <w:numId w:val="0"/>
        </w:numPr>
        <w:ind w:left="851" w:hanging="851"/>
      </w:pPr>
      <w:bookmarkStart w:id="28" w:name="_Toc282704190"/>
      <w:r w:rsidRPr="005F64AF">
        <w:lastRenderedPageBreak/>
        <w:t>Endnotes</w:t>
      </w:r>
      <w:bookmarkEnd w:id="28"/>
    </w:p>
    <w:p w14:paraId="45F67228" w14:textId="77777777" w:rsidR="00690141" w:rsidRPr="00690141" w:rsidRDefault="00690141" w:rsidP="00690141"/>
    <w:sectPr w:rsidR="00690141" w:rsidRPr="00690141" w:rsidSect="00B75196">
      <w:footerReference w:type="even" r:id="rId17"/>
      <w:footerReference w:type="default" r:id="rId18"/>
      <w:endnotePr>
        <w:numFmt w:val="decimal"/>
      </w:endnotePr>
      <w:pgSz w:w="11906" w:h="16838"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D8CB7D" w14:textId="77777777" w:rsidR="00662083" w:rsidRDefault="00662083" w:rsidP="00F14C6D">
      <w:r>
        <w:separator/>
      </w:r>
    </w:p>
  </w:endnote>
  <w:endnote w:type="continuationSeparator" w:id="0">
    <w:p w14:paraId="46908645" w14:textId="77777777" w:rsidR="00662083" w:rsidRDefault="00662083" w:rsidP="00F14C6D">
      <w:r>
        <w:continuationSeparator/>
      </w:r>
    </w:p>
  </w:endnote>
  <w:endnote w:id="1">
    <w:p w14:paraId="00434841" w14:textId="77777777" w:rsidR="00662083" w:rsidRPr="00554879" w:rsidRDefault="00662083" w:rsidP="0098390B">
      <w:pPr>
        <w:pStyle w:val="EndnoteText"/>
        <w:ind w:left="567" w:hanging="567"/>
        <w:rPr>
          <w:rStyle w:val="EndnoteReference"/>
          <w:rFonts w:cs="Arial"/>
          <w:i/>
        </w:rPr>
      </w:pPr>
      <w:r w:rsidRPr="007D4E03">
        <w:rPr>
          <w:rStyle w:val="EndnoteReference"/>
          <w:rFonts w:cs="Arial"/>
        </w:rPr>
        <w:endnoteRef/>
      </w:r>
      <w:r w:rsidRPr="007D4E03">
        <w:rPr>
          <w:rStyle w:val="EndnoteReference"/>
          <w:rFonts w:cs="Arial"/>
        </w:rPr>
        <w:t xml:space="preserve"> </w:t>
      </w:r>
      <w:r w:rsidRPr="007D4E03">
        <w:rPr>
          <w:rStyle w:val="EndnoteReference"/>
          <w:rFonts w:cs="Arial"/>
        </w:rPr>
        <w:tab/>
      </w:r>
      <w:r w:rsidRPr="00C57484">
        <w:rPr>
          <w:rStyle w:val="EndnoteReference"/>
          <w:rFonts w:cs="Arial"/>
          <w:vertAlign w:val="baseline"/>
        </w:rPr>
        <w:t>The ICCPR is referred to in the definition of ‘human righ</w:t>
      </w:r>
      <w:r>
        <w:rPr>
          <w:rStyle w:val="EndnoteReference"/>
          <w:rFonts w:cs="Arial"/>
          <w:vertAlign w:val="baseline"/>
        </w:rPr>
        <w:t>ts’ in s 3(1) of the</w:t>
      </w:r>
      <w:r>
        <w:rPr>
          <w:rFonts w:cs="Arial"/>
        </w:rPr>
        <w:t xml:space="preserve"> </w:t>
      </w:r>
      <w:r>
        <w:rPr>
          <w:rFonts w:cs="Arial"/>
          <w:i/>
        </w:rPr>
        <w:t xml:space="preserve">Australian Human Rights Commission Act 1986 </w:t>
      </w:r>
      <w:r>
        <w:rPr>
          <w:rFonts w:cs="Arial"/>
        </w:rPr>
        <w:t>(Cth) (</w:t>
      </w:r>
      <w:r>
        <w:rPr>
          <w:rStyle w:val="EndnoteReference"/>
          <w:rFonts w:cs="Arial"/>
          <w:vertAlign w:val="baseline"/>
        </w:rPr>
        <w:t xml:space="preserve">AHRC Act). </w:t>
      </w:r>
      <w:r w:rsidRPr="00FD32C0">
        <w:rPr>
          <w:rFonts w:cs="Arial"/>
        </w:rPr>
        <w:t>O</w:t>
      </w:r>
      <w:r>
        <w:rPr>
          <w:rFonts w:cs="Arial"/>
        </w:rPr>
        <w:t>n 22 October 1992, the Attorney-</w:t>
      </w:r>
      <w:r w:rsidRPr="00FD32C0">
        <w:rPr>
          <w:rFonts w:cs="Arial"/>
        </w:rPr>
        <w:t xml:space="preserve">General made a declaration under s 47 that the </w:t>
      </w:r>
      <w:r>
        <w:rPr>
          <w:rFonts w:cs="Arial"/>
        </w:rPr>
        <w:t xml:space="preserve">CRC </w:t>
      </w:r>
      <w:r w:rsidRPr="00FD32C0">
        <w:rPr>
          <w:rFonts w:cs="Arial"/>
        </w:rPr>
        <w:t>is an international instrument relating to human rights and freedoms for the purposes of the AHRC Act</w:t>
      </w:r>
      <w:r>
        <w:rPr>
          <w:rFonts w:cs="Arial"/>
        </w:rPr>
        <w:t xml:space="preserve">: </w:t>
      </w:r>
      <w:r w:rsidRPr="00FD32C0">
        <w:rPr>
          <w:rFonts w:cs="Arial"/>
          <w:i/>
        </w:rPr>
        <w:t>Human Rights and Equal Opportunity Commission Act 1986 - Declaration of the United Nations Convention on the Rights of the Child</w:t>
      </w:r>
      <w:r w:rsidRPr="00FD32C0">
        <w:rPr>
          <w:rFonts w:cs="Arial"/>
        </w:rPr>
        <w:t>.</w:t>
      </w:r>
    </w:p>
  </w:endnote>
  <w:endnote w:id="2">
    <w:p w14:paraId="3037A90D" w14:textId="77777777" w:rsidR="00662083" w:rsidRPr="00361719" w:rsidRDefault="00662083" w:rsidP="00974D98">
      <w:pPr>
        <w:pStyle w:val="EndnoteText"/>
        <w:ind w:left="567" w:hanging="567"/>
        <w:rPr>
          <w:rFonts w:cs="Arial"/>
        </w:rPr>
      </w:pPr>
      <w:r w:rsidRPr="00361719">
        <w:rPr>
          <w:rStyle w:val="EndnoteReference"/>
          <w:rFonts w:cs="Arial"/>
        </w:rPr>
        <w:endnoteRef/>
      </w:r>
      <w:r w:rsidRPr="00361719">
        <w:rPr>
          <w:rFonts w:cs="Arial"/>
        </w:rPr>
        <w:t xml:space="preserve"> </w:t>
      </w:r>
      <w:r>
        <w:rPr>
          <w:rFonts w:cs="Arial"/>
        </w:rPr>
        <w:tab/>
      </w:r>
      <w:r w:rsidRPr="00361719">
        <w:rPr>
          <w:rFonts w:cs="Arial"/>
        </w:rPr>
        <w:t xml:space="preserve">See </w:t>
      </w:r>
      <w:r w:rsidRPr="00361719">
        <w:rPr>
          <w:rFonts w:cs="Arial"/>
          <w:i/>
        </w:rPr>
        <w:t>Secretary, Department of Defence v HREOC, Burgess &amp; Ors</w:t>
      </w:r>
      <w:r w:rsidRPr="00361719">
        <w:rPr>
          <w:rFonts w:cs="Arial"/>
        </w:rPr>
        <w:t xml:space="preserve"> (1997) 78 FCR 208.</w:t>
      </w:r>
    </w:p>
  </w:endnote>
  <w:endnote w:id="3">
    <w:p w14:paraId="625D1D7B" w14:textId="77777777" w:rsidR="00662083" w:rsidRPr="00361719" w:rsidRDefault="00662083" w:rsidP="0098390B">
      <w:pPr>
        <w:pStyle w:val="EndnoteText"/>
        <w:ind w:left="567" w:hanging="567"/>
        <w:rPr>
          <w:rFonts w:cs="Arial"/>
        </w:rPr>
      </w:pPr>
      <w:r w:rsidRPr="00361719">
        <w:rPr>
          <w:rStyle w:val="EndnoteReference"/>
          <w:rFonts w:cs="Arial"/>
        </w:rPr>
        <w:endnoteRef/>
      </w:r>
      <w:r w:rsidRPr="00361719">
        <w:rPr>
          <w:rFonts w:cs="Arial"/>
        </w:rPr>
        <w:t xml:space="preserve"> </w:t>
      </w:r>
      <w:r>
        <w:rPr>
          <w:rFonts w:cs="Arial"/>
        </w:rPr>
        <w:tab/>
      </w:r>
      <w:r w:rsidRPr="00361719">
        <w:rPr>
          <w:rFonts w:cs="Arial"/>
        </w:rPr>
        <w:t xml:space="preserve">UN Human Rights Committee, </w:t>
      </w:r>
      <w:r w:rsidRPr="00073763">
        <w:rPr>
          <w:rFonts w:cs="Arial"/>
        </w:rPr>
        <w:t xml:space="preserve">General Comment 8 (1982). </w:t>
      </w:r>
      <w:r w:rsidRPr="00361719">
        <w:rPr>
          <w:rFonts w:cs="Arial"/>
        </w:rPr>
        <w:t xml:space="preserve">See also </w:t>
      </w:r>
      <w:r w:rsidRPr="00361719">
        <w:rPr>
          <w:rFonts w:cs="Arial"/>
          <w:i/>
        </w:rPr>
        <w:t>A v Australia</w:t>
      </w:r>
      <w:r w:rsidRPr="00361719">
        <w:rPr>
          <w:rFonts w:cs="Arial"/>
        </w:rPr>
        <w:t xml:space="preserve"> </w:t>
      </w:r>
      <w:r>
        <w:rPr>
          <w:rFonts w:cs="Arial"/>
        </w:rPr>
        <w:t>Communication No 560 of 1993</w:t>
      </w:r>
      <w:r w:rsidRPr="00361719">
        <w:rPr>
          <w:rFonts w:cs="Arial"/>
        </w:rPr>
        <w:t xml:space="preserve">, UN Doc CCPR/C/59/D/560/1993; </w:t>
      </w:r>
      <w:r w:rsidRPr="00361719">
        <w:rPr>
          <w:rFonts w:cs="Arial"/>
          <w:i/>
        </w:rPr>
        <w:t>C v Australia</w:t>
      </w:r>
      <w:r w:rsidRPr="00361719">
        <w:rPr>
          <w:rFonts w:cs="Arial"/>
        </w:rPr>
        <w:t xml:space="preserve"> </w:t>
      </w:r>
      <w:r>
        <w:rPr>
          <w:rFonts w:cs="Arial"/>
        </w:rPr>
        <w:t xml:space="preserve">Communication No 900 of 1999, </w:t>
      </w:r>
      <w:r w:rsidRPr="00361719">
        <w:rPr>
          <w:rFonts w:cs="Arial"/>
        </w:rPr>
        <w:t xml:space="preserve">UN Doc CCPR/C/76/D/900/1999; </w:t>
      </w:r>
      <w:r w:rsidRPr="00361719">
        <w:rPr>
          <w:rFonts w:cs="Arial"/>
          <w:i/>
        </w:rPr>
        <w:t>Baban v Australia</w:t>
      </w:r>
      <w:r w:rsidRPr="00361719">
        <w:rPr>
          <w:rFonts w:cs="Arial"/>
        </w:rPr>
        <w:t xml:space="preserve"> </w:t>
      </w:r>
      <w:r>
        <w:rPr>
          <w:rFonts w:cs="Arial"/>
        </w:rPr>
        <w:t xml:space="preserve">Communication No 1014 of 2001, </w:t>
      </w:r>
      <w:r w:rsidRPr="00361719">
        <w:rPr>
          <w:rFonts w:cs="Arial"/>
        </w:rPr>
        <w:t>UN Doc CCPR/C/78/D/1014/2001.</w:t>
      </w:r>
    </w:p>
  </w:endnote>
  <w:endnote w:id="4">
    <w:p w14:paraId="2940E408" w14:textId="20CDC123" w:rsidR="00662083" w:rsidRDefault="00662083" w:rsidP="0098390B">
      <w:pPr>
        <w:pStyle w:val="EndnoteText"/>
        <w:ind w:left="567" w:hanging="567"/>
      </w:pPr>
      <w:r>
        <w:rPr>
          <w:rStyle w:val="EndnoteReference"/>
        </w:rPr>
        <w:endnoteRef/>
      </w:r>
      <w:r>
        <w:t xml:space="preserve"> </w:t>
      </w:r>
      <w:r>
        <w:tab/>
      </w:r>
      <w:r w:rsidRPr="00F50628">
        <w:t xml:space="preserve">UN Human Rights Committee, </w:t>
      </w:r>
      <w:r w:rsidRPr="00073763">
        <w:t>General Comment 31 (2004)</w:t>
      </w:r>
      <w:r>
        <w:t>,</w:t>
      </w:r>
      <w:r w:rsidRPr="00F50628">
        <w:t xml:space="preserve"> [6]. See also </w:t>
      </w:r>
      <w:r>
        <w:t xml:space="preserve">S Joseph, J Schultz and M Castan, </w:t>
      </w:r>
      <w:r w:rsidRPr="008E6F49">
        <w:rPr>
          <w:i/>
        </w:rPr>
        <w:t>The International Covenant on Civil and Political</w:t>
      </w:r>
      <w:r>
        <w:rPr>
          <w:i/>
        </w:rPr>
        <w:t xml:space="preserve"> Rights: Cases, Materials and C</w:t>
      </w:r>
      <w:r w:rsidRPr="008E6F49">
        <w:rPr>
          <w:i/>
        </w:rPr>
        <w:t>ommentary</w:t>
      </w:r>
      <w:r>
        <w:t xml:space="preserve"> (Oxford University Press, 2</w:t>
      </w:r>
      <w:r w:rsidRPr="009E7E25">
        <w:rPr>
          <w:vertAlign w:val="superscript"/>
        </w:rPr>
        <w:t>nd</w:t>
      </w:r>
      <w:r>
        <w:t xml:space="preserve"> ed, 2004) </w:t>
      </w:r>
      <w:r w:rsidRPr="00F50628">
        <w:t>308</w:t>
      </w:r>
      <w:r w:rsidRPr="006F1D72">
        <w:t>, [11.10].</w:t>
      </w:r>
    </w:p>
  </w:endnote>
  <w:endnote w:id="5">
    <w:p w14:paraId="3978D369" w14:textId="10772AEB" w:rsidR="00662083" w:rsidRPr="00361719" w:rsidRDefault="00662083" w:rsidP="0098390B">
      <w:pPr>
        <w:pStyle w:val="EndnoteText"/>
        <w:ind w:left="567" w:hanging="567"/>
        <w:rPr>
          <w:rFonts w:cs="Arial"/>
        </w:rPr>
      </w:pPr>
      <w:r w:rsidRPr="00361719">
        <w:rPr>
          <w:rStyle w:val="EndnoteReference"/>
          <w:rFonts w:cs="Arial"/>
        </w:rPr>
        <w:endnoteRef/>
      </w:r>
      <w:r w:rsidRPr="00361719">
        <w:rPr>
          <w:rFonts w:cs="Arial"/>
        </w:rPr>
        <w:t xml:space="preserve"> </w:t>
      </w:r>
      <w:r>
        <w:rPr>
          <w:rFonts w:cs="Arial"/>
        </w:rPr>
        <w:tab/>
      </w:r>
      <w:r w:rsidRPr="00361719">
        <w:rPr>
          <w:rFonts w:cs="Arial"/>
          <w:i/>
        </w:rPr>
        <w:t xml:space="preserve">Manga v Attorney-General </w:t>
      </w:r>
      <w:r w:rsidRPr="00361719">
        <w:rPr>
          <w:rFonts w:cs="Arial"/>
        </w:rPr>
        <w:t>[</w:t>
      </w:r>
      <w:r>
        <w:rPr>
          <w:rFonts w:cs="Arial"/>
        </w:rPr>
        <w:t>2000] 2 NZLR 65</w:t>
      </w:r>
      <w:r w:rsidR="00F61A17">
        <w:rPr>
          <w:rFonts w:cs="Arial"/>
        </w:rPr>
        <w:t>,</w:t>
      </w:r>
      <w:r>
        <w:rPr>
          <w:rFonts w:cs="Arial"/>
        </w:rPr>
        <w:t xml:space="preserve"> [40]-</w:t>
      </w:r>
      <w:r w:rsidRPr="00361719">
        <w:rPr>
          <w:rFonts w:cs="Arial"/>
        </w:rPr>
        <w:t xml:space="preserve">[42], (Hammond J). See also the views of the UN Human Rights Committee in </w:t>
      </w:r>
      <w:r w:rsidRPr="00361719">
        <w:rPr>
          <w:rFonts w:cs="Arial"/>
          <w:i/>
        </w:rPr>
        <w:t>Van Alphen v The Netherlands</w:t>
      </w:r>
      <w:r>
        <w:rPr>
          <w:rFonts w:cs="Arial"/>
          <w:i/>
        </w:rPr>
        <w:t xml:space="preserve"> </w:t>
      </w:r>
      <w:r>
        <w:rPr>
          <w:rFonts w:cs="Arial"/>
        </w:rPr>
        <w:t>Communication No 305 of 1988</w:t>
      </w:r>
      <w:r w:rsidRPr="00361719">
        <w:rPr>
          <w:rFonts w:cs="Arial"/>
        </w:rPr>
        <w:t xml:space="preserve">, UN Doc CCPR/C/39/D/305/1988; </w:t>
      </w:r>
      <w:r w:rsidRPr="00361719">
        <w:rPr>
          <w:rFonts w:cs="Arial"/>
          <w:i/>
        </w:rPr>
        <w:t xml:space="preserve">A v Australia </w:t>
      </w:r>
      <w:r w:rsidRPr="006F1D72">
        <w:rPr>
          <w:rFonts w:cs="Arial"/>
        </w:rPr>
        <w:t>Communication No 560 of 1993</w:t>
      </w:r>
      <w:r w:rsidRPr="00361719">
        <w:rPr>
          <w:rFonts w:cs="Arial"/>
        </w:rPr>
        <w:t>, UN Doc CCPR/C/59/D/560/1993;</w:t>
      </w:r>
      <w:r w:rsidRPr="00361719">
        <w:rPr>
          <w:rFonts w:cs="Arial"/>
          <w:i/>
        </w:rPr>
        <w:t xml:space="preserve"> Spakmo v Norway</w:t>
      </w:r>
      <w:r w:rsidRPr="00361719">
        <w:rPr>
          <w:rFonts w:cs="Arial"/>
        </w:rPr>
        <w:t xml:space="preserve"> </w:t>
      </w:r>
      <w:r>
        <w:rPr>
          <w:rFonts w:cs="Arial"/>
        </w:rPr>
        <w:t>Communication No 631 of 1995</w:t>
      </w:r>
      <w:r w:rsidRPr="00361719">
        <w:rPr>
          <w:rFonts w:cs="Arial"/>
        </w:rPr>
        <w:t xml:space="preserve">, UN Doc CCPR/C/67/D/631/1995. </w:t>
      </w:r>
    </w:p>
  </w:endnote>
  <w:endnote w:id="6">
    <w:p w14:paraId="6B532814" w14:textId="180EEE4C" w:rsidR="00662083" w:rsidRPr="00361719" w:rsidRDefault="00662083" w:rsidP="0098390B">
      <w:pPr>
        <w:pStyle w:val="EndnoteText"/>
        <w:ind w:left="567" w:hanging="567"/>
        <w:rPr>
          <w:rFonts w:cs="Arial"/>
        </w:rPr>
      </w:pPr>
      <w:r w:rsidRPr="00361719">
        <w:rPr>
          <w:rStyle w:val="EndnoteReference"/>
          <w:rFonts w:cs="Arial"/>
        </w:rPr>
        <w:endnoteRef/>
      </w:r>
      <w:r w:rsidRPr="00361719">
        <w:rPr>
          <w:rFonts w:cs="Arial"/>
        </w:rPr>
        <w:t xml:space="preserve"> </w:t>
      </w:r>
      <w:r>
        <w:rPr>
          <w:rFonts w:cs="Arial"/>
        </w:rPr>
        <w:tab/>
      </w:r>
      <w:r w:rsidRPr="00361719">
        <w:rPr>
          <w:rFonts w:cs="Arial"/>
          <w:i/>
        </w:rPr>
        <w:t>A v Australia</w:t>
      </w:r>
      <w:r w:rsidRPr="00361719">
        <w:rPr>
          <w:rFonts w:cs="Arial"/>
        </w:rPr>
        <w:t xml:space="preserve"> </w:t>
      </w:r>
      <w:r w:rsidRPr="00281A77">
        <w:rPr>
          <w:rFonts w:cs="Arial"/>
        </w:rPr>
        <w:t>Communication No 560 of 1993, UN Doc CCPR/C/59/D/560/1993</w:t>
      </w:r>
      <w:r w:rsidRPr="00361719">
        <w:rPr>
          <w:rFonts w:cs="Arial"/>
          <w:i/>
        </w:rPr>
        <w:t xml:space="preserve"> </w:t>
      </w:r>
      <w:r w:rsidRPr="00361719">
        <w:rPr>
          <w:rFonts w:cs="Arial"/>
        </w:rPr>
        <w:t xml:space="preserve">(the fact that the author may abscond if released into the community </w:t>
      </w:r>
      <w:r>
        <w:rPr>
          <w:rFonts w:cs="Arial"/>
        </w:rPr>
        <w:t>was</w:t>
      </w:r>
      <w:r w:rsidRPr="00361719">
        <w:rPr>
          <w:rFonts w:cs="Arial"/>
        </w:rPr>
        <w:t xml:space="preserve"> not </w:t>
      </w:r>
      <w:r>
        <w:rPr>
          <w:rFonts w:cs="Arial"/>
        </w:rPr>
        <w:t xml:space="preserve">a </w:t>
      </w:r>
      <w:r w:rsidRPr="00361719">
        <w:rPr>
          <w:rFonts w:cs="Arial"/>
        </w:rPr>
        <w:t>sufficient reason to justify holding the author in immigration detention for four years)</w:t>
      </w:r>
      <w:r>
        <w:rPr>
          <w:rFonts w:cs="Arial"/>
        </w:rPr>
        <w:t>;</w:t>
      </w:r>
      <w:r w:rsidRPr="00361719">
        <w:rPr>
          <w:rFonts w:cs="Arial"/>
          <w:i/>
        </w:rPr>
        <w:t xml:space="preserve"> C v Australia </w:t>
      </w:r>
      <w:r w:rsidRPr="00E71FE1">
        <w:rPr>
          <w:rFonts w:cs="Arial"/>
        </w:rPr>
        <w:t>Communication No 900 of 1999</w:t>
      </w:r>
      <w:r>
        <w:rPr>
          <w:rFonts w:cs="Arial"/>
        </w:rPr>
        <w:t>, UN Doc CCPR/C</w:t>
      </w:r>
      <w:r w:rsidRPr="00361719">
        <w:rPr>
          <w:rFonts w:cs="Arial"/>
        </w:rPr>
        <w:t>/76/D/900/1999.</w:t>
      </w:r>
    </w:p>
  </w:endnote>
  <w:endnote w:id="7">
    <w:p w14:paraId="7035654C" w14:textId="77777777" w:rsidR="00662083" w:rsidRPr="00361719" w:rsidRDefault="00662083" w:rsidP="0098390B">
      <w:pPr>
        <w:pStyle w:val="EndnoteText"/>
        <w:ind w:left="567" w:hanging="567"/>
        <w:rPr>
          <w:rFonts w:cs="Arial"/>
        </w:rPr>
      </w:pPr>
      <w:r w:rsidRPr="00361719">
        <w:rPr>
          <w:rStyle w:val="EndnoteReference"/>
          <w:rFonts w:cs="Arial"/>
        </w:rPr>
        <w:endnoteRef/>
      </w:r>
      <w:r w:rsidRPr="00361719">
        <w:rPr>
          <w:rFonts w:cs="Arial"/>
        </w:rPr>
        <w:t xml:space="preserve"> </w:t>
      </w:r>
      <w:r>
        <w:rPr>
          <w:rFonts w:cs="Arial"/>
        </w:rPr>
        <w:tab/>
      </w:r>
      <w:r w:rsidRPr="00361719">
        <w:rPr>
          <w:rFonts w:cs="Arial"/>
          <w:i/>
        </w:rPr>
        <w:t>Van Alphen v The Netherlands</w:t>
      </w:r>
      <w:r>
        <w:rPr>
          <w:rFonts w:cs="Arial"/>
          <w:i/>
        </w:rPr>
        <w:t xml:space="preserve"> </w:t>
      </w:r>
      <w:r w:rsidRPr="007C3B1D">
        <w:rPr>
          <w:rFonts w:cs="Arial"/>
        </w:rPr>
        <w:t xml:space="preserve">Communication </w:t>
      </w:r>
      <w:r>
        <w:rPr>
          <w:rFonts w:cs="Arial"/>
        </w:rPr>
        <w:t xml:space="preserve">No </w:t>
      </w:r>
      <w:r w:rsidRPr="007C3B1D">
        <w:rPr>
          <w:rFonts w:cs="Arial"/>
        </w:rPr>
        <w:t>305 of 1988</w:t>
      </w:r>
      <w:r>
        <w:rPr>
          <w:rFonts w:cs="Arial"/>
        </w:rPr>
        <w:t xml:space="preserve">, </w:t>
      </w:r>
      <w:r w:rsidRPr="00361719">
        <w:rPr>
          <w:rFonts w:cs="Arial"/>
        </w:rPr>
        <w:t>UN Doc CCPR/C/39/D/305/1988.</w:t>
      </w:r>
    </w:p>
  </w:endnote>
  <w:endnote w:id="8">
    <w:p w14:paraId="4B7C1350" w14:textId="55DAB2E4" w:rsidR="00662083" w:rsidRPr="00361719" w:rsidRDefault="00662083" w:rsidP="0098390B">
      <w:pPr>
        <w:pStyle w:val="EndnoteText"/>
        <w:ind w:left="567" w:hanging="567"/>
        <w:rPr>
          <w:rFonts w:cs="Arial"/>
        </w:rPr>
      </w:pPr>
      <w:r w:rsidRPr="00361719">
        <w:rPr>
          <w:rStyle w:val="EndnoteReference"/>
          <w:rFonts w:cs="Arial"/>
        </w:rPr>
        <w:endnoteRef/>
      </w:r>
      <w:r w:rsidRPr="00361719">
        <w:rPr>
          <w:rFonts w:cs="Arial"/>
        </w:rPr>
        <w:t xml:space="preserve"> </w:t>
      </w:r>
      <w:r>
        <w:rPr>
          <w:rFonts w:cs="Arial"/>
        </w:rPr>
        <w:tab/>
        <w:t xml:space="preserve">UN Human Rights Committee, </w:t>
      </w:r>
      <w:r w:rsidRPr="00C5380A">
        <w:rPr>
          <w:rFonts w:cs="Arial"/>
          <w:i/>
        </w:rPr>
        <w:t>Concluding Observations on Switzerland</w:t>
      </w:r>
      <w:r>
        <w:rPr>
          <w:rFonts w:cs="Arial"/>
        </w:rPr>
        <w:t xml:space="preserve">, UN Doc CCPR/A/52/40 (1997), </w:t>
      </w:r>
      <w:r w:rsidRPr="00361719">
        <w:rPr>
          <w:rFonts w:cs="Arial"/>
        </w:rPr>
        <w:t>[100].</w:t>
      </w:r>
    </w:p>
  </w:endnote>
  <w:endnote w:id="9">
    <w:p w14:paraId="71FDC3E5" w14:textId="77777777" w:rsidR="00662083" w:rsidRPr="00361719" w:rsidRDefault="00662083" w:rsidP="0098390B">
      <w:pPr>
        <w:pStyle w:val="EndnoteText"/>
        <w:ind w:left="567" w:hanging="567"/>
        <w:rPr>
          <w:rFonts w:cs="Arial"/>
        </w:rPr>
      </w:pPr>
      <w:r w:rsidRPr="00361719">
        <w:rPr>
          <w:rStyle w:val="EndnoteReference"/>
          <w:rFonts w:cs="Arial"/>
        </w:rPr>
        <w:endnoteRef/>
      </w:r>
      <w:r w:rsidRPr="00361719">
        <w:rPr>
          <w:rFonts w:cs="Arial"/>
        </w:rPr>
        <w:t xml:space="preserve"> </w:t>
      </w:r>
      <w:r>
        <w:rPr>
          <w:rFonts w:cs="Arial"/>
        </w:rPr>
        <w:tab/>
      </w:r>
      <w:r w:rsidRPr="00361719">
        <w:rPr>
          <w:rFonts w:cs="Arial"/>
          <w:i/>
        </w:rPr>
        <w:t>C v Australia</w:t>
      </w:r>
      <w:r>
        <w:rPr>
          <w:rFonts w:cs="Arial"/>
        </w:rPr>
        <w:t xml:space="preserve"> </w:t>
      </w:r>
      <w:r w:rsidRPr="00E71FE1">
        <w:rPr>
          <w:rFonts w:cs="Arial"/>
        </w:rPr>
        <w:t>Communication No 900 of 1999</w:t>
      </w:r>
      <w:r>
        <w:rPr>
          <w:rFonts w:cs="Arial"/>
        </w:rPr>
        <w:t>, UN Doc CCPR/C</w:t>
      </w:r>
      <w:r w:rsidRPr="00361719">
        <w:rPr>
          <w:rFonts w:cs="Arial"/>
        </w:rPr>
        <w:t>/76/D/900/1999</w:t>
      </w:r>
      <w:r>
        <w:rPr>
          <w:rFonts w:cs="Arial"/>
        </w:rPr>
        <w:t xml:space="preserve">; </w:t>
      </w:r>
      <w:r w:rsidRPr="00361719">
        <w:rPr>
          <w:rFonts w:cs="Arial"/>
          <w:i/>
        </w:rPr>
        <w:t>Shams &amp; Ors v Australia</w:t>
      </w:r>
      <w:r>
        <w:rPr>
          <w:rFonts w:cs="Arial"/>
        </w:rPr>
        <w:t xml:space="preserve"> Communication No 1255 of 2004, UN Doc CCPR/C/90/D/1255/2004;</w:t>
      </w:r>
      <w:r w:rsidRPr="00361719">
        <w:rPr>
          <w:rFonts w:cs="Arial"/>
        </w:rPr>
        <w:t xml:space="preserve"> </w:t>
      </w:r>
      <w:r w:rsidRPr="00361719">
        <w:rPr>
          <w:rFonts w:cs="Arial"/>
          <w:i/>
        </w:rPr>
        <w:t>Baban v Australia</w:t>
      </w:r>
      <w:r w:rsidRPr="00361719">
        <w:rPr>
          <w:rFonts w:cs="Arial"/>
        </w:rPr>
        <w:t xml:space="preserve"> </w:t>
      </w:r>
      <w:r w:rsidRPr="000A5141">
        <w:rPr>
          <w:rFonts w:cs="Arial"/>
        </w:rPr>
        <w:t>Communication No 1014 of 2001</w:t>
      </w:r>
      <w:r>
        <w:rPr>
          <w:rFonts w:cs="Arial"/>
        </w:rPr>
        <w:t xml:space="preserve">, </w:t>
      </w:r>
      <w:r w:rsidRPr="00361719">
        <w:rPr>
          <w:rFonts w:cs="Arial"/>
        </w:rPr>
        <w:t>CCPR/C/78/D/1014/2001</w:t>
      </w:r>
      <w:r w:rsidRPr="004745E4">
        <w:rPr>
          <w:rFonts w:cs="Arial"/>
        </w:rPr>
        <w:t>;</w:t>
      </w:r>
      <w:r>
        <w:rPr>
          <w:rFonts w:cs="Arial"/>
          <w:i/>
        </w:rPr>
        <w:t xml:space="preserve"> D and E v</w:t>
      </w:r>
      <w:r w:rsidRPr="00361719">
        <w:rPr>
          <w:rFonts w:cs="Arial"/>
          <w:i/>
        </w:rPr>
        <w:t xml:space="preserve"> Australia </w:t>
      </w:r>
      <w:r>
        <w:rPr>
          <w:rFonts w:cs="Arial"/>
        </w:rPr>
        <w:t>Communication No 1050 of 2002</w:t>
      </w:r>
      <w:r w:rsidRPr="00EA507E">
        <w:rPr>
          <w:rFonts w:cs="Arial"/>
        </w:rPr>
        <w:t>,</w:t>
      </w:r>
      <w:r>
        <w:rPr>
          <w:rFonts w:cs="Arial"/>
          <w:i/>
        </w:rPr>
        <w:t xml:space="preserve"> </w:t>
      </w:r>
      <w:r w:rsidRPr="00361719">
        <w:rPr>
          <w:rFonts w:cs="Arial"/>
        </w:rPr>
        <w:t>CCPR/C/87/D/1050/2002.</w:t>
      </w:r>
    </w:p>
  </w:endnote>
  <w:endnote w:id="10">
    <w:p w14:paraId="2F510E3F" w14:textId="420DBA95" w:rsidR="00662083" w:rsidRPr="00361719" w:rsidRDefault="00662083" w:rsidP="0098390B">
      <w:pPr>
        <w:pStyle w:val="EndnoteText"/>
        <w:ind w:left="567" w:hanging="567"/>
        <w:rPr>
          <w:rFonts w:cs="Arial"/>
        </w:rPr>
      </w:pPr>
      <w:r w:rsidRPr="00361719">
        <w:rPr>
          <w:rStyle w:val="EndnoteReference"/>
          <w:rFonts w:cs="Arial"/>
        </w:rPr>
        <w:endnoteRef/>
      </w:r>
      <w:r w:rsidRPr="00361719">
        <w:rPr>
          <w:rFonts w:cs="Arial"/>
        </w:rPr>
        <w:t xml:space="preserve"> </w:t>
      </w:r>
      <w:r>
        <w:rPr>
          <w:rFonts w:cs="Arial"/>
        </w:rPr>
        <w:tab/>
      </w:r>
      <w:r w:rsidRPr="00361719">
        <w:rPr>
          <w:rFonts w:cs="Arial"/>
          <w:i/>
        </w:rPr>
        <w:t>Report of the Working Group on Arbitrary Detention</w:t>
      </w:r>
      <w:r w:rsidRPr="001C0089">
        <w:rPr>
          <w:rFonts w:cs="Arial"/>
        </w:rPr>
        <w:t xml:space="preserve">, </w:t>
      </w:r>
      <w:r>
        <w:rPr>
          <w:rFonts w:cs="Arial"/>
        </w:rPr>
        <w:t>UN Doc</w:t>
      </w:r>
      <w:r w:rsidRPr="00361719">
        <w:rPr>
          <w:rFonts w:cs="Arial"/>
        </w:rPr>
        <w:t xml:space="preserve"> E/CN.</w:t>
      </w:r>
      <w:r>
        <w:rPr>
          <w:rFonts w:cs="Arial"/>
        </w:rPr>
        <w:t>4/2005/6, 1 December 2004, [</w:t>
      </w:r>
      <w:r w:rsidRPr="00361719">
        <w:rPr>
          <w:rFonts w:cs="Arial"/>
        </w:rPr>
        <w:t>77</w:t>
      </w:r>
      <w:r>
        <w:rPr>
          <w:rFonts w:cs="Arial"/>
        </w:rPr>
        <w:t>]</w:t>
      </w:r>
      <w:r w:rsidRPr="00361719">
        <w:rPr>
          <w:rFonts w:cs="Arial"/>
        </w:rPr>
        <w:t>.</w:t>
      </w:r>
    </w:p>
  </w:endnote>
  <w:endnote w:id="11">
    <w:p w14:paraId="539C49A6" w14:textId="72D7B4C0" w:rsidR="00662083" w:rsidRPr="00361719" w:rsidRDefault="00662083" w:rsidP="0098390B">
      <w:pPr>
        <w:pStyle w:val="EndnoteText"/>
        <w:ind w:left="567" w:hanging="567"/>
        <w:rPr>
          <w:rFonts w:cs="Arial"/>
        </w:rPr>
      </w:pPr>
      <w:r w:rsidRPr="00361719">
        <w:rPr>
          <w:rStyle w:val="EndnoteReference"/>
          <w:rFonts w:cs="Arial"/>
        </w:rPr>
        <w:endnoteRef/>
      </w:r>
      <w:r w:rsidRPr="00361719">
        <w:rPr>
          <w:rFonts w:cs="Arial"/>
        </w:rPr>
        <w:t xml:space="preserve"> </w:t>
      </w:r>
      <w:r>
        <w:rPr>
          <w:rFonts w:cs="Arial"/>
        </w:rPr>
        <w:tab/>
      </w:r>
      <w:r w:rsidRPr="00361719">
        <w:rPr>
          <w:rFonts w:cs="Arial"/>
        </w:rPr>
        <w:t xml:space="preserve">UN Human Rights Committee, </w:t>
      </w:r>
      <w:r w:rsidRPr="00073763">
        <w:rPr>
          <w:rFonts w:cs="Arial"/>
        </w:rPr>
        <w:t>General Comment 8 (1982)</w:t>
      </w:r>
      <w:r>
        <w:rPr>
          <w:rFonts w:cs="Arial"/>
        </w:rPr>
        <w:t>, [</w:t>
      </w:r>
      <w:r w:rsidRPr="00361719">
        <w:rPr>
          <w:rFonts w:cs="Arial"/>
        </w:rPr>
        <w:t>4</w:t>
      </w:r>
      <w:r>
        <w:rPr>
          <w:rFonts w:cs="Arial"/>
        </w:rPr>
        <w:t>]</w:t>
      </w:r>
      <w:r w:rsidRPr="00361719">
        <w:rPr>
          <w:rFonts w:cs="Arial"/>
        </w:rPr>
        <w:t xml:space="preserve">. See also the </w:t>
      </w:r>
      <w:r w:rsidRPr="00361719">
        <w:rPr>
          <w:rFonts w:cs="Arial"/>
          <w:i/>
        </w:rPr>
        <w:t>Study of the Right of Everyone to be Free from Arbitrary Arrest, Detention and Exile</w:t>
      </w:r>
      <w:r w:rsidRPr="001C0089">
        <w:rPr>
          <w:rFonts w:cs="Arial"/>
        </w:rPr>
        <w:t xml:space="preserve">, </w:t>
      </w:r>
      <w:r>
        <w:rPr>
          <w:rFonts w:cs="Arial"/>
        </w:rPr>
        <w:t>UN Doc E/CN.4/826/Rev.1, [783]-[</w:t>
      </w:r>
      <w:r w:rsidRPr="00361719">
        <w:rPr>
          <w:rFonts w:cs="Arial"/>
        </w:rPr>
        <w:t>787</w:t>
      </w:r>
      <w:r>
        <w:rPr>
          <w:rFonts w:cs="Arial"/>
        </w:rPr>
        <w:t>]</w:t>
      </w:r>
      <w:r w:rsidRPr="00361719">
        <w:rPr>
          <w:rFonts w:cs="Arial"/>
        </w:rPr>
        <w:t>.</w:t>
      </w:r>
    </w:p>
  </w:endnote>
  <w:endnote w:id="12">
    <w:p w14:paraId="2DC23913" w14:textId="5F8C790C" w:rsidR="00662083" w:rsidRPr="00361719" w:rsidRDefault="00662083" w:rsidP="0098390B">
      <w:pPr>
        <w:pStyle w:val="EndnoteText"/>
        <w:ind w:left="567" w:hanging="567"/>
        <w:rPr>
          <w:rFonts w:cs="Arial"/>
        </w:rPr>
      </w:pPr>
      <w:r w:rsidRPr="00361719">
        <w:rPr>
          <w:rStyle w:val="EndnoteReference"/>
          <w:rFonts w:cs="Arial"/>
        </w:rPr>
        <w:endnoteRef/>
      </w:r>
      <w:r w:rsidRPr="00361719">
        <w:rPr>
          <w:rFonts w:cs="Arial"/>
        </w:rPr>
        <w:t xml:space="preserve"> </w:t>
      </w:r>
      <w:r>
        <w:rPr>
          <w:rFonts w:cs="Arial"/>
        </w:rPr>
        <w:tab/>
      </w:r>
      <w:r w:rsidRPr="00361719">
        <w:rPr>
          <w:rFonts w:cs="Arial"/>
          <w:i/>
        </w:rPr>
        <w:t xml:space="preserve">Mansour Ahani v </w:t>
      </w:r>
      <w:r w:rsidRPr="00812F0C">
        <w:rPr>
          <w:rFonts w:cs="Arial"/>
          <w:i/>
        </w:rPr>
        <w:t>Canada</w:t>
      </w:r>
      <w:r w:rsidRPr="00361719">
        <w:rPr>
          <w:rFonts w:cs="Arial"/>
        </w:rPr>
        <w:t xml:space="preserve"> </w:t>
      </w:r>
      <w:r>
        <w:rPr>
          <w:rFonts w:cs="Arial"/>
        </w:rPr>
        <w:t xml:space="preserve">Communication No 1051 of 2002, UN Doc CCPR/C/80/D/1051/2002, </w:t>
      </w:r>
      <w:r w:rsidRPr="00361719">
        <w:rPr>
          <w:rFonts w:cs="Arial"/>
        </w:rPr>
        <w:t>[10.2]</w:t>
      </w:r>
      <w:r>
        <w:rPr>
          <w:rFonts w:cs="Arial"/>
        </w:rPr>
        <w:t>.</w:t>
      </w:r>
    </w:p>
  </w:endnote>
  <w:endnote w:id="13">
    <w:p w14:paraId="0F146A98" w14:textId="77777777" w:rsidR="00662083" w:rsidRPr="00361719" w:rsidRDefault="00662083" w:rsidP="0098390B">
      <w:pPr>
        <w:pStyle w:val="EndnoteText"/>
        <w:ind w:left="567" w:hanging="567"/>
        <w:rPr>
          <w:rFonts w:cs="Arial"/>
        </w:rPr>
      </w:pPr>
      <w:r w:rsidRPr="00361719">
        <w:rPr>
          <w:rStyle w:val="EndnoteReference"/>
          <w:rFonts w:cs="Arial"/>
        </w:rPr>
        <w:endnoteRef/>
      </w:r>
      <w:r w:rsidRPr="00361719">
        <w:rPr>
          <w:rFonts w:cs="Arial"/>
        </w:rPr>
        <w:t xml:space="preserve"> </w:t>
      </w:r>
      <w:r>
        <w:rPr>
          <w:rFonts w:cs="Arial"/>
        </w:rPr>
        <w:tab/>
      </w:r>
      <w:r w:rsidRPr="00C60C1A">
        <w:rPr>
          <w:rFonts w:cs="Arial"/>
          <w:i/>
        </w:rPr>
        <w:t>Jalloh v The Netherlands</w:t>
      </w:r>
      <w:r>
        <w:rPr>
          <w:rFonts w:cs="Arial"/>
        </w:rPr>
        <w:t xml:space="preserve"> Communication No 794 of 1998</w:t>
      </w:r>
      <w:r w:rsidRPr="00C60C1A">
        <w:rPr>
          <w:rFonts w:cs="Arial"/>
        </w:rPr>
        <w:t>, UN Doc CCPR/C/74/D/794/1998</w:t>
      </w:r>
      <w:r>
        <w:rPr>
          <w:rFonts w:cs="Arial"/>
        </w:rPr>
        <w:t xml:space="preserve">; </w:t>
      </w:r>
      <w:r w:rsidRPr="00361719">
        <w:rPr>
          <w:rFonts w:cs="Arial"/>
          <w:i/>
          <w:szCs w:val="14"/>
          <w:lang w:val="en-US"/>
        </w:rPr>
        <w:t xml:space="preserve">Baban v Australia </w:t>
      </w:r>
      <w:r>
        <w:rPr>
          <w:rFonts w:cs="Arial"/>
        </w:rPr>
        <w:t xml:space="preserve">Communication No 1014 of 2001, </w:t>
      </w:r>
      <w:r w:rsidRPr="00361719">
        <w:rPr>
          <w:rFonts w:cs="Arial"/>
          <w:szCs w:val="14"/>
          <w:lang w:val="en-US"/>
        </w:rPr>
        <w:t>UN Doc CCPR/C/78/D/1014/2001.</w:t>
      </w:r>
    </w:p>
  </w:endnote>
  <w:endnote w:id="14">
    <w:p w14:paraId="1D49F0C9" w14:textId="2014C965" w:rsidR="00662083" w:rsidRPr="00BB51B9" w:rsidRDefault="00662083" w:rsidP="0098390B">
      <w:pPr>
        <w:pStyle w:val="EndnoteText"/>
        <w:ind w:left="567" w:hanging="567"/>
      </w:pPr>
      <w:r w:rsidRPr="009D54F9">
        <w:rPr>
          <w:rStyle w:val="EndnoteReference"/>
        </w:rPr>
        <w:endnoteRef/>
      </w:r>
      <w:r w:rsidRPr="009D54F9">
        <w:t xml:space="preserve"> </w:t>
      </w:r>
      <w:r w:rsidRPr="009D54F9">
        <w:tab/>
      </w:r>
      <w:r w:rsidRPr="009D54F9">
        <w:rPr>
          <w:i/>
        </w:rPr>
        <w:t>F.K.A.G. et al v Australia</w:t>
      </w:r>
      <w:r w:rsidRPr="009D54F9">
        <w:t xml:space="preserve"> Communication No 2094 of 2011, UN Doc CCPR/C/108/D/2094/2011</w:t>
      </w:r>
      <w:r>
        <w:t>,</w:t>
      </w:r>
      <w:r w:rsidRPr="009D54F9">
        <w:t xml:space="preserve"> [9.4]</w:t>
      </w:r>
      <w:r>
        <w:t xml:space="preserve">; </w:t>
      </w:r>
      <w:r w:rsidRPr="009D54F9">
        <w:rPr>
          <w:i/>
        </w:rPr>
        <w:t>M.M.M et al v Australia</w:t>
      </w:r>
      <w:r w:rsidRPr="009D54F9">
        <w:t xml:space="preserve"> Communication No 2136 of 2012, UN Doc CCPR/C/108/D/2136/2012</w:t>
      </w:r>
      <w:r>
        <w:t>,</w:t>
      </w:r>
      <w:r w:rsidRPr="009D54F9">
        <w:t xml:space="preserve"> [10.4].</w:t>
      </w:r>
    </w:p>
  </w:endnote>
  <w:endnote w:id="15">
    <w:p w14:paraId="38A6FEE6" w14:textId="1ACC7732" w:rsidR="00662083" w:rsidRPr="00BB51B9" w:rsidRDefault="00662083" w:rsidP="0098390B">
      <w:pPr>
        <w:pStyle w:val="EndnoteText"/>
        <w:tabs>
          <w:tab w:val="left" w:pos="567"/>
        </w:tabs>
      </w:pPr>
      <w:r w:rsidRPr="00BB51B9">
        <w:rPr>
          <w:rStyle w:val="EndnoteReference"/>
        </w:rPr>
        <w:endnoteRef/>
      </w:r>
      <w:r w:rsidRPr="00BB51B9">
        <w:t xml:space="preserve"> </w:t>
      </w:r>
      <w:r w:rsidRPr="00BB51B9">
        <w:tab/>
        <w:t xml:space="preserve">See </w:t>
      </w:r>
      <w:r>
        <w:t xml:space="preserve">[2012] AusHRC 56, [48]-[70]; </w:t>
      </w:r>
      <w:r w:rsidRPr="00D309A8">
        <w:t>[2013] AusHRC 64</w:t>
      </w:r>
      <w:r>
        <w:t>, [33]-[43].</w:t>
      </w:r>
    </w:p>
  </w:endnote>
  <w:endnote w:id="16">
    <w:p w14:paraId="798D9A03" w14:textId="4214016F" w:rsidR="00662083" w:rsidRPr="00BB51B9" w:rsidRDefault="00662083" w:rsidP="0098390B">
      <w:pPr>
        <w:pStyle w:val="EndnoteText"/>
        <w:tabs>
          <w:tab w:val="left" w:pos="567"/>
        </w:tabs>
      </w:pPr>
      <w:r w:rsidRPr="00B4045E">
        <w:rPr>
          <w:rStyle w:val="EndnoteReference"/>
        </w:rPr>
        <w:endnoteRef/>
      </w:r>
      <w:r>
        <w:t xml:space="preserve"> </w:t>
      </w:r>
      <w:r>
        <w:tab/>
        <w:t>Compare</w:t>
      </w:r>
      <w:r w:rsidRPr="00B4045E">
        <w:t xml:space="preserve"> [2012] AusHRC 56</w:t>
      </w:r>
      <w:r>
        <w:t>,</w:t>
      </w:r>
      <w:r w:rsidRPr="00B4045E">
        <w:t xml:space="preserve"> [69]-[70]; [2013] AusHRC 64</w:t>
      </w:r>
      <w:r>
        <w:t>,</w:t>
      </w:r>
      <w:r w:rsidRPr="00B4045E">
        <w:t xml:space="preserve"> </w:t>
      </w:r>
      <w:r>
        <w:t>[53]-[54].</w:t>
      </w:r>
    </w:p>
  </w:endnote>
  <w:endnote w:id="17">
    <w:p w14:paraId="485A6AD6" w14:textId="3BAB6608" w:rsidR="00662083" w:rsidRDefault="00662083" w:rsidP="0098390B">
      <w:pPr>
        <w:pStyle w:val="EndnoteText"/>
        <w:tabs>
          <w:tab w:val="left" w:pos="567"/>
        </w:tabs>
        <w:ind w:left="567" w:hanging="567"/>
      </w:pPr>
      <w:r>
        <w:rPr>
          <w:rStyle w:val="EndnoteReference"/>
        </w:rPr>
        <w:endnoteRef/>
      </w:r>
      <w:r>
        <w:t xml:space="preserve"> </w:t>
      </w:r>
      <w:r>
        <w:tab/>
        <w:t xml:space="preserve">The department has stated that no protocols were in place for single adult males to be referred to the Minister for consideration for placement in community detention until January 2011 – see discussion in </w:t>
      </w:r>
      <w:r w:rsidRPr="00F40958">
        <w:t>[2013] AusHRC 64</w:t>
      </w:r>
      <w:r>
        <w:t>,</w:t>
      </w:r>
      <w:r w:rsidRPr="00F40958">
        <w:t xml:space="preserve"> </w:t>
      </w:r>
      <w:r>
        <w:t>[44]-[46].</w:t>
      </w:r>
    </w:p>
  </w:endnote>
  <w:endnote w:id="18">
    <w:p w14:paraId="4FC1766C" w14:textId="17A9E5F0" w:rsidR="00662083" w:rsidRPr="000B32C4" w:rsidRDefault="00662083" w:rsidP="0098390B">
      <w:pPr>
        <w:pStyle w:val="EndnoteText"/>
        <w:ind w:left="567" w:hanging="567"/>
      </w:pPr>
      <w:r w:rsidRPr="000B32C4">
        <w:rPr>
          <w:rStyle w:val="EndnoteReference"/>
        </w:rPr>
        <w:endnoteRef/>
      </w:r>
      <w:r w:rsidRPr="000B32C4">
        <w:t xml:space="preserve"> </w:t>
      </w:r>
      <w:r w:rsidRPr="000B32C4">
        <w:tab/>
        <w:t>See [2012] AusHRC 56</w:t>
      </w:r>
      <w:r>
        <w:t>,</w:t>
      </w:r>
      <w:r w:rsidRPr="000B32C4">
        <w:t xml:space="preserve"> [85]; [2013] AusHRC 64</w:t>
      </w:r>
      <w:r>
        <w:t>,</w:t>
      </w:r>
      <w:r w:rsidRPr="000B32C4">
        <w:t xml:space="preserve"> [71]-[79].</w:t>
      </w:r>
    </w:p>
  </w:endnote>
  <w:endnote w:id="19">
    <w:p w14:paraId="4BE8EF8A" w14:textId="3DBB18DA" w:rsidR="00662083" w:rsidRPr="00BB51B9" w:rsidRDefault="00662083" w:rsidP="0098390B">
      <w:pPr>
        <w:pStyle w:val="EndnoteText"/>
        <w:tabs>
          <w:tab w:val="left" w:pos="567"/>
        </w:tabs>
        <w:ind w:left="567" w:hanging="567"/>
      </w:pPr>
      <w:r w:rsidRPr="00EA0423">
        <w:rPr>
          <w:rStyle w:val="EndnoteReference"/>
        </w:rPr>
        <w:endnoteRef/>
      </w:r>
      <w:r w:rsidRPr="00EA0423">
        <w:t xml:space="preserve"> </w:t>
      </w:r>
      <w:r w:rsidRPr="00EA0423">
        <w:tab/>
        <w:t>See the discussion contained in [2012] AusHRC 56</w:t>
      </w:r>
      <w:r w:rsidR="00092C7E">
        <w:t>,</w:t>
      </w:r>
      <w:r w:rsidRPr="00EA0423">
        <w:t xml:space="preserve"> [48]-[70]</w:t>
      </w:r>
      <w:r w:rsidR="00092C7E">
        <w:t>;</w:t>
      </w:r>
      <w:r w:rsidRPr="00EA0423">
        <w:t xml:space="preserve"> [2013] AusHRC 64</w:t>
      </w:r>
      <w:r w:rsidR="00092C7E">
        <w:t>,</w:t>
      </w:r>
      <w:r w:rsidRPr="00EA0423">
        <w:t xml:space="preserve"> [33]-[43].</w:t>
      </w:r>
    </w:p>
  </w:endnote>
  <w:endnote w:id="20">
    <w:p w14:paraId="558CBF70" w14:textId="4C2E87D5" w:rsidR="00662083" w:rsidRDefault="00662083" w:rsidP="00132E73">
      <w:pPr>
        <w:pStyle w:val="EndnoteText"/>
        <w:tabs>
          <w:tab w:val="left" w:pos="567"/>
        </w:tabs>
        <w:jc w:val="both"/>
      </w:pPr>
      <w:r>
        <w:rPr>
          <w:rStyle w:val="EndnoteReference"/>
        </w:rPr>
        <w:endnoteRef/>
      </w:r>
      <w:r>
        <w:t xml:space="preserve"> </w:t>
      </w:r>
      <w:r>
        <w:tab/>
      </w:r>
      <w:r w:rsidRPr="00EA0423">
        <w:t xml:space="preserve">See the discussion contained in </w:t>
      </w:r>
      <w:r>
        <w:t>[2012] AusHRC 56</w:t>
      </w:r>
      <w:r w:rsidR="00092C7E">
        <w:t>,</w:t>
      </w:r>
      <w:r>
        <w:t xml:space="preserve"> [71</w:t>
      </w:r>
      <w:r w:rsidRPr="00EA0423">
        <w:t>]-[</w:t>
      </w:r>
      <w:r>
        <w:t>95</w:t>
      </w:r>
      <w:r w:rsidRPr="00EA0423">
        <w:t>]</w:t>
      </w:r>
      <w:r w:rsidR="00092C7E">
        <w:t>;</w:t>
      </w:r>
      <w:r w:rsidRPr="00EA0423">
        <w:t xml:space="preserve"> </w:t>
      </w:r>
      <w:r>
        <w:t>[2013] AusHRC 64</w:t>
      </w:r>
      <w:r w:rsidR="00092C7E">
        <w:t>,</w:t>
      </w:r>
      <w:r>
        <w:t xml:space="preserve"> [57</w:t>
      </w:r>
      <w:r w:rsidRPr="00EA0423">
        <w:t>]-[</w:t>
      </w:r>
      <w:r>
        <w:t>79</w:t>
      </w:r>
      <w:r w:rsidRPr="00EA0423">
        <w:t>].</w:t>
      </w:r>
    </w:p>
  </w:endnote>
  <w:endnote w:id="21">
    <w:p w14:paraId="1398FDE3" w14:textId="011A996B" w:rsidR="00662083" w:rsidRDefault="00662083" w:rsidP="0098390B">
      <w:pPr>
        <w:pStyle w:val="EndnoteText"/>
        <w:ind w:left="567" w:hanging="567"/>
      </w:pPr>
      <w:r>
        <w:rPr>
          <w:rStyle w:val="EndnoteReference"/>
        </w:rPr>
        <w:endnoteRef/>
      </w:r>
      <w:r>
        <w:t xml:space="preserve"> </w:t>
      </w:r>
      <w:r>
        <w:tab/>
        <w:t xml:space="preserve">M Nowak, </w:t>
      </w:r>
      <w:r w:rsidRPr="008E6F49">
        <w:rPr>
          <w:i/>
        </w:rPr>
        <w:t>U.N</w:t>
      </w:r>
      <w:r>
        <w:rPr>
          <w:i/>
        </w:rPr>
        <w:t>.</w:t>
      </w:r>
      <w:r w:rsidRPr="008E6F49">
        <w:rPr>
          <w:i/>
        </w:rPr>
        <w:t xml:space="preserve"> Covenant on Civil and Political Rights CCPR Commentary </w:t>
      </w:r>
      <w:r>
        <w:t>(</w:t>
      </w:r>
      <w:r w:rsidR="00092C7E">
        <w:t xml:space="preserve">Oxford University Press, </w:t>
      </w:r>
      <w:r>
        <w:t>2</w:t>
      </w:r>
      <w:r w:rsidRPr="00CE5887">
        <w:rPr>
          <w:vertAlign w:val="superscript"/>
        </w:rPr>
        <w:t>nd</w:t>
      </w:r>
      <w:r>
        <w:t xml:space="preserve"> ed</w:t>
      </w:r>
      <w:r w:rsidR="00B662F8">
        <w:t>,</w:t>
      </w:r>
      <w:r>
        <w:t xml:space="preserve"> 2005) 519.</w:t>
      </w:r>
    </w:p>
  </w:endnote>
  <w:endnote w:id="22">
    <w:p w14:paraId="6F50AAE7" w14:textId="747C553D" w:rsidR="00662083" w:rsidRPr="00E40312" w:rsidRDefault="00662083" w:rsidP="0098390B">
      <w:pPr>
        <w:pStyle w:val="EndnoteText"/>
        <w:ind w:left="567" w:hanging="567"/>
        <w:rPr>
          <w:i/>
        </w:rPr>
      </w:pPr>
      <w:r>
        <w:rPr>
          <w:rStyle w:val="EndnoteReference"/>
        </w:rPr>
        <w:endnoteRef/>
      </w:r>
      <w:r>
        <w:t xml:space="preserve"> </w:t>
      </w:r>
      <w:r>
        <w:tab/>
        <w:t xml:space="preserve">Human Rights and Equal Opportunity Commission, </w:t>
      </w:r>
      <w:r>
        <w:rPr>
          <w:i/>
        </w:rPr>
        <w:t xml:space="preserve">Nguyen and Okoye v Commonwealth (Department of Immigration and Multicultural Affairs) and GSL (Australia) Pty Ltd </w:t>
      </w:r>
      <w:r w:rsidRPr="00E40312">
        <w:t>[2008] AusHRC 39 (1 January 2008), [80]-[88].</w:t>
      </w:r>
    </w:p>
  </w:endnote>
  <w:endnote w:id="23">
    <w:p w14:paraId="04B95E07" w14:textId="60DF0E47" w:rsidR="00662083" w:rsidRDefault="00662083" w:rsidP="0098390B">
      <w:pPr>
        <w:pStyle w:val="EndnoteText"/>
        <w:ind w:left="567" w:hanging="567"/>
      </w:pPr>
      <w:r>
        <w:rPr>
          <w:rStyle w:val="EndnoteReference"/>
        </w:rPr>
        <w:endnoteRef/>
      </w:r>
      <w:r>
        <w:t xml:space="preserve"> </w:t>
      </w:r>
      <w:r>
        <w:tab/>
        <w:t xml:space="preserve">UN Human Rights Committee, </w:t>
      </w:r>
      <w:r w:rsidRPr="00073763">
        <w:t>General Comment 16 (1988)</w:t>
      </w:r>
      <w:r w:rsidR="00F61A17">
        <w:t>,</w:t>
      </w:r>
      <w:r>
        <w:t xml:space="preserve"> [4].</w:t>
      </w:r>
    </w:p>
  </w:endnote>
  <w:endnote w:id="24">
    <w:p w14:paraId="5658DAA1" w14:textId="6833AE9B" w:rsidR="00662083" w:rsidRDefault="00662083" w:rsidP="0098390B">
      <w:pPr>
        <w:pStyle w:val="EndnoteText"/>
        <w:ind w:left="567" w:hanging="567"/>
      </w:pPr>
      <w:r>
        <w:rPr>
          <w:rStyle w:val="EndnoteReference"/>
        </w:rPr>
        <w:endnoteRef/>
      </w:r>
      <w:r>
        <w:t xml:space="preserve"> </w:t>
      </w:r>
      <w:r>
        <w:tab/>
        <w:t xml:space="preserve">S Joseph, J Schultz and M Castan, </w:t>
      </w:r>
      <w:r w:rsidRPr="008E6F49">
        <w:rPr>
          <w:i/>
        </w:rPr>
        <w:t>The International Covenant on Civil and Political</w:t>
      </w:r>
      <w:r>
        <w:rPr>
          <w:i/>
        </w:rPr>
        <w:t xml:space="preserve"> Rights: Cases, Materials and C</w:t>
      </w:r>
      <w:r w:rsidRPr="008E6F49">
        <w:rPr>
          <w:i/>
        </w:rPr>
        <w:t>ommentary</w:t>
      </w:r>
      <w:r>
        <w:t xml:space="preserve"> (</w:t>
      </w:r>
      <w:r w:rsidR="00092C7E">
        <w:t xml:space="preserve">Oxford University Press, </w:t>
      </w:r>
      <w:r>
        <w:t>2</w:t>
      </w:r>
      <w:r w:rsidRPr="009E7E25">
        <w:rPr>
          <w:vertAlign w:val="superscript"/>
        </w:rPr>
        <w:t>nd</w:t>
      </w:r>
      <w:r>
        <w:t xml:space="preserve"> ed, 2004) 482-3.</w:t>
      </w:r>
    </w:p>
  </w:endnote>
  <w:endnote w:id="25">
    <w:p w14:paraId="29C83326" w14:textId="21BE50F8" w:rsidR="00662083" w:rsidRDefault="00662083" w:rsidP="0098390B">
      <w:pPr>
        <w:pStyle w:val="EndnoteText"/>
        <w:ind w:left="567" w:hanging="567"/>
      </w:pPr>
      <w:r>
        <w:rPr>
          <w:rStyle w:val="EndnoteReference"/>
        </w:rPr>
        <w:endnoteRef/>
      </w:r>
      <w:r>
        <w:t xml:space="preserve"> </w:t>
      </w:r>
      <w:r>
        <w:tab/>
        <w:t>Communication No 488 of 1992, UN Doc CCPR/C/50/D/488/1992, [8.3].</w:t>
      </w:r>
    </w:p>
  </w:endnote>
  <w:endnote w:id="26">
    <w:p w14:paraId="005EF86C" w14:textId="77777777" w:rsidR="00662083" w:rsidRDefault="00662083" w:rsidP="0098390B">
      <w:pPr>
        <w:pStyle w:val="EndnoteText"/>
        <w:ind w:left="567" w:hanging="567"/>
      </w:pPr>
      <w:r>
        <w:rPr>
          <w:rStyle w:val="EndnoteReference"/>
        </w:rPr>
        <w:endnoteRef/>
      </w:r>
      <w:r>
        <w:t xml:space="preserve"> </w:t>
      </w:r>
      <w:r>
        <w:tab/>
        <w:t>Departmental submission dated 28 May 2013.</w:t>
      </w:r>
    </w:p>
  </w:endnote>
  <w:endnote w:id="27">
    <w:p w14:paraId="566D02E0" w14:textId="77777777" w:rsidR="00662083" w:rsidRDefault="00662083" w:rsidP="0098390B">
      <w:pPr>
        <w:pStyle w:val="EndnoteText"/>
        <w:ind w:left="567" w:hanging="567"/>
      </w:pPr>
      <w:r>
        <w:rPr>
          <w:rStyle w:val="EndnoteReference"/>
        </w:rPr>
        <w:endnoteRef/>
      </w:r>
      <w:r>
        <w:t xml:space="preserve"> </w:t>
      </w:r>
      <w:r>
        <w:tab/>
      </w:r>
      <w:r w:rsidRPr="005E4079">
        <w:t>Departmental submission dated 28 May 2013.</w:t>
      </w:r>
    </w:p>
  </w:endnote>
  <w:endnote w:id="28">
    <w:p w14:paraId="2F143BB2" w14:textId="77777777" w:rsidR="00662083" w:rsidRDefault="00662083" w:rsidP="0098390B">
      <w:pPr>
        <w:pStyle w:val="EndnoteText"/>
        <w:ind w:left="567" w:hanging="567"/>
      </w:pPr>
      <w:r>
        <w:rPr>
          <w:rStyle w:val="EndnoteReference"/>
        </w:rPr>
        <w:endnoteRef/>
      </w:r>
      <w:r>
        <w:t xml:space="preserve"> </w:t>
      </w:r>
      <w:r>
        <w:tab/>
        <w:t>Communication No 900 of 1999, UN Doc CCPR/C/76/D/900/1999.</w:t>
      </w:r>
    </w:p>
  </w:endnote>
  <w:endnote w:id="29">
    <w:p w14:paraId="3642E83E" w14:textId="1D34F9B6" w:rsidR="00662083" w:rsidRDefault="00662083" w:rsidP="0098390B">
      <w:pPr>
        <w:pStyle w:val="EndnoteText"/>
        <w:ind w:left="567" w:hanging="567"/>
      </w:pPr>
      <w:r>
        <w:rPr>
          <w:rStyle w:val="EndnoteReference"/>
        </w:rPr>
        <w:endnoteRef/>
      </w:r>
      <w:r>
        <w:t xml:space="preserve"> </w:t>
      </w:r>
      <w:r>
        <w:tab/>
      </w:r>
      <w:r w:rsidRPr="003B2E14">
        <w:t>Communication N</w:t>
      </w:r>
      <w:r>
        <w:t xml:space="preserve">o 900 of </w:t>
      </w:r>
      <w:r w:rsidRPr="003B2E14">
        <w:t>19</w:t>
      </w:r>
      <w:r>
        <w:t>99, UN Doc CCPR/C/76/D/900/1999, [8.4].</w:t>
      </w:r>
    </w:p>
  </w:endnote>
  <w:endnote w:id="30">
    <w:p w14:paraId="3FD45E6D" w14:textId="145C76C3" w:rsidR="00662083" w:rsidRDefault="00662083" w:rsidP="0098390B">
      <w:pPr>
        <w:pStyle w:val="EndnoteText"/>
        <w:ind w:left="567" w:hanging="567"/>
      </w:pPr>
      <w:r w:rsidRPr="00CD743F">
        <w:rPr>
          <w:rStyle w:val="EndnoteReference"/>
        </w:rPr>
        <w:endnoteRef/>
      </w:r>
      <w:r w:rsidRPr="00CD743F">
        <w:t xml:space="preserve"> </w:t>
      </w:r>
      <w:r w:rsidRPr="00CD743F">
        <w:tab/>
      </w:r>
      <w:r w:rsidRPr="00CD743F">
        <w:rPr>
          <w:i/>
        </w:rPr>
        <w:t>F.K.A.G. et al. v Australia</w:t>
      </w:r>
      <w:r w:rsidRPr="00CD743F">
        <w:t xml:space="preserve"> Communication No 2094 of 2011, UN Doc CCPR/C/108/D/2094/2011 at [9.8]; </w:t>
      </w:r>
      <w:r w:rsidRPr="00CD743F">
        <w:rPr>
          <w:i/>
        </w:rPr>
        <w:t>M.M.M et al v Australia</w:t>
      </w:r>
      <w:r w:rsidRPr="00CD743F">
        <w:t xml:space="preserve"> Communication No 2136 of 2012, UN Doc CCPR/C/108/D/2136/2012</w:t>
      </w:r>
      <w:r>
        <w:t>,</w:t>
      </w:r>
      <w:r w:rsidRPr="00CD743F">
        <w:t xml:space="preserve"> [10.7].</w:t>
      </w:r>
      <w:r>
        <w:t xml:space="preserve"> </w:t>
      </w:r>
    </w:p>
  </w:endnote>
  <w:endnote w:id="31">
    <w:p w14:paraId="51375583" w14:textId="77777777" w:rsidR="00662083" w:rsidRDefault="00662083" w:rsidP="0098390B">
      <w:pPr>
        <w:pStyle w:val="EndnoteText"/>
        <w:tabs>
          <w:tab w:val="left" w:pos="567"/>
        </w:tabs>
      </w:pPr>
      <w:r>
        <w:rPr>
          <w:rStyle w:val="EndnoteReference"/>
        </w:rPr>
        <w:endnoteRef/>
      </w:r>
      <w:r>
        <w:t xml:space="preserve"> </w:t>
      </w:r>
      <w:r>
        <w:tab/>
      </w:r>
      <w:r w:rsidRPr="002A5323">
        <w:t>AHRC Act s 29(2)(a).</w:t>
      </w:r>
    </w:p>
  </w:endnote>
  <w:endnote w:id="32">
    <w:p w14:paraId="52D85B3B" w14:textId="77777777" w:rsidR="00662083" w:rsidRDefault="00662083" w:rsidP="0098390B">
      <w:pPr>
        <w:pStyle w:val="EndnoteText"/>
        <w:tabs>
          <w:tab w:val="left" w:pos="567"/>
        </w:tabs>
      </w:pPr>
      <w:r>
        <w:rPr>
          <w:rStyle w:val="EndnoteReference"/>
        </w:rPr>
        <w:endnoteRef/>
      </w:r>
      <w:r>
        <w:t xml:space="preserve"> </w:t>
      </w:r>
      <w:r>
        <w:tab/>
      </w:r>
      <w:r w:rsidRPr="002A5323">
        <w:t>AHRC Act s 29(2)(b).</w:t>
      </w:r>
    </w:p>
  </w:endnote>
  <w:endnote w:id="33">
    <w:p w14:paraId="5130BBB4" w14:textId="3A44E0CB" w:rsidR="00662083" w:rsidRDefault="00662083" w:rsidP="0098390B">
      <w:pPr>
        <w:pStyle w:val="EndnoteText"/>
        <w:tabs>
          <w:tab w:val="left" w:pos="567"/>
        </w:tabs>
      </w:pPr>
      <w:r>
        <w:rPr>
          <w:rStyle w:val="EndnoteReference"/>
        </w:rPr>
        <w:endnoteRef/>
      </w:r>
      <w:r>
        <w:t xml:space="preserve"> </w:t>
      </w:r>
      <w:r>
        <w:tab/>
        <w:t xml:space="preserve">[2013] AusHRC 64, [117]-[125]. </w:t>
      </w:r>
    </w:p>
  </w:endnote>
  <w:endnote w:id="34">
    <w:p w14:paraId="559DB6FD" w14:textId="77777777" w:rsidR="00662083" w:rsidRDefault="00662083" w:rsidP="006548A2">
      <w:pPr>
        <w:pStyle w:val="EndnoteText"/>
        <w:ind w:left="567" w:hanging="567"/>
      </w:pPr>
      <w:r>
        <w:rPr>
          <w:rStyle w:val="EndnoteReference"/>
        </w:rPr>
        <w:endnoteRef/>
      </w:r>
      <w:r>
        <w:t xml:space="preserve"> </w:t>
      </w:r>
      <w:r>
        <w:tab/>
        <w:t xml:space="preserve">The Minister made similar statements in his response to a Recommendation made in Commission Report [2013] AusHRC 64, reproduced in that report at [142]. </w:t>
      </w:r>
    </w:p>
  </w:endnote>
  <w:endnote w:id="35">
    <w:p w14:paraId="1E81F682" w14:textId="77777777" w:rsidR="00662083" w:rsidRDefault="00662083" w:rsidP="00DD3393">
      <w:pPr>
        <w:pStyle w:val="EndnoteText"/>
        <w:tabs>
          <w:tab w:val="left" w:pos="567"/>
        </w:tabs>
      </w:pPr>
      <w:r>
        <w:rPr>
          <w:rStyle w:val="EndnoteReference"/>
        </w:rPr>
        <w:endnoteRef/>
      </w:r>
      <w:r>
        <w:t xml:space="preserve"> </w:t>
      </w:r>
      <w:r>
        <w:tab/>
        <w:t xml:space="preserve">Department’s response to my preliminary view (2 June 2014). </w:t>
      </w:r>
    </w:p>
  </w:endnote>
  <w:endnote w:id="36">
    <w:p w14:paraId="7ADA9098" w14:textId="7F70B04C" w:rsidR="00662083" w:rsidRDefault="00662083" w:rsidP="00766294">
      <w:pPr>
        <w:pStyle w:val="EndnoteText"/>
        <w:tabs>
          <w:tab w:val="left" w:pos="567"/>
        </w:tabs>
      </w:pPr>
      <w:r>
        <w:rPr>
          <w:rStyle w:val="EndnoteReference"/>
        </w:rPr>
        <w:endnoteRef/>
      </w:r>
      <w:r>
        <w:t xml:space="preserve"> </w:t>
      </w:r>
      <w:r>
        <w:tab/>
        <w:t>[2013] AusHRC 64, [131].</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MT">
    <w:altName w:val="Arial"/>
    <w:panose1 w:val="00000000000000000000"/>
    <w:charset w:val="4D"/>
    <w:family w:val="auto"/>
    <w:notTrueType/>
    <w:pitch w:val="default"/>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4D"/>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imes-Roman">
    <w:altName w:val="Times New Roman"/>
    <w:panose1 w:val="00000000000000000000"/>
    <w:charset w:val="CC"/>
    <w:family w:val="auto"/>
    <w:notTrueType/>
    <w:pitch w:val="default"/>
    <w:sig w:usb0="00000203" w:usb1="00000000" w:usb2="00000000" w:usb3="00000000" w:csb0="00000005" w:csb1="00000000"/>
  </w:font>
  <w:font w:name="HelveticaCYPlain">
    <w:altName w:val="Times New Roman"/>
    <w:panose1 w:val="00000000000000000000"/>
    <w:charset w:val="CD"/>
    <w:family w:val="auto"/>
    <w:notTrueType/>
    <w:pitch w:val="default"/>
    <w:sig w:usb0="00000001" w:usb1="00000000" w:usb2="00000000" w:usb3="00000000" w:csb0="00000000" w:csb1="00000000"/>
  </w:font>
  <w:font w:name="Arial Narrow Bold">
    <w:panose1 w:val="020B07060202020302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62791B" w14:textId="77777777" w:rsidR="00662083" w:rsidRDefault="00662083" w:rsidP="009D2E6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4CCF29F" w14:textId="77777777" w:rsidR="00662083" w:rsidRDefault="00662083" w:rsidP="00087CA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643A59" w14:textId="265F6493" w:rsidR="00662083" w:rsidRPr="00B05C51" w:rsidRDefault="00662083" w:rsidP="00950690">
    <w:pPr>
      <w:keepNext/>
      <w:widowControl w:val="0"/>
      <w:tabs>
        <w:tab w:val="left" w:pos="567"/>
      </w:tabs>
      <w:suppressAutoHyphens/>
      <w:autoSpaceDE w:val="0"/>
      <w:autoSpaceDN w:val="0"/>
      <w:adjustRightInd w:val="0"/>
      <w:ind w:right="360"/>
      <w:jc w:val="right"/>
      <w:textAlignment w:val="center"/>
      <w:rPr>
        <w:rFonts w:cs="Arial"/>
        <w:b/>
        <w:bCs/>
        <w:lang w:eastAsia="en-AU" w:bidi="ar-YE"/>
      </w:rPr>
    </w:pPr>
    <w:r w:rsidRPr="00950690">
      <w:rPr>
        <w:rFonts w:cs="Arial"/>
        <w:b/>
      </w:rPr>
      <w:t xml:space="preserve">Immigration detainees with adverse security assessments </w:t>
    </w:r>
    <w:r>
      <w:rPr>
        <w:rFonts w:cs="Arial"/>
        <w:b/>
      </w:rPr>
      <w:br/>
    </w:r>
    <w:r w:rsidRPr="00950690">
      <w:rPr>
        <w:rFonts w:cs="Arial"/>
        <w:b/>
      </w:rPr>
      <w:t>v Commonwea</w:t>
    </w:r>
    <w:r>
      <w:rPr>
        <w:rFonts w:cs="Arial"/>
        <w:b/>
      </w:rPr>
      <w:t>lth of Australia (D</w:t>
    </w:r>
    <w:r w:rsidRPr="00950690">
      <w:rPr>
        <w:rFonts w:cs="Arial"/>
        <w:b/>
      </w:rPr>
      <w:t>I</w:t>
    </w:r>
    <w:r>
      <w:rPr>
        <w:rFonts w:cs="Arial"/>
        <w:b/>
      </w:rPr>
      <w:t>BP</w:t>
    </w:r>
    <w:r w:rsidRPr="00950690">
      <w:rPr>
        <w:rFonts w:cs="Arial"/>
        <w:b/>
      </w:rPr>
      <w:t>)</w:t>
    </w:r>
    <w:r>
      <w:rPr>
        <w:rFonts w:cs="Arial"/>
        <w:b/>
      </w:rPr>
      <w:t xml:space="preserve"> </w:t>
    </w:r>
    <w:r w:rsidRPr="00950690">
      <w:rPr>
        <w:rFonts w:cs="Arial"/>
        <w:lang w:eastAsia="en-AU"/>
      </w:rPr>
      <w:t>•</w:t>
    </w:r>
    <w:r>
      <w:rPr>
        <w:rFonts w:cs="Arial"/>
        <w:lang w:eastAsia="en-AU"/>
      </w:rPr>
      <w:t xml:space="preserve"> [2014] AusHRC 92</w:t>
    </w:r>
    <w:r w:rsidRPr="00415667">
      <w:rPr>
        <w:rFonts w:cs="Arial"/>
        <w:lang w:eastAsia="en-AU"/>
      </w:rPr>
      <w:t xml:space="preserve"> • </w:t>
    </w:r>
    <w:r w:rsidRPr="00232D6D">
      <w:rPr>
        <w:rStyle w:val="PageNumber"/>
        <w:b/>
      </w:rPr>
      <w:fldChar w:fldCharType="begin"/>
    </w:r>
    <w:r w:rsidRPr="00232D6D">
      <w:rPr>
        <w:rStyle w:val="PageNumber"/>
        <w:b/>
      </w:rPr>
      <w:instrText xml:space="preserve"> PAGE </w:instrText>
    </w:r>
    <w:r w:rsidRPr="00232D6D">
      <w:rPr>
        <w:rStyle w:val="PageNumber"/>
        <w:b/>
      </w:rPr>
      <w:fldChar w:fldCharType="separate"/>
    </w:r>
    <w:r w:rsidR="007A20D0">
      <w:rPr>
        <w:rStyle w:val="PageNumber"/>
        <w:b/>
        <w:noProof/>
      </w:rPr>
      <w:t>27</w:t>
    </w:r>
    <w:r w:rsidRPr="00232D6D">
      <w:rPr>
        <w:rStyle w:val="PageNumber"/>
        <w:b/>
      </w:rPr>
      <w:fldChar w:fldCharType="end"/>
    </w:r>
  </w:p>
  <w:p w14:paraId="357EBB91" w14:textId="77777777" w:rsidR="00662083" w:rsidRDefault="00662083" w:rsidP="00087CA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AF371B" w14:textId="77777777" w:rsidR="00662083" w:rsidRDefault="00662083" w:rsidP="00F14C6D">
      <w:r>
        <w:separator/>
      </w:r>
    </w:p>
  </w:footnote>
  <w:footnote w:type="continuationSeparator" w:id="0">
    <w:p w14:paraId="22F39159" w14:textId="77777777" w:rsidR="00662083" w:rsidRDefault="00662083" w:rsidP="00F14C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0F7EE9"/>
    <w:multiLevelType w:val="hybridMultilevel"/>
    <w:tmpl w:val="FE0A611A"/>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C58C937D"/>
    <w:multiLevelType w:val="hybridMultilevel"/>
    <w:tmpl w:val="DAB87C73"/>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FFFFFFFE"/>
    <w:multiLevelType w:val="singleLevel"/>
    <w:tmpl w:val="6C009348"/>
    <w:lvl w:ilvl="0">
      <w:numFmt w:val="decimal"/>
      <w:pStyle w:val="Dash"/>
      <w:lvlText w:val="*"/>
      <w:lvlJc w:val="left"/>
    </w:lvl>
  </w:abstractNum>
  <w:abstractNum w:abstractNumId="3">
    <w:nsid w:val="09424E76"/>
    <w:multiLevelType w:val="hybridMultilevel"/>
    <w:tmpl w:val="ADD20472"/>
    <w:lvl w:ilvl="0" w:tplc="0C090001">
      <w:start w:val="1"/>
      <w:numFmt w:val="decimal"/>
      <w:lvlText w:val="%1."/>
      <w:lvlJc w:val="left"/>
      <w:pPr>
        <w:tabs>
          <w:tab w:val="num" w:pos="720"/>
        </w:tabs>
        <w:ind w:left="720" w:hanging="720"/>
      </w:pPr>
      <w:rPr>
        <w:rFonts w:cs="Times New Roman"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CB237C"/>
    <w:multiLevelType w:val="hybridMultilevel"/>
    <w:tmpl w:val="CB0E8624"/>
    <w:lvl w:ilvl="0" w:tplc="FFFFFFFF">
      <w:start w:val="1"/>
      <w:numFmt w:val="decimal"/>
      <w:pStyle w:val="SubmissionNormal"/>
      <w:lvlText w:val="%1."/>
      <w:lvlJc w:val="left"/>
      <w:pPr>
        <w:tabs>
          <w:tab w:val="num" w:pos="3240"/>
        </w:tabs>
        <w:ind w:left="3240" w:hanging="360"/>
      </w:pPr>
      <w:rPr>
        <w:rFonts w:cs="Times New Roman" w:hint="default"/>
        <w:b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
    <w:nsid w:val="20337929"/>
    <w:multiLevelType w:val="singleLevel"/>
    <w:tmpl w:val="0862F6CA"/>
    <w:lvl w:ilvl="0">
      <w:start w:val="1"/>
      <w:numFmt w:val="bullet"/>
      <w:pStyle w:val="Bullet"/>
      <w:lvlText w:val="•"/>
      <w:lvlJc w:val="left"/>
      <w:pPr>
        <w:tabs>
          <w:tab w:val="num" w:pos="360"/>
        </w:tabs>
        <w:ind w:left="360" w:hanging="360"/>
      </w:pPr>
      <w:rPr>
        <w:rFonts w:ascii="Arial" w:hAnsi="Arial" w:hint="default"/>
        <w:sz w:val="21"/>
      </w:rPr>
    </w:lvl>
  </w:abstractNum>
  <w:abstractNum w:abstractNumId="6">
    <w:nsid w:val="21B71560"/>
    <w:multiLevelType w:val="multilevel"/>
    <w:tmpl w:val="0C090023"/>
    <w:styleLink w:val="ArticleSection"/>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7">
    <w:nsid w:val="297817C3"/>
    <w:multiLevelType w:val="multilevel"/>
    <w:tmpl w:val="20A0E41A"/>
    <w:lvl w:ilvl="0">
      <w:start w:val="1"/>
      <w:numFmt w:val="decimal"/>
      <w:pStyle w:val="Heading1"/>
      <w:lvlText w:val="%1"/>
      <w:lvlJc w:val="left"/>
      <w:pPr>
        <w:tabs>
          <w:tab w:val="num" w:pos="851"/>
        </w:tabs>
        <w:ind w:left="851" w:hanging="851"/>
      </w:pPr>
      <w:rPr>
        <w:rFonts w:cs="Times New Roman" w:hint="default"/>
      </w:rPr>
    </w:lvl>
    <w:lvl w:ilvl="1">
      <w:start w:val="1"/>
      <w:numFmt w:val="decimal"/>
      <w:pStyle w:val="Heading2"/>
      <w:lvlText w:val="%1.%2"/>
      <w:lvlJc w:val="left"/>
      <w:pPr>
        <w:tabs>
          <w:tab w:val="num" w:pos="1091"/>
        </w:tabs>
        <w:ind w:left="1091" w:hanging="851"/>
      </w:pPr>
      <w:rPr>
        <w:rFonts w:cs="Times New Roman" w:hint="default"/>
      </w:rPr>
    </w:lvl>
    <w:lvl w:ilvl="2">
      <w:start w:val="1"/>
      <w:numFmt w:val="lowerLetter"/>
      <w:pStyle w:val="Heading3"/>
      <w:lvlText w:val="(%3)"/>
      <w:lvlJc w:val="left"/>
      <w:pPr>
        <w:tabs>
          <w:tab w:val="num" w:pos="851"/>
        </w:tabs>
        <w:ind w:left="851" w:hanging="851"/>
      </w:pPr>
      <w:rPr>
        <w:rFonts w:ascii="Arial" w:hAnsi="Arial" w:cs="Times New Roman" w:hint="default"/>
        <w:b w:val="0"/>
        <w:i/>
        <w:sz w:val="24"/>
      </w:rPr>
    </w:lvl>
    <w:lvl w:ilvl="3">
      <w:start w:val="1"/>
      <w:numFmt w:val="lowerRoman"/>
      <w:pStyle w:val="Heading4"/>
      <w:lvlText w:val="(%4)"/>
      <w:lvlJc w:val="left"/>
      <w:pPr>
        <w:tabs>
          <w:tab w:val="num" w:pos="851"/>
        </w:tabs>
        <w:ind w:left="851" w:hanging="851"/>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8">
    <w:nsid w:val="3EC42FE8"/>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nsid w:val="420E5549"/>
    <w:multiLevelType w:val="multilevel"/>
    <w:tmpl w:val="D110E25C"/>
    <w:lvl w:ilvl="0">
      <w:start w:val="1"/>
      <w:numFmt w:val="decimal"/>
      <w:lvlText w:val="%1."/>
      <w:lvlJc w:val="left"/>
      <w:pPr>
        <w:tabs>
          <w:tab w:val="num" w:pos="720"/>
        </w:tabs>
        <w:ind w:left="720" w:hanging="720"/>
      </w:pPr>
      <w:rPr>
        <w:rFonts w:cs="Times New Roman" w:hint="default"/>
        <w:b w:val="0"/>
        <w:i w:val="0"/>
      </w:rPr>
    </w:lvl>
    <w:lvl w:ilvl="1">
      <w:start w:val="1"/>
      <w:numFmt w:val="lowerLetter"/>
      <w:lvlText w:val="(%2)"/>
      <w:lvlJc w:val="left"/>
      <w:pPr>
        <w:tabs>
          <w:tab w:val="num" w:pos="1440"/>
        </w:tabs>
        <w:ind w:left="1440" w:hanging="360"/>
      </w:pPr>
      <w:rPr>
        <w:rFonts w:hint="default"/>
        <w:b w:val="0"/>
        <w:sz w:val="22"/>
        <w:szCs w:val="22"/>
      </w:rPr>
    </w:lvl>
    <w:lvl w:ilvl="2">
      <w:start w:val="1"/>
      <w:numFmt w:val="lowerRoman"/>
      <w:lvlText w:val="%3."/>
      <w:lvlJc w:val="right"/>
      <w:pPr>
        <w:tabs>
          <w:tab w:val="num" w:pos="2160"/>
        </w:tabs>
        <w:ind w:left="2160" w:hanging="180"/>
      </w:pPr>
      <w:rPr>
        <w:rFonts w:cs="Times New Roman"/>
      </w:rPr>
    </w:lvl>
    <w:lvl w:ilvl="3">
      <w:start w:val="1"/>
      <w:numFmt w:val="bullet"/>
      <w:lvlText w:val=""/>
      <w:lvlJc w:val="left"/>
      <w:pPr>
        <w:tabs>
          <w:tab w:val="num" w:pos="2880"/>
        </w:tabs>
        <w:ind w:left="2880" w:hanging="360"/>
      </w:pPr>
      <w:rPr>
        <w:rFonts w:ascii="Symbol" w:hAnsi="Symbol" w:hint="default"/>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4ABD0B46"/>
    <w:multiLevelType w:val="multilevel"/>
    <w:tmpl w:val="8676E80A"/>
    <w:styleLink w:val="StyleNumbered"/>
    <w:lvl w:ilvl="0">
      <w:start w:val="1"/>
      <w:numFmt w:val="decimal"/>
      <w:lvlText w:val="%1."/>
      <w:lvlJc w:val="left"/>
      <w:pPr>
        <w:tabs>
          <w:tab w:val="num" w:pos="720"/>
        </w:tabs>
        <w:ind w:left="720" w:hanging="360"/>
      </w:pPr>
      <w:rPr>
        <w:rFonts w:ascii="Arial" w:hAnsi="Arial" w:cs="Times New Roman"/>
        <w:sz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4E4322A8"/>
    <w:multiLevelType w:val="multilevel"/>
    <w:tmpl w:val="0C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2">
    <w:nsid w:val="55C419E9"/>
    <w:multiLevelType w:val="hybridMultilevel"/>
    <w:tmpl w:val="2E783EF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nsid w:val="5A48580F"/>
    <w:multiLevelType w:val="hybridMultilevel"/>
    <w:tmpl w:val="90C42750"/>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nsid w:val="5F1E1E3D"/>
    <w:multiLevelType w:val="hybridMultilevel"/>
    <w:tmpl w:val="1A74A140"/>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67FA382C"/>
    <w:multiLevelType w:val="hybridMultilevel"/>
    <w:tmpl w:val="BC7A211A"/>
    <w:lvl w:ilvl="0" w:tplc="A2F2BD9C">
      <w:start w:val="1"/>
      <w:numFmt w:val="decimal"/>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6">
    <w:nsid w:val="6BB59BEB"/>
    <w:multiLevelType w:val="hybridMultilevel"/>
    <w:tmpl w:val="8F159AC3"/>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74C74663"/>
    <w:multiLevelType w:val="hybridMultilevel"/>
    <w:tmpl w:val="D110E25C"/>
    <w:lvl w:ilvl="0" w:tplc="0C090001">
      <w:start w:val="1"/>
      <w:numFmt w:val="decimal"/>
      <w:lvlText w:val="%1."/>
      <w:lvlJc w:val="left"/>
      <w:pPr>
        <w:tabs>
          <w:tab w:val="num" w:pos="720"/>
        </w:tabs>
        <w:ind w:left="720" w:hanging="720"/>
      </w:pPr>
      <w:rPr>
        <w:rFonts w:cs="Times New Roman" w:hint="default"/>
        <w:b w:val="0"/>
        <w:i w:val="0"/>
      </w:rPr>
    </w:lvl>
    <w:lvl w:ilvl="1" w:tplc="1C066762">
      <w:start w:val="1"/>
      <w:numFmt w:val="lowerLetter"/>
      <w:lvlText w:val="(%2)"/>
      <w:lvlJc w:val="left"/>
      <w:pPr>
        <w:tabs>
          <w:tab w:val="num" w:pos="1440"/>
        </w:tabs>
        <w:ind w:left="1440" w:hanging="360"/>
      </w:pPr>
      <w:rPr>
        <w:rFonts w:hint="default"/>
        <w:b w:val="0"/>
        <w:sz w:val="22"/>
        <w:szCs w:val="22"/>
      </w:rPr>
    </w:lvl>
    <w:lvl w:ilvl="2" w:tplc="0C09001B">
      <w:start w:val="1"/>
      <w:numFmt w:val="lowerRoman"/>
      <w:lvlText w:val="%3."/>
      <w:lvlJc w:val="right"/>
      <w:pPr>
        <w:tabs>
          <w:tab w:val="num" w:pos="2160"/>
        </w:tabs>
        <w:ind w:left="2160" w:hanging="180"/>
      </w:pPr>
      <w:rPr>
        <w:rFonts w:cs="Times New Roman"/>
      </w:rPr>
    </w:lvl>
    <w:lvl w:ilvl="3" w:tplc="0C09000F">
      <w:start w:val="1"/>
      <w:numFmt w:val="bullet"/>
      <w:lvlText w:val=""/>
      <w:lvlJc w:val="left"/>
      <w:pPr>
        <w:tabs>
          <w:tab w:val="num" w:pos="2880"/>
        </w:tabs>
        <w:ind w:left="2880" w:hanging="360"/>
      </w:pPr>
      <w:rPr>
        <w:rFonts w:ascii="Symbol" w:hAnsi="Symbol" w:hint="default"/>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8">
    <w:nsid w:val="74CE4E4F"/>
    <w:multiLevelType w:val="hybridMultilevel"/>
    <w:tmpl w:val="221A91D8"/>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num w:numId="1">
    <w:abstractNumId w:val="11"/>
  </w:num>
  <w:num w:numId="2">
    <w:abstractNumId w:val="8"/>
  </w:num>
  <w:num w:numId="3">
    <w:abstractNumId w:val="6"/>
  </w:num>
  <w:num w:numId="4">
    <w:abstractNumId w:val="10"/>
  </w:num>
  <w:num w:numId="5">
    <w:abstractNumId w:val="7"/>
  </w:num>
  <w:num w:numId="6">
    <w:abstractNumId w:val="4"/>
  </w:num>
  <w:num w:numId="7">
    <w:abstractNumId w:val="17"/>
  </w:num>
  <w:num w:numId="8">
    <w:abstractNumId w:val="5"/>
  </w:num>
  <w:num w:numId="9">
    <w:abstractNumId w:val="2"/>
    <w:lvlOverride w:ilvl="0">
      <w:lvl w:ilvl="0">
        <w:start w:val="1"/>
        <w:numFmt w:val="bullet"/>
        <w:pStyle w:val="Dash"/>
        <w:lvlText w:val=""/>
        <w:legacy w:legacy="1" w:legacySpace="0" w:legacyIndent="397"/>
        <w:lvlJc w:val="left"/>
        <w:pPr>
          <w:ind w:left="681" w:hanging="397"/>
        </w:pPr>
        <w:rPr>
          <w:rFonts w:ascii="Symbol" w:hAnsi="Symbol" w:hint="default"/>
          <w:sz w:val="24"/>
        </w:rPr>
      </w:lvl>
    </w:lvlOverride>
  </w:num>
  <w:num w:numId="10">
    <w:abstractNumId w:val="18"/>
  </w:num>
  <w:num w:numId="11">
    <w:abstractNumId w:val="15"/>
  </w:num>
  <w:num w:numId="12">
    <w:abstractNumId w:val="14"/>
  </w:num>
  <w:num w:numId="13">
    <w:abstractNumId w:val="16"/>
  </w:num>
  <w:num w:numId="14">
    <w:abstractNumId w:val="0"/>
  </w:num>
  <w:num w:numId="15">
    <w:abstractNumId w:val="1"/>
  </w:num>
  <w:num w:numId="16">
    <w:abstractNumId w:val="13"/>
  </w:num>
  <w:num w:numId="17">
    <w:abstractNumId w:val="12"/>
  </w:num>
  <w:num w:numId="18">
    <w:abstractNumId w:val="9"/>
  </w:num>
  <w:num w:numId="19">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7"/>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5579"/>
    <w:rsid w:val="00000995"/>
    <w:rsid w:val="0000108E"/>
    <w:rsid w:val="000014F4"/>
    <w:rsid w:val="000023EF"/>
    <w:rsid w:val="00002CA2"/>
    <w:rsid w:val="0000304D"/>
    <w:rsid w:val="000039D2"/>
    <w:rsid w:val="00003D6C"/>
    <w:rsid w:val="0000460A"/>
    <w:rsid w:val="00004C0D"/>
    <w:rsid w:val="00004DFA"/>
    <w:rsid w:val="00004F7E"/>
    <w:rsid w:val="0000659B"/>
    <w:rsid w:val="00007069"/>
    <w:rsid w:val="000071FD"/>
    <w:rsid w:val="00007C94"/>
    <w:rsid w:val="00007DB9"/>
    <w:rsid w:val="000100E4"/>
    <w:rsid w:val="00010A3D"/>
    <w:rsid w:val="00011D72"/>
    <w:rsid w:val="0001212F"/>
    <w:rsid w:val="00012322"/>
    <w:rsid w:val="0001254B"/>
    <w:rsid w:val="0001268D"/>
    <w:rsid w:val="000129D3"/>
    <w:rsid w:val="00012A67"/>
    <w:rsid w:val="00013272"/>
    <w:rsid w:val="00014936"/>
    <w:rsid w:val="00014E26"/>
    <w:rsid w:val="00014FFF"/>
    <w:rsid w:val="000158A7"/>
    <w:rsid w:val="00015B80"/>
    <w:rsid w:val="00015E3E"/>
    <w:rsid w:val="00015F8D"/>
    <w:rsid w:val="00017101"/>
    <w:rsid w:val="00017A43"/>
    <w:rsid w:val="00017C98"/>
    <w:rsid w:val="000201D7"/>
    <w:rsid w:val="000201E9"/>
    <w:rsid w:val="00020435"/>
    <w:rsid w:val="00021134"/>
    <w:rsid w:val="00021191"/>
    <w:rsid w:val="000218F1"/>
    <w:rsid w:val="00022991"/>
    <w:rsid w:val="00023241"/>
    <w:rsid w:val="00023403"/>
    <w:rsid w:val="0002376F"/>
    <w:rsid w:val="00024359"/>
    <w:rsid w:val="000243DA"/>
    <w:rsid w:val="000244B8"/>
    <w:rsid w:val="00025002"/>
    <w:rsid w:val="00025487"/>
    <w:rsid w:val="00025D37"/>
    <w:rsid w:val="000263C1"/>
    <w:rsid w:val="00026A56"/>
    <w:rsid w:val="00027A03"/>
    <w:rsid w:val="0003096F"/>
    <w:rsid w:val="00031403"/>
    <w:rsid w:val="00032305"/>
    <w:rsid w:val="000323E3"/>
    <w:rsid w:val="00032568"/>
    <w:rsid w:val="00032A29"/>
    <w:rsid w:val="00032A8D"/>
    <w:rsid w:val="00033207"/>
    <w:rsid w:val="00033583"/>
    <w:rsid w:val="00033A7C"/>
    <w:rsid w:val="00033A88"/>
    <w:rsid w:val="0003442A"/>
    <w:rsid w:val="00034EA2"/>
    <w:rsid w:val="000353BC"/>
    <w:rsid w:val="00035849"/>
    <w:rsid w:val="00035FC9"/>
    <w:rsid w:val="000360E4"/>
    <w:rsid w:val="00036340"/>
    <w:rsid w:val="000364D1"/>
    <w:rsid w:val="00036AEC"/>
    <w:rsid w:val="00037BD6"/>
    <w:rsid w:val="0004075A"/>
    <w:rsid w:val="0004095C"/>
    <w:rsid w:val="000415C5"/>
    <w:rsid w:val="00042085"/>
    <w:rsid w:val="0004397C"/>
    <w:rsid w:val="00043C23"/>
    <w:rsid w:val="00044CA3"/>
    <w:rsid w:val="00045A7E"/>
    <w:rsid w:val="0004638B"/>
    <w:rsid w:val="00047076"/>
    <w:rsid w:val="000479A7"/>
    <w:rsid w:val="00051CE0"/>
    <w:rsid w:val="0005202A"/>
    <w:rsid w:val="0005222E"/>
    <w:rsid w:val="000523CB"/>
    <w:rsid w:val="000523EF"/>
    <w:rsid w:val="00052A72"/>
    <w:rsid w:val="00053523"/>
    <w:rsid w:val="000540A0"/>
    <w:rsid w:val="0005426C"/>
    <w:rsid w:val="000542C7"/>
    <w:rsid w:val="000543CE"/>
    <w:rsid w:val="0005446F"/>
    <w:rsid w:val="000544EE"/>
    <w:rsid w:val="00054FFE"/>
    <w:rsid w:val="000557D8"/>
    <w:rsid w:val="00055868"/>
    <w:rsid w:val="00055A9A"/>
    <w:rsid w:val="00055CCA"/>
    <w:rsid w:val="00055FB5"/>
    <w:rsid w:val="00056436"/>
    <w:rsid w:val="00056E37"/>
    <w:rsid w:val="000572E1"/>
    <w:rsid w:val="0005739E"/>
    <w:rsid w:val="000579B1"/>
    <w:rsid w:val="00057D3C"/>
    <w:rsid w:val="000618E7"/>
    <w:rsid w:val="000625D0"/>
    <w:rsid w:val="00063614"/>
    <w:rsid w:val="00063D20"/>
    <w:rsid w:val="00063F02"/>
    <w:rsid w:val="00063F7D"/>
    <w:rsid w:val="00064538"/>
    <w:rsid w:val="000645DF"/>
    <w:rsid w:val="00064FC9"/>
    <w:rsid w:val="000651EE"/>
    <w:rsid w:val="000657A7"/>
    <w:rsid w:val="0006581D"/>
    <w:rsid w:val="00065C3F"/>
    <w:rsid w:val="00065F71"/>
    <w:rsid w:val="00066F0A"/>
    <w:rsid w:val="00067265"/>
    <w:rsid w:val="00067847"/>
    <w:rsid w:val="00067D3A"/>
    <w:rsid w:val="00070624"/>
    <w:rsid w:val="0007098D"/>
    <w:rsid w:val="00070E05"/>
    <w:rsid w:val="000718CB"/>
    <w:rsid w:val="00071CC3"/>
    <w:rsid w:val="00071E4E"/>
    <w:rsid w:val="00072183"/>
    <w:rsid w:val="000729A3"/>
    <w:rsid w:val="00073763"/>
    <w:rsid w:val="000737BD"/>
    <w:rsid w:val="000745FB"/>
    <w:rsid w:val="00074CD6"/>
    <w:rsid w:val="00074D0C"/>
    <w:rsid w:val="00076443"/>
    <w:rsid w:val="00076C71"/>
    <w:rsid w:val="00077145"/>
    <w:rsid w:val="0007732B"/>
    <w:rsid w:val="00077C10"/>
    <w:rsid w:val="00080361"/>
    <w:rsid w:val="000830EB"/>
    <w:rsid w:val="00084A54"/>
    <w:rsid w:val="00085074"/>
    <w:rsid w:val="00085562"/>
    <w:rsid w:val="00086500"/>
    <w:rsid w:val="00086627"/>
    <w:rsid w:val="000867ED"/>
    <w:rsid w:val="00087982"/>
    <w:rsid w:val="00087CAD"/>
    <w:rsid w:val="00087E2D"/>
    <w:rsid w:val="00090064"/>
    <w:rsid w:val="00091D0C"/>
    <w:rsid w:val="00092BCD"/>
    <w:rsid w:val="00092C7E"/>
    <w:rsid w:val="0009352B"/>
    <w:rsid w:val="000942B6"/>
    <w:rsid w:val="000948CC"/>
    <w:rsid w:val="00094A51"/>
    <w:rsid w:val="0009623D"/>
    <w:rsid w:val="00096295"/>
    <w:rsid w:val="00096772"/>
    <w:rsid w:val="00096AA9"/>
    <w:rsid w:val="00096DF5"/>
    <w:rsid w:val="00096E8E"/>
    <w:rsid w:val="0009753C"/>
    <w:rsid w:val="000976EB"/>
    <w:rsid w:val="00097A56"/>
    <w:rsid w:val="000A0820"/>
    <w:rsid w:val="000A1915"/>
    <w:rsid w:val="000A1F43"/>
    <w:rsid w:val="000A2092"/>
    <w:rsid w:val="000A2BB5"/>
    <w:rsid w:val="000A2C78"/>
    <w:rsid w:val="000A3BC5"/>
    <w:rsid w:val="000A3D33"/>
    <w:rsid w:val="000A3DB6"/>
    <w:rsid w:val="000A48A5"/>
    <w:rsid w:val="000A4A33"/>
    <w:rsid w:val="000A5141"/>
    <w:rsid w:val="000A6A08"/>
    <w:rsid w:val="000A7748"/>
    <w:rsid w:val="000A7E5F"/>
    <w:rsid w:val="000B03B0"/>
    <w:rsid w:val="000B0A5D"/>
    <w:rsid w:val="000B0C12"/>
    <w:rsid w:val="000B11EB"/>
    <w:rsid w:val="000B18D4"/>
    <w:rsid w:val="000B192C"/>
    <w:rsid w:val="000B21AB"/>
    <w:rsid w:val="000B32C4"/>
    <w:rsid w:val="000B362B"/>
    <w:rsid w:val="000B3EAF"/>
    <w:rsid w:val="000B4014"/>
    <w:rsid w:val="000B4F58"/>
    <w:rsid w:val="000B5515"/>
    <w:rsid w:val="000B65E5"/>
    <w:rsid w:val="000B68E8"/>
    <w:rsid w:val="000B6EC6"/>
    <w:rsid w:val="000B7141"/>
    <w:rsid w:val="000B73D3"/>
    <w:rsid w:val="000B79D6"/>
    <w:rsid w:val="000B7C0F"/>
    <w:rsid w:val="000B7D69"/>
    <w:rsid w:val="000C083C"/>
    <w:rsid w:val="000C1022"/>
    <w:rsid w:val="000C136D"/>
    <w:rsid w:val="000C1DDF"/>
    <w:rsid w:val="000C3882"/>
    <w:rsid w:val="000C3CF4"/>
    <w:rsid w:val="000C47A5"/>
    <w:rsid w:val="000C4CAC"/>
    <w:rsid w:val="000C55C4"/>
    <w:rsid w:val="000C64E9"/>
    <w:rsid w:val="000C75C5"/>
    <w:rsid w:val="000C7DC5"/>
    <w:rsid w:val="000D02B1"/>
    <w:rsid w:val="000D070F"/>
    <w:rsid w:val="000D1F2C"/>
    <w:rsid w:val="000D2BBC"/>
    <w:rsid w:val="000D33FB"/>
    <w:rsid w:val="000D3467"/>
    <w:rsid w:val="000D380C"/>
    <w:rsid w:val="000D404B"/>
    <w:rsid w:val="000D569A"/>
    <w:rsid w:val="000D5938"/>
    <w:rsid w:val="000D72A1"/>
    <w:rsid w:val="000E0208"/>
    <w:rsid w:val="000E056B"/>
    <w:rsid w:val="000E0CAD"/>
    <w:rsid w:val="000E1556"/>
    <w:rsid w:val="000E1892"/>
    <w:rsid w:val="000E18BC"/>
    <w:rsid w:val="000E1924"/>
    <w:rsid w:val="000E1A58"/>
    <w:rsid w:val="000E1AAD"/>
    <w:rsid w:val="000E2D48"/>
    <w:rsid w:val="000E326B"/>
    <w:rsid w:val="000E3740"/>
    <w:rsid w:val="000E39F7"/>
    <w:rsid w:val="000E411D"/>
    <w:rsid w:val="000E4B22"/>
    <w:rsid w:val="000E5692"/>
    <w:rsid w:val="000E6CC2"/>
    <w:rsid w:val="000E6FB1"/>
    <w:rsid w:val="000E7B19"/>
    <w:rsid w:val="000E7CDA"/>
    <w:rsid w:val="000F30E7"/>
    <w:rsid w:val="000F3550"/>
    <w:rsid w:val="000F38B7"/>
    <w:rsid w:val="000F52B4"/>
    <w:rsid w:val="000F550E"/>
    <w:rsid w:val="000F553C"/>
    <w:rsid w:val="000F5A27"/>
    <w:rsid w:val="000F5E02"/>
    <w:rsid w:val="000F63FF"/>
    <w:rsid w:val="000F64D3"/>
    <w:rsid w:val="000F66E1"/>
    <w:rsid w:val="000F7464"/>
    <w:rsid w:val="000F79DF"/>
    <w:rsid w:val="00100794"/>
    <w:rsid w:val="0010114A"/>
    <w:rsid w:val="001011C8"/>
    <w:rsid w:val="00101A6E"/>
    <w:rsid w:val="00102399"/>
    <w:rsid w:val="00102EA2"/>
    <w:rsid w:val="00103481"/>
    <w:rsid w:val="0010398C"/>
    <w:rsid w:val="00103A29"/>
    <w:rsid w:val="00103C48"/>
    <w:rsid w:val="00104A89"/>
    <w:rsid w:val="00104B8E"/>
    <w:rsid w:val="00104BA4"/>
    <w:rsid w:val="00105A30"/>
    <w:rsid w:val="00105FC4"/>
    <w:rsid w:val="00106777"/>
    <w:rsid w:val="00106B4D"/>
    <w:rsid w:val="00106DEC"/>
    <w:rsid w:val="00107065"/>
    <w:rsid w:val="00107371"/>
    <w:rsid w:val="001103CD"/>
    <w:rsid w:val="001107AE"/>
    <w:rsid w:val="00110AEB"/>
    <w:rsid w:val="0011137E"/>
    <w:rsid w:val="001115A5"/>
    <w:rsid w:val="00112106"/>
    <w:rsid w:val="00112425"/>
    <w:rsid w:val="00112441"/>
    <w:rsid w:val="001130DC"/>
    <w:rsid w:val="00113317"/>
    <w:rsid w:val="00113850"/>
    <w:rsid w:val="00113A4C"/>
    <w:rsid w:val="00114092"/>
    <w:rsid w:val="0011413A"/>
    <w:rsid w:val="00114DE0"/>
    <w:rsid w:val="00114DEC"/>
    <w:rsid w:val="001150FD"/>
    <w:rsid w:val="00115A53"/>
    <w:rsid w:val="00116153"/>
    <w:rsid w:val="001167E0"/>
    <w:rsid w:val="00117769"/>
    <w:rsid w:val="00117CE1"/>
    <w:rsid w:val="00120077"/>
    <w:rsid w:val="00120F05"/>
    <w:rsid w:val="0012160F"/>
    <w:rsid w:val="00121F73"/>
    <w:rsid w:val="0012233F"/>
    <w:rsid w:val="001224D7"/>
    <w:rsid w:val="00123219"/>
    <w:rsid w:val="0012337E"/>
    <w:rsid w:val="00123DFA"/>
    <w:rsid w:val="001243F0"/>
    <w:rsid w:val="0012584C"/>
    <w:rsid w:val="00125D1B"/>
    <w:rsid w:val="001260C3"/>
    <w:rsid w:val="00126308"/>
    <w:rsid w:val="00126866"/>
    <w:rsid w:val="00126A02"/>
    <w:rsid w:val="00126A46"/>
    <w:rsid w:val="001279F6"/>
    <w:rsid w:val="00127A12"/>
    <w:rsid w:val="00127EF7"/>
    <w:rsid w:val="001303B3"/>
    <w:rsid w:val="001303FF"/>
    <w:rsid w:val="00130627"/>
    <w:rsid w:val="00131768"/>
    <w:rsid w:val="00131FE2"/>
    <w:rsid w:val="001322D4"/>
    <w:rsid w:val="00132462"/>
    <w:rsid w:val="0013263F"/>
    <w:rsid w:val="00132E73"/>
    <w:rsid w:val="00133983"/>
    <w:rsid w:val="00133A2E"/>
    <w:rsid w:val="00133CD9"/>
    <w:rsid w:val="00133D62"/>
    <w:rsid w:val="00133DCD"/>
    <w:rsid w:val="00134BAF"/>
    <w:rsid w:val="001355AD"/>
    <w:rsid w:val="00136B0C"/>
    <w:rsid w:val="00136D41"/>
    <w:rsid w:val="00136E8A"/>
    <w:rsid w:val="00137688"/>
    <w:rsid w:val="001377CA"/>
    <w:rsid w:val="00137EBB"/>
    <w:rsid w:val="00140077"/>
    <w:rsid w:val="0014061D"/>
    <w:rsid w:val="00140681"/>
    <w:rsid w:val="00140B64"/>
    <w:rsid w:val="00140FD7"/>
    <w:rsid w:val="00141BF5"/>
    <w:rsid w:val="0014206D"/>
    <w:rsid w:val="00142C50"/>
    <w:rsid w:val="00142DF8"/>
    <w:rsid w:val="00143C23"/>
    <w:rsid w:val="00143D21"/>
    <w:rsid w:val="00144303"/>
    <w:rsid w:val="0014439B"/>
    <w:rsid w:val="0014472A"/>
    <w:rsid w:val="0014627D"/>
    <w:rsid w:val="001465BA"/>
    <w:rsid w:val="0014677D"/>
    <w:rsid w:val="00147115"/>
    <w:rsid w:val="001476DA"/>
    <w:rsid w:val="0014793F"/>
    <w:rsid w:val="001500F6"/>
    <w:rsid w:val="0015062E"/>
    <w:rsid w:val="00150E18"/>
    <w:rsid w:val="001519E7"/>
    <w:rsid w:val="00151A18"/>
    <w:rsid w:val="00151BC9"/>
    <w:rsid w:val="00151DA3"/>
    <w:rsid w:val="001523D8"/>
    <w:rsid w:val="001528FF"/>
    <w:rsid w:val="00152C9C"/>
    <w:rsid w:val="00152EF4"/>
    <w:rsid w:val="001531F9"/>
    <w:rsid w:val="001533E4"/>
    <w:rsid w:val="00153507"/>
    <w:rsid w:val="00154510"/>
    <w:rsid w:val="00154885"/>
    <w:rsid w:val="001552DF"/>
    <w:rsid w:val="00155880"/>
    <w:rsid w:val="00155CF7"/>
    <w:rsid w:val="00155D96"/>
    <w:rsid w:val="001566D4"/>
    <w:rsid w:val="0015674C"/>
    <w:rsid w:val="0015737C"/>
    <w:rsid w:val="00157658"/>
    <w:rsid w:val="0015774C"/>
    <w:rsid w:val="00160AA0"/>
    <w:rsid w:val="00161D2A"/>
    <w:rsid w:val="00162A8D"/>
    <w:rsid w:val="00163113"/>
    <w:rsid w:val="001638BE"/>
    <w:rsid w:val="00163C2C"/>
    <w:rsid w:val="00163EAA"/>
    <w:rsid w:val="00163FB1"/>
    <w:rsid w:val="00164191"/>
    <w:rsid w:val="00164764"/>
    <w:rsid w:val="00164D7B"/>
    <w:rsid w:val="001651CD"/>
    <w:rsid w:val="001659F9"/>
    <w:rsid w:val="00166C0D"/>
    <w:rsid w:val="00166F9B"/>
    <w:rsid w:val="00167CD8"/>
    <w:rsid w:val="001703F1"/>
    <w:rsid w:val="00170CAE"/>
    <w:rsid w:val="00170E1D"/>
    <w:rsid w:val="00170F39"/>
    <w:rsid w:val="00170F93"/>
    <w:rsid w:val="0017105F"/>
    <w:rsid w:val="0017118A"/>
    <w:rsid w:val="00171D76"/>
    <w:rsid w:val="00171FD4"/>
    <w:rsid w:val="001723BC"/>
    <w:rsid w:val="00172773"/>
    <w:rsid w:val="001727C4"/>
    <w:rsid w:val="00172ABA"/>
    <w:rsid w:val="00172DB3"/>
    <w:rsid w:val="00173156"/>
    <w:rsid w:val="00173EEB"/>
    <w:rsid w:val="0017454D"/>
    <w:rsid w:val="00174C4D"/>
    <w:rsid w:val="00174CD3"/>
    <w:rsid w:val="00175107"/>
    <w:rsid w:val="001756BF"/>
    <w:rsid w:val="00175742"/>
    <w:rsid w:val="00175E81"/>
    <w:rsid w:val="001763E5"/>
    <w:rsid w:val="0017647E"/>
    <w:rsid w:val="001766CD"/>
    <w:rsid w:val="00176941"/>
    <w:rsid w:val="00176AB0"/>
    <w:rsid w:val="0017792A"/>
    <w:rsid w:val="0018017D"/>
    <w:rsid w:val="00180A40"/>
    <w:rsid w:val="00180AFB"/>
    <w:rsid w:val="001810F7"/>
    <w:rsid w:val="00183306"/>
    <w:rsid w:val="0018365A"/>
    <w:rsid w:val="00184098"/>
    <w:rsid w:val="001840CE"/>
    <w:rsid w:val="00184239"/>
    <w:rsid w:val="00184565"/>
    <w:rsid w:val="0018599B"/>
    <w:rsid w:val="0018670F"/>
    <w:rsid w:val="001867A2"/>
    <w:rsid w:val="00186BDE"/>
    <w:rsid w:val="0018736F"/>
    <w:rsid w:val="001874AB"/>
    <w:rsid w:val="001877F9"/>
    <w:rsid w:val="00187AF6"/>
    <w:rsid w:val="001904E1"/>
    <w:rsid w:val="00190896"/>
    <w:rsid w:val="00190F05"/>
    <w:rsid w:val="0019119F"/>
    <w:rsid w:val="00191512"/>
    <w:rsid w:val="001926BC"/>
    <w:rsid w:val="001928EC"/>
    <w:rsid w:val="00193014"/>
    <w:rsid w:val="0019303E"/>
    <w:rsid w:val="00193422"/>
    <w:rsid w:val="00193A8D"/>
    <w:rsid w:val="00193C69"/>
    <w:rsid w:val="00193DC4"/>
    <w:rsid w:val="0019492B"/>
    <w:rsid w:val="00194C03"/>
    <w:rsid w:val="00195017"/>
    <w:rsid w:val="0019552F"/>
    <w:rsid w:val="00196243"/>
    <w:rsid w:val="00196843"/>
    <w:rsid w:val="001974CE"/>
    <w:rsid w:val="001977BB"/>
    <w:rsid w:val="001977D7"/>
    <w:rsid w:val="001A037F"/>
    <w:rsid w:val="001A05EC"/>
    <w:rsid w:val="001A0954"/>
    <w:rsid w:val="001A0B69"/>
    <w:rsid w:val="001A0B76"/>
    <w:rsid w:val="001A1B39"/>
    <w:rsid w:val="001A1FE2"/>
    <w:rsid w:val="001A21D9"/>
    <w:rsid w:val="001A2619"/>
    <w:rsid w:val="001A414B"/>
    <w:rsid w:val="001A425D"/>
    <w:rsid w:val="001A5890"/>
    <w:rsid w:val="001A5985"/>
    <w:rsid w:val="001A5D46"/>
    <w:rsid w:val="001A6FFE"/>
    <w:rsid w:val="001A7D85"/>
    <w:rsid w:val="001B0353"/>
    <w:rsid w:val="001B0444"/>
    <w:rsid w:val="001B1127"/>
    <w:rsid w:val="001B1ACD"/>
    <w:rsid w:val="001B1D8C"/>
    <w:rsid w:val="001B2DD3"/>
    <w:rsid w:val="001B397B"/>
    <w:rsid w:val="001B3B40"/>
    <w:rsid w:val="001B3B6A"/>
    <w:rsid w:val="001B3F32"/>
    <w:rsid w:val="001B414F"/>
    <w:rsid w:val="001B42E9"/>
    <w:rsid w:val="001B4AAD"/>
    <w:rsid w:val="001B4D30"/>
    <w:rsid w:val="001B4FC3"/>
    <w:rsid w:val="001B7487"/>
    <w:rsid w:val="001C0089"/>
    <w:rsid w:val="001C0852"/>
    <w:rsid w:val="001C0E24"/>
    <w:rsid w:val="001C0E88"/>
    <w:rsid w:val="001C139C"/>
    <w:rsid w:val="001C148C"/>
    <w:rsid w:val="001C19FB"/>
    <w:rsid w:val="001C1A91"/>
    <w:rsid w:val="001C1B21"/>
    <w:rsid w:val="001C27E3"/>
    <w:rsid w:val="001C29DB"/>
    <w:rsid w:val="001C3A8D"/>
    <w:rsid w:val="001C451B"/>
    <w:rsid w:val="001C47A0"/>
    <w:rsid w:val="001C4B5E"/>
    <w:rsid w:val="001C633E"/>
    <w:rsid w:val="001C65FA"/>
    <w:rsid w:val="001C67A1"/>
    <w:rsid w:val="001C72BE"/>
    <w:rsid w:val="001C7524"/>
    <w:rsid w:val="001C753B"/>
    <w:rsid w:val="001C79BC"/>
    <w:rsid w:val="001D08A5"/>
    <w:rsid w:val="001D0AD5"/>
    <w:rsid w:val="001D0E78"/>
    <w:rsid w:val="001D1353"/>
    <w:rsid w:val="001D1C4E"/>
    <w:rsid w:val="001D234B"/>
    <w:rsid w:val="001D2529"/>
    <w:rsid w:val="001D2901"/>
    <w:rsid w:val="001D2C42"/>
    <w:rsid w:val="001D43FF"/>
    <w:rsid w:val="001D4E3C"/>
    <w:rsid w:val="001D56B6"/>
    <w:rsid w:val="001D5BB3"/>
    <w:rsid w:val="001D5E4A"/>
    <w:rsid w:val="001D5F3D"/>
    <w:rsid w:val="001D69A8"/>
    <w:rsid w:val="001D747C"/>
    <w:rsid w:val="001E01A4"/>
    <w:rsid w:val="001E028B"/>
    <w:rsid w:val="001E0F4C"/>
    <w:rsid w:val="001E1200"/>
    <w:rsid w:val="001E15E3"/>
    <w:rsid w:val="001E17AD"/>
    <w:rsid w:val="001E18A5"/>
    <w:rsid w:val="001E2396"/>
    <w:rsid w:val="001E30F0"/>
    <w:rsid w:val="001E3AB8"/>
    <w:rsid w:val="001E3F7A"/>
    <w:rsid w:val="001E5295"/>
    <w:rsid w:val="001E6D9B"/>
    <w:rsid w:val="001E6F50"/>
    <w:rsid w:val="001E71FA"/>
    <w:rsid w:val="001E730A"/>
    <w:rsid w:val="001F044D"/>
    <w:rsid w:val="001F184A"/>
    <w:rsid w:val="001F2368"/>
    <w:rsid w:val="001F255A"/>
    <w:rsid w:val="001F2BBB"/>
    <w:rsid w:val="001F2E02"/>
    <w:rsid w:val="001F2F8B"/>
    <w:rsid w:val="001F3546"/>
    <w:rsid w:val="001F4015"/>
    <w:rsid w:val="001F44AF"/>
    <w:rsid w:val="001F48DD"/>
    <w:rsid w:val="001F55AE"/>
    <w:rsid w:val="001F6F72"/>
    <w:rsid w:val="001F7396"/>
    <w:rsid w:val="001F7E9E"/>
    <w:rsid w:val="00200A0C"/>
    <w:rsid w:val="00200B07"/>
    <w:rsid w:val="00200CD0"/>
    <w:rsid w:val="00201004"/>
    <w:rsid w:val="0020198D"/>
    <w:rsid w:val="00202434"/>
    <w:rsid w:val="002029F8"/>
    <w:rsid w:val="002035FC"/>
    <w:rsid w:val="002037B7"/>
    <w:rsid w:val="002039AF"/>
    <w:rsid w:val="00204198"/>
    <w:rsid w:val="00204511"/>
    <w:rsid w:val="00205586"/>
    <w:rsid w:val="0020638E"/>
    <w:rsid w:val="002064BE"/>
    <w:rsid w:val="0020656A"/>
    <w:rsid w:val="0020759E"/>
    <w:rsid w:val="002078F8"/>
    <w:rsid w:val="00207F4A"/>
    <w:rsid w:val="002111EA"/>
    <w:rsid w:val="00211515"/>
    <w:rsid w:val="002124F1"/>
    <w:rsid w:val="0021276A"/>
    <w:rsid w:val="00215EF4"/>
    <w:rsid w:val="00215F45"/>
    <w:rsid w:val="002165E5"/>
    <w:rsid w:val="0021668B"/>
    <w:rsid w:val="00216D68"/>
    <w:rsid w:val="00216F73"/>
    <w:rsid w:val="002174B2"/>
    <w:rsid w:val="00217FB1"/>
    <w:rsid w:val="00220121"/>
    <w:rsid w:val="002202DA"/>
    <w:rsid w:val="00220D84"/>
    <w:rsid w:val="00220F9D"/>
    <w:rsid w:val="002220B7"/>
    <w:rsid w:val="002235DC"/>
    <w:rsid w:val="00223A37"/>
    <w:rsid w:val="0022441A"/>
    <w:rsid w:val="00224A33"/>
    <w:rsid w:val="00224D56"/>
    <w:rsid w:val="002260BD"/>
    <w:rsid w:val="00227380"/>
    <w:rsid w:val="00227940"/>
    <w:rsid w:val="002308AA"/>
    <w:rsid w:val="00230A84"/>
    <w:rsid w:val="00230E13"/>
    <w:rsid w:val="00230FF9"/>
    <w:rsid w:val="002314FC"/>
    <w:rsid w:val="00231518"/>
    <w:rsid w:val="0023159E"/>
    <w:rsid w:val="00231ED1"/>
    <w:rsid w:val="0023303F"/>
    <w:rsid w:val="002339D8"/>
    <w:rsid w:val="00233B71"/>
    <w:rsid w:val="002350EF"/>
    <w:rsid w:val="00236B29"/>
    <w:rsid w:val="00236BFA"/>
    <w:rsid w:val="00236D54"/>
    <w:rsid w:val="00236FAA"/>
    <w:rsid w:val="002378BC"/>
    <w:rsid w:val="00241A02"/>
    <w:rsid w:val="00241CA8"/>
    <w:rsid w:val="00241D75"/>
    <w:rsid w:val="00242223"/>
    <w:rsid w:val="00242D34"/>
    <w:rsid w:val="0024300C"/>
    <w:rsid w:val="00243C26"/>
    <w:rsid w:val="00243E3B"/>
    <w:rsid w:val="00244116"/>
    <w:rsid w:val="00244322"/>
    <w:rsid w:val="00244506"/>
    <w:rsid w:val="00244B76"/>
    <w:rsid w:val="0024525A"/>
    <w:rsid w:val="0024557E"/>
    <w:rsid w:val="00245918"/>
    <w:rsid w:val="00245FD9"/>
    <w:rsid w:val="00246052"/>
    <w:rsid w:val="002475D4"/>
    <w:rsid w:val="00247BEA"/>
    <w:rsid w:val="00250212"/>
    <w:rsid w:val="00250787"/>
    <w:rsid w:val="002520A8"/>
    <w:rsid w:val="00252137"/>
    <w:rsid w:val="00252D57"/>
    <w:rsid w:val="002532F5"/>
    <w:rsid w:val="00253CFD"/>
    <w:rsid w:val="00253D73"/>
    <w:rsid w:val="00254384"/>
    <w:rsid w:val="00254BA3"/>
    <w:rsid w:val="0025566E"/>
    <w:rsid w:val="00255FDA"/>
    <w:rsid w:val="00256AD9"/>
    <w:rsid w:val="00257231"/>
    <w:rsid w:val="00257238"/>
    <w:rsid w:val="00257EE8"/>
    <w:rsid w:val="00257F39"/>
    <w:rsid w:val="002616E0"/>
    <w:rsid w:val="002617EF"/>
    <w:rsid w:val="00261C42"/>
    <w:rsid w:val="00261C90"/>
    <w:rsid w:val="00262898"/>
    <w:rsid w:val="0026296C"/>
    <w:rsid w:val="00264105"/>
    <w:rsid w:val="00264483"/>
    <w:rsid w:val="002646C6"/>
    <w:rsid w:val="00264C28"/>
    <w:rsid w:val="002657C0"/>
    <w:rsid w:val="0026625B"/>
    <w:rsid w:val="00266E6B"/>
    <w:rsid w:val="00266FE6"/>
    <w:rsid w:val="002702D9"/>
    <w:rsid w:val="002702E0"/>
    <w:rsid w:val="00270A43"/>
    <w:rsid w:val="00270EE6"/>
    <w:rsid w:val="0027135E"/>
    <w:rsid w:val="002719C0"/>
    <w:rsid w:val="00271BD5"/>
    <w:rsid w:val="00272B90"/>
    <w:rsid w:val="00274049"/>
    <w:rsid w:val="00274E15"/>
    <w:rsid w:val="00275F81"/>
    <w:rsid w:val="0027631F"/>
    <w:rsid w:val="00277019"/>
    <w:rsid w:val="002777D4"/>
    <w:rsid w:val="00277973"/>
    <w:rsid w:val="00277D6C"/>
    <w:rsid w:val="0028038E"/>
    <w:rsid w:val="002806E9"/>
    <w:rsid w:val="0028073F"/>
    <w:rsid w:val="00281090"/>
    <w:rsid w:val="00281536"/>
    <w:rsid w:val="00281A77"/>
    <w:rsid w:val="0028336D"/>
    <w:rsid w:val="002839F9"/>
    <w:rsid w:val="00283B6F"/>
    <w:rsid w:val="002844F9"/>
    <w:rsid w:val="00284763"/>
    <w:rsid w:val="00285BA8"/>
    <w:rsid w:val="0028634B"/>
    <w:rsid w:val="00286538"/>
    <w:rsid w:val="0028663D"/>
    <w:rsid w:val="00286B69"/>
    <w:rsid w:val="00286FF4"/>
    <w:rsid w:val="00290375"/>
    <w:rsid w:val="002903E3"/>
    <w:rsid w:val="002904F8"/>
    <w:rsid w:val="0029172B"/>
    <w:rsid w:val="00292F38"/>
    <w:rsid w:val="002931D9"/>
    <w:rsid w:val="0029320F"/>
    <w:rsid w:val="00293EB8"/>
    <w:rsid w:val="0029433A"/>
    <w:rsid w:val="00294C0D"/>
    <w:rsid w:val="0029532F"/>
    <w:rsid w:val="002955C1"/>
    <w:rsid w:val="00295F08"/>
    <w:rsid w:val="002966C5"/>
    <w:rsid w:val="0029695B"/>
    <w:rsid w:val="00297ADF"/>
    <w:rsid w:val="00297F22"/>
    <w:rsid w:val="002A035B"/>
    <w:rsid w:val="002A0778"/>
    <w:rsid w:val="002A0EF6"/>
    <w:rsid w:val="002A12A3"/>
    <w:rsid w:val="002A14D3"/>
    <w:rsid w:val="002A18F2"/>
    <w:rsid w:val="002A242F"/>
    <w:rsid w:val="002A2673"/>
    <w:rsid w:val="002A2F0C"/>
    <w:rsid w:val="002A32CD"/>
    <w:rsid w:val="002A377D"/>
    <w:rsid w:val="002A37A7"/>
    <w:rsid w:val="002A4613"/>
    <w:rsid w:val="002A4CBC"/>
    <w:rsid w:val="002A5169"/>
    <w:rsid w:val="002A5323"/>
    <w:rsid w:val="002A54D1"/>
    <w:rsid w:val="002A5CCA"/>
    <w:rsid w:val="002A6137"/>
    <w:rsid w:val="002A6528"/>
    <w:rsid w:val="002A6837"/>
    <w:rsid w:val="002A70A5"/>
    <w:rsid w:val="002A7635"/>
    <w:rsid w:val="002A786A"/>
    <w:rsid w:val="002A7A13"/>
    <w:rsid w:val="002A7AC5"/>
    <w:rsid w:val="002B1D83"/>
    <w:rsid w:val="002B2617"/>
    <w:rsid w:val="002B2FDC"/>
    <w:rsid w:val="002B46FE"/>
    <w:rsid w:val="002B48E4"/>
    <w:rsid w:val="002B4BCF"/>
    <w:rsid w:val="002B4F16"/>
    <w:rsid w:val="002B5420"/>
    <w:rsid w:val="002B64C0"/>
    <w:rsid w:val="002B6F94"/>
    <w:rsid w:val="002B7759"/>
    <w:rsid w:val="002B7CB4"/>
    <w:rsid w:val="002C04F3"/>
    <w:rsid w:val="002C0A3E"/>
    <w:rsid w:val="002C0C24"/>
    <w:rsid w:val="002C0F49"/>
    <w:rsid w:val="002C1DDB"/>
    <w:rsid w:val="002C266B"/>
    <w:rsid w:val="002C27C1"/>
    <w:rsid w:val="002C2ACE"/>
    <w:rsid w:val="002C2BD4"/>
    <w:rsid w:val="002C2ED5"/>
    <w:rsid w:val="002C2FD9"/>
    <w:rsid w:val="002C3119"/>
    <w:rsid w:val="002C448D"/>
    <w:rsid w:val="002C4EC5"/>
    <w:rsid w:val="002C4FB9"/>
    <w:rsid w:val="002C5B63"/>
    <w:rsid w:val="002C6151"/>
    <w:rsid w:val="002C6560"/>
    <w:rsid w:val="002C657A"/>
    <w:rsid w:val="002C6AD9"/>
    <w:rsid w:val="002C7B39"/>
    <w:rsid w:val="002C7C9F"/>
    <w:rsid w:val="002C7E77"/>
    <w:rsid w:val="002C7F1C"/>
    <w:rsid w:val="002C7FEA"/>
    <w:rsid w:val="002D07AB"/>
    <w:rsid w:val="002D0E97"/>
    <w:rsid w:val="002D165D"/>
    <w:rsid w:val="002D260C"/>
    <w:rsid w:val="002D2B9D"/>
    <w:rsid w:val="002D32B5"/>
    <w:rsid w:val="002D4CE1"/>
    <w:rsid w:val="002D5B29"/>
    <w:rsid w:val="002E13AB"/>
    <w:rsid w:val="002E1ACD"/>
    <w:rsid w:val="002E1C5A"/>
    <w:rsid w:val="002E222F"/>
    <w:rsid w:val="002E31E1"/>
    <w:rsid w:val="002E36AC"/>
    <w:rsid w:val="002E3968"/>
    <w:rsid w:val="002E4036"/>
    <w:rsid w:val="002E43DA"/>
    <w:rsid w:val="002E4AA2"/>
    <w:rsid w:val="002E4BC5"/>
    <w:rsid w:val="002E4D62"/>
    <w:rsid w:val="002E6440"/>
    <w:rsid w:val="002E64E6"/>
    <w:rsid w:val="002E6EA1"/>
    <w:rsid w:val="002E79F8"/>
    <w:rsid w:val="002F0D0C"/>
    <w:rsid w:val="002F0E08"/>
    <w:rsid w:val="002F2174"/>
    <w:rsid w:val="002F24D9"/>
    <w:rsid w:val="002F24FF"/>
    <w:rsid w:val="002F2CA8"/>
    <w:rsid w:val="002F2E4F"/>
    <w:rsid w:val="002F3178"/>
    <w:rsid w:val="002F3816"/>
    <w:rsid w:val="002F39AA"/>
    <w:rsid w:val="002F4F30"/>
    <w:rsid w:val="002F511E"/>
    <w:rsid w:val="002F5682"/>
    <w:rsid w:val="002F5777"/>
    <w:rsid w:val="002F587E"/>
    <w:rsid w:val="002F5E99"/>
    <w:rsid w:val="002F6D3F"/>
    <w:rsid w:val="002F6E56"/>
    <w:rsid w:val="002F70F7"/>
    <w:rsid w:val="002F7933"/>
    <w:rsid w:val="002F799C"/>
    <w:rsid w:val="002F7A2F"/>
    <w:rsid w:val="002F7EA2"/>
    <w:rsid w:val="00300990"/>
    <w:rsid w:val="00300C6F"/>
    <w:rsid w:val="0030179B"/>
    <w:rsid w:val="00302688"/>
    <w:rsid w:val="0030361A"/>
    <w:rsid w:val="00303CED"/>
    <w:rsid w:val="003040CA"/>
    <w:rsid w:val="0030465F"/>
    <w:rsid w:val="00304781"/>
    <w:rsid w:val="003050D4"/>
    <w:rsid w:val="00305DAE"/>
    <w:rsid w:val="00305FDC"/>
    <w:rsid w:val="00306EBC"/>
    <w:rsid w:val="00307723"/>
    <w:rsid w:val="00307DEB"/>
    <w:rsid w:val="00307DED"/>
    <w:rsid w:val="00307E98"/>
    <w:rsid w:val="00310E8B"/>
    <w:rsid w:val="00310ED4"/>
    <w:rsid w:val="00310FC0"/>
    <w:rsid w:val="00311D53"/>
    <w:rsid w:val="00312106"/>
    <w:rsid w:val="00312157"/>
    <w:rsid w:val="00312778"/>
    <w:rsid w:val="00312CBF"/>
    <w:rsid w:val="00312F48"/>
    <w:rsid w:val="00313708"/>
    <w:rsid w:val="0031380B"/>
    <w:rsid w:val="00313FD8"/>
    <w:rsid w:val="0031492A"/>
    <w:rsid w:val="00314A56"/>
    <w:rsid w:val="0031536A"/>
    <w:rsid w:val="00315D8D"/>
    <w:rsid w:val="00316254"/>
    <w:rsid w:val="00316504"/>
    <w:rsid w:val="00316C1A"/>
    <w:rsid w:val="00317403"/>
    <w:rsid w:val="00320222"/>
    <w:rsid w:val="003203E2"/>
    <w:rsid w:val="00320551"/>
    <w:rsid w:val="00320724"/>
    <w:rsid w:val="003207F2"/>
    <w:rsid w:val="00320854"/>
    <w:rsid w:val="00320A68"/>
    <w:rsid w:val="00320E05"/>
    <w:rsid w:val="00321113"/>
    <w:rsid w:val="003215DE"/>
    <w:rsid w:val="00321AF0"/>
    <w:rsid w:val="00321E81"/>
    <w:rsid w:val="00321F15"/>
    <w:rsid w:val="00322B0A"/>
    <w:rsid w:val="00322BC9"/>
    <w:rsid w:val="00322D19"/>
    <w:rsid w:val="00322E52"/>
    <w:rsid w:val="003232E2"/>
    <w:rsid w:val="0032379C"/>
    <w:rsid w:val="00324062"/>
    <w:rsid w:val="003242A8"/>
    <w:rsid w:val="003246EC"/>
    <w:rsid w:val="00325A2C"/>
    <w:rsid w:val="00325FE7"/>
    <w:rsid w:val="003269EC"/>
    <w:rsid w:val="0032717D"/>
    <w:rsid w:val="0032787E"/>
    <w:rsid w:val="00327EC1"/>
    <w:rsid w:val="00327FF4"/>
    <w:rsid w:val="00330581"/>
    <w:rsid w:val="003308F5"/>
    <w:rsid w:val="003310F8"/>
    <w:rsid w:val="00331970"/>
    <w:rsid w:val="00331CDA"/>
    <w:rsid w:val="00331F98"/>
    <w:rsid w:val="00332964"/>
    <w:rsid w:val="00332AE9"/>
    <w:rsid w:val="00332B14"/>
    <w:rsid w:val="00332FEF"/>
    <w:rsid w:val="0033303F"/>
    <w:rsid w:val="00333B46"/>
    <w:rsid w:val="00333BE0"/>
    <w:rsid w:val="00333D7E"/>
    <w:rsid w:val="0033429C"/>
    <w:rsid w:val="00334703"/>
    <w:rsid w:val="003358DB"/>
    <w:rsid w:val="00335A96"/>
    <w:rsid w:val="00335BEA"/>
    <w:rsid w:val="00335C86"/>
    <w:rsid w:val="003363FA"/>
    <w:rsid w:val="003379DC"/>
    <w:rsid w:val="003400D0"/>
    <w:rsid w:val="00340581"/>
    <w:rsid w:val="00340659"/>
    <w:rsid w:val="00341CF5"/>
    <w:rsid w:val="003427FD"/>
    <w:rsid w:val="0034364E"/>
    <w:rsid w:val="00343C66"/>
    <w:rsid w:val="00343D09"/>
    <w:rsid w:val="003447A1"/>
    <w:rsid w:val="00344818"/>
    <w:rsid w:val="00344AAE"/>
    <w:rsid w:val="00344EF2"/>
    <w:rsid w:val="003459DA"/>
    <w:rsid w:val="00345AFE"/>
    <w:rsid w:val="0034726E"/>
    <w:rsid w:val="0034772A"/>
    <w:rsid w:val="003478BA"/>
    <w:rsid w:val="00347CB2"/>
    <w:rsid w:val="0035137F"/>
    <w:rsid w:val="00351769"/>
    <w:rsid w:val="00352412"/>
    <w:rsid w:val="003524A4"/>
    <w:rsid w:val="003524E7"/>
    <w:rsid w:val="003527E7"/>
    <w:rsid w:val="0035281F"/>
    <w:rsid w:val="00352AC0"/>
    <w:rsid w:val="00353C2D"/>
    <w:rsid w:val="00353D45"/>
    <w:rsid w:val="00353D4E"/>
    <w:rsid w:val="00353F00"/>
    <w:rsid w:val="00354335"/>
    <w:rsid w:val="0035435E"/>
    <w:rsid w:val="0035437A"/>
    <w:rsid w:val="00354B3F"/>
    <w:rsid w:val="00356897"/>
    <w:rsid w:val="003574AF"/>
    <w:rsid w:val="00357B30"/>
    <w:rsid w:val="00357E52"/>
    <w:rsid w:val="00360021"/>
    <w:rsid w:val="003602BF"/>
    <w:rsid w:val="003613D3"/>
    <w:rsid w:val="003614C7"/>
    <w:rsid w:val="00362169"/>
    <w:rsid w:val="00362A3B"/>
    <w:rsid w:val="00362C9D"/>
    <w:rsid w:val="00362E0C"/>
    <w:rsid w:val="003631D0"/>
    <w:rsid w:val="00363324"/>
    <w:rsid w:val="00363352"/>
    <w:rsid w:val="00364CE7"/>
    <w:rsid w:val="00365AF0"/>
    <w:rsid w:val="00365B19"/>
    <w:rsid w:val="00365DC6"/>
    <w:rsid w:val="0036678E"/>
    <w:rsid w:val="00367089"/>
    <w:rsid w:val="00367796"/>
    <w:rsid w:val="00367C3A"/>
    <w:rsid w:val="00370B00"/>
    <w:rsid w:val="00370B95"/>
    <w:rsid w:val="00370CC1"/>
    <w:rsid w:val="00370F74"/>
    <w:rsid w:val="00371795"/>
    <w:rsid w:val="00371C9F"/>
    <w:rsid w:val="003728B3"/>
    <w:rsid w:val="00372A62"/>
    <w:rsid w:val="00372DEF"/>
    <w:rsid w:val="00373C49"/>
    <w:rsid w:val="003741E7"/>
    <w:rsid w:val="0037460B"/>
    <w:rsid w:val="00374633"/>
    <w:rsid w:val="003753F6"/>
    <w:rsid w:val="00375FD5"/>
    <w:rsid w:val="003763C2"/>
    <w:rsid w:val="00377658"/>
    <w:rsid w:val="00377C8F"/>
    <w:rsid w:val="00380715"/>
    <w:rsid w:val="0038158B"/>
    <w:rsid w:val="00381B10"/>
    <w:rsid w:val="003823C1"/>
    <w:rsid w:val="003827B7"/>
    <w:rsid w:val="00382D85"/>
    <w:rsid w:val="00383F0C"/>
    <w:rsid w:val="003842FB"/>
    <w:rsid w:val="00384C81"/>
    <w:rsid w:val="003850F5"/>
    <w:rsid w:val="00385493"/>
    <w:rsid w:val="00386023"/>
    <w:rsid w:val="003860A9"/>
    <w:rsid w:val="00387BA0"/>
    <w:rsid w:val="003902F8"/>
    <w:rsid w:val="00390881"/>
    <w:rsid w:val="0039091B"/>
    <w:rsid w:val="0039144D"/>
    <w:rsid w:val="003914FC"/>
    <w:rsid w:val="00391AF4"/>
    <w:rsid w:val="003924F0"/>
    <w:rsid w:val="00392702"/>
    <w:rsid w:val="003927A5"/>
    <w:rsid w:val="003931C7"/>
    <w:rsid w:val="00393256"/>
    <w:rsid w:val="00393EE0"/>
    <w:rsid w:val="00393F7C"/>
    <w:rsid w:val="00394789"/>
    <w:rsid w:val="00394DC3"/>
    <w:rsid w:val="003955AE"/>
    <w:rsid w:val="00395B25"/>
    <w:rsid w:val="00395C83"/>
    <w:rsid w:val="00395F10"/>
    <w:rsid w:val="003963C2"/>
    <w:rsid w:val="003963CC"/>
    <w:rsid w:val="00396654"/>
    <w:rsid w:val="0039683D"/>
    <w:rsid w:val="00396B84"/>
    <w:rsid w:val="003972AD"/>
    <w:rsid w:val="00397626"/>
    <w:rsid w:val="003A04D7"/>
    <w:rsid w:val="003A0D44"/>
    <w:rsid w:val="003A15A9"/>
    <w:rsid w:val="003A2240"/>
    <w:rsid w:val="003A2DC1"/>
    <w:rsid w:val="003A460B"/>
    <w:rsid w:val="003A4BDF"/>
    <w:rsid w:val="003A4EB0"/>
    <w:rsid w:val="003A533F"/>
    <w:rsid w:val="003A6056"/>
    <w:rsid w:val="003A6685"/>
    <w:rsid w:val="003A6917"/>
    <w:rsid w:val="003A6B8A"/>
    <w:rsid w:val="003A78BB"/>
    <w:rsid w:val="003A7969"/>
    <w:rsid w:val="003A7B08"/>
    <w:rsid w:val="003B0842"/>
    <w:rsid w:val="003B08C0"/>
    <w:rsid w:val="003B08C9"/>
    <w:rsid w:val="003B1350"/>
    <w:rsid w:val="003B18A7"/>
    <w:rsid w:val="003B1A0A"/>
    <w:rsid w:val="003B1B47"/>
    <w:rsid w:val="003B24C9"/>
    <w:rsid w:val="003B2CB3"/>
    <w:rsid w:val="003B442C"/>
    <w:rsid w:val="003B4963"/>
    <w:rsid w:val="003B4CCD"/>
    <w:rsid w:val="003B4EAD"/>
    <w:rsid w:val="003B50D0"/>
    <w:rsid w:val="003B6048"/>
    <w:rsid w:val="003B6CFB"/>
    <w:rsid w:val="003B7173"/>
    <w:rsid w:val="003B7C97"/>
    <w:rsid w:val="003C013A"/>
    <w:rsid w:val="003C0BCF"/>
    <w:rsid w:val="003C0EE0"/>
    <w:rsid w:val="003C150A"/>
    <w:rsid w:val="003C2882"/>
    <w:rsid w:val="003C33DD"/>
    <w:rsid w:val="003C34F1"/>
    <w:rsid w:val="003C3A07"/>
    <w:rsid w:val="003C3F07"/>
    <w:rsid w:val="003C5304"/>
    <w:rsid w:val="003C5551"/>
    <w:rsid w:val="003C561E"/>
    <w:rsid w:val="003C5676"/>
    <w:rsid w:val="003C5A29"/>
    <w:rsid w:val="003C6384"/>
    <w:rsid w:val="003C6938"/>
    <w:rsid w:val="003C6FF4"/>
    <w:rsid w:val="003C72B6"/>
    <w:rsid w:val="003C7741"/>
    <w:rsid w:val="003D1544"/>
    <w:rsid w:val="003D1F7C"/>
    <w:rsid w:val="003D30AE"/>
    <w:rsid w:val="003D375C"/>
    <w:rsid w:val="003D3804"/>
    <w:rsid w:val="003D3D5B"/>
    <w:rsid w:val="003D4038"/>
    <w:rsid w:val="003D4097"/>
    <w:rsid w:val="003D4A35"/>
    <w:rsid w:val="003D4FE4"/>
    <w:rsid w:val="003D5B1C"/>
    <w:rsid w:val="003D5E0D"/>
    <w:rsid w:val="003D5E82"/>
    <w:rsid w:val="003D65AD"/>
    <w:rsid w:val="003D6783"/>
    <w:rsid w:val="003D6E60"/>
    <w:rsid w:val="003D7E2C"/>
    <w:rsid w:val="003D7F9D"/>
    <w:rsid w:val="003E0113"/>
    <w:rsid w:val="003E08BE"/>
    <w:rsid w:val="003E0AC5"/>
    <w:rsid w:val="003E0D36"/>
    <w:rsid w:val="003E2AE2"/>
    <w:rsid w:val="003E2C27"/>
    <w:rsid w:val="003E32AF"/>
    <w:rsid w:val="003E3BC8"/>
    <w:rsid w:val="003E3D80"/>
    <w:rsid w:val="003E49BA"/>
    <w:rsid w:val="003E5279"/>
    <w:rsid w:val="003E5465"/>
    <w:rsid w:val="003E5EAB"/>
    <w:rsid w:val="003E5F28"/>
    <w:rsid w:val="003E6808"/>
    <w:rsid w:val="003E6C4A"/>
    <w:rsid w:val="003E6ED5"/>
    <w:rsid w:val="003E72A9"/>
    <w:rsid w:val="003E72B4"/>
    <w:rsid w:val="003E74FC"/>
    <w:rsid w:val="003E76C6"/>
    <w:rsid w:val="003E7EF5"/>
    <w:rsid w:val="003E7FD1"/>
    <w:rsid w:val="003F0044"/>
    <w:rsid w:val="003F0213"/>
    <w:rsid w:val="003F0296"/>
    <w:rsid w:val="003F05FC"/>
    <w:rsid w:val="003F0CEE"/>
    <w:rsid w:val="003F0F0E"/>
    <w:rsid w:val="003F153B"/>
    <w:rsid w:val="003F16F8"/>
    <w:rsid w:val="003F2B04"/>
    <w:rsid w:val="003F33C8"/>
    <w:rsid w:val="003F33FB"/>
    <w:rsid w:val="003F34E3"/>
    <w:rsid w:val="003F3D62"/>
    <w:rsid w:val="003F3ECD"/>
    <w:rsid w:val="003F3FFB"/>
    <w:rsid w:val="003F43C4"/>
    <w:rsid w:val="003F465C"/>
    <w:rsid w:val="003F491A"/>
    <w:rsid w:val="003F6136"/>
    <w:rsid w:val="003F64D8"/>
    <w:rsid w:val="003F65FA"/>
    <w:rsid w:val="003F6AFF"/>
    <w:rsid w:val="0040002C"/>
    <w:rsid w:val="004003DD"/>
    <w:rsid w:val="00400426"/>
    <w:rsid w:val="00400C7E"/>
    <w:rsid w:val="00401BEB"/>
    <w:rsid w:val="00402395"/>
    <w:rsid w:val="004028DE"/>
    <w:rsid w:val="00402E08"/>
    <w:rsid w:val="004035E8"/>
    <w:rsid w:val="004037DF"/>
    <w:rsid w:val="00403BAB"/>
    <w:rsid w:val="00403FD3"/>
    <w:rsid w:val="00404278"/>
    <w:rsid w:val="00404570"/>
    <w:rsid w:val="004051E1"/>
    <w:rsid w:val="00406A38"/>
    <w:rsid w:val="004070A0"/>
    <w:rsid w:val="004078EE"/>
    <w:rsid w:val="0041117C"/>
    <w:rsid w:val="00411205"/>
    <w:rsid w:val="00411278"/>
    <w:rsid w:val="00411A9E"/>
    <w:rsid w:val="00412893"/>
    <w:rsid w:val="00412D41"/>
    <w:rsid w:val="00412F33"/>
    <w:rsid w:val="00412FE3"/>
    <w:rsid w:val="00413344"/>
    <w:rsid w:val="00414F9D"/>
    <w:rsid w:val="00415586"/>
    <w:rsid w:val="0041573B"/>
    <w:rsid w:val="00415E66"/>
    <w:rsid w:val="00415EB3"/>
    <w:rsid w:val="0041702E"/>
    <w:rsid w:val="0041785E"/>
    <w:rsid w:val="00417A7E"/>
    <w:rsid w:val="00420299"/>
    <w:rsid w:val="004208BA"/>
    <w:rsid w:val="00420EB6"/>
    <w:rsid w:val="004215B3"/>
    <w:rsid w:val="00421F38"/>
    <w:rsid w:val="0042272F"/>
    <w:rsid w:val="0042322A"/>
    <w:rsid w:val="004235C7"/>
    <w:rsid w:val="00424B40"/>
    <w:rsid w:val="004250D2"/>
    <w:rsid w:val="004255D7"/>
    <w:rsid w:val="00425726"/>
    <w:rsid w:val="00425A31"/>
    <w:rsid w:val="004263D8"/>
    <w:rsid w:val="00426AC2"/>
    <w:rsid w:val="004274F0"/>
    <w:rsid w:val="00427D24"/>
    <w:rsid w:val="00430AAD"/>
    <w:rsid w:val="00430F93"/>
    <w:rsid w:val="004327CC"/>
    <w:rsid w:val="00432E25"/>
    <w:rsid w:val="00433333"/>
    <w:rsid w:val="00433576"/>
    <w:rsid w:val="00433B14"/>
    <w:rsid w:val="00433EFB"/>
    <w:rsid w:val="00434EF2"/>
    <w:rsid w:val="00435274"/>
    <w:rsid w:val="004353E0"/>
    <w:rsid w:val="0043672A"/>
    <w:rsid w:val="004371BD"/>
    <w:rsid w:val="00440D25"/>
    <w:rsid w:val="00443227"/>
    <w:rsid w:val="00443D58"/>
    <w:rsid w:val="00444303"/>
    <w:rsid w:val="00445281"/>
    <w:rsid w:val="0044543F"/>
    <w:rsid w:val="0044631A"/>
    <w:rsid w:val="00446482"/>
    <w:rsid w:val="004508EC"/>
    <w:rsid w:val="00450D03"/>
    <w:rsid w:val="00451E44"/>
    <w:rsid w:val="004529D6"/>
    <w:rsid w:val="004539E6"/>
    <w:rsid w:val="0045445C"/>
    <w:rsid w:val="00455C7E"/>
    <w:rsid w:val="00456082"/>
    <w:rsid w:val="004561BE"/>
    <w:rsid w:val="004564C8"/>
    <w:rsid w:val="0045710E"/>
    <w:rsid w:val="00457464"/>
    <w:rsid w:val="00457E52"/>
    <w:rsid w:val="00460408"/>
    <w:rsid w:val="00461123"/>
    <w:rsid w:val="004621A4"/>
    <w:rsid w:val="00462312"/>
    <w:rsid w:val="00462D4C"/>
    <w:rsid w:val="00463414"/>
    <w:rsid w:val="004634A8"/>
    <w:rsid w:val="0046360C"/>
    <w:rsid w:val="004643E8"/>
    <w:rsid w:val="0046456A"/>
    <w:rsid w:val="00465183"/>
    <w:rsid w:val="004651DF"/>
    <w:rsid w:val="0046553C"/>
    <w:rsid w:val="00465A3B"/>
    <w:rsid w:val="00465CA8"/>
    <w:rsid w:val="0046606A"/>
    <w:rsid w:val="00466A93"/>
    <w:rsid w:val="00466B54"/>
    <w:rsid w:val="004706A1"/>
    <w:rsid w:val="00470AF2"/>
    <w:rsid w:val="004712E9"/>
    <w:rsid w:val="004715B5"/>
    <w:rsid w:val="00471AC6"/>
    <w:rsid w:val="00471CBB"/>
    <w:rsid w:val="0047213F"/>
    <w:rsid w:val="0047242F"/>
    <w:rsid w:val="00472B66"/>
    <w:rsid w:val="00473916"/>
    <w:rsid w:val="00473CF3"/>
    <w:rsid w:val="00473DB9"/>
    <w:rsid w:val="00474063"/>
    <w:rsid w:val="004744E9"/>
    <w:rsid w:val="00474BFB"/>
    <w:rsid w:val="00474D3A"/>
    <w:rsid w:val="00475028"/>
    <w:rsid w:val="004752C2"/>
    <w:rsid w:val="00475E09"/>
    <w:rsid w:val="004769A5"/>
    <w:rsid w:val="00476EEA"/>
    <w:rsid w:val="00477377"/>
    <w:rsid w:val="004803C2"/>
    <w:rsid w:val="004807B0"/>
    <w:rsid w:val="00480BD5"/>
    <w:rsid w:val="0048161F"/>
    <w:rsid w:val="0048178B"/>
    <w:rsid w:val="00481837"/>
    <w:rsid w:val="00481D7F"/>
    <w:rsid w:val="00482283"/>
    <w:rsid w:val="00482564"/>
    <w:rsid w:val="00482D27"/>
    <w:rsid w:val="00482D40"/>
    <w:rsid w:val="00484549"/>
    <w:rsid w:val="004848D1"/>
    <w:rsid w:val="004850FE"/>
    <w:rsid w:val="00485644"/>
    <w:rsid w:val="00485721"/>
    <w:rsid w:val="00486643"/>
    <w:rsid w:val="004868CC"/>
    <w:rsid w:val="00487975"/>
    <w:rsid w:val="00490476"/>
    <w:rsid w:val="004905B7"/>
    <w:rsid w:val="00490842"/>
    <w:rsid w:val="004909F6"/>
    <w:rsid w:val="00490A85"/>
    <w:rsid w:val="0049134C"/>
    <w:rsid w:val="004921F4"/>
    <w:rsid w:val="0049367A"/>
    <w:rsid w:val="0049381F"/>
    <w:rsid w:val="004938C9"/>
    <w:rsid w:val="00493F50"/>
    <w:rsid w:val="004944F4"/>
    <w:rsid w:val="00494D4B"/>
    <w:rsid w:val="004959F9"/>
    <w:rsid w:val="00496BCF"/>
    <w:rsid w:val="00496FB2"/>
    <w:rsid w:val="00497051"/>
    <w:rsid w:val="0049742E"/>
    <w:rsid w:val="00497B30"/>
    <w:rsid w:val="00497D05"/>
    <w:rsid w:val="004A088F"/>
    <w:rsid w:val="004A147F"/>
    <w:rsid w:val="004A1AEF"/>
    <w:rsid w:val="004A22A3"/>
    <w:rsid w:val="004A22B0"/>
    <w:rsid w:val="004A329C"/>
    <w:rsid w:val="004A42E3"/>
    <w:rsid w:val="004A572C"/>
    <w:rsid w:val="004A6904"/>
    <w:rsid w:val="004A71B4"/>
    <w:rsid w:val="004A722D"/>
    <w:rsid w:val="004B06FA"/>
    <w:rsid w:val="004B08C4"/>
    <w:rsid w:val="004B0B94"/>
    <w:rsid w:val="004B2699"/>
    <w:rsid w:val="004B2C13"/>
    <w:rsid w:val="004B3053"/>
    <w:rsid w:val="004B3B52"/>
    <w:rsid w:val="004B437C"/>
    <w:rsid w:val="004B44FC"/>
    <w:rsid w:val="004B4BC8"/>
    <w:rsid w:val="004B4E89"/>
    <w:rsid w:val="004B5AFC"/>
    <w:rsid w:val="004B5FD8"/>
    <w:rsid w:val="004B6453"/>
    <w:rsid w:val="004B6996"/>
    <w:rsid w:val="004B7440"/>
    <w:rsid w:val="004B7D2F"/>
    <w:rsid w:val="004C038F"/>
    <w:rsid w:val="004C0706"/>
    <w:rsid w:val="004C1337"/>
    <w:rsid w:val="004C1724"/>
    <w:rsid w:val="004C2E7E"/>
    <w:rsid w:val="004C2ECA"/>
    <w:rsid w:val="004C3A99"/>
    <w:rsid w:val="004C465F"/>
    <w:rsid w:val="004C4999"/>
    <w:rsid w:val="004C4BCB"/>
    <w:rsid w:val="004C599A"/>
    <w:rsid w:val="004C70AB"/>
    <w:rsid w:val="004C71A2"/>
    <w:rsid w:val="004C71D1"/>
    <w:rsid w:val="004C7415"/>
    <w:rsid w:val="004C7497"/>
    <w:rsid w:val="004C7624"/>
    <w:rsid w:val="004D0DA3"/>
    <w:rsid w:val="004D1231"/>
    <w:rsid w:val="004D187A"/>
    <w:rsid w:val="004D1E1C"/>
    <w:rsid w:val="004D2133"/>
    <w:rsid w:val="004D252C"/>
    <w:rsid w:val="004D25D5"/>
    <w:rsid w:val="004D2958"/>
    <w:rsid w:val="004D3561"/>
    <w:rsid w:val="004D3ED0"/>
    <w:rsid w:val="004D3F75"/>
    <w:rsid w:val="004D4317"/>
    <w:rsid w:val="004D5374"/>
    <w:rsid w:val="004D5C14"/>
    <w:rsid w:val="004D61EA"/>
    <w:rsid w:val="004D62BB"/>
    <w:rsid w:val="004D6506"/>
    <w:rsid w:val="004D6634"/>
    <w:rsid w:val="004D67E4"/>
    <w:rsid w:val="004D6DC4"/>
    <w:rsid w:val="004D73A5"/>
    <w:rsid w:val="004D770C"/>
    <w:rsid w:val="004E0341"/>
    <w:rsid w:val="004E0649"/>
    <w:rsid w:val="004E0D0C"/>
    <w:rsid w:val="004E1040"/>
    <w:rsid w:val="004E1BC7"/>
    <w:rsid w:val="004E20E6"/>
    <w:rsid w:val="004E2891"/>
    <w:rsid w:val="004E28AD"/>
    <w:rsid w:val="004E2D17"/>
    <w:rsid w:val="004E3287"/>
    <w:rsid w:val="004E3D12"/>
    <w:rsid w:val="004E446F"/>
    <w:rsid w:val="004E4A62"/>
    <w:rsid w:val="004E4FA4"/>
    <w:rsid w:val="004E5579"/>
    <w:rsid w:val="004E56C2"/>
    <w:rsid w:val="004E575F"/>
    <w:rsid w:val="004E5FD1"/>
    <w:rsid w:val="004E60F3"/>
    <w:rsid w:val="004E618F"/>
    <w:rsid w:val="004E641F"/>
    <w:rsid w:val="004E6650"/>
    <w:rsid w:val="004E69A9"/>
    <w:rsid w:val="004E6F42"/>
    <w:rsid w:val="004E7B6D"/>
    <w:rsid w:val="004F0824"/>
    <w:rsid w:val="004F0845"/>
    <w:rsid w:val="004F19D5"/>
    <w:rsid w:val="004F1E6D"/>
    <w:rsid w:val="004F2593"/>
    <w:rsid w:val="004F2E6F"/>
    <w:rsid w:val="004F30AA"/>
    <w:rsid w:val="004F4F8D"/>
    <w:rsid w:val="004F534A"/>
    <w:rsid w:val="004F53EF"/>
    <w:rsid w:val="004F574A"/>
    <w:rsid w:val="004F5D84"/>
    <w:rsid w:val="004F62D7"/>
    <w:rsid w:val="004F7649"/>
    <w:rsid w:val="004F7ADA"/>
    <w:rsid w:val="004F7B30"/>
    <w:rsid w:val="004F7DB6"/>
    <w:rsid w:val="004F7EE2"/>
    <w:rsid w:val="0050022F"/>
    <w:rsid w:val="005002BA"/>
    <w:rsid w:val="00500814"/>
    <w:rsid w:val="00501BE6"/>
    <w:rsid w:val="00501D57"/>
    <w:rsid w:val="00501F8D"/>
    <w:rsid w:val="00501FCF"/>
    <w:rsid w:val="00502844"/>
    <w:rsid w:val="00503850"/>
    <w:rsid w:val="00503E04"/>
    <w:rsid w:val="005043FD"/>
    <w:rsid w:val="0050450C"/>
    <w:rsid w:val="00504539"/>
    <w:rsid w:val="0050499B"/>
    <w:rsid w:val="00504B28"/>
    <w:rsid w:val="00504CBB"/>
    <w:rsid w:val="00510A12"/>
    <w:rsid w:val="00511D0B"/>
    <w:rsid w:val="00511D4A"/>
    <w:rsid w:val="00513540"/>
    <w:rsid w:val="00513ACD"/>
    <w:rsid w:val="00514642"/>
    <w:rsid w:val="00514BCA"/>
    <w:rsid w:val="00514FF3"/>
    <w:rsid w:val="00515329"/>
    <w:rsid w:val="00515A0E"/>
    <w:rsid w:val="00516842"/>
    <w:rsid w:val="00516DE7"/>
    <w:rsid w:val="00517E0E"/>
    <w:rsid w:val="00517ED0"/>
    <w:rsid w:val="005202ED"/>
    <w:rsid w:val="00520399"/>
    <w:rsid w:val="00521063"/>
    <w:rsid w:val="00521BFA"/>
    <w:rsid w:val="00521D31"/>
    <w:rsid w:val="00522CED"/>
    <w:rsid w:val="00523857"/>
    <w:rsid w:val="00523EA3"/>
    <w:rsid w:val="005243A3"/>
    <w:rsid w:val="00524446"/>
    <w:rsid w:val="0052484B"/>
    <w:rsid w:val="005260A1"/>
    <w:rsid w:val="0052655E"/>
    <w:rsid w:val="005265C0"/>
    <w:rsid w:val="00527AF2"/>
    <w:rsid w:val="00530845"/>
    <w:rsid w:val="00530E7B"/>
    <w:rsid w:val="005314DE"/>
    <w:rsid w:val="00531F27"/>
    <w:rsid w:val="005329C3"/>
    <w:rsid w:val="00532D10"/>
    <w:rsid w:val="005345DD"/>
    <w:rsid w:val="00534B8C"/>
    <w:rsid w:val="00534C56"/>
    <w:rsid w:val="0053556E"/>
    <w:rsid w:val="00535BD2"/>
    <w:rsid w:val="00535E73"/>
    <w:rsid w:val="00535FDB"/>
    <w:rsid w:val="005360FA"/>
    <w:rsid w:val="00537571"/>
    <w:rsid w:val="005377C2"/>
    <w:rsid w:val="0054074D"/>
    <w:rsid w:val="00540846"/>
    <w:rsid w:val="00540B00"/>
    <w:rsid w:val="00541617"/>
    <w:rsid w:val="005439AD"/>
    <w:rsid w:val="00543C47"/>
    <w:rsid w:val="00544447"/>
    <w:rsid w:val="00544D22"/>
    <w:rsid w:val="005458D2"/>
    <w:rsid w:val="00545D82"/>
    <w:rsid w:val="00546638"/>
    <w:rsid w:val="005472A8"/>
    <w:rsid w:val="00547CD8"/>
    <w:rsid w:val="0055073F"/>
    <w:rsid w:val="00550B55"/>
    <w:rsid w:val="00550F36"/>
    <w:rsid w:val="005512AF"/>
    <w:rsid w:val="0055178A"/>
    <w:rsid w:val="00551DAE"/>
    <w:rsid w:val="005528F1"/>
    <w:rsid w:val="00552BE9"/>
    <w:rsid w:val="00552F25"/>
    <w:rsid w:val="00553921"/>
    <w:rsid w:val="00553D10"/>
    <w:rsid w:val="00553FB8"/>
    <w:rsid w:val="00554C04"/>
    <w:rsid w:val="0055580B"/>
    <w:rsid w:val="00555C5F"/>
    <w:rsid w:val="0055607B"/>
    <w:rsid w:val="005565E0"/>
    <w:rsid w:val="0055718C"/>
    <w:rsid w:val="005575F7"/>
    <w:rsid w:val="005576D1"/>
    <w:rsid w:val="0055790D"/>
    <w:rsid w:val="0056079D"/>
    <w:rsid w:val="005610C1"/>
    <w:rsid w:val="0056112C"/>
    <w:rsid w:val="00561EA2"/>
    <w:rsid w:val="0056259D"/>
    <w:rsid w:val="0056299D"/>
    <w:rsid w:val="00562DF0"/>
    <w:rsid w:val="00563304"/>
    <w:rsid w:val="00563457"/>
    <w:rsid w:val="00564036"/>
    <w:rsid w:val="00564A7C"/>
    <w:rsid w:val="005652AB"/>
    <w:rsid w:val="00566410"/>
    <w:rsid w:val="00566B7F"/>
    <w:rsid w:val="00567CFE"/>
    <w:rsid w:val="00567E95"/>
    <w:rsid w:val="0057067C"/>
    <w:rsid w:val="00570731"/>
    <w:rsid w:val="0057118E"/>
    <w:rsid w:val="005728D6"/>
    <w:rsid w:val="005730EB"/>
    <w:rsid w:val="0057364D"/>
    <w:rsid w:val="005742EB"/>
    <w:rsid w:val="00574737"/>
    <w:rsid w:val="00574AE1"/>
    <w:rsid w:val="00576229"/>
    <w:rsid w:val="00576386"/>
    <w:rsid w:val="00576FBC"/>
    <w:rsid w:val="00577B53"/>
    <w:rsid w:val="00577E41"/>
    <w:rsid w:val="005808E7"/>
    <w:rsid w:val="00581392"/>
    <w:rsid w:val="0058151A"/>
    <w:rsid w:val="005815AF"/>
    <w:rsid w:val="00581E53"/>
    <w:rsid w:val="00583955"/>
    <w:rsid w:val="00584316"/>
    <w:rsid w:val="0058461F"/>
    <w:rsid w:val="005858D1"/>
    <w:rsid w:val="00585B64"/>
    <w:rsid w:val="00585E80"/>
    <w:rsid w:val="005860A6"/>
    <w:rsid w:val="0058660A"/>
    <w:rsid w:val="00586F5E"/>
    <w:rsid w:val="005871F7"/>
    <w:rsid w:val="005872FB"/>
    <w:rsid w:val="00587450"/>
    <w:rsid w:val="00587B42"/>
    <w:rsid w:val="005905FC"/>
    <w:rsid w:val="00591105"/>
    <w:rsid w:val="00591844"/>
    <w:rsid w:val="0059249F"/>
    <w:rsid w:val="0059288B"/>
    <w:rsid w:val="005929EB"/>
    <w:rsid w:val="005934DC"/>
    <w:rsid w:val="00593BDB"/>
    <w:rsid w:val="00593E87"/>
    <w:rsid w:val="00594B19"/>
    <w:rsid w:val="00594E7C"/>
    <w:rsid w:val="00595521"/>
    <w:rsid w:val="00596A80"/>
    <w:rsid w:val="00596AF6"/>
    <w:rsid w:val="00596D23"/>
    <w:rsid w:val="005976C7"/>
    <w:rsid w:val="005A0160"/>
    <w:rsid w:val="005A08D9"/>
    <w:rsid w:val="005A119F"/>
    <w:rsid w:val="005A11E7"/>
    <w:rsid w:val="005A1C1C"/>
    <w:rsid w:val="005A3859"/>
    <w:rsid w:val="005A39E1"/>
    <w:rsid w:val="005A40B5"/>
    <w:rsid w:val="005A40C3"/>
    <w:rsid w:val="005A5A0C"/>
    <w:rsid w:val="005A5A86"/>
    <w:rsid w:val="005A64E6"/>
    <w:rsid w:val="005A6DFB"/>
    <w:rsid w:val="005B0992"/>
    <w:rsid w:val="005B0AC1"/>
    <w:rsid w:val="005B1513"/>
    <w:rsid w:val="005B155C"/>
    <w:rsid w:val="005B1AC4"/>
    <w:rsid w:val="005B1BA7"/>
    <w:rsid w:val="005B1F75"/>
    <w:rsid w:val="005B1FAA"/>
    <w:rsid w:val="005B20C5"/>
    <w:rsid w:val="005B268C"/>
    <w:rsid w:val="005B2B4F"/>
    <w:rsid w:val="005B31F0"/>
    <w:rsid w:val="005B46BE"/>
    <w:rsid w:val="005B48E1"/>
    <w:rsid w:val="005B4FDE"/>
    <w:rsid w:val="005B51E3"/>
    <w:rsid w:val="005B6128"/>
    <w:rsid w:val="005B612D"/>
    <w:rsid w:val="005B708C"/>
    <w:rsid w:val="005B76A4"/>
    <w:rsid w:val="005C0F07"/>
    <w:rsid w:val="005C153E"/>
    <w:rsid w:val="005C1654"/>
    <w:rsid w:val="005C1A8E"/>
    <w:rsid w:val="005C1ACD"/>
    <w:rsid w:val="005C205F"/>
    <w:rsid w:val="005C2430"/>
    <w:rsid w:val="005C25D9"/>
    <w:rsid w:val="005C2C38"/>
    <w:rsid w:val="005C48D8"/>
    <w:rsid w:val="005C4A91"/>
    <w:rsid w:val="005C4BDD"/>
    <w:rsid w:val="005C6187"/>
    <w:rsid w:val="005C64BA"/>
    <w:rsid w:val="005C6955"/>
    <w:rsid w:val="005C6F6E"/>
    <w:rsid w:val="005C72BA"/>
    <w:rsid w:val="005C7503"/>
    <w:rsid w:val="005D04A8"/>
    <w:rsid w:val="005D04F4"/>
    <w:rsid w:val="005D095B"/>
    <w:rsid w:val="005D1143"/>
    <w:rsid w:val="005D1926"/>
    <w:rsid w:val="005D1F34"/>
    <w:rsid w:val="005D23C5"/>
    <w:rsid w:val="005D241D"/>
    <w:rsid w:val="005D259D"/>
    <w:rsid w:val="005D2634"/>
    <w:rsid w:val="005D26CE"/>
    <w:rsid w:val="005D312F"/>
    <w:rsid w:val="005D3610"/>
    <w:rsid w:val="005D3A86"/>
    <w:rsid w:val="005D3C80"/>
    <w:rsid w:val="005D4B87"/>
    <w:rsid w:val="005D4F7B"/>
    <w:rsid w:val="005D58CD"/>
    <w:rsid w:val="005D6745"/>
    <w:rsid w:val="005D6781"/>
    <w:rsid w:val="005D7F2F"/>
    <w:rsid w:val="005E1024"/>
    <w:rsid w:val="005E122B"/>
    <w:rsid w:val="005E176D"/>
    <w:rsid w:val="005E257A"/>
    <w:rsid w:val="005E2C35"/>
    <w:rsid w:val="005E2C42"/>
    <w:rsid w:val="005E344B"/>
    <w:rsid w:val="005E3499"/>
    <w:rsid w:val="005E4079"/>
    <w:rsid w:val="005E414C"/>
    <w:rsid w:val="005E4B98"/>
    <w:rsid w:val="005E65C9"/>
    <w:rsid w:val="005E69F7"/>
    <w:rsid w:val="005E79CB"/>
    <w:rsid w:val="005E7A63"/>
    <w:rsid w:val="005F0347"/>
    <w:rsid w:val="005F1044"/>
    <w:rsid w:val="005F113B"/>
    <w:rsid w:val="005F1F44"/>
    <w:rsid w:val="005F2559"/>
    <w:rsid w:val="005F2A99"/>
    <w:rsid w:val="005F39B7"/>
    <w:rsid w:val="005F3B47"/>
    <w:rsid w:val="005F3D32"/>
    <w:rsid w:val="005F457F"/>
    <w:rsid w:val="005F46E0"/>
    <w:rsid w:val="005F4EA3"/>
    <w:rsid w:val="005F586C"/>
    <w:rsid w:val="005F5F45"/>
    <w:rsid w:val="005F6039"/>
    <w:rsid w:val="005F64AF"/>
    <w:rsid w:val="005F6720"/>
    <w:rsid w:val="005F680B"/>
    <w:rsid w:val="005F6D91"/>
    <w:rsid w:val="005F6D9F"/>
    <w:rsid w:val="005F6DFE"/>
    <w:rsid w:val="005F6E47"/>
    <w:rsid w:val="005F6FD9"/>
    <w:rsid w:val="005F71E2"/>
    <w:rsid w:val="005F737A"/>
    <w:rsid w:val="005F74B2"/>
    <w:rsid w:val="005F788B"/>
    <w:rsid w:val="005F78DA"/>
    <w:rsid w:val="006001FD"/>
    <w:rsid w:val="00600B59"/>
    <w:rsid w:val="00601292"/>
    <w:rsid w:val="00601364"/>
    <w:rsid w:val="00601ACA"/>
    <w:rsid w:val="00602790"/>
    <w:rsid w:val="00602C33"/>
    <w:rsid w:val="00604003"/>
    <w:rsid w:val="00604349"/>
    <w:rsid w:val="00604CA7"/>
    <w:rsid w:val="00606016"/>
    <w:rsid w:val="00606045"/>
    <w:rsid w:val="0060663F"/>
    <w:rsid w:val="0060683C"/>
    <w:rsid w:val="00607147"/>
    <w:rsid w:val="00607577"/>
    <w:rsid w:val="00607BF2"/>
    <w:rsid w:val="0061001F"/>
    <w:rsid w:val="0061051A"/>
    <w:rsid w:val="00611CF2"/>
    <w:rsid w:val="00611EC6"/>
    <w:rsid w:val="006122CD"/>
    <w:rsid w:val="006124C8"/>
    <w:rsid w:val="0061281A"/>
    <w:rsid w:val="00612D4A"/>
    <w:rsid w:val="00612F50"/>
    <w:rsid w:val="0061307E"/>
    <w:rsid w:val="006132C7"/>
    <w:rsid w:val="006135B7"/>
    <w:rsid w:val="00613796"/>
    <w:rsid w:val="00613950"/>
    <w:rsid w:val="00614619"/>
    <w:rsid w:val="00615744"/>
    <w:rsid w:val="006158EC"/>
    <w:rsid w:val="00616158"/>
    <w:rsid w:val="00616481"/>
    <w:rsid w:val="006169B8"/>
    <w:rsid w:val="00616B14"/>
    <w:rsid w:val="00617BDF"/>
    <w:rsid w:val="00620CEB"/>
    <w:rsid w:val="00621210"/>
    <w:rsid w:val="006219F2"/>
    <w:rsid w:val="00621BDF"/>
    <w:rsid w:val="00621CC5"/>
    <w:rsid w:val="006228B2"/>
    <w:rsid w:val="00622C5A"/>
    <w:rsid w:val="00622F1C"/>
    <w:rsid w:val="00623131"/>
    <w:rsid w:val="00623480"/>
    <w:rsid w:val="0062379A"/>
    <w:rsid w:val="0062505B"/>
    <w:rsid w:val="00626430"/>
    <w:rsid w:val="00626565"/>
    <w:rsid w:val="006266CB"/>
    <w:rsid w:val="00626E5B"/>
    <w:rsid w:val="00626FBC"/>
    <w:rsid w:val="00627224"/>
    <w:rsid w:val="0062723A"/>
    <w:rsid w:val="0062743D"/>
    <w:rsid w:val="006277DD"/>
    <w:rsid w:val="00627AFA"/>
    <w:rsid w:val="006307C0"/>
    <w:rsid w:val="00631FDA"/>
    <w:rsid w:val="0063201A"/>
    <w:rsid w:val="006321D3"/>
    <w:rsid w:val="00632B5D"/>
    <w:rsid w:val="00632D7C"/>
    <w:rsid w:val="00633516"/>
    <w:rsid w:val="00633DFD"/>
    <w:rsid w:val="006344EA"/>
    <w:rsid w:val="006351D3"/>
    <w:rsid w:val="006352B4"/>
    <w:rsid w:val="00635993"/>
    <w:rsid w:val="006359C6"/>
    <w:rsid w:val="006361F4"/>
    <w:rsid w:val="00636C0B"/>
    <w:rsid w:val="00636C10"/>
    <w:rsid w:val="006371BD"/>
    <w:rsid w:val="00637377"/>
    <w:rsid w:val="0064032D"/>
    <w:rsid w:val="00640492"/>
    <w:rsid w:val="006412D1"/>
    <w:rsid w:val="006415FD"/>
    <w:rsid w:val="00641715"/>
    <w:rsid w:val="00642A6D"/>
    <w:rsid w:val="00642C04"/>
    <w:rsid w:val="00642C94"/>
    <w:rsid w:val="0064366E"/>
    <w:rsid w:val="00643766"/>
    <w:rsid w:val="00644627"/>
    <w:rsid w:val="00644948"/>
    <w:rsid w:val="00644A6D"/>
    <w:rsid w:val="00645B1A"/>
    <w:rsid w:val="00645F08"/>
    <w:rsid w:val="00645FAB"/>
    <w:rsid w:val="006461E4"/>
    <w:rsid w:val="006462E3"/>
    <w:rsid w:val="00646348"/>
    <w:rsid w:val="006470EF"/>
    <w:rsid w:val="006475D5"/>
    <w:rsid w:val="00647896"/>
    <w:rsid w:val="00647EEE"/>
    <w:rsid w:val="00650860"/>
    <w:rsid w:val="00650913"/>
    <w:rsid w:val="00653214"/>
    <w:rsid w:val="0065335B"/>
    <w:rsid w:val="006536D9"/>
    <w:rsid w:val="00653A26"/>
    <w:rsid w:val="00654079"/>
    <w:rsid w:val="006542A4"/>
    <w:rsid w:val="00654789"/>
    <w:rsid w:val="006548A2"/>
    <w:rsid w:val="006551D3"/>
    <w:rsid w:val="006552CD"/>
    <w:rsid w:val="006566B5"/>
    <w:rsid w:val="00656FBC"/>
    <w:rsid w:val="00657261"/>
    <w:rsid w:val="00657835"/>
    <w:rsid w:val="00657CE7"/>
    <w:rsid w:val="00657E36"/>
    <w:rsid w:val="006607A6"/>
    <w:rsid w:val="006613D1"/>
    <w:rsid w:val="006615A1"/>
    <w:rsid w:val="00661EB9"/>
    <w:rsid w:val="00662083"/>
    <w:rsid w:val="0066249F"/>
    <w:rsid w:val="0066394D"/>
    <w:rsid w:val="00664889"/>
    <w:rsid w:val="00664BD4"/>
    <w:rsid w:val="0066555D"/>
    <w:rsid w:val="00665AF7"/>
    <w:rsid w:val="00665D3E"/>
    <w:rsid w:val="006664FB"/>
    <w:rsid w:val="00666B74"/>
    <w:rsid w:val="006671BA"/>
    <w:rsid w:val="0066762B"/>
    <w:rsid w:val="00667DB1"/>
    <w:rsid w:val="006702EF"/>
    <w:rsid w:val="006703C2"/>
    <w:rsid w:val="006706C8"/>
    <w:rsid w:val="00670E83"/>
    <w:rsid w:val="00670F05"/>
    <w:rsid w:val="00671473"/>
    <w:rsid w:val="0067184C"/>
    <w:rsid w:val="006719A6"/>
    <w:rsid w:val="00671D46"/>
    <w:rsid w:val="0067274B"/>
    <w:rsid w:val="0067446E"/>
    <w:rsid w:val="00675F7A"/>
    <w:rsid w:val="00676973"/>
    <w:rsid w:val="006777E3"/>
    <w:rsid w:val="00680005"/>
    <w:rsid w:val="0068057C"/>
    <w:rsid w:val="00680B22"/>
    <w:rsid w:val="00680BB6"/>
    <w:rsid w:val="00680C49"/>
    <w:rsid w:val="00680CF2"/>
    <w:rsid w:val="00681490"/>
    <w:rsid w:val="006818B2"/>
    <w:rsid w:val="00681902"/>
    <w:rsid w:val="006819D0"/>
    <w:rsid w:val="006819FD"/>
    <w:rsid w:val="00681DF8"/>
    <w:rsid w:val="00682918"/>
    <w:rsid w:val="00683C49"/>
    <w:rsid w:val="00684224"/>
    <w:rsid w:val="00684BAD"/>
    <w:rsid w:val="0068630E"/>
    <w:rsid w:val="00686682"/>
    <w:rsid w:val="00686CAC"/>
    <w:rsid w:val="00686F17"/>
    <w:rsid w:val="00690056"/>
    <w:rsid w:val="00690141"/>
    <w:rsid w:val="00690313"/>
    <w:rsid w:val="006917DA"/>
    <w:rsid w:val="00691ABD"/>
    <w:rsid w:val="00692654"/>
    <w:rsid w:val="0069290A"/>
    <w:rsid w:val="00693191"/>
    <w:rsid w:val="006935F1"/>
    <w:rsid w:val="00693BCC"/>
    <w:rsid w:val="00694A54"/>
    <w:rsid w:val="0069538A"/>
    <w:rsid w:val="006954C0"/>
    <w:rsid w:val="00695DF1"/>
    <w:rsid w:val="00696390"/>
    <w:rsid w:val="00696D45"/>
    <w:rsid w:val="00696DE3"/>
    <w:rsid w:val="00697204"/>
    <w:rsid w:val="006972CE"/>
    <w:rsid w:val="00697795"/>
    <w:rsid w:val="006A09DE"/>
    <w:rsid w:val="006A0DCB"/>
    <w:rsid w:val="006A110C"/>
    <w:rsid w:val="006A165B"/>
    <w:rsid w:val="006A16DB"/>
    <w:rsid w:val="006A1905"/>
    <w:rsid w:val="006A1B9E"/>
    <w:rsid w:val="006A2816"/>
    <w:rsid w:val="006A514B"/>
    <w:rsid w:val="006A539A"/>
    <w:rsid w:val="006A661D"/>
    <w:rsid w:val="006A6BB3"/>
    <w:rsid w:val="006A7D82"/>
    <w:rsid w:val="006B01E6"/>
    <w:rsid w:val="006B1C69"/>
    <w:rsid w:val="006B250C"/>
    <w:rsid w:val="006B268B"/>
    <w:rsid w:val="006B2860"/>
    <w:rsid w:val="006B2D75"/>
    <w:rsid w:val="006B3680"/>
    <w:rsid w:val="006B3C44"/>
    <w:rsid w:val="006B400F"/>
    <w:rsid w:val="006B4C0D"/>
    <w:rsid w:val="006B691E"/>
    <w:rsid w:val="006B7047"/>
    <w:rsid w:val="006B7482"/>
    <w:rsid w:val="006B7732"/>
    <w:rsid w:val="006B7B85"/>
    <w:rsid w:val="006B7F37"/>
    <w:rsid w:val="006B7F98"/>
    <w:rsid w:val="006C0D44"/>
    <w:rsid w:val="006C0D88"/>
    <w:rsid w:val="006C1021"/>
    <w:rsid w:val="006C140D"/>
    <w:rsid w:val="006C14D9"/>
    <w:rsid w:val="006C1AF3"/>
    <w:rsid w:val="006C1B57"/>
    <w:rsid w:val="006C1F4C"/>
    <w:rsid w:val="006C23E2"/>
    <w:rsid w:val="006C2ADC"/>
    <w:rsid w:val="006C362D"/>
    <w:rsid w:val="006C4649"/>
    <w:rsid w:val="006C4CCD"/>
    <w:rsid w:val="006C588E"/>
    <w:rsid w:val="006C5F37"/>
    <w:rsid w:val="006C64A0"/>
    <w:rsid w:val="006C69C9"/>
    <w:rsid w:val="006C737C"/>
    <w:rsid w:val="006C741B"/>
    <w:rsid w:val="006C7718"/>
    <w:rsid w:val="006C7BA0"/>
    <w:rsid w:val="006D10E0"/>
    <w:rsid w:val="006D1AD8"/>
    <w:rsid w:val="006D2202"/>
    <w:rsid w:val="006D2E44"/>
    <w:rsid w:val="006D36E4"/>
    <w:rsid w:val="006D3DF8"/>
    <w:rsid w:val="006D438A"/>
    <w:rsid w:val="006D44E6"/>
    <w:rsid w:val="006D4D1C"/>
    <w:rsid w:val="006D5165"/>
    <w:rsid w:val="006D5EE5"/>
    <w:rsid w:val="006D6486"/>
    <w:rsid w:val="006D6F59"/>
    <w:rsid w:val="006E06ED"/>
    <w:rsid w:val="006E06F5"/>
    <w:rsid w:val="006E08D7"/>
    <w:rsid w:val="006E111D"/>
    <w:rsid w:val="006E196B"/>
    <w:rsid w:val="006E1FA1"/>
    <w:rsid w:val="006E2776"/>
    <w:rsid w:val="006E27FD"/>
    <w:rsid w:val="006E37D2"/>
    <w:rsid w:val="006E3808"/>
    <w:rsid w:val="006E50C2"/>
    <w:rsid w:val="006E58B9"/>
    <w:rsid w:val="006E6702"/>
    <w:rsid w:val="006E745B"/>
    <w:rsid w:val="006E7EDB"/>
    <w:rsid w:val="006F0085"/>
    <w:rsid w:val="006F07AE"/>
    <w:rsid w:val="006F0946"/>
    <w:rsid w:val="006F0CBC"/>
    <w:rsid w:val="006F11BF"/>
    <w:rsid w:val="006F1356"/>
    <w:rsid w:val="006F1B24"/>
    <w:rsid w:val="006F1BD9"/>
    <w:rsid w:val="006F1D72"/>
    <w:rsid w:val="006F1EC6"/>
    <w:rsid w:val="006F36DB"/>
    <w:rsid w:val="006F3D79"/>
    <w:rsid w:val="006F4402"/>
    <w:rsid w:val="006F4560"/>
    <w:rsid w:val="006F4AF1"/>
    <w:rsid w:val="006F51D8"/>
    <w:rsid w:val="006F5B77"/>
    <w:rsid w:val="006F60D2"/>
    <w:rsid w:val="006F63A2"/>
    <w:rsid w:val="006F7125"/>
    <w:rsid w:val="006F74D9"/>
    <w:rsid w:val="0070020E"/>
    <w:rsid w:val="00700885"/>
    <w:rsid w:val="00700C30"/>
    <w:rsid w:val="00703142"/>
    <w:rsid w:val="0070368F"/>
    <w:rsid w:val="00703746"/>
    <w:rsid w:val="007039FC"/>
    <w:rsid w:val="00704A6B"/>
    <w:rsid w:val="00704B48"/>
    <w:rsid w:val="00704DAA"/>
    <w:rsid w:val="007057F2"/>
    <w:rsid w:val="00706B67"/>
    <w:rsid w:val="00706D54"/>
    <w:rsid w:val="00706FAB"/>
    <w:rsid w:val="00707616"/>
    <w:rsid w:val="00707793"/>
    <w:rsid w:val="007104B7"/>
    <w:rsid w:val="007122F3"/>
    <w:rsid w:val="0071261A"/>
    <w:rsid w:val="00712989"/>
    <w:rsid w:val="00712C29"/>
    <w:rsid w:val="00712C43"/>
    <w:rsid w:val="0071366E"/>
    <w:rsid w:val="007144BD"/>
    <w:rsid w:val="0071476B"/>
    <w:rsid w:val="0071497D"/>
    <w:rsid w:val="00714A29"/>
    <w:rsid w:val="00715184"/>
    <w:rsid w:val="00716579"/>
    <w:rsid w:val="007169BB"/>
    <w:rsid w:val="00716F43"/>
    <w:rsid w:val="007175AD"/>
    <w:rsid w:val="007175D2"/>
    <w:rsid w:val="0072021B"/>
    <w:rsid w:val="007205C2"/>
    <w:rsid w:val="00720E2E"/>
    <w:rsid w:val="00721875"/>
    <w:rsid w:val="007220ED"/>
    <w:rsid w:val="00722111"/>
    <w:rsid w:val="00722168"/>
    <w:rsid w:val="00722DA8"/>
    <w:rsid w:val="00723233"/>
    <w:rsid w:val="00723F36"/>
    <w:rsid w:val="00725003"/>
    <w:rsid w:val="00725382"/>
    <w:rsid w:val="007253A1"/>
    <w:rsid w:val="0072559A"/>
    <w:rsid w:val="00725D5E"/>
    <w:rsid w:val="00726E56"/>
    <w:rsid w:val="00726F2F"/>
    <w:rsid w:val="0072720A"/>
    <w:rsid w:val="00730107"/>
    <w:rsid w:val="0073114B"/>
    <w:rsid w:val="00732947"/>
    <w:rsid w:val="00733074"/>
    <w:rsid w:val="007330F3"/>
    <w:rsid w:val="00733316"/>
    <w:rsid w:val="00733ED4"/>
    <w:rsid w:val="0073487C"/>
    <w:rsid w:val="00735122"/>
    <w:rsid w:val="0073593B"/>
    <w:rsid w:val="00735FAA"/>
    <w:rsid w:val="00736CBF"/>
    <w:rsid w:val="007374B7"/>
    <w:rsid w:val="007377A4"/>
    <w:rsid w:val="007400B8"/>
    <w:rsid w:val="0074048D"/>
    <w:rsid w:val="007406B5"/>
    <w:rsid w:val="007409AD"/>
    <w:rsid w:val="00740B7E"/>
    <w:rsid w:val="00740E4D"/>
    <w:rsid w:val="00741591"/>
    <w:rsid w:val="007418A4"/>
    <w:rsid w:val="00741B12"/>
    <w:rsid w:val="00741F87"/>
    <w:rsid w:val="007423D4"/>
    <w:rsid w:val="007453BA"/>
    <w:rsid w:val="00745E2F"/>
    <w:rsid w:val="0074602C"/>
    <w:rsid w:val="00746474"/>
    <w:rsid w:val="007465D9"/>
    <w:rsid w:val="00746849"/>
    <w:rsid w:val="007470B3"/>
    <w:rsid w:val="00747549"/>
    <w:rsid w:val="007503C6"/>
    <w:rsid w:val="007504C1"/>
    <w:rsid w:val="00750E30"/>
    <w:rsid w:val="00751B0A"/>
    <w:rsid w:val="00751D09"/>
    <w:rsid w:val="00752109"/>
    <w:rsid w:val="0075275D"/>
    <w:rsid w:val="007528A8"/>
    <w:rsid w:val="00752C79"/>
    <w:rsid w:val="00753F98"/>
    <w:rsid w:val="007548CA"/>
    <w:rsid w:val="00754BDF"/>
    <w:rsid w:val="00754FB0"/>
    <w:rsid w:val="00755A13"/>
    <w:rsid w:val="00755C9B"/>
    <w:rsid w:val="00756F14"/>
    <w:rsid w:val="00757B41"/>
    <w:rsid w:val="00757B8D"/>
    <w:rsid w:val="007600C0"/>
    <w:rsid w:val="007609F0"/>
    <w:rsid w:val="00761E63"/>
    <w:rsid w:val="00761FE4"/>
    <w:rsid w:val="0076229B"/>
    <w:rsid w:val="0076240E"/>
    <w:rsid w:val="00762556"/>
    <w:rsid w:val="00763B5C"/>
    <w:rsid w:val="00764AAA"/>
    <w:rsid w:val="007658F1"/>
    <w:rsid w:val="00766282"/>
    <w:rsid w:val="00766287"/>
    <w:rsid w:val="00766294"/>
    <w:rsid w:val="00766972"/>
    <w:rsid w:val="00766E9D"/>
    <w:rsid w:val="00767335"/>
    <w:rsid w:val="007707D8"/>
    <w:rsid w:val="0077087C"/>
    <w:rsid w:val="00770DCB"/>
    <w:rsid w:val="00770F4F"/>
    <w:rsid w:val="00772D30"/>
    <w:rsid w:val="0077401A"/>
    <w:rsid w:val="007748A0"/>
    <w:rsid w:val="00774F91"/>
    <w:rsid w:val="00775485"/>
    <w:rsid w:val="007757F1"/>
    <w:rsid w:val="00775AC2"/>
    <w:rsid w:val="007765EE"/>
    <w:rsid w:val="00776CE1"/>
    <w:rsid w:val="0078110F"/>
    <w:rsid w:val="007832D3"/>
    <w:rsid w:val="007833CE"/>
    <w:rsid w:val="007838D9"/>
    <w:rsid w:val="007841E1"/>
    <w:rsid w:val="00784549"/>
    <w:rsid w:val="007845AF"/>
    <w:rsid w:val="007857BD"/>
    <w:rsid w:val="00786E13"/>
    <w:rsid w:val="0078755C"/>
    <w:rsid w:val="007875DE"/>
    <w:rsid w:val="00790AAA"/>
    <w:rsid w:val="007912A3"/>
    <w:rsid w:val="00791A98"/>
    <w:rsid w:val="00791DD8"/>
    <w:rsid w:val="00791E70"/>
    <w:rsid w:val="007929F8"/>
    <w:rsid w:val="00792AD3"/>
    <w:rsid w:val="00793272"/>
    <w:rsid w:val="007936BE"/>
    <w:rsid w:val="00793F23"/>
    <w:rsid w:val="00794430"/>
    <w:rsid w:val="00795192"/>
    <w:rsid w:val="007952D7"/>
    <w:rsid w:val="007957C0"/>
    <w:rsid w:val="00795A3F"/>
    <w:rsid w:val="00795E24"/>
    <w:rsid w:val="00795E2F"/>
    <w:rsid w:val="00796C41"/>
    <w:rsid w:val="007A0088"/>
    <w:rsid w:val="007A0597"/>
    <w:rsid w:val="007A1105"/>
    <w:rsid w:val="007A1277"/>
    <w:rsid w:val="007A147A"/>
    <w:rsid w:val="007A1944"/>
    <w:rsid w:val="007A1D94"/>
    <w:rsid w:val="007A20D0"/>
    <w:rsid w:val="007A23D2"/>
    <w:rsid w:val="007A26E2"/>
    <w:rsid w:val="007A2C8D"/>
    <w:rsid w:val="007A2DA2"/>
    <w:rsid w:val="007A2F47"/>
    <w:rsid w:val="007A4F0D"/>
    <w:rsid w:val="007A5296"/>
    <w:rsid w:val="007A5667"/>
    <w:rsid w:val="007A5799"/>
    <w:rsid w:val="007A5BC5"/>
    <w:rsid w:val="007A6272"/>
    <w:rsid w:val="007A69EB"/>
    <w:rsid w:val="007B0155"/>
    <w:rsid w:val="007B1259"/>
    <w:rsid w:val="007B14AA"/>
    <w:rsid w:val="007B16F1"/>
    <w:rsid w:val="007B1724"/>
    <w:rsid w:val="007B19D1"/>
    <w:rsid w:val="007B1C35"/>
    <w:rsid w:val="007B282F"/>
    <w:rsid w:val="007B2DA6"/>
    <w:rsid w:val="007B3D53"/>
    <w:rsid w:val="007B4528"/>
    <w:rsid w:val="007B49B0"/>
    <w:rsid w:val="007B51DD"/>
    <w:rsid w:val="007B5C30"/>
    <w:rsid w:val="007B6C8C"/>
    <w:rsid w:val="007B7498"/>
    <w:rsid w:val="007B7B6B"/>
    <w:rsid w:val="007B7D41"/>
    <w:rsid w:val="007C0165"/>
    <w:rsid w:val="007C02C8"/>
    <w:rsid w:val="007C1CD3"/>
    <w:rsid w:val="007C2317"/>
    <w:rsid w:val="007C2C5F"/>
    <w:rsid w:val="007C32A1"/>
    <w:rsid w:val="007C3B1D"/>
    <w:rsid w:val="007C3FCA"/>
    <w:rsid w:val="007C434E"/>
    <w:rsid w:val="007C494B"/>
    <w:rsid w:val="007C51FF"/>
    <w:rsid w:val="007C5838"/>
    <w:rsid w:val="007C783A"/>
    <w:rsid w:val="007C786A"/>
    <w:rsid w:val="007C7920"/>
    <w:rsid w:val="007D046B"/>
    <w:rsid w:val="007D0F01"/>
    <w:rsid w:val="007D29E5"/>
    <w:rsid w:val="007D3B60"/>
    <w:rsid w:val="007D403B"/>
    <w:rsid w:val="007D40BD"/>
    <w:rsid w:val="007D4230"/>
    <w:rsid w:val="007D50A6"/>
    <w:rsid w:val="007D6ADA"/>
    <w:rsid w:val="007D73C8"/>
    <w:rsid w:val="007D7734"/>
    <w:rsid w:val="007E01F9"/>
    <w:rsid w:val="007E0567"/>
    <w:rsid w:val="007E1866"/>
    <w:rsid w:val="007E1A0A"/>
    <w:rsid w:val="007E1E43"/>
    <w:rsid w:val="007E22DF"/>
    <w:rsid w:val="007E28B5"/>
    <w:rsid w:val="007E372A"/>
    <w:rsid w:val="007E3C23"/>
    <w:rsid w:val="007E3D27"/>
    <w:rsid w:val="007E3E39"/>
    <w:rsid w:val="007E4149"/>
    <w:rsid w:val="007E41AC"/>
    <w:rsid w:val="007E4AE4"/>
    <w:rsid w:val="007E55A7"/>
    <w:rsid w:val="007E6147"/>
    <w:rsid w:val="007E6434"/>
    <w:rsid w:val="007E7002"/>
    <w:rsid w:val="007E7CF5"/>
    <w:rsid w:val="007E7F1C"/>
    <w:rsid w:val="007F0325"/>
    <w:rsid w:val="007F0A8A"/>
    <w:rsid w:val="007F0F29"/>
    <w:rsid w:val="007F1386"/>
    <w:rsid w:val="007F1DC3"/>
    <w:rsid w:val="007F270E"/>
    <w:rsid w:val="007F3554"/>
    <w:rsid w:val="007F37E1"/>
    <w:rsid w:val="007F3A27"/>
    <w:rsid w:val="007F3D01"/>
    <w:rsid w:val="007F4822"/>
    <w:rsid w:val="007F4984"/>
    <w:rsid w:val="007F5311"/>
    <w:rsid w:val="007F5380"/>
    <w:rsid w:val="007F62F3"/>
    <w:rsid w:val="007F6E98"/>
    <w:rsid w:val="007F7D75"/>
    <w:rsid w:val="007F7F86"/>
    <w:rsid w:val="008007D5"/>
    <w:rsid w:val="008018D1"/>
    <w:rsid w:val="008024A2"/>
    <w:rsid w:val="00802671"/>
    <w:rsid w:val="00803C60"/>
    <w:rsid w:val="008042FE"/>
    <w:rsid w:val="0080470F"/>
    <w:rsid w:val="00804F5D"/>
    <w:rsid w:val="00805594"/>
    <w:rsid w:val="00806BF9"/>
    <w:rsid w:val="00810141"/>
    <w:rsid w:val="00810ABF"/>
    <w:rsid w:val="00810C4D"/>
    <w:rsid w:val="00810DD5"/>
    <w:rsid w:val="00810F24"/>
    <w:rsid w:val="008110B7"/>
    <w:rsid w:val="00811820"/>
    <w:rsid w:val="00811B52"/>
    <w:rsid w:val="008125EE"/>
    <w:rsid w:val="00812B77"/>
    <w:rsid w:val="00812BC8"/>
    <w:rsid w:val="00812F0C"/>
    <w:rsid w:val="00813750"/>
    <w:rsid w:val="00813D6D"/>
    <w:rsid w:val="0081428D"/>
    <w:rsid w:val="00814890"/>
    <w:rsid w:val="00814B17"/>
    <w:rsid w:val="0081525D"/>
    <w:rsid w:val="0081566A"/>
    <w:rsid w:val="00815873"/>
    <w:rsid w:val="0081601E"/>
    <w:rsid w:val="008166C3"/>
    <w:rsid w:val="0081680E"/>
    <w:rsid w:val="00816C80"/>
    <w:rsid w:val="0081789F"/>
    <w:rsid w:val="00817F75"/>
    <w:rsid w:val="0082185D"/>
    <w:rsid w:val="00822E46"/>
    <w:rsid w:val="00823174"/>
    <w:rsid w:val="0082388A"/>
    <w:rsid w:val="00823DE5"/>
    <w:rsid w:val="008244E5"/>
    <w:rsid w:val="008261FC"/>
    <w:rsid w:val="008268A8"/>
    <w:rsid w:val="00826999"/>
    <w:rsid w:val="00827852"/>
    <w:rsid w:val="00827EA3"/>
    <w:rsid w:val="00827EB5"/>
    <w:rsid w:val="00830092"/>
    <w:rsid w:val="00830D8A"/>
    <w:rsid w:val="008311D3"/>
    <w:rsid w:val="0083162F"/>
    <w:rsid w:val="0083209A"/>
    <w:rsid w:val="00832120"/>
    <w:rsid w:val="0083366C"/>
    <w:rsid w:val="00834106"/>
    <w:rsid w:val="00834142"/>
    <w:rsid w:val="008344FA"/>
    <w:rsid w:val="0083594F"/>
    <w:rsid w:val="00836328"/>
    <w:rsid w:val="008364BB"/>
    <w:rsid w:val="008364C4"/>
    <w:rsid w:val="008364D7"/>
    <w:rsid w:val="00840696"/>
    <w:rsid w:val="00840839"/>
    <w:rsid w:val="0084097D"/>
    <w:rsid w:val="00840EF8"/>
    <w:rsid w:val="00841C31"/>
    <w:rsid w:val="00841D1C"/>
    <w:rsid w:val="00842697"/>
    <w:rsid w:val="0084298C"/>
    <w:rsid w:val="00842CBB"/>
    <w:rsid w:val="0084337D"/>
    <w:rsid w:val="008433C0"/>
    <w:rsid w:val="00843410"/>
    <w:rsid w:val="0084459F"/>
    <w:rsid w:val="00844B52"/>
    <w:rsid w:val="00845134"/>
    <w:rsid w:val="0084521F"/>
    <w:rsid w:val="0084547B"/>
    <w:rsid w:val="00845C3E"/>
    <w:rsid w:val="00845F38"/>
    <w:rsid w:val="00846256"/>
    <w:rsid w:val="00846469"/>
    <w:rsid w:val="00847084"/>
    <w:rsid w:val="00847321"/>
    <w:rsid w:val="008473F7"/>
    <w:rsid w:val="008475E9"/>
    <w:rsid w:val="00850510"/>
    <w:rsid w:val="00851320"/>
    <w:rsid w:val="00851414"/>
    <w:rsid w:val="00851967"/>
    <w:rsid w:val="008525A0"/>
    <w:rsid w:val="0085365A"/>
    <w:rsid w:val="0085374D"/>
    <w:rsid w:val="00854244"/>
    <w:rsid w:val="008549D6"/>
    <w:rsid w:val="00854D0A"/>
    <w:rsid w:val="00854F11"/>
    <w:rsid w:val="00855C39"/>
    <w:rsid w:val="0085618B"/>
    <w:rsid w:val="008567A4"/>
    <w:rsid w:val="00856B91"/>
    <w:rsid w:val="00856F03"/>
    <w:rsid w:val="00857079"/>
    <w:rsid w:val="008575EE"/>
    <w:rsid w:val="00857906"/>
    <w:rsid w:val="00857B37"/>
    <w:rsid w:val="00860634"/>
    <w:rsid w:val="00860EA8"/>
    <w:rsid w:val="008612D6"/>
    <w:rsid w:val="00861567"/>
    <w:rsid w:val="00861B44"/>
    <w:rsid w:val="00861B63"/>
    <w:rsid w:val="008622EA"/>
    <w:rsid w:val="008622F9"/>
    <w:rsid w:val="00862678"/>
    <w:rsid w:val="00862791"/>
    <w:rsid w:val="008627F6"/>
    <w:rsid w:val="00863856"/>
    <w:rsid w:val="00863BD7"/>
    <w:rsid w:val="0086423B"/>
    <w:rsid w:val="00865AF7"/>
    <w:rsid w:val="00870D1A"/>
    <w:rsid w:val="00871194"/>
    <w:rsid w:val="008724DE"/>
    <w:rsid w:val="00872659"/>
    <w:rsid w:val="00872B2D"/>
    <w:rsid w:val="00872C31"/>
    <w:rsid w:val="008735D0"/>
    <w:rsid w:val="0087376B"/>
    <w:rsid w:val="008751D6"/>
    <w:rsid w:val="0087522B"/>
    <w:rsid w:val="008752FC"/>
    <w:rsid w:val="00875DF6"/>
    <w:rsid w:val="00877266"/>
    <w:rsid w:val="0087726B"/>
    <w:rsid w:val="00877583"/>
    <w:rsid w:val="0087792D"/>
    <w:rsid w:val="00877EBC"/>
    <w:rsid w:val="00880230"/>
    <w:rsid w:val="00880A5B"/>
    <w:rsid w:val="00880F5C"/>
    <w:rsid w:val="0088120F"/>
    <w:rsid w:val="00881403"/>
    <w:rsid w:val="008814A5"/>
    <w:rsid w:val="008820A2"/>
    <w:rsid w:val="00883096"/>
    <w:rsid w:val="00883FC4"/>
    <w:rsid w:val="0088420D"/>
    <w:rsid w:val="00884DAE"/>
    <w:rsid w:val="00886128"/>
    <w:rsid w:val="008862FA"/>
    <w:rsid w:val="00886310"/>
    <w:rsid w:val="00886AEF"/>
    <w:rsid w:val="00887922"/>
    <w:rsid w:val="00887ADB"/>
    <w:rsid w:val="008900AB"/>
    <w:rsid w:val="00890640"/>
    <w:rsid w:val="00890A8F"/>
    <w:rsid w:val="00890AC2"/>
    <w:rsid w:val="00891372"/>
    <w:rsid w:val="00891770"/>
    <w:rsid w:val="00891980"/>
    <w:rsid w:val="00891BCE"/>
    <w:rsid w:val="008924AE"/>
    <w:rsid w:val="0089296A"/>
    <w:rsid w:val="008929F9"/>
    <w:rsid w:val="00892DF8"/>
    <w:rsid w:val="0089315C"/>
    <w:rsid w:val="00893A77"/>
    <w:rsid w:val="00893B3B"/>
    <w:rsid w:val="008944E9"/>
    <w:rsid w:val="0089451B"/>
    <w:rsid w:val="00894535"/>
    <w:rsid w:val="008950D0"/>
    <w:rsid w:val="00896165"/>
    <w:rsid w:val="0089621D"/>
    <w:rsid w:val="00896663"/>
    <w:rsid w:val="008969E0"/>
    <w:rsid w:val="00896DB2"/>
    <w:rsid w:val="0089711B"/>
    <w:rsid w:val="00897B54"/>
    <w:rsid w:val="008A08CD"/>
    <w:rsid w:val="008A0A34"/>
    <w:rsid w:val="008A11D7"/>
    <w:rsid w:val="008A1717"/>
    <w:rsid w:val="008A1931"/>
    <w:rsid w:val="008A2AF7"/>
    <w:rsid w:val="008A2EA1"/>
    <w:rsid w:val="008A3D57"/>
    <w:rsid w:val="008A4095"/>
    <w:rsid w:val="008A4CEB"/>
    <w:rsid w:val="008A576C"/>
    <w:rsid w:val="008A5C97"/>
    <w:rsid w:val="008A767B"/>
    <w:rsid w:val="008A799E"/>
    <w:rsid w:val="008A79A2"/>
    <w:rsid w:val="008A7AC3"/>
    <w:rsid w:val="008B0792"/>
    <w:rsid w:val="008B11E4"/>
    <w:rsid w:val="008B1A30"/>
    <w:rsid w:val="008B1D8B"/>
    <w:rsid w:val="008B1DAF"/>
    <w:rsid w:val="008B2EA4"/>
    <w:rsid w:val="008B320D"/>
    <w:rsid w:val="008B34EA"/>
    <w:rsid w:val="008B3A98"/>
    <w:rsid w:val="008B4338"/>
    <w:rsid w:val="008B4C2D"/>
    <w:rsid w:val="008B5E75"/>
    <w:rsid w:val="008B63ED"/>
    <w:rsid w:val="008B6464"/>
    <w:rsid w:val="008B6825"/>
    <w:rsid w:val="008B6FE8"/>
    <w:rsid w:val="008C02CD"/>
    <w:rsid w:val="008C03A1"/>
    <w:rsid w:val="008C0664"/>
    <w:rsid w:val="008C13C8"/>
    <w:rsid w:val="008C1CE3"/>
    <w:rsid w:val="008C33EB"/>
    <w:rsid w:val="008C3658"/>
    <w:rsid w:val="008C3BF7"/>
    <w:rsid w:val="008C40EF"/>
    <w:rsid w:val="008C4EEC"/>
    <w:rsid w:val="008C57E7"/>
    <w:rsid w:val="008C635A"/>
    <w:rsid w:val="008C6407"/>
    <w:rsid w:val="008C66A0"/>
    <w:rsid w:val="008C7CF4"/>
    <w:rsid w:val="008D1495"/>
    <w:rsid w:val="008D22A3"/>
    <w:rsid w:val="008D29D3"/>
    <w:rsid w:val="008D2B2D"/>
    <w:rsid w:val="008D3FC4"/>
    <w:rsid w:val="008D50C5"/>
    <w:rsid w:val="008D5664"/>
    <w:rsid w:val="008D5B5F"/>
    <w:rsid w:val="008D5C83"/>
    <w:rsid w:val="008D6353"/>
    <w:rsid w:val="008D6D0E"/>
    <w:rsid w:val="008E0050"/>
    <w:rsid w:val="008E1B94"/>
    <w:rsid w:val="008E21C4"/>
    <w:rsid w:val="008E3469"/>
    <w:rsid w:val="008E3D60"/>
    <w:rsid w:val="008E41F0"/>
    <w:rsid w:val="008E450C"/>
    <w:rsid w:val="008E5089"/>
    <w:rsid w:val="008E6269"/>
    <w:rsid w:val="008E7022"/>
    <w:rsid w:val="008E7DCA"/>
    <w:rsid w:val="008F0149"/>
    <w:rsid w:val="008F0C48"/>
    <w:rsid w:val="008F21D3"/>
    <w:rsid w:val="008F268D"/>
    <w:rsid w:val="008F2B75"/>
    <w:rsid w:val="008F2D95"/>
    <w:rsid w:val="008F3160"/>
    <w:rsid w:val="008F3441"/>
    <w:rsid w:val="008F3C6B"/>
    <w:rsid w:val="008F3F50"/>
    <w:rsid w:val="008F418C"/>
    <w:rsid w:val="008F43AF"/>
    <w:rsid w:val="008F4E20"/>
    <w:rsid w:val="008F5016"/>
    <w:rsid w:val="008F5CC9"/>
    <w:rsid w:val="008F5F61"/>
    <w:rsid w:val="008F6423"/>
    <w:rsid w:val="008F6FAF"/>
    <w:rsid w:val="008F70B1"/>
    <w:rsid w:val="008F738D"/>
    <w:rsid w:val="008F75E6"/>
    <w:rsid w:val="008F786C"/>
    <w:rsid w:val="008F7B8F"/>
    <w:rsid w:val="008F7D34"/>
    <w:rsid w:val="008F7D3B"/>
    <w:rsid w:val="0090165F"/>
    <w:rsid w:val="00901BE0"/>
    <w:rsid w:val="00901F5A"/>
    <w:rsid w:val="00903D4B"/>
    <w:rsid w:val="009053F9"/>
    <w:rsid w:val="00905F4D"/>
    <w:rsid w:val="009061FA"/>
    <w:rsid w:val="00906631"/>
    <w:rsid w:val="0090684D"/>
    <w:rsid w:val="00906A82"/>
    <w:rsid w:val="00906E9E"/>
    <w:rsid w:val="00906EBD"/>
    <w:rsid w:val="00907999"/>
    <w:rsid w:val="0091177D"/>
    <w:rsid w:val="0091185F"/>
    <w:rsid w:val="0091227C"/>
    <w:rsid w:val="00912504"/>
    <w:rsid w:val="0091261D"/>
    <w:rsid w:val="0091336D"/>
    <w:rsid w:val="00913EBA"/>
    <w:rsid w:val="009149DF"/>
    <w:rsid w:val="0091554B"/>
    <w:rsid w:val="009155E5"/>
    <w:rsid w:val="00915DD1"/>
    <w:rsid w:val="00917162"/>
    <w:rsid w:val="00917A04"/>
    <w:rsid w:val="00917A94"/>
    <w:rsid w:val="009206F7"/>
    <w:rsid w:val="009216B5"/>
    <w:rsid w:val="00921CB7"/>
    <w:rsid w:val="00921D1D"/>
    <w:rsid w:val="009224FF"/>
    <w:rsid w:val="00922B45"/>
    <w:rsid w:val="00922F9D"/>
    <w:rsid w:val="0092320A"/>
    <w:rsid w:val="00923988"/>
    <w:rsid w:val="00923BC5"/>
    <w:rsid w:val="00923C4F"/>
    <w:rsid w:val="00923D4E"/>
    <w:rsid w:val="00925158"/>
    <w:rsid w:val="00925B6B"/>
    <w:rsid w:val="00925C00"/>
    <w:rsid w:val="009266FD"/>
    <w:rsid w:val="00927011"/>
    <w:rsid w:val="009276BE"/>
    <w:rsid w:val="00927A66"/>
    <w:rsid w:val="00927B50"/>
    <w:rsid w:val="00930081"/>
    <w:rsid w:val="00930A6D"/>
    <w:rsid w:val="00930C74"/>
    <w:rsid w:val="00930D3D"/>
    <w:rsid w:val="009311FF"/>
    <w:rsid w:val="009317D0"/>
    <w:rsid w:val="00931CEF"/>
    <w:rsid w:val="009327B3"/>
    <w:rsid w:val="00933434"/>
    <w:rsid w:val="009335A2"/>
    <w:rsid w:val="00933C22"/>
    <w:rsid w:val="00933C46"/>
    <w:rsid w:val="00933F1A"/>
    <w:rsid w:val="0093408F"/>
    <w:rsid w:val="00935415"/>
    <w:rsid w:val="00935C46"/>
    <w:rsid w:val="009363F2"/>
    <w:rsid w:val="00937DC7"/>
    <w:rsid w:val="00940D11"/>
    <w:rsid w:val="00941CD9"/>
    <w:rsid w:val="00941E5F"/>
    <w:rsid w:val="00941EE2"/>
    <w:rsid w:val="00942BB1"/>
    <w:rsid w:val="00943413"/>
    <w:rsid w:val="009438BD"/>
    <w:rsid w:val="00943C0D"/>
    <w:rsid w:val="00943DD2"/>
    <w:rsid w:val="0094452F"/>
    <w:rsid w:val="0094462A"/>
    <w:rsid w:val="00944773"/>
    <w:rsid w:val="009449B7"/>
    <w:rsid w:val="00944DDA"/>
    <w:rsid w:val="00944E13"/>
    <w:rsid w:val="0094546B"/>
    <w:rsid w:val="00946378"/>
    <w:rsid w:val="009472C4"/>
    <w:rsid w:val="00947932"/>
    <w:rsid w:val="00950068"/>
    <w:rsid w:val="00950231"/>
    <w:rsid w:val="00950690"/>
    <w:rsid w:val="0095093B"/>
    <w:rsid w:val="00950E88"/>
    <w:rsid w:val="00951A9A"/>
    <w:rsid w:val="009521FA"/>
    <w:rsid w:val="00952A30"/>
    <w:rsid w:val="00952A9C"/>
    <w:rsid w:val="00954026"/>
    <w:rsid w:val="00954287"/>
    <w:rsid w:val="009549FF"/>
    <w:rsid w:val="00954C3C"/>
    <w:rsid w:val="009554E2"/>
    <w:rsid w:val="0095560A"/>
    <w:rsid w:val="009556E2"/>
    <w:rsid w:val="009556EE"/>
    <w:rsid w:val="009558FE"/>
    <w:rsid w:val="00955D1B"/>
    <w:rsid w:val="0095710D"/>
    <w:rsid w:val="009602DB"/>
    <w:rsid w:val="00961430"/>
    <w:rsid w:val="00962A18"/>
    <w:rsid w:val="00962EF3"/>
    <w:rsid w:val="009633A1"/>
    <w:rsid w:val="009633A9"/>
    <w:rsid w:val="00963CCA"/>
    <w:rsid w:val="00963E83"/>
    <w:rsid w:val="00965EBA"/>
    <w:rsid w:val="00965F16"/>
    <w:rsid w:val="009660EB"/>
    <w:rsid w:val="0096620F"/>
    <w:rsid w:val="00966324"/>
    <w:rsid w:val="009664B1"/>
    <w:rsid w:val="00966C2F"/>
    <w:rsid w:val="009673E1"/>
    <w:rsid w:val="0096771D"/>
    <w:rsid w:val="0096793F"/>
    <w:rsid w:val="00967B1B"/>
    <w:rsid w:val="00967BE3"/>
    <w:rsid w:val="00967ED0"/>
    <w:rsid w:val="009705E6"/>
    <w:rsid w:val="00970E08"/>
    <w:rsid w:val="00971182"/>
    <w:rsid w:val="00972093"/>
    <w:rsid w:val="00972207"/>
    <w:rsid w:val="00972891"/>
    <w:rsid w:val="009729D8"/>
    <w:rsid w:val="009732AA"/>
    <w:rsid w:val="00973342"/>
    <w:rsid w:val="009734C5"/>
    <w:rsid w:val="00973607"/>
    <w:rsid w:val="00973A82"/>
    <w:rsid w:val="00974D98"/>
    <w:rsid w:val="009755BE"/>
    <w:rsid w:val="00976780"/>
    <w:rsid w:val="0097685F"/>
    <w:rsid w:val="009769A7"/>
    <w:rsid w:val="00977DD9"/>
    <w:rsid w:val="0098027A"/>
    <w:rsid w:val="009802F3"/>
    <w:rsid w:val="0098072E"/>
    <w:rsid w:val="00980F53"/>
    <w:rsid w:val="00981007"/>
    <w:rsid w:val="00981DC1"/>
    <w:rsid w:val="0098227D"/>
    <w:rsid w:val="009826DE"/>
    <w:rsid w:val="0098390B"/>
    <w:rsid w:val="00983987"/>
    <w:rsid w:val="00983C60"/>
    <w:rsid w:val="009847A2"/>
    <w:rsid w:val="00985C88"/>
    <w:rsid w:val="00986226"/>
    <w:rsid w:val="00986304"/>
    <w:rsid w:val="00986E65"/>
    <w:rsid w:val="0098714E"/>
    <w:rsid w:val="009879F4"/>
    <w:rsid w:val="009906D5"/>
    <w:rsid w:val="0099076C"/>
    <w:rsid w:val="0099098F"/>
    <w:rsid w:val="00990CD3"/>
    <w:rsid w:val="00990E8B"/>
    <w:rsid w:val="00991538"/>
    <w:rsid w:val="009916ED"/>
    <w:rsid w:val="00991840"/>
    <w:rsid w:val="00991842"/>
    <w:rsid w:val="00991BFB"/>
    <w:rsid w:val="0099214D"/>
    <w:rsid w:val="009923B7"/>
    <w:rsid w:val="00992BC3"/>
    <w:rsid w:val="00992E36"/>
    <w:rsid w:val="00993C27"/>
    <w:rsid w:val="009942CD"/>
    <w:rsid w:val="009943C3"/>
    <w:rsid w:val="0099460A"/>
    <w:rsid w:val="00994824"/>
    <w:rsid w:val="009958DA"/>
    <w:rsid w:val="0099606E"/>
    <w:rsid w:val="009960CF"/>
    <w:rsid w:val="009A02BE"/>
    <w:rsid w:val="009A1674"/>
    <w:rsid w:val="009A1A35"/>
    <w:rsid w:val="009A1C90"/>
    <w:rsid w:val="009A2075"/>
    <w:rsid w:val="009A219D"/>
    <w:rsid w:val="009A2281"/>
    <w:rsid w:val="009A2596"/>
    <w:rsid w:val="009A2B22"/>
    <w:rsid w:val="009A31BE"/>
    <w:rsid w:val="009A31D9"/>
    <w:rsid w:val="009A3D07"/>
    <w:rsid w:val="009A3DD8"/>
    <w:rsid w:val="009A40F1"/>
    <w:rsid w:val="009A4987"/>
    <w:rsid w:val="009A4C9C"/>
    <w:rsid w:val="009A4E13"/>
    <w:rsid w:val="009A531E"/>
    <w:rsid w:val="009A55D3"/>
    <w:rsid w:val="009A5697"/>
    <w:rsid w:val="009A5753"/>
    <w:rsid w:val="009A5B9C"/>
    <w:rsid w:val="009A5E87"/>
    <w:rsid w:val="009A6247"/>
    <w:rsid w:val="009A6D53"/>
    <w:rsid w:val="009A6E1E"/>
    <w:rsid w:val="009A717A"/>
    <w:rsid w:val="009A72CC"/>
    <w:rsid w:val="009A75B5"/>
    <w:rsid w:val="009A7AB4"/>
    <w:rsid w:val="009B0086"/>
    <w:rsid w:val="009B05FA"/>
    <w:rsid w:val="009B0E53"/>
    <w:rsid w:val="009B1010"/>
    <w:rsid w:val="009B1D71"/>
    <w:rsid w:val="009B2C22"/>
    <w:rsid w:val="009B3BD3"/>
    <w:rsid w:val="009B3D1D"/>
    <w:rsid w:val="009B3E64"/>
    <w:rsid w:val="009B3F58"/>
    <w:rsid w:val="009B47E5"/>
    <w:rsid w:val="009B5E82"/>
    <w:rsid w:val="009B6F8E"/>
    <w:rsid w:val="009B7C91"/>
    <w:rsid w:val="009B7EAD"/>
    <w:rsid w:val="009B7FBD"/>
    <w:rsid w:val="009C17E7"/>
    <w:rsid w:val="009C17F5"/>
    <w:rsid w:val="009C1DC5"/>
    <w:rsid w:val="009C2182"/>
    <w:rsid w:val="009C2C3B"/>
    <w:rsid w:val="009C2EEB"/>
    <w:rsid w:val="009C33ED"/>
    <w:rsid w:val="009C3403"/>
    <w:rsid w:val="009C3635"/>
    <w:rsid w:val="009C3953"/>
    <w:rsid w:val="009C3AB2"/>
    <w:rsid w:val="009C3ADC"/>
    <w:rsid w:val="009C4214"/>
    <w:rsid w:val="009C480D"/>
    <w:rsid w:val="009C4E9C"/>
    <w:rsid w:val="009C556C"/>
    <w:rsid w:val="009C586F"/>
    <w:rsid w:val="009C5CE7"/>
    <w:rsid w:val="009C5FB8"/>
    <w:rsid w:val="009C62E4"/>
    <w:rsid w:val="009C6555"/>
    <w:rsid w:val="009C66AF"/>
    <w:rsid w:val="009C67F2"/>
    <w:rsid w:val="009C6A62"/>
    <w:rsid w:val="009C7349"/>
    <w:rsid w:val="009C7A2E"/>
    <w:rsid w:val="009D02AD"/>
    <w:rsid w:val="009D05D0"/>
    <w:rsid w:val="009D0E98"/>
    <w:rsid w:val="009D18FD"/>
    <w:rsid w:val="009D1974"/>
    <w:rsid w:val="009D1E6E"/>
    <w:rsid w:val="009D2467"/>
    <w:rsid w:val="009D2543"/>
    <w:rsid w:val="009D25EA"/>
    <w:rsid w:val="009D27C5"/>
    <w:rsid w:val="009D2E68"/>
    <w:rsid w:val="009D3214"/>
    <w:rsid w:val="009D3822"/>
    <w:rsid w:val="009D44C2"/>
    <w:rsid w:val="009D4814"/>
    <w:rsid w:val="009D4A3C"/>
    <w:rsid w:val="009D54F9"/>
    <w:rsid w:val="009D5A58"/>
    <w:rsid w:val="009D5E5C"/>
    <w:rsid w:val="009D6F82"/>
    <w:rsid w:val="009D7E1D"/>
    <w:rsid w:val="009E00C2"/>
    <w:rsid w:val="009E0362"/>
    <w:rsid w:val="009E06FF"/>
    <w:rsid w:val="009E08D6"/>
    <w:rsid w:val="009E0A53"/>
    <w:rsid w:val="009E0F4B"/>
    <w:rsid w:val="009E2DAF"/>
    <w:rsid w:val="009E445A"/>
    <w:rsid w:val="009E468A"/>
    <w:rsid w:val="009E4BCB"/>
    <w:rsid w:val="009E537B"/>
    <w:rsid w:val="009E6243"/>
    <w:rsid w:val="009E64FE"/>
    <w:rsid w:val="009E6B93"/>
    <w:rsid w:val="009E7C5F"/>
    <w:rsid w:val="009E7E25"/>
    <w:rsid w:val="009E7FC4"/>
    <w:rsid w:val="009F099D"/>
    <w:rsid w:val="009F1326"/>
    <w:rsid w:val="009F1446"/>
    <w:rsid w:val="009F16D7"/>
    <w:rsid w:val="009F1E86"/>
    <w:rsid w:val="009F259D"/>
    <w:rsid w:val="009F27FF"/>
    <w:rsid w:val="009F42E2"/>
    <w:rsid w:val="009F43B2"/>
    <w:rsid w:val="009F4FF8"/>
    <w:rsid w:val="009F51D9"/>
    <w:rsid w:val="009F568B"/>
    <w:rsid w:val="009F60C3"/>
    <w:rsid w:val="009F74EE"/>
    <w:rsid w:val="009F7AAC"/>
    <w:rsid w:val="009F7C91"/>
    <w:rsid w:val="009F7EA2"/>
    <w:rsid w:val="00A00097"/>
    <w:rsid w:val="00A00C92"/>
    <w:rsid w:val="00A01290"/>
    <w:rsid w:val="00A02094"/>
    <w:rsid w:val="00A0224A"/>
    <w:rsid w:val="00A0239F"/>
    <w:rsid w:val="00A025F5"/>
    <w:rsid w:val="00A02BEF"/>
    <w:rsid w:val="00A02C0D"/>
    <w:rsid w:val="00A02D29"/>
    <w:rsid w:val="00A02F56"/>
    <w:rsid w:val="00A02FAC"/>
    <w:rsid w:val="00A03B0B"/>
    <w:rsid w:val="00A0406E"/>
    <w:rsid w:val="00A043C2"/>
    <w:rsid w:val="00A046B5"/>
    <w:rsid w:val="00A049CA"/>
    <w:rsid w:val="00A04E8E"/>
    <w:rsid w:val="00A05214"/>
    <w:rsid w:val="00A053B5"/>
    <w:rsid w:val="00A05510"/>
    <w:rsid w:val="00A05B0E"/>
    <w:rsid w:val="00A061F1"/>
    <w:rsid w:val="00A062F9"/>
    <w:rsid w:val="00A068DB"/>
    <w:rsid w:val="00A071B3"/>
    <w:rsid w:val="00A074DE"/>
    <w:rsid w:val="00A07FBB"/>
    <w:rsid w:val="00A07FCA"/>
    <w:rsid w:val="00A1012C"/>
    <w:rsid w:val="00A10424"/>
    <w:rsid w:val="00A10586"/>
    <w:rsid w:val="00A10B09"/>
    <w:rsid w:val="00A11463"/>
    <w:rsid w:val="00A1150B"/>
    <w:rsid w:val="00A12C64"/>
    <w:rsid w:val="00A13573"/>
    <w:rsid w:val="00A13CF4"/>
    <w:rsid w:val="00A13F6F"/>
    <w:rsid w:val="00A15602"/>
    <w:rsid w:val="00A15DC2"/>
    <w:rsid w:val="00A1712C"/>
    <w:rsid w:val="00A17B9C"/>
    <w:rsid w:val="00A20050"/>
    <w:rsid w:val="00A20477"/>
    <w:rsid w:val="00A20C1F"/>
    <w:rsid w:val="00A21135"/>
    <w:rsid w:val="00A21526"/>
    <w:rsid w:val="00A218B5"/>
    <w:rsid w:val="00A22603"/>
    <w:rsid w:val="00A22D6D"/>
    <w:rsid w:val="00A22E7D"/>
    <w:rsid w:val="00A23129"/>
    <w:rsid w:val="00A2344C"/>
    <w:rsid w:val="00A24194"/>
    <w:rsid w:val="00A247AA"/>
    <w:rsid w:val="00A25044"/>
    <w:rsid w:val="00A254E6"/>
    <w:rsid w:val="00A257BF"/>
    <w:rsid w:val="00A259F6"/>
    <w:rsid w:val="00A26A62"/>
    <w:rsid w:val="00A26CDA"/>
    <w:rsid w:val="00A26D60"/>
    <w:rsid w:val="00A279C7"/>
    <w:rsid w:val="00A27AC2"/>
    <w:rsid w:val="00A27DD0"/>
    <w:rsid w:val="00A27E63"/>
    <w:rsid w:val="00A30D9F"/>
    <w:rsid w:val="00A31B97"/>
    <w:rsid w:val="00A31D00"/>
    <w:rsid w:val="00A32125"/>
    <w:rsid w:val="00A3242A"/>
    <w:rsid w:val="00A32672"/>
    <w:rsid w:val="00A33321"/>
    <w:rsid w:val="00A335F3"/>
    <w:rsid w:val="00A3448E"/>
    <w:rsid w:val="00A34719"/>
    <w:rsid w:val="00A34999"/>
    <w:rsid w:val="00A34BE6"/>
    <w:rsid w:val="00A354ED"/>
    <w:rsid w:val="00A35CB4"/>
    <w:rsid w:val="00A3624A"/>
    <w:rsid w:val="00A36A23"/>
    <w:rsid w:val="00A373DF"/>
    <w:rsid w:val="00A404B9"/>
    <w:rsid w:val="00A4086B"/>
    <w:rsid w:val="00A41107"/>
    <w:rsid w:val="00A41355"/>
    <w:rsid w:val="00A4156C"/>
    <w:rsid w:val="00A4173C"/>
    <w:rsid w:val="00A4261A"/>
    <w:rsid w:val="00A42A99"/>
    <w:rsid w:val="00A43241"/>
    <w:rsid w:val="00A432C1"/>
    <w:rsid w:val="00A43B92"/>
    <w:rsid w:val="00A43F14"/>
    <w:rsid w:val="00A44720"/>
    <w:rsid w:val="00A44EBC"/>
    <w:rsid w:val="00A44F2A"/>
    <w:rsid w:val="00A46FEA"/>
    <w:rsid w:val="00A47015"/>
    <w:rsid w:val="00A4757E"/>
    <w:rsid w:val="00A475BB"/>
    <w:rsid w:val="00A47CB3"/>
    <w:rsid w:val="00A47E82"/>
    <w:rsid w:val="00A5202F"/>
    <w:rsid w:val="00A52812"/>
    <w:rsid w:val="00A52D80"/>
    <w:rsid w:val="00A52E3B"/>
    <w:rsid w:val="00A52E55"/>
    <w:rsid w:val="00A53BF9"/>
    <w:rsid w:val="00A540BE"/>
    <w:rsid w:val="00A55C7E"/>
    <w:rsid w:val="00A55D1E"/>
    <w:rsid w:val="00A55EB5"/>
    <w:rsid w:val="00A56167"/>
    <w:rsid w:val="00A569BE"/>
    <w:rsid w:val="00A56A27"/>
    <w:rsid w:val="00A56C9A"/>
    <w:rsid w:val="00A576E3"/>
    <w:rsid w:val="00A57B6D"/>
    <w:rsid w:val="00A6014D"/>
    <w:rsid w:val="00A610CB"/>
    <w:rsid w:val="00A615CE"/>
    <w:rsid w:val="00A6178D"/>
    <w:rsid w:val="00A6179E"/>
    <w:rsid w:val="00A61B9E"/>
    <w:rsid w:val="00A61DAC"/>
    <w:rsid w:val="00A61DCB"/>
    <w:rsid w:val="00A627A7"/>
    <w:rsid w:val="00A628E6"/>
    <w:rsid w:val="00A6339D"/>
    <w:rsid w:val="00A63698"/>
    <w:rsid w:val="00A638E1"/>
    <w:rsid w:val="00A64B54"/>
    <w:rsid w:val="00A653A5"/>
    <w:rsid w:val="00A65425"/>
    <w:rsid w:val="00A65445"/>
    <w:rsid w:val="00A658AC"/>
    <w:rsid w:val="00A658E1"/>
    <w:rsid w:val="00A65C0B"/>
    <w:rsid w:val="00A65C17"/>
    <w:rsid w:val="00A669EE"/>
    <w:rsid w:val="00A66F67"/>
    <w:rsid w:val="00A67055"/>
    <w:rsid w:val="00A673D4"/>
    <w:rsid w:val="00A675A7"/>
    <w:rsid w:val="00A675FA"/>
    <w:rsid w:val="00A703A6"/>
    <w:rsid w:val="00A70631"/>
    <w:rsid w:val="00A70FB5"/>
    <w:rsid w:val="00A710A5"/>
    <w:rsid w:val="00A717D1"/>
    <w:rsid w:val="00A72F79"/>
    <w:rsid w:val="00A73AAC"/>
    <w:rsid w:val="00A7490A"/>
    <w:rsid w:val="00A74BB9"/>
    <w:rsid w:val="00A74D5C"/>
    <w:rsid w:val="00A74DC1"/>
    <w:rsid w:val="00A751B7"/>
    <w:rsid w:val="00A75252"/>
    <w:rsid w:val="00A759BD"/>
    <w:rsid w:val="00A75B10"/>
    <w:rsid w:val="00A75F7C"/>
    <w:rsid w:val="00A76B49"/>
    <w:rsid w:val="00A77A22"/>
    <w:rsid w:val="00A806E0"/>
    <w:rsid w:val="00A8174C"/>
    <w:rsid w:val="00A81983"/>
    <w:rsid w:val="00A82173"/>
    <w:rsid w:val="00A828FB"/>
    <w:rsid w:val="00A830A0"/>
    <w:rsid w:val="00A83258"/>
    <w:rsid w:val="00A83A50"/>
    <w:rsid w:val="00A8408C"/>
    <w:rsid w:val="00A84617"/>
    <w:rsid w:val="00A84DAC"/>
    <w:rsid w:val="00A86C32"/>
    <w:rsid w:val="00A8712C"/>
    <w:rsid w:val="00A876EB"/>
    <w:rsid w:val="00A87B1C"/>
    <w:rsid w:val="00A903E1"/>
    <w:rsid w:val="00A90709"/>
    <w:rsid w:val="00A90F90"/>
    <w:rsid w:val="00A916D9"/>
    <w:rsid w:val="00A91A6C"/>
    <w:rsid w:val="00A91CA1"/>
    <w:rsid w:val="00A91D0B"/>
    <w:rsid w:val="00A91E47"/>
    <w:rsid w:val="00A928EA"/>
    <w:rsid w:val="00A93B73"/>
    <w:rsid w:val="00A94531"/>
    <w:rsid w:val="00A94A37"/>
    <w:rsid w:val="00A9608D"/>
    <w:rsid w:val="00A960C1"/>
    <w:rsid w:val="00A962FC"/>
    <w:rsid w:val="00A96536"/>
    <w:rsid w:val="00A96A66"/>
    <w:rsid w:val="00A96F9C"/>
    <w:rsid w:val="00A97369"/>
    <w:rsid w:val="00A976AB"/>
    <w:rsid w:val="00A976ED"/>
    <w:rsid w:val="00AA02A2"/>
    <w:rsid w:val="00AA1531"/>
    <w:rsid w:val="00AA1BCD"/>
    <w:rsid w:val="00AA22F3"/>
    <w:rsid w:val="00AA2392"/>
    <w:rsid w:val="00AA2685"/>
    <w:rsid w:val="00AA2A26"/>
    <w:rsid w:val="00AA2C29"/>
    <w:rsid w:val="00AA32B3"/>
    <w:rsid w:val="00AA32EC"/>
    <w:rsid w:val="00AA3669"/>
    <w:rsid w:val="00AA3B94"/>
    <w:rsid w:val="00AA4582"/>
    <w:rsid w:val="00AA45C6"/>
    <w:rsid w:val="00AA46FD"/>
    <w:rsid w:val="00AA4A1D"/>
    <w:rsid w:val="00AA5BC7"/>
    <w:rsid w:val="00AA64A9"/>
    <w:rsid w:val="00AA6AEB"/>
    <w:rsid w:val="00AA6D46"/>
    <w:rsid w:val="00AA7168"/>
    <w:rsid w:val="00AA7216"/>
    <w:rsid w:val="00AA763D"/>
    <w:rsid w:val="00AA7BEF"/>
    <w:rsid w:val="00AA7CA2"/>
    <w:rsid w:val="00AB08DD"/>
    <w:rsid w:val="00AB0B7E"/>
    <w:rsid w:val="00AB10AC"/>
    <w:rsid w:val="00AB1283"/>
    <w:rsid w:val="00AB1A73"/>
    <w:rsid w:val="00AB1A81"/>
    <w:rsid w:val="00AB218C"/>
    <w:rsid w:val="00AB2BF2"/>
    <w:rsid w:val="00AB383F"/>
    <w:rsid w:val="00AB4931"/>
    <w:rsid w:val="00AB4AED"/>
    <w:rsid w:val="00AB4B1F"/>
    <w:rsid w:val="00AB57AE"/>
    <w:rsid w:val="00AB604A"/>
    <w:rsid w:val="00AB6EFC"/>
    <w:rsid w:val="00AB7094"/>
    <w:rsid w:val="00AB7110"/>
    <w:rsid w:val="00AB7B33"/>
    <w:rsid w:val="00AC094A"/>
    <w:rsid w:val="00AC1655"/>
    <w:rsid w:val="00AC265F"/>
    <w:rsid w:val="00AC27AB"/>
    <w:rsid w:val="00AC2CF0"/>
    <w:rsid w:val="00AC2ECF"/>
    <w:rsid w:val="00AC4043"/>
    <w:rsid w:val="00AC49B1"/>
    <w:rsid w:val="00AC4D6C"/>
    <w:rsid w:val="00AC582C"/>
    <w:rsid w:val="00AC59A7"/>
    <w:rsid w:val="00AC6167"/>
    <w:rsid w:val="00AC6834"/>
    <w:rsid w:val="00AC6A34"/>
    <w:rsid w:val="00AC6E25"/>
    <w:rsid w:val="00AC70FE"/>
    <w:rsid w:val="00AC76CE"/>
    <w:rsid w:val="00AD02F0"/>
    <w:rsid w:val="00AD1102"/>
    <w:rsid w:val="00AD1BE2"/>
    <w:rsid w:val="00AD215E"/>
    <w:rsid w:val="00AD2257"/>
    <w:rsid w:val="00AD317B"/>
    <w:rsid w:val="00AD31DE"/>
    <w:rsid w:val="00AD3A3B"/>
    <w:rsid w:val="00AD3CE9"/>
    <w:rsid w:val="00AD41E3"/>
    <w:rsid w:val="00AD42D7"/>
    <w:rsid w:val="00AD4576"/>
    <w:rsid w:val="00AD503C"/>
    <w:rsid w:val="00AD5216"/>
    <w:rsid w:val="00AD5AF2"/>
    <w:rsid w:val="00AD5FC2"/>
    <w:rsid w:val="00AD61D3"/>
    <w:rsid w:val="00AD6F46"/>
    <w:rsid w:val="00AD70AD"/>
    <w:rsid w:val="00AD7483"/>
    <w:rsid w:val="00AD7812"/>
    <w:rsid w:val="00AD7C32"/>
    <w:rsid w:val="00AD7FE0"/>
    <w:rsid w:val="00AE02F0"/>
    <w:rsid w:val="00AE097A"/>
    <w:rsid w:val="00AE0DDD"/>
    <w:rsid w:val="00AE1010"/>
    <w:rsid w:val="00AE1162"/>
    <w:rsid w:val="00AE1E1A"/>
    <w:rsid w:val="00AE2249"/>
    <w:rsid w:val="00AE2573"/>
    <w:rsid w:val="00AE33B4"/>
    <w:rsid w:val="00AE402D"/>
    <w:rsid w:val="00AE44C8"/>
    <w:rsid w:val="00AE4D83"/>
    <w:rsid w:val="00AE544F"/>
    <w:rsid w:val="00AE547C"/>
    <w:rsid w:val="00AE7382"/>
    <w:rsid w:val="00AE76EB"/>
    <w:rsid w:val="00AF00AC"/>
    <w:rsid w:val="00AF0AB4"/>
    <w:rsid w:val="00AF1034"/>
    <w:rsid w:val="00AF16E1"/>
    <w:rsid w:val="00AF27D6"/>
    <w:rsid w:val="00AF2E3A"/>
    <w:rsid w:val="00AF30BA"/>
    <w:rsid w:val="00AF3172"/>
    <w:rsid w:val="00AF3593"/>
    <w:rsid w:val="00AF499D"/>
    <w:rsid w:val="00AF51DE"/>
    <w:rsid w:val="00AF5CC3"/>
    <w:rsid w:val="00AF7373"/>
    <w:rsid w:val="00AF7390"/>
    <w:rsid w:val="00AF7D16"/>
    <w:rsid w:val="00B00B10"/>
    <w:rsid w:val="00B0261F"/>
    <w:rsid w:val="00B02861"/>
    <w:rsid w:val="00B03735"/>
    <w:rsid w:val="00B03F5E"/>
    <w:rsid w:val="00B04E89"/>
    <w:rsid w:val="00B04F1E"/>
    <w:rsid w:val="00B0500B"/>
    <w:rsid w:val="00B05119"/>
    <w:rsid w:val="00B051DC"/>
    <w:rsid w:val="00B06168"/>
    <w:rsid w:val="00B064D0"/>
    <w:rsid w:val="00B064E3"/>
    <w:rsid w:val="00B0686C"/>
    <w:rsid w:val="00B06C93"/>
    <w:rsid w:val="00B07D12"/>
    <w:rsid w:val="00B104D5"/>
    <w:rsid w:val="00B10610"/>
    <w:rsid w:val="00B109A9"/>
    <w:rsid w:val="00B10D03"/>
    <w:rsid w:val="00B10F73"/>
    <w:rsid w:val="00B1149F"/>
    <w:rsid w:val="00B1154A"/>
    <w:rsid w:val="00B1280C"/>
    <w:rsid w:val="00B128A0"/>
    <w:rsid w:val="00B12D10"/>
    <w:rsid w:val="00B12E2F"/>
    <w:rsid w:val="00B13067"/>
    <w:rsid w:val="00B138CD"/>
    <w:rsid w:val="00B13C38"/>
    <w:rsid w:val="00B13CF0"/>
    <w:rsid w:val="00B140E1"/>
    <w:rsid w:val="00B1478E"/>
    <w:rsid w:val="00B16BB9"/>
    <w:rsid w:val="00B1758C"/>
    <w:rsid w:val="00B17EF4"/>
    <w:rsid w:val="00B202C1"/>
    <w:rsid w:val="00B207E5"/>
    <w:rsid w:val="00B21CA9"/>
    <w:rsid w:val="00B22697"/>
    <w:rsid w:val="00B22EDF"/>
    <w:rsid w:val="00B235D4"/>
    <w:rsid w:val="00B23A19"/>
    <w:rsid w:val="00B23AF3"/>
    <w:rsid w:val="00B23BDB"/>
    <w:rsid w:val="00B2420F"/>
    <w:rsid w:val="00B24235"/>
    <w:rsid w:val="00B245C3"/>
    <w:rsid w:val="00B24816"/>
    <w:rsid w:val="00B24C8C"/>
    <w:rsid w:val="00B25695"/>
    <w:rsid w:val="00B2581A"/>
    <w:rsid w:val="00B25E2A"/>
    <w:rsid w:val="00B260C2"/>
    <w:rsid w:val="00B26683"/>
    <w:rsid w:val="00B26B4A"/>
    <w:rsid w:val="00B27733"/>
    <w:rsid w:val="00B277E0"/>
    <w:rsid w:val="00B27815"/>
    <w:rsid w:val="00B31099"/>
    <w:rsid w:val="00B3111D"/>
    <w:rsid w:val="00B323E1"/>
    <w:rsid w:val="00B326BC"/>
    <w:rsid w:val="00B32C29"/>
    <w:rsid w:val="00B33B41"/>
    <w:rsid w:val="00B346E2"/>
    <w:rsid w:val="00B346F5"/>
    <w:rsid w:val="00B3492C"/>
    <w:rsid w:val="00B35207"/>
    <w:rsid w:val="00B36D72"/>
    <w:rsid w:val="00B36D9B"/>
    <w:rsid w:val="00B37643"/>
    <w:rsid w:val="00B40392"/>
    <w:rsid w:val="00B4045E"/>
    <w:rsid w:val="00B40AE4"/>
    <w:rsid w:val="00B41335"/>
    <w:rsid w:val="00B41445"/>
    <w:rsid w:val="00B41FB2"/>
    <w:rsid w:val="00B4248B"/>
    <w:rsid w:val="00B42BB7"/>
    <w:rsid w:val="00B432FA"/>
    <w:rsid w:val="00B4390B"/>
    <w:rsid w:val="00B44BF7"/>
    <w:rsid w:val="00B4567E"/>
    <w:rsid w:val="00B45695"/>
    <w:rsid w:val="00B45EB1"/>
    <w:rsid w:val="00B4662E"/>
    <w:rsid w:val="00B474D4"/>
    <w:rsid w:val="00B474F4"/>
    <w:rsid w:val="00B47C93"/>
    <w:rsid w:val="00B47F0A"/>
    <w:rsid w:val="00B50947"/>
    <w:rsid w:val="00B50ECD"/>
    <w:rsid w:val="00B5110E"/>
    <w:rsid w:val="00B51A44"/>
    <w:rsid w:val="00B52640"/>
    <w:rsid w:val="00B52701"/>
    <w:rsid w:val="00B52E2D"/>
    <w:rsid w:val="00B539B2"/>
    <w:rsid w:val="00B53B68"/>
    <w:rsid w:val="00B53CBF"/>
    <w:rsid w:val="00B53E2D"/>
    <w:rsid w:val="00B54974"/>
    <w:rsid w:val="00B54A1F"/>
    <w:rsid w:val="00B54C20"/>
    <w:rsid w:val="00B5510B"/>
    <w:rsid w:val="00B55C71"/>
    <w:rsid w:val="00B55C7E"/>
    <w:rsid w:val="00B55D61"/>
    <w:rsid w:val="00B56ADC"/>
    <w:rsid w:val="00B5787A"/>
    <w:rsid w:val="00B6056C"/>
    <w:rsid w:val="00B60B61"/>
    <w:rsid w:val="00B61F88"/>
    <w:rsid w:val="00B62F90"/>
    <w:rsid w:val="00B64526"/>
    <w:rsid w:val="00B64770"/>
    <w:rsid w:val="00B64B17"/>
    <w:rsid w:val="00B653C9"/>
    <w:rsid w:val="00B65B86"/>
    <w:rsid w:val="00B65C02"/>
    <w:rsid w:val="00B662F8"/>
    <w:rsid w:val="00B6688E"/>
    <w:rsid w:val="00B66A5C"/>
    <w:rsid w:val="00B672C7"/>
    <w:rsid w:val="00B67F49"/>
    <w:rsid w:val="00B70484"/>
    <w:rsid w:val="00B70F8C"/>
    <w:rsid w:val="00B719E0"/>
    <w:rsid w:val="00B719EE"/>
    <w:rsid w:val="00B71CF7"/>
    <w:rsid w:val="00B72302"/>
    <w:rsid w:val="00B72679"/>
    <w:rsid w:val="00B72720"/>
    <w:rsid w:val="00B72D91"/>
    <w:rsid w:val="00B72ED0"/>
    <w:rsid w:val="00B7340C"/>
    <w:rsid w:val="00B7403A"/>
    <w:rsid w:val="00B746AA"/>
    <w:rsid w:val="00B7516E"/>
    <w:rsid w:val="00B75196"/>
    <w:rsid w:val="00B75B50"/>
    <w:rsid w:val="00B75DA3"/>
    <w:rsid w:val="00B76653"/>
    <w:rsid w:val="00B768AD"/>
    <w:rsid w:val="00B769CB"/>
    <w:rsid w:val="00B76AB0"/>
    <w:rsid w:val="00B77278"/>
    <w:rsid w:val="00B77700"/>
    <w:rsid w:val="00B7773B"/>
    <w:rsid w:val="00B777CA"/>
    <w:rsid w:val="00B8122B"/>
    <w:rsid w:val="00B81FB2"/>
    <w:rsid w:val="00B820B7"/>
    <w:rsid w:val="00B8277D"/>
    <w:rsid w:val="00B84918"/>
    <w:rsid w:val="00B84B67"/>
    <w:rsid w:val="00B85A21"/>
    <w:rsid w:val="00B8614A"/>
    <w:rsid w:val="00B86626"/>
    <w:rsid w:val="00B866A1"/>
    <w:rsid w:val="00B8698D"/>
    <w:rsid w:val="00B86C8E"/>
    <w:rsid w:val="00B86E18"/>
    <w:rsid w:val="00B87404"/>
    <w:rsid w:val="00B87481"/>
    <w:rsid w:val="00B87DD3"/>
    <w:rsid w:val="00B900C8"/>
    <w:rsid w:val="00B9075B"/>
    <w:rsid w:val="00B91216"/>
    <w:rsid w:val="00B91222"/>
    <w:rsid w:val="00B922B6"/>
    <w:rsid w:val="00B927B3"/>
    <w:rsid w:val="00B92A3B"/>
    <w:rsid w:val="00B92B35"/>
    <w:rsid w:val="00B93429"/>
    <w:rsid w:val="00B93A00"/>
    <w:rsid w:val="00B9414D"/>
    <w:rsid w:val="00B9479D"/>
    <w:rsid w:val="00B965CC"/>
    <w:rsid w:val="00B967DD"/>
    <w:rsid w:val="00B96B9F"/>
    <w:rsid w:val="00B96F3C"/>
    <w:rsid w:val="00B96F40"/>
    <w:rsid w:val="00BA0F8A"/>
    <w:rsid w:val="00BA262D"/>
    <w:rsid w:val="00BA2AF2"/>
    <w:rsid w:val="00BA3629"/>
    <w:rsid w:val="00BA6BFE"/>
    <w:rsid w:val="00BA6CC6"/>
    <w:rsid w:val="00BA7826"/>
    <w:rsid w:val="00BA7910"/>
    <w:rsid w:val="00BB00E9"/>
    <w:rsid w:val="00BB026D"/>
    <w:rsid w:val="00BB07D5"/>
    <w:rsid w:val="00BB0DE8"/>
    <w:rsid w:val="00BB15FB"/>
    <w:rsid w:val="00BB1A51"/>
    <w:rsid w:val="00BB1B59"/>
    <w:rsid w:val="00BB1F80"/>
    <w:rsid w:val="00BB35EE"/>
    <w:rsid w:val="00BB4071"/>
    <w:rsid w:val="00BB40D7"/>
    <w:rsid w:val="00BB4F04"/>
    <w:rsid w:val="00BB51B9"/>
    <w:rsid w:val="00BB6291"/>
    <w:rsid w:val="00BB7560"/>
    <w:rsid w:val="00BB792C"/>
    <w:rsid w:val="00BC038C"/>
    <w:rsid w:val="00BC1531"/>
    <w:rsid w:val="00BC2A01"/>
    <w:rsid w:val="00BC313B"/>
    <w:rsid w:val="00BC4197"/>
    <w:rsid w:val="00BC4ADE"/>
    <w:rsid w:val="00BC5886"/>
    <w:rsid w:val="00BC69EF"/>
    <w:rsid w:val="00BC7291"/>
    <w:rsid w:val="00BC72A8"/>
    <w:rsid w:val="00BC766C"/>
    <w:rsid w:val="00BC79EB"/>
    <w:rsid w:val="00BD0DC4"/>
    <w:rsid w:val="00BD0E85"/>
    <w:rsid w:val="00BD10D1"/>
    <w:rsid w:val="00BD1370"/>
    <w:rsid w:val="00BD22C7"/>
    <w:rsid w:val="00BD2393"/>
    <w:rsid w:val="00BD28FD"/>
    <w:rsid w:val="00BD2B86"/>
    <w:rsid w:val="00BD2E16"/>
    <w:rsid w:val="00BD38E0"/>
    <w:rsid w:val="00BD3CD6"/>
    <w:rsid w:val="00BD469A"/>
    <w:rsid w:val="00BD53A8"/>
    <w:rsid w:val="00BD53F9"/>
    <w:rsid w:val="00BD5B1F"/>
    <w:rsid w:val="00BD5E33"/>
    <w:rsid w:val="00BD6679"/>
    <w:rsid w:val="00BD78E6"/>
    <w:rsid w:val="00BE0BB3"/>
    <w:rsid w:val="00BE0CA4"/>
    <w:rsid w:val="00BE10F3"/>
    <w:rsid w:val="00BE1D8B"/>
    <w:rsid w:val="00BE2007"/>
    <w:rsid w:val="00BE2544"/>
    <w:rsid w:val="00BE2BC6"/>
    <w:rsid w:val="00BE36C1"/>
    <w:rsid w:val="00BE3AE2"/>
    <w:rsid w:val="00BE3E83"/>
    <w:rsid w:val="00BE515B"/>
    <w:rsid w:val="00BE53F0"/>
    <w:rsid w:val="00BE5FC4"/>
    <w:rsid w:val="00BE6623"/>
    <w:rsid w:val="00BE6B87"/>
    <w:rsid w:val="00BE6D63"/>
    <w:rsid w:val="00BE6ED5"/>
    <w:rsid w:val="00BE75AC"/>
    <w:rsid w:val="00BF0807"/>
    <w:rsid w:val="00BF0D80"/>
    <w:rsid w:val="00BF18A8"/>
    <w:rsid w:val="00BF18AA"/>
    <w:rsid w:val="00BF2CAA"/>
    <w:rsid w:val="00BF3A3F"/>
    <w:rsid w:val="00BF3C15"/>
    <w:rsid w:val="00BF3CDC"/>
    <w:rsid w:val="00BF3E64"/>
    <w:rsid w:val="00BF46D5"/>
    <w:rsid w:val="00BF48D9"/>
    <w:rsid w:val="00BF4A8C"/>
    <w:rsid w:val="00BF53CB"/>
    <w:rsid w:val="00BF5D90"/>
    <w:rsid w:val="00BF6E80"/>
    <w:rsid w:val="00C007C1"/>
    <w:rsid w:val="00C0166F"/>
    <w:rsid w:val="00C01679"/>
    <w:rsid w:val="00C01AEF"/>
    <w:rsid w:val="00C02604"/>
    <w:rsid w:val="00C029F9"/>
    <w:rsid w:val="00C03B5B"/>
    <w:rsid w:val="00C03EC5"/>
    <w:rsid w:val="00C04171"/>
    <w:rsid w:val="00C04507"/>
    <w:rsid w:val="00C04B29"/>
    <w:rsid w:val="00C04BE9"/>
    <w:rsid w:val="00C053F2"/>
    <w:rsid w:val="00C05A2A"/>
    <w:rsid w:val="00C05E63"/>
    <w:rsid w:val="00C062FF"/>
    <w:rsid w:val="00C06A17"/>
    <w:rsid w:val="00C0732F"/>
    <w:rsid w:val="00C07683"/>
    <w:rsid w:val="00C076F2"/>
    <w:rsid w:val="00C078F4"/>
    <w:rsid w:val="00C07A5B"/>
    <w:rsid w:val="00C07BB8"/>
    <w:rsid w:val="00C108AD"/>
    <w:rsid w:val="00C10B4E"/>
    <w:rsid w:val="00C1130D"/>
    <w:rsid w:val="00C1218D"/>
    <w:rsid w:val="00C1294F"/>
    <w:rsid w:val="00C12E4C"/>
    <w:rsid w:val="00C13085"/>
    <w:rsid w:val="00C132A0"/>
    <w:rsid w:val="00C134DB"/>
    <w:rsid w:val="00C13951"/>
    <w:rsid w:val="00C148CC"/>
    <w:rsid w:val="00C14B46"/>
    <w:rsid w:val="00C14C9A"/>
    <w:rsid w:val="00C172A5"/>
    <w:rsid w:val="00C17B78"/>
    <w:rsid w:val="00C2037E"/>
    <w:rsid w:val="00C204E5"/>
    <w:rsid w:val="00C20794"/>
    <w:rsid w:val="00C20A65"/>
    <w:rsid w:val="00C2130D"/>
    <w:rsid w:val="00C220C8"/>
    <w:rsid w:val="00C22214"/>
    <w:rsid w:val="00C2224C"/>
    <w:rsid w:val="00C226FC"/>
    <w:rsid w:val="00C22A4B"/>
    <w:rsid w:val="00C23410"/>
    <w:rsid w:val="00C2386B"/>
    <w:rsid w:val="00C23B52"/>
    <w:rsid w:val="00C247EB"/>
    <w:rsid w:val="00C2529C"/>
    <w:rsid w:val="00C2556D"/>
    <w:rsid w:val="00C25B45"/>
    <w:rsid w:val="00C25B59"/>
    <w:rsid w:val="00C25BDA"/>
    <w:rsid w:val="00C2611F"/>
    <w:rsid w:val="00C26A60"/>
    <w:rsid w:val="00C26B13"/>
    <w:rsid w:val="00C27261"/>
    <w:rsid w:val="00C27B64"/>
    <w:rsid w:val="00C27C28"/>
    <w:rsid w:val="00C30009"/>
    <w:rsid w:val="00C30CE1"/>
    <w:rsid w:val="00C3141F"/>
    <w:rsid w:val="00C31FF3"/>
    <w:rsid w:val="00C32400"/>
    <w:rsid w:val="00C3295C"/>
    <w:rsid w:val="00C329FB"/>
    <w:rsid w:val="00C32CE0"/>
    <w:rsid w:val="00C32FAD"/>
    <w:rsid w:val="00C33064"/>
    <w:rsid w:val="00C34698"/>
    <w:rsid w:val="00C34B93"/>
    <w:rsid w:val="00C34CBA"/>
    <w:rsid w:val="00C34FB7"/>
    <w:rsid w:val="00C35A54"/>
    <w:rsid w:val="00C361BD"/>
    <w:rsid w:val="00C379F4"/>
    <w:rsid w:val="00C37DD9"/>
    <w:rsid w:val="00C40091"/>
    <w:rsid w:val="00C40373"/>
    <w:rsid w:val="00C40383"/>
    <w:rsid w:val="00C40685"/>
    <w:rsid w:val="00C406EB"/>
    <w:rsid w:val="00C40796"/>
    <w:rsid w:val="00C410AB"/>
    <w:rsid w:val="00C4151C"/>
    <w:rsid w:val="00C44067"/>
    <w:rsid w:val="00C442EC"/>
    <w:rsid w:val="00C4482C"/>
    <w:rsid w:val="00C450ED"/>
    <w:rsid w:val="00C45B45"/>
    <w:rsid w:val="00C46B70"/>
    <w:rsid w:val="00C46F2D"/>
    <w:rsid w:val="00C47034"/>
    <w:rsid w:val="00C473BF"/>
    <w:rsid w:val="00C47DF7"/>
    <w:rsid w:val="00C512E1"/>
    <w:rsid w:val="00C514E1"/>
    <w:rsid w:val="00C515FC"/>
    <w:rsid w:val="00C5204F"/>
    <w:rsid w:val="00C5209F"/>
    <w:rsid w:val="00C525AD"/>
    <w:rsid w:val="00C525F3"/>
    <w:rsid w:val="00C52624"/>
    <w:rsid w:val="00C52FC4"/>
    <w:rsid w:val="00C53093"/>
    <w:rsid w:val="00C5343C"/>
    <w:rsid w:val="00C5380A"/>
    <w:rsid w:val="00C53971"/>
    <w:rsid w:val="00C53B7A"/>
    <w:rsid w:val="00C53BD6"/>
    <w:rsid w:val="00C53C2A"/>
    <w:rsid w:val="00C541C6"/>
    <w:rsid w:val="00C542A9"/>
    <w:rsid w:val="00C54421"/>
    <w:rsid w:val="00C5451F"/>
    <w:rsid w:val="00C54B13"/>
    <w:rsid w:val="00C54C4B"/>
    <w:rsid w:val="00C54FB1"/>
    <w:rsid w:val="00C557AC"/>
    <w:rsid w:val="00C557AE"/>
    <w:rsid w:val="00C55B2E"/>
    <w:rsid w:val="00C5678A"/>
    <w:rsid w:val="00C56F53"/>
    <w:rsid w:val="00C57484"/>
    <w:rsid w:val="00C57777"/>
    <w:rsid w:val="00C57BD7"/>
    <w:rsid w:val="00C6021C"/>
    <w:rsid w:val="00C606F9"/>
    <w:rsid w:val="00C60FB8"/>
    <w:rsid w:val="00C61276"/>
    <w:rsid w:val="00C620C6"/>
    <w:rsid w:val="00C6286F"/>
    <w:rsid w:val="00C62AF2"/>
    <w:rsid w:val="00C6329C"/>
    <w:rsid w:val="00C63B80"/>
    <w:rsid w:val="00C64124"/>
    <w:rsid w:val="00C645FC"/>
    <w:rsid w:val="00C64C2B"/>
    <w:rsid w:val="00C64E8E"/>
    <w:rsid w:val="00C656DB"/>
    <w:rsid w:val="00C65D1D"/>
    <w:rsid w:val="00C66045"/>
    <w:rsid w:val="00C667AF"/>
    <w:rsid w:val="00C6681D"/>
    <w:rsid w:val="00C670A9"/>
    <w:rsid w:val="00C6795B"/>
    <w:rsid w:val="00C67994"/>
    <w:rsid w:val="00C704C2"/>
    <w:rsid w:val="00C71DB5"/>
    <w:rsid w:val="00C725F5"/>
    <w:rsid w:val="00C7471F"/>
    <w:rsid w:val="00C747D6"/>
    <w:rsid w:val="00C7485A"/>
    <w:rsid w:val="00C74CF3"/>
    <w:rsid w:val="00C74D66"/>
    <w:rsid w:val="00C7517B"/>
    <w:rsid w:val="00C7518E"/>
    <w:rsid w:val="00C751C9"/>
    <w:rsid w:val="00C751DF"/>
    <w:rsid w:val="00C7524E"/>
    <w:rsid w:val="00C761D2"/>
    <w:rsid w:val="00C76689"/>
    <w:rsid w:val="00C767E8"/>
    <w:rsid w:val="00C76D01"/>
    <w:rsid w:val="00C76EDE"/>
    <w:rsid w:val="00C80A5F"/>
    <w:rsid w:val="00C80F9F"/>
    <w:rsid w:val="00C81863"/>
    <w:rsid w:val="00C82601"/>
    <w:rsid w:val="00C82B18"/>
    <w:rsid w:val="00C82C84"/>
    <w:rsid w:val="00C8623D"/>
    <w:rsid w:val="00C8661A"/>
    <w:rsid w:val="00C90B87"/>
    <w:rsid w:val="00C90DD1"/>
    <w:rsid w:val="00C9120F"/>
    <w:rsid w:val="00C916DD"/>
    <w:rsid w:val="00C92A87"/>
    <w:rsid w:val="00C95A3C"/>
    <w:rsid w:val="00C95B1C"/>
    <w:rsid w:val="00C95EF0"/>
    <w:rsid w:val="00C95F4F"/>
    <w:rsid w:val="00C96590"/>
    <w:rsid w:val="00C969FC"/>
    <w:rsid w:val="00C96F93"/>
    <w:rsid w:val="00C972B4"/>
    <w:rsid w:val="00C97306"/>
    <w:rsid w:val="00C97787"/>
    <w:rsid w:val="00C9786D"/>
    <w:rsid w:val="00CA0A6A"/>
    <w:rsid w:val="00CA0D78"/>
    <w:rsid w:val="00CA15F2"/>
    <w:rsid w:val="00CA209E"/>
    <w:rsid w:val="00CA289B"/>
    <w:rsid w:val="00CA2B51"/>
    <w:rsid w:val="00CA3CDF"/>
    <w:rsid w:val="00CA4770"/>
    <w:rsid w:val="00CA5127"/>
    <w:rsid w:val="00CA532B"/>
    <w:rsid w:val="00CA5366"/>
    <w:rsid w:val="00CA5D38"/>
    <w:rsid w:val="00CA5DC6"/>
    <w:rsid w:val="00CA63BC"/>
    <w:rsid w:val="00CA7531"/>
    <w:rsid w:val="00CA7B9C"/>
    <w:rsid w:val="00CB0744"/>
    <w:rsid w:val="00CB0C81"/>
    <w:rsid w:val="00CB1524"/>
    <w:rsid w:val="00CB1D99"/>
    <w:rsid w:val="00CB23A2"/>
    <w:rsid w:val="00CB2570"/>
    <w:rsid w:val="00CB27A8"/>
    <w:rsid w:val="00CB2BE2"/>
    <w:rsid w:val="00CB3C6D"/>
    <w:rsid w:val="00CB3FBB"/>
    <w:rsid w:val="00CB4B4C"/>
    <w:rsid w:val="00CB4C73"/>
    <w:rsid w:val="00CB4F0D"/>
    <w:rsid w:val="00CB5C0D"/>
    <w:rsid w:val="00CB5DA4"/>
    <w:rsid w:val="00CB680A"/>
    <w:rsid w:val="00CB694E"/>
    <w:rsid w:val="00CB78E1"/>
    <w:rsid w:val="00CC02E4"/>
    <w:rsid w:val="00CC03EA"/>
    <w:rsid w:val="00CC0D2B"/>
    <w:rsid w:val="00CC0D74"/>
    <w:rsid w:val="00CC195C"/>
    <w:rsid w:val="00CC1A85"/>
    <w:rsid w:val="00CC2049"/>
    <w:rsid w:val="00CC2654"/>
    <w:rsid w:val="00CC5057"/>
    <w:rsid w:val="00CC6901"/>
    <w:rsid w:val="00CC69A9"/>
    <w:rsid w:val="00CC6C01"/>
    <w:rsid w:val="00CC70CC"/>
    <w:rsid w:val="00CC728C"/>
    <w:rsid w:val="00CC7717"/>
    <w:rsid w:val="00CC7979"/>
    <w:rsid w:val="00CD206F"/>
    <w:rsid w:val="00CD30C5"/>
    <w:rsid w:val="00CD3E3D"/>
    <w:rsid w:val="00CD4291"/>
    <w:rsid w:val="00CD4E9E"/>
    <w:rsid w:val="00CD743F"/>
    <w:rsid w:val="00CD7853"/>
    <w:rsid w:val="00CD7EA9"/>
    <w:rsid w:val="00CD7F80"/>
    <w:rsid w:val="00CE010B"/>
    <w:rsid w:val="00CE0BCE"/>
    <w:rsid w:val="00CE169E"/>
    <w:rsid w:val="00CE196C"/>
    <w:rsid w:val="00CE2365"/>
    <w:rsid w:val="00CE2A94"/>
    <w:rsid w:val="00CE2ECE"/>
    <w:rsid w:val="00CE3E83"/>
    <w:rsid w:val="00CE414C"/>
    <w:rsid w:val="00CE5269"/>
    <w:rsid w:val="00CE6005"/>
    <w:rsid w:val="00CE689A"/>
    <w:rsid w:val="00CE7133"/>
    <w:rsid w:val="00CE7182"/>
    <w:rsid w:val="00CE786D"/>
    <w:rsid w:val="00CE7DC6"/>
    <w:rsid w:val="00CF008F"/>
    <w:rsid w:val="00CF0D35"/>
    <w:rsid w:val="00CF14A5"/>
    <w:rsid w:val="00CF27D9"/>
    <w:rsid w:val="00CF2C1B"/>
    <w:rsid w:val="00CF3CF0"/>
    <w:rsid w:val="00CF49B0"/>
    <w:rsid w:val="00CF5DE1"/>
    <w:rsid w:val="00CF663E"/>
    <w:rsid w:val="00CF7352"/>
    <w:rsid w:val="00CF74FC"/>
    <w:rsid w:val="00CF755F"/>
    <w:rsid w:val="00CF76E3"/>
    <w:rsid w:val="00CF7D02"/>
    <w:rsid w:val="00CF7D4E"/>
    <w:rsid w:val="00D00062"/>
    <w:rsid w:val="00D00856"/>
    <w:rsid w:val="00D00FCD"/>
    <w:rsid w:val="00D01E34"/>
    <w:rsid w:val="00D024E7"/>
    <w:rsid w:val="00D02751"/>
    <w:rsid w:val="00D033E3"/>
    <w:rsid w:val="00D0344E"/>
    <w:rsid w:val="00D039B0"/>
    <w:rsid w:val="00D041C0"/>
    <w:rsid w:val="00D04961"/>
    <w:rsid w:val="00D04B92"/>
    <w:rsid w:val="00D04BE1"/>
    <w:rsid w:val="00D05625"/>
    <w:rsid w:val="00D05900"/>
    <w:rsid w:val="00D05B1C"/>
    <w:rsid w:val="00D05B96"/>
    <w:rsid w:val="00D06CDB"/>
    <w:rsid w:val="00D07BAC"/>
    <w:rsid w:val="00D10549"/>
    <w:rsid w:val="00D10D2A"/>
    <w:rsid w:val="00D10F84"/>
    <w:rsid w:val="00D11EA8"/>
    <w:rsid w:val="00D12F92"/>
    <w:rsid w:val="00D12FFA"/>
    <w:rsid w:val="00D13CC1"/>
    <w:rsid w:val="00D14C36"/>
    <w:rsid w:val="00D15286"/>
    <w:rsid w:val="00D15352"/>
    <w:rsid w:val="00D165F0"/>
    <w:rsid w:val="00D16BA2"/>
    <w:rsid w:val="00D17F14"/>
    <w:rsid w:val="00D200F2"/>
    <w:rsid w:val="00D20582"/>
    <w:rsid w:val="00D20FF0"/>
    <w:rsid w:val="00D210BB"/>
    <w:rsid w:val="00D21673"/>
    <w:rsid w:val="00D21697"/>
    <w:rsid w:val="00D21BDF"/>
    <w:rsid w:val="00D22937"/>
    <w:rsid w:val="00D229F9"/>
    <w:rsid w:val="00D22B2A"/>
    <w:rsid w:val="00D24131"/>
    <w:rsid w:val="00D24DDB"/>
    <w:rsid w:val="00D25C25"/>
    <w:rsid w:val="00D27AE0"/>
    <w:rsid w:val="00D27DD6"/>
    <w:rsid w:val="00D27F76"/>
    <w:rsid w:val="00D309A8"/>
    <w:rsid w:val="00D309F6"/>
    <w:rsid w:val="00D315BA"/>
    <w:rsid w:val="00D31BB3"/>
    <w:rsid w:val="00D32E39"/>
    <w:rsid w:val="00D3477D"/>
    <w:rsid w:val="00D34820"/>
    <w:rsid w:val="00D34DFE"/>
    <w:rsid w:val="00D35380"/>
    <w:rsid w:val="00D3586E"/>
    <w:rsid w:val="00D366F9"/>
    <w:rsid w:val="00D3688F"/>
    <w:rsid w:val="00D3692D"/>
    <w:rsid w:val="00D36BCB"/>
    <w:rsid w:val="00D36D90"/>
    <w:rsid w:val="00D36ED4"/>
    <w:rsid w:val="00D3750B"/>
    <w:rsid w:val="00D3796A"/>
    <w:rsid w:val="00D37C1E"/>
    <w:rsid w:val="00D37EFA"/>
    <w:rsid w:val="00D4025B"/>
    <w:rsid w:val="00D408E2"/>
    <w:rsid w:val="00D41C55"/>
    <w:rsid w:val="00D41F1D"/>
    <w:rsid w:val="00D42037"/>
    <w:rsid w:val="00D42130"/>
    <w:rsid w:val="00D4228E"/>
    <w:rsid w:val="00D42F53"/>
    <w:rsid w:val="00D447E5"/>
    <w:rsid w:val="00D44D32"/>
    <w:rsid w:val="00D45558"/>
    <w:rsid w:val="00D45D3B"/>
    <w:rsid w:val="00D46B44"/>
    <w:rsid w:val="00D50D61"/>
    <w:rsid w:val="00D515AA"/>
    <w:rsid w:val="00D51744"/>
    <w:rsid w:val="00D51C98"/>
    <w:rsid w:val="00D523F1"/>
    <w:rsid w:val="00D53859"/>
    <w:rsid w:val="00D53B52"/>
    <w:rsid w:val="00D53D2D"/>
    <w:rsid w:val="00D53ECB"/>
    <w:rsid w:val="00D54154"/>
    <w:rsid w:val="00D548F8"/>
    <w:rsid w:val="00D54AB4"/>
    <w:rsid w:val="00D54F5D"/>
    <w:rsid w:val="00D57003"/>
    <w:rsid w:val="00D57207"/>
    <w:rsid w:val="00D60A68"/>
    <w:rsid w:val="00D61461"/>
    <w:rsid w:val="00D6168F"/>
    <w:rsid w:val="00D61815"/>
    <w:rsid w:val="00D6269F"/>
    <w:rsid w:val="00D63074"/>
    <w:rsid w:val="00D631E1"/>
    <w:rsid w:val="00D63B68"/>
    <w:rsid w:val="00D64A67"/>
    <w:rsid w:val="00D64F4D"/>
    <w:rsid w:val="00D64F86"/>
    <w:rsid w:val="00D652A5"/>
    <w:rsid w:val="00D655B3"/>
    <w:rsid w:val="00D65C76"/>
    <w:rsid w:val="00D6741E"/>
    <w:rsid w:val="00D67A4F"/>
    <w:rsid w:val="00D701CD"/>
    <w:rsid w:val="00D701FC"/>
    <w:rsid w:val="00D70915"/>
    <w:rsid w:val="00D70EE3"/>
    <w:rsid w:val="00D71428"/>
    <w:rsid w:val="00D716F7"/>
    <w:rsid w:val="00D72259"/>
    <w:rsid w:val="00D73590"/>
    <w:rsid w:val="00D7369F"/>
    <w:rsid w:val="00D73A74"/>
    <w:rsid w:val="00D73A99"/>
    <w:rsid w:val="00D73E35"/>
    <w:rsid w:val="00D74606"/>
    <w:rsid w:val="00D747CA"/>
    <w:rsid w:val="00D74C4D"/>
    <w:rsid w:val="00D75B0C"/>
    <w:rsid w:val="00D765E6"/>
    <w:rsid w:val="00D77AE1"/>
    <w:rsid w:val="00D77B24"/>
    <w:rsid w:val="00D802B2"/>
    <w:rsid w:val="00D80DB4"/>
    <w:rsid w:val="00D80F6E"/>
    <w:rsid w:val="00D813C1"/>
    <w:rsid w:val="00D8205C"/>
    <w:rsid w:val="00D821A2"/>
    <w:rsid w:val="00D84350"/>
    <w:rsid w:val="00D844EF"/>
    <w:rsid w:val="00D84965"/>
    <w:rsid w:val="00D84E26"/>
    <w:rsid w:val="00D84F3E"/>
    <w:rsid w:val="00D85BB6"/>
    <w:rsid w:val="00D86671"/>
    <w:rsid w:val="00D86743"/>
    <w:rsid w:val="00D871A8"/>
    <w:rsid w:val="00D876AC"/>
    <w:rsid w:val="00D87946"/>
    <w:rsid w:val="00D87B6D"/>
    <w:rsid w:val="00D87BC0"/>
    <w:rsid w:val="00D90C4F"/>
    <w:rsid w:val="00D91271"/>
    <w:rsid w:val="00D9157C"/>
    <w:rsid w:val="00D92174"/>
    <w:rsid w:val="00D9231F"/>
    <w:rsid w:val="00D9240E"/>
    <w:rsid w:val="00D924A5"/>
    <w:rsid w:val="00D93059"/>
    <w:rsid w:val="00D932B8"/>
    <w:rsid w:val="00D932F6"/>
    <w:rsid w:val="00D93531"/>
    <w:rsid w:val="00D95039"/>
    <w:rsid w:val="00D953C3"/>
    <w:rsid w:val="00D96616"/>
    <w:rsid w:val="00D967EA"/>
    <w:rsid w:val="00D96AA7"/>
    <w:rsid w:val="00D96F87"/>
    <w:rsid w:val="00D9700B"/>
    <w:rsid w:val="00D976E3"/>
    <w:rsid w:val="00D97793"/>
    <w:rsid w:val="00DA063D"/>
    <w:rsid w:val="00DA0AF1"/>
    <w:rsid w:val="00DA1476"/>
    <w:rsid w:val="00DA15C4"/>
    <w:rsid w:val="00DA1623"/>
    <w:rsid w:val="00DA1864"/>
    <w:rsid w:val="00DA1C5A"/>
    <w:rsid w:val="00DA2169"/>
    <w:rsid w:val="00DA2B9C"/>
    <w:rsid w:val="00DA2EB4"/>
    <w:rsid w:val="00DA2F73"/>
    <w:rsid w:val="00DA42E8"/>
    <w:rsid w:val="00DA4A53"/>
    <w:rsid w:val="00DA5D46"/>
    <w:rsid w:val="00DA6A63"/>
    <w:rsid w:val="00DA708F"/>
    <w:rsid w:val="00DA7BEB"/>
    <w:rsid w:val="00DB017B"/>
    <w:rsid w:val="00DB072B"/>
    <w:rsid w:val="00DB0DE2"/>
    <w:rsid w:val="00DB114A"/>
    <w:rsid w:val="00DB11CF"/>
    <w:rsid w:val="00DB1392"/>
    <w:rsid w:val="00DB17B7"/>
    <w:rsid w:val="00DB17C5"/>
    <w:rsid w:val="00DB1D00"/>
    <w:rsid w:val="00DB1D26"/>
    <w:rsid w:val="00DB2C2B"/>
    <w:rsid w:val="00DB2CEA"/>
    <w:rsid w:val="00DB3458"/>
    <w:rsid w:val="00DB37A0"/>
    <w:rsid w:val="00DB38A4"/>
    <w:rsid w:val="00DB3BD9"/>
    <w:rsid w:val="00DB4A10"/>
    <w:rsid w:val="00DB4CD9"/>
    <w:rsid w:val="00DB4EB3"/>
    <w:rsid w:val="00DB50EB"/>
    <w:rsid w:val="00DB54B1"/>
    <w:rsid w:val="00DB581C"/>
    <w:rsid w:val="00DB59E9"/>
    <w:rsid w:val="00DB5BA8"/>
    <w:rsid w:val="00DB660D"/>
    <w:rsid w:val="00DB6E42"/>
    <w:rsid w:val="00DB71BC"/>
    <w:rsid w:val="00DB72CC"/>
    <w:rsid w:val="00DB748D"/>
    <w:rsid w:val="00DC0019"/>
    <w:rsid w:val="00DC05B9"/>
    <w:rsid w:val="00DC193F"/>
    <w:rsid w:val="00DC1A83"/>
    <w:rsid w:val="00DC1E7E"/>
    <w:rsid w:val="00DC21D9"/>
    <w:rsid w:val="00DC2321"/>
    <w:rsid w:val="00DC23B2"/>
    <w:rsid w:val="00DC23F0"/>
    <w:rsid w:val="00DC2893"/>
    <w:rsid w:val="00DC2BC2"/>
    <w:rsid w:val="00DC35F2"/>
    <w:rsid w:val="00DC36D5"/>
    <w:rsid w:val="00DC3C4F"/>
    <w:rsid w:val="00DC41CF"/>
    <w:rsid w:val="00DC462F"/>
    <w:rsid w:val="00DC4DBE"/>
    <w:rsid w:val="00DC6360"/>
    <w:rsid w:val="00DC7486"/>
    <w:rsid w:val="00DC76FC"/>
    <w:rsid w:val="00DC782F"/>
    <w:rsid w:val="00DC7A41"/>
    <w:rsid w:val="00DD02F3"/>
    <w:rsid w:val="00DD0453"/>
    <w:rsid w:val="00DD071D"/>
    <w:rsid w:val="00DD156F"/>
    <w:rsid w:val="00DD1805"/>
    <w:rsid w:val="00DD1D64"/>
    <w:rsid w:val="00DD2568"/>
    <w:rsid w:val="00DD27B1"/>
    <w:rsid w:val="00DD3393"/>
    <w:rsid w:val="00DD37FF"/>
    <w:rsid w:val="00DD4C87"/>
    <w:rsid w:val="00DD4E40"/>
    <w:rsid w:val="00DD5D07"/>
    <w:rsid w:val="00DD5F38"/>
    <w:rsid w:val="00DD6D4E"/>
    <w:rsid w:val="00DD752D"/>
    <w:rsid w:val="00DD7BAA"/>
    <w:rsid w:val="00DD7EFE"/>
    <w:rsid w:val="00DE01BB"/>
    <w:rsid w:val="00DE074C"/>
    <w:rsid w:val="00DE1042"/>
    <w:rsid w:val="00DE1776"/>
    <w:rsid w:val="00DE1A27"/>
    <w:rsid w:val="00DE1E17"/>
    <w:rsid w:val="00DE2677"/>
    <w:rsid w:val="00DE289B"/>
    <w:rsid w:val="00DE2F25"/>
    <w:rsid w:val="00DE2F3D"/>
    <w:rsid w:val="00DE2FC0"/>
    <w:rsid w:val="00DE3605"/>
    <w:rsid w:val="00DE3D9A"/>
    <w:rsid w:val="00DE4481"/>
    <w:rsid w:val="00DE4512"/>
    <w:rsid w:val="00DE54E6"/>
    <w:rsid w:val="00DE62DE"/>
    <w:rsid w:val="00DE658E"/>
    <w:rsid w:val="00DE6FCC"/>
    <w:rsid w:val="00DE74E9"/>
    <w:rsid w:val="00DE7BBE"/>
    <w:rsid w:val="00DF050B"/>
    <w:rsid w:val="00DF1374"/>
    <w:rsid w:val="00DF164A"/>
    <w:rsid w:val="00DF16A5"/>
    <w:rsid w:val="00DF264B"/>
    <w:rsid w:val="00DF2AD6"/>
    <w:rsid w:val="00DF36CD"/>
    <w:rsid w:val="00DF376F"/>
    <w:rsid w:val="00DF4843"/>
    <w:rsid w:val="00DF4AB0"/>
    <w:rsid w:val="00DF4ABF"/>
    <w:rsid w:val="00DF53B7"/>
    <w:rsid w:val="00DF54AF"/>
    <w:rsid w:val="00DF5DA7"/>
    <w:rsid w:val="00DF5FA4"/>
    <w:rsid w:val="00DF6150"/>
    <w:rsid w:val="00DF632A"/>
    <w:rsid w:val="00DF63F3"/>
    <w:rsid w:val="00DF6731"/>
    <w:rsid w:val="00DF6971"/>
    <w:rsid w:val="00DF6C65"/>
    <w:rsid w:val="00DF71EB"/>
    <w:rsid w:val="00DF74D7"/>
    <w:rsid w:val="00DF767C"/>
    <w:rsid w:val="00DF76E3"/>
    <w:rsid w:val="00DF7A5D"/>
    <w:rsid w:val="00E00015"/>
    <w:rsid w:val="00E00279"/>
    <w:rsid w:val="00E003E7"/>
    <w:rsid w:val="00E0047C"/>
    <w:rsid w:val="00E006C0"/>
    <w:rsid w:val="00E00C93"/>
    <w:rsid w:val="00E02B6B"/>
    <w:rsid w:val="00E0473E"/>
    <w:rsid w:val="00E0525D"/>
    <w:rsid w:val="00E05343"/>
    <w:rsid w:val="00E0590E"/>
    <w:rsid w:val="00E05F28"/>
    <w:rsid w:val="00E0664A"/>
    <w:rsid w:val="00E06709"/>
    <w:rsid w:val="00E06C35"/>
    <w:rsid w:val="00E07810"/>
    <w:rsid w:val="00E11035"/>
    <w:rsid w:val="00E112DF"/>
    <w:rsid w:val="00E117AD"/>
    <w:rsid w:val="00E11BAE"/>
    <w:rsid w:val="00E133B3"/>
    <w:rsid w:val="00E136F4"/>
    <w:rsid w:val="00E13932"/>
    <w:rsid w:val="00E14CA2"/>
    <w:rsid w:val="00E15676"/>
    <w:rsid w:val="00E156CC"/>
    <w:rsid w:val="00E169C5"/>
    <w:rsid w:val="00E16A8E"/>
    <w:rsid w:val="00E173F3"/>
    <w:rsid w:val="00E206EA"/>
    <w:rsid w:val="00E20759"/>
    <w:rsid w:val="00E222E7"/>
    <w:rsid w:val="00E225BD"/>
    <w:rsid w:val="00E234D8"/>
    <w:rsid w:val="00E236A2"/>
    <w:rsid w:val="00E23C31"/>
    <w:rsid w:val="00E24658"/>
    <w:rsid w:val="00E24FA3"/>
    <w:rsid w:val="00E25165"/>
    <w:rsid w:val="00E258C3"/>
    <w:rsid w:val="00E25EF1"/>
    <w:rsid w:val="00E2691F"/>
    <w:rsid w:val="00E27DB9"/>
    <w:rsid w:val="00E301BB"/>
    <w:rsid w:val="00E3020A"/>
    <w:rsid w:val="00E30F1C"/>
    <w:rsid w:val="00E3225E"/>
    <w:rsid w:val="00E322E6"/>
    <w:rsid w:val="00E323D1"/>
    <w:rsid w:val="00E32552"/>
    <w:rsid w:val="00E3255F"/>
    <w:rsid w:val="00E325D6"/>
    <w:rsid w:val="00E326B1"/>
    <w:rsid w:val="00E328CD"/>
    <w:rsid w:val="00E32F57"/>
    <w:rsid w:val="00E33F03"/>
    <w:rsid w:val="00E3415A"/>
    <w:rsid w:val="00E353CC"/>
    <w:rsid w:val="00E354BE"/>
    <w:rsid w:val="00E357A5"/>
    <w:rsid w:val="00E36171"/>
    <w:rsid w:val="00E36185"/>
    <w:rsid w:val="00E36468"/>
    <w:rsid w:val="00E3683F"/>
    <w:rsid w:val="00E371FA"/>
    <w:rsid w:val="00E37469"/>
    <w:rsid w:val="00E375AD"/>
    <w:rsid w:val="00E376E0"/>
    <w:rsid w:val="00E377CD"/>
    <w:rsid w:val="00E3784D"/>
    <w:rsid w:val="00E37E4A"/>
    <w:rsid w:val="00E406AC"/>
    <w:rsid w:val="00E408E5"/>
    <w:rsid w:val="00E40E66"/>
    <w:rsid w:val="00E40F94"/>
    <w:rsid w:val="00E41051"/>
    <w:rsid w:val="00E413F7"/>
    <w:rsid w:val="00E4198F"/>
    <w:rsid w:val="00E41A1B"/>
    <w:rsid w:val="00E41FA5"/>
    <w:rsid w:val="00E42351"/>
    <w:rsid w:val="00E43813"/>
    <w:rsid w:val="00E43F4A"/>
    <w:rsid w:val="00E44223"/>
    <w:rsid w:val="00E4472A"/>
    <w:rsid w:val="00E4579C"/>
    <w:rsid w:val="00E45954"/>
    <w:rsid w:val="00E45D6D"/>
    <w:rsid w:val="00E469F0"/>
    <w:rsid w:val="00E46B34"/>
    <w:rsid w:val="00E46F4B"/>
    <w:rsid w:val="00E518B6"/>
    <w:rsid w:val="00E51936"/>
    <w:rsid w:val="00E51F75"/>
    <w:rsid w:val="00E52CE1"/>
    <w:rsid w:val="00E52E57"/>
    <w:rsid w:val="00E53177"/>
    <w:rsid w:val="00E532C4"/>
    <w:rsid w:val="00E54439"/>
    <w:rsid w:val="00E5458B"/>
    <w:rsid w:val="00E5523A"/>
    <w:rsid w:val="00E55664"/>
    <w:rsid w:val="00E55CBB"/>
    <w:rsid w:val="00E568A2"/>
    <w:rsid w:val="00E5707B"/>
    <w:rsid w:val="00E570BE"/>
    <w:rsid w:val="00E57705"/>
    <w:rsid w:val="00E601B8"/>
    <w:rsid w:val="00E60916"/>
    <w:rsid w:val="00E6099E"/>
    <w:rsid w:val="00E60D57"/>
    <w:rsid w:val="00E61289"/>
    <w:rsid w:val="00E61CA3"/>
    <w:rsid w:val="00E626BE"/>
    <w:rsid w:val="00E629B0"/>
    <w:rsid w:val="00E63235"/>
    <w:rsid w:val="00E6418C"/>
    <w:rsid w:val="00E64688"/>
    <w:rsid w:val="00E653B0"/>
    <w:rsid w:val="00E66251"/>
    <w:rsid w:val="00E6689A"/>
    <w:rsid w:val="00E6752F"/>
    <w:rsid w:val="00E67AE7"/>
    <w:rsid w:val="00E70015"/>
    <w:rsid w:val="00E70DAB"/>
    <w:rsid w:val="00E70FEF"/>
    <w:rsid w:val="00E713A1"/>
    <w:rsid w:val="00E719AB"/>
    <w:rsid w:val="00E719DD"/>
    <w:rsid w:val="00E71C65"/>
    <w:rsid w:val="00E71FE1"/>
    <w:rsid w:val="00E72548"/>
    <w:rsid w:val="00E725B2"/>
    <w:rsid w:val="00E72695"/>
    <w:rsid w:val="00E72758"/>
    <w:rsid w:val="00E727D7"/>
    <w:rsid w:val="00E728FA"/>
    <w:rsid w:val="00E7447A"/>
    <w:rsid w:val="00E7464B"/>
    <w:rsid w:val="00E74B77"/>
    <w:rsid w:val="00E75B5F"/>
    <w:rsid w:val="00E75D90"/>
    <w:rsid w:val="00E77A8E"/>
    <w:rsid w:val="00E8036B"/>
    <w:rsid w:val="00E80A0C"/>
    <w:rsid w:val="00E81170"/>
    <w:rsid w:val="00E814D5"/>
    <w:rsid w:val="00E82557"/>
    <w:rsid w:val="00E826AD"/>
    <w:rsid w:val="00E835AF"/>
    <w:rsid w:val="00E83E74"/>
    <w:rsid w:val="00E84964"/>
    <w:rsid w:val="00E84DA8"/>
    <w:rsid w:val="00E8552B"/>
    <w:rsid w:val="00E856CC"/>
    <w:rsid w:val="00E8574C"/>
    <w:rsid w:val="00E85775"/>
    <w:rsid w:val="00E859E5"/>
    <w:rsid w:val="00E85BD0"/>
    <w:rsid w:val="00E862F3"/>
    <w:rsid w:val="00E86B81"/>
    <w:rsid w:val="00E877F6"/>
    <w:rsid w:val="00E9148A"/>
    <w:rsid w:val="00E91C76"/>
    <w:rsid w:val="00E9228E"/>
    <w:rsid w:val="00E9252B"/>
    <w:rsid w:val="00E92ECF"/>
    <w:rsid w:val="00E93578"/>
    <w:rsid w:val="00E9431E"/>
    <w:rsid w:val="00E94F38"/>
    <w:rsid w:val="00E95409"/>
    <w:rsid w:val="00E95D79"/>
    <w:rsid w:val="00E9622E"/>
    <w:rsid w:val="00E96623"/>
    <w:rsid w:val="00E967A9"/>
    <w:rsid w:val="00E96EB3"/>
    <w:rsid w:val="00E96ECB"/>
    <w:rsid w:val="00E972C2"/>
    <w:rsid w:val="00E97A6D"/>
    <w:rsid w:val="00E97B41"/>
    <w:rsid w:val="00E97EF8"/>
    <w:rsid w:val="00EA0423"/>
    <w:rsid w:val="00EA0B26"/>
    <w:rsid w:val="00EA1134"/>
    <w:rsid w:val="00EA15C5"/>
    <w:rsid w:val="00EA17D7"/>
    <w:rsid w:val="00EA2C48"/>
    <w:rsid w:val="00EA2FC7"/>
    <w:rsid w:val="00EA327E"/>
    <w:rsid w:val="00EA3757"/>
    <w:rsid w:val="00EA3D37"/>
    <w:rsid w:val="00EA3F3A"/>
    <w:rsid w:val="00EA4489"/>
    <w:rsid w:val="00EA4560"/>
    <w:rsid w:val="00EA47E6"/>
    <w:rsid w:val="00EA507E"/>
    <w:rsid w:val="00EA5129"/>
    <w:rsid w:val="00EA67A0"/>
    <w:rsid w:val="00EB1020"/>
    <w:rsid w:val="00EB1396"/>
    <w:rsid w:val="00EB15A7"/>
    <w:rsid w:val="00EB265A"/>
    <w:rsid w:val="00EB27C5"/>
    <w:rsid w:val="00EB33F1"/>
    <w:rsid w:val="00EB4FE5"/>
    <w:rsid w:val="00EB5140"/>
    <w:rsid w:val="00EB5880"/>
    <w:rsid w:val="00EB5BC8"/>
    <w:rsid w:val="00EB5DF3"/>
    <w:rsid w:val="00EB6261"/>
    <w:rsid w:val="00EB63EA"/>
    <w:rsid w:val="00EB64EB"/>
    <w:rsid w:val="00EB68E2"/>
    <w:rsid w:val="00EB6AD8"/>
    <w:rsid w:val="00EB769B"/>
    <w:rsid w:val="00EC030A"/>
    <w:rsid w:val="00EC04CC"/>
    <w:rsid w:val="00EC09FE"/>
    <w:rsid w:val="00EC0B42"/>
    <w:rsid w:val="00EC10F8"/>
    <w:rsid w:val="00EC1EFB"/>
    <w:rsid w:val="00EC23A7"/>
    <w:rsid w:val="00EC2BDB"/>
    <w:rsid w:val="00EC33FC"/>
    <w:rsid w:val="00EC351A"/>
    <w:rsid w:val="00EC353B"/>
    <w:rsid w:val="00EC4A06"/>
    <w:rsid w:val="00EC4BE8"/>
    <w:rsid w:val="00EC4E7C"/>
    <w:rsid w:val="00EC53DA"/>
    <w:rsid w:val="00EC54D5"/>
    <w:rsid w:val="00EC55C3"/>
    <w:rsid w:val="00EC575B"/>
    <w:rsid w:val="00EC585C"/>
    <w:rsid w:val="00EC5D42"/>
    <w:rsid w:val="00EC7A17"/>
    <w:rsid w:val="00EC7B44"/>
    <w:rsid w:val="00EC7F88"/>
    <w:rsid w:val="00ED04D7"/>
    <w:rsid w:val="00ED1240"/>
    <w:rsid w:val="00ED168A"/>
    <w:rsid w:val="00ED1760"/>
    <w:rsid w:val="00ED2819"/>
    <w:rsid w:val="00ED29F9"/>
    <w:rsid w:val="00ED40BB"/>
    <w:rsid w:val="00ED4187"/>
    <w:rsid w:val="00ED4EB0"/>
    <w:rsid w:val="00ED5375"/>
    <w:rsid w:val="00ED58C9"/>
    <w:rsid w:val="00ED62C0"/>
    <w:rsid w:val="00ED6A82"/>
    <w:rsid w:val="00ED758E"/>
    <w:rsid w:val="00ED77EF"/>
    <w:rsid w:val="00ED7B01"/>
    <w:rsid w:val="00ED7E1C"/>
    <w:rsid w:val="00EE00CF"/>
    <w:rsid w:val="00EE02EA"/>
    <w:rsid w:val="00EE09B7"/>
    <w:rsid w:val="00EE1513"/>
    <w:rsid w:val="00EE174E"/>
    <w:rsid w:val="00EE1EFF"/>
    <w:rsid w:val="00EE20AB"/>
    <w:rsid w:val="00EE2941"/>
    <w:rsid w:val="00EE3437"/>
    <w:rsid w:val="00EE368C"/>
    <w:rsid w:val="00EE37A6"/>
    <w:rsid w:val="00EE3A4E"/>
    <w:rsid w:val="00EE3C5D"/>
    <w:rsid w:val="00EE4443"/>
    <w:rsid w:val="00EE44D7"/>
    <w:rsid w:val="00EE5F30"/>
    <w:rsid w:val="00EE664F"/>
    <w:rsid w:val="00EE6DE7"/>
    <w:rsid w:val="00EE7223"/>
    <w:rsid w:val="00EE75CB"/>
    <w:rsid w:val="00EE7D13"/>
    <w:rsid w:val="00EE7EFD"/>
    <w:rsid w:val="00EF174C"/>
    <w:rsid w:val="00EF1DB0"/>
    <w:rsid w:val="00EF2187"/>
    <w:rsid w:val="00EF21C9"/>
    <w:rsid w:val="00EF360E"/>
    <w:rsid w:val="00EF3929"/>
    <w:rsid w:val="00EF47A2"/>
    <w:rsid w:val="00EF6B22"/>
    <w:rsid w:val="00EF72DE"/>
    <w:rsid w:val="00EF75D5"/>
    <w:rsid w:val="00EF76AC"/>
    <w:rsid w:val="00EF7C38"/>
    <w:rsid w:val="00EF7FA2"/>
    <w:rsid w:val="00F004C2"/>
    <w:rsid w:val="00F00535"/>
    <w:rsid w:val="00F00CFF"/>
    <w:rsid w:val="00F00DC4"/>
    <w:rsid w:val="00F01382"/>
    <w:rsid w:val="00F01510"/>
    <w:rsid w:val="00F0202C"/>
    <w:rsid w:val="00F02B96"/>
    <w:rsid w:val="00F02BE1"/>
    <w:rsid w:val="00F02C16"/>
    <w:rsid w:val="00F03C63"/>
    <w:rsid w:val="00F047DD"/>
    <w:rsid w:val="00F0484A"/>
    <w:rsid w:val="00F06F3C"/>
    <w:rsid w:val="00F102A0"/>
    <w:rsid w:val="00F102B4"/>
    <w:rsid w:val="00F10490"/>
    <w:rsid w:val="00F11F8C"/>
    <w:rsid w:val="00F12B33"/>
    <w:rsid w:val="00F135A8"/>
    <w:rsid w:val="00F13CEA"/>
    <w:rsid w:val="00F14188"/>
    <w:rsid w:val="00F14C6D"/>
    <w:rsid w:val="00F14D4C"/>
    <w:rsid w:val="00F14F86"/>
    <w:rsid w:val="00F158F7"/>
    <w:rsid w:val="00F15910"/>
    <w:rsid w:val="00F15AB3"/>
    <w:rsid w:val="00F15D13"/>
    <w:rsid w:val="00F1664B"/>
    <w:rsid w:val="00F167C5"/>
    <w:rsid w:val="00F17365"/>
    <w:rsid w:val="00F17380"/>
    <w:rsid w:val="00F178F1"/>
    <w:rsid w:val="00F17D2C"/>
    <w:rsid w:val="00F200B5"/>
    <w:rsid w:val="00F20205"/>
    <w:rsid w:val="00F20275"/>
    <w:rsid w:val="00F205D5"/>
    <w:rsid w:val="00F20D3D"/>
    <w:rsid w:val="00F20F36"/>
    <w:rsid w:val="00F211FF"/>
    <w:rsid w:val="00F21F90"/>
    <w:rsid w:val="00F21FA4"/>
    <w:rsid w:val="00F22F81"/>
    <w:rsid w:val="00F238DA"/>
    <w:rsid w:val="00F23E11"/>
    <w:rsid w:val="00F23ED9"/>
    <w:rsid w:val="00F2423B"/>
    <w:rsid w:val="00F24317"/>
    <w:rsid w:val="00F24829"/>
    <w:rsid w:val="00F24BC7"/>
    <w:rsid w:val="00F25878"/>
    <w:rsid w:val="00F2682B"/>
    <w:rsid w:val="00F26F3E"/>
    <w:rsid w:val="00F27A7F"/>
    <w:rsid w:val="00F27C55"/>
    <w:rsid w:val="00F303E8"/>
    <w:rsid w:val="00F3073F"/>
    <w:rsid w:val="00F3100E"/>
    <w:rsid w:val="00F31150"/>
    <w:rsid w:val="00F32318"/>
    <w:rsid w:val="00F323DE"/>
    <w:rsid w:val="00F338C4"/>
    <w:rsid w:val="00F338F0"/>
    <w:rsid w:val="00F33DEB"/>
    <w:rsid w:val="00F34112"/>
    <w:rsid w:val="00F348B2"/>
    <w:rsid w:val="00F34DC9"/>
    <w:rsid w:val="00F34FD3"/>
    <w:rsid w:val="00F35048"/>
    <w:rsid w:val="00F35990"/>
    <w:rsid w:val="00F359F6"/>
    <w:rsid w:val="00F35EFE"/>
    <w:rsid w:val="00F36193"/>
    <w:rsid w:val="00F36888"/>
    <w:rsid w:val="00F3726C"/>
    <w:rsid w:val="00F40958"/>
    <w:rsid w:val="00F40B4D"/>
    <w:rsid w:val="00F41182"/>
    <w:rsid w:val="00F4147B"/>
    <w:rsid w:val="00F414D0"/>
    <w:rsid w:val="00F42326"/>
    <w:rsid w:val="00F425E3"/>
    <w:rsid w:val="00F4275C"/>
    <w:rsid w:val="00F42F27"/>
    <w:rsid w:val="00F4420C"/>
    <w:rsid w:val="00F444FA"/>
    <w:rsid w:val="00F456C7"/>
    <w:rsid w:val="00F465BA"/>
    <w:rsid w:val="00F471E7"/>
    <w:rsid w:val="00F47F7D"/>
    <w:rsid w:val="00F506AF"/>
    <w:rsid w:val="00F51A04"/>
    <w:rsid w:val="00F51FA0"/>
    <w:rsid w:val="00F52592"/>
    <w:rsid w:val="00F52642"/>
    <w:rsid w:val="00F52A37"/>
    <w:rsid w:val="00F54158"/>
    <w:rsid w:val="00F54FA6"/>
    <w:rsid w:val="00F5578B"/>
    <w:rsid w:val="00F55BDD"/>
    <w:rsid w:val="00F55C63"/>
    <w:rsid w:val="00F56E87"/>
    <w:rsid w:val="00F5797F"/>
    <w:rsid w:val="00F57D45"/>
    <w:rsid w:val="00F57EED"/>
    <w:rsid w:val="00F61A17"/>
    <w:rsid w:val="00F61DFA"/>
    <w:rsid w:val="00F620B4"/>
    <w:rsid w:val="00F62BC2"/>
    <w:rsid w:val="00F62FA2"/>
    <w:rsid w:val="00F6322C"/>
    <w:rsid w:val="00F636BE"/>
    <w:rsid w:val="00F636DC"/>
    <w:rsid w:val="00F6500D"/>
    <w:rsid w:val="00F65149"/>
    <w:rsid w:val="00F652B0"/>
    <w:rsid w:val="00F65793"/>
    <w:rsid w:val="00F66AF8"/>
    <w:rsid w:val="00F66B02"/>
    <w:rsid w:val="00F67255"/>
    <w:rsid w:val="00F672CF"/>
    <w:rsid w:val="00F677D5"/>
    <w:rsid w:val="00F67BD0"/>
    <w:rsid w:val="00F70DB9"/>
    <w:rsid w:val="00F711BF"/>
    <w:rsid w:val="00F71A6E"/>
    <w:rsid w:val="00F71B54"/>
    <w:rsid w:val="00F724D9"/>
    <w:rsid w:val="00F727DF"/>
    <w:rsid w:val="00F72D79"/>
    <w:rsid w:val="00F7311E"/>
    <w:rsid w:val="00F731F8"/>
    <w:rsid w:val="00F74423"/>
    <w:rsid w:val="00F74A99"/>
    <w:rsid w:val="00F75530"/>
    <w:rsid w:val="00F75FCD"/>
    <w:rsid w:val="00F7629A"/>
    <w:rsid w:val="00F76663"/>
    <w:rsid w:val="00F77276"/>
    <w:rsid w:val="00F77FB6"/>
    <w:rsid w:val="00F803C4"/>
    <w:rsid w:val="00F80DC8"/>
    <w:rsid w:val="00F82101"/>
    <w:rsid w:val="00F82848"/>
    <w:rsid w:val="00F82A8C"/>
    <w:rsid w:val="00F82D72"/>
    <w:rsid w:val="00F83817"/>
    <w:rsid w:val="00F83967"/>
    <w:rsid w:val="00F844BD"/>
    <w:rsid w:val="00F856DC"/>
    <w:rsid w:val="00F86026"/>
    <w:rsid w:val="00F861C0"/>
    <w:rsid w:val="00F86370"/>
    <w:rsid w:val="00F863A0"/>
    <w:rsid w:val="00F86568"/>
    <w:rsid w:val="00F86EF8"/>
    <w:rsid w:val="00F878A9"/>
    <w:rsid w:val="00F9078E"/>
    <w:rsid w:val="00F90937"/>
    <w:rsid w:val="00F91923"/>
    <w:rsid w:val="00F91BD2"/>
    <w:rsid w:val="00F92A0A"/>
    <w:rsid w:val="00F931E4"/>
    <w:rsid w:val="00F933EF"/>
    <w:rsid w:val="00F945B1"/>
    <w:rsid w:val="00F957EA"/>
    <w:rsid w:val="00F95982"/>
    <w:rsid w:val="00F95C23"/>
    <w:rsid w:val="00F9694D"/>
    <w:rsid w:val="00F97342"/>
    <w:rsid w:val="00F97BEF"/>
    <w:rsid w:val="00F97CC7"/>
    <w:rsid w:val="00FA0678"/>
    <w:rsid w:val="00FA0CB8"/>
    <w:rsid w:val="00FA210B"/>
    <w:rsid w:val="00FA298A"/>
    <w:rsid w:val="00FA3026"/>
    <w:rsid w:val="00FA303E"/>
    <w:rsid w:val="00FA389D"/>
    <w:rsid w:val="00FA3A25"/>
    <w:rsid w:val="00FA3BFA"/>
    <w:rsid w:val="00FA3F28"/>
    <w:rsid w:val="00FA57CA"/>
    <w:rsid w:val="00FA5B1C"/>
    <w:rsid w:val="00FA5C20"/>
    <w:rsid w:val="00FA5E0E"/>
    <w:rsid w:val="00FA62A5"/>
    <w:rsid w:val="00FA65AF"/>
    <w:rsid w:val="00FA6B15"/>
    <w:rsid w:val="00FA752D"/>
    <w:rsid w:val="00FA7874"/>
    <w:rsid w:val="00FA7C3B"/>
    <w:rsid w:val="00FA7F2D"/>
    <w:rsid w:val="00FB157D"/>
    <w:rsid w:val="00FB1D13"/>
    <w:rsid w:val="00FB214F"/>
    <w:rsid w:val="00FB22BB"/>
    <w:rsid w:val="00FB28AD"/>
    <w:rsid w:val="00FB2A70"/>
    <w:rsid w:val="00FB34DE"/>
    <w:rsid w:val="00FB37B4"/>
    <w:rsid w:val="00FB3AF8"/>
    <w:rsid w:val="00FB3EFE"/>
    <w:rsid w:val="00FB42AA"/>
    <w:rsid w:val="00FB42FE"/>
    <w:rsid w:val="00FB53AD"/>
    <w:rsid w:val="00FB54D5"/>
    <w:rsid w:val="00FB5BD3"/>
    <w:rsid w:val="00FB5D3D"/>
    <w:rsid w:val="00FB6B96"/>
    <w:rsid w:val="00FB7CA2"/>
    <w:rsid w:val="00FB7D21"/>
    <w:rsid w:val="00FC00B7"/>
    <w:rsid w:val="00FC053E"/>
    <w:rsid w:val="00FC1636"/>
    <w:rsid w:val="00FC163A"/>
    <w:rsid w:val="00FC172E"/>
    <w:rsid w:val="00FC33B1"/>
    <w:rsid w:val="00FC353E"/>
    <w:rsid w:val="00FC3720"/>
    <w:rsid w:val="00FC3CA9"/>
    <w:rsid w:val="00FC4ACF"/>
    <w:rsid w:val="00FC5169"/>
    <w:rsid w:val="00FC554F"/>
    <w:rsid w:val="00FC582E"/>
    <w:rsid w:val="00FC5837"/>
    <w:rsid w:val="00FC5865"/>
    <w:rsid w:val="00FC61BA"/>
    <w:rsid w:val="00FC6483"/>
    <w:rsid w:val="00FC7FBD"/>
    <w:rsid w:val="00FD0056"/>
    <w:rsid w:val="00FD07FB"/>
    <w:rsid w:val="00FD0995"/>
    <w:rsid w:val="00FD0EFD"/>
    <w:rsid w:val="00FD179D"/>
    <w:rsid w:val="00FD1A26"/>
    <w:rsid w:val="00FD1B66"/>
    <w:rsid w:val="00FD2008"/>
    <w:rsid w:val="00FD29DC"/>
    <w:rsid w:val="00FD2B52"/>
    <w:rsid w:val="00FD30B4"/>
    <w:rsid w:val="00FD5EE9"/>
    <w:rsid w:val="00FD655E"/>
    <w:rsid w:val="00FD6AAD"/>
    <w:rsid w:val="00FD7383"/>
    <w:rsid w:val="00FD754C"/>
    <w:rsid w:val="00FD7752"/>
    <w:rsid w:val="00FD7894"/>
    <w:rsid w:val="00FD7AB7"/>
    <w:rsid w:val="00FE078B"/>
    <w:rsid w:val="00FE1C2F"/>
    <w:rsid w:val="00FE2C6E"/>
    <w:rsid w:val="00FE35C9"/>
    <w:rsid w:val="00FE3A25"/>
    <w:rsid w:val="00FE3A67"/>
    <w:rsid w:val="00FE3B7B"/>
    <w:rsid w:val="00FE40A6"/>
    <w:rsid w:val="00FE5479"/>
    <w:rsid w:val="00FE64BB"/>
    <w:rsid w:val="00FE741F"/>
    <w:rsid w:val="00FE7523"/>
    <w:rsid w:val="00FF1246"/>
    <w:rsid w:val="00FF1278"/>
    <w:rsid w:val="00FF140B"/>
    <w:rsid w:val="00FF18BD"/>
    <w:rsid w:val="00FF1E10"/>
    <w:rsid w:val="00FF2E0C"/>
    <w:rsid w:val="00FF3A37"/>
    <w:rsid w:val="00FF3E5B"/>
    <w:rsid w:val="00FF5E0D"/>
    <w:rsid w:val="00FF5E70"/>
    <w:rsid w:val="00FF606F"/>
    <w:rsid w:val="00FF6366"/>
    <w:rsid w:val="00FF6400"/>
    <w:rsid w:val="00FF6747"/>
    <w:rsid w:val="00FF7794"/>
    <w:rsid w:val="00FF7884"/>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E40A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AU" w:eastAsia="en-A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Bullet 5"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Note Heading" w:uiPriority="0"/>
    <w:lsdException w:name="Block Text"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CF663E"/>
    <w:pPr>
      <w:keepLines/>
    </w:pPr>
    <w:rPr>
      <w:rFonts w:ascii="Arial" w:hAnsi="Arial"/>
      <w:spacing w:val="-5"/>
      <w:sz w:val="20"/>
      <w:szCs w:val="20"/>
      <w:lang w:eastAsia="en-US"/>
    </w:rPr>
  </w:style>
  <w:style w:type="paragraph" w:styleId="Heading1">
    <w:name w:val="heading 1"/>
    <w:basedOn w:val="Normal"/>
    <w:next w:val="Normal"/>
    <w:link w:val="Heading1Char"/>
    <w:qFormat/>
    <w:rsid w:val="00690141"/>
    <w:pPr>
      <w:keepNext/>
      <w:numPr>
        <w:numId w:val="5"/>
      </w:numPr>
      <w:spacing w:before="360"/>
      <w:ind w:left="720" w:hanging="720"/>
      <w:outlineLvl w:val="0"/>
    </w:pPr>
    <w:rPr>
      <w:b/>
      <w:bCs/>
      <w:sz w:val="28"/>
      <w:szCs w:val="28"/>
    </w:rPr>
  </w:style>
  <w:style w:type="paragraph" w:styleId="Heading2">
    <w:name w:val="heading 2"/>
    <w:basedOn w:val="Heading1"/>
    <w:next w:val="Normal"/>
    <w:link w:val="Heading2Char"/>
    <w:qFormat/>
    <w:rsid w:val="00690141"/>
    <w:pPr>
      <w:numPr>
        <w:ilvl w:val="1"/>
      </w:numPr>
      <w:ind w:left="720" w:hanging="720"/>
      <w:outlineLvl w:val="1"/>
    </w:pPr>
    <w:rPr>
      <w:bCs w:val="0"/>
      <w:i/>
      <w:color w:val="000000"/>
      <w:szCs w:val="26"/>
    </w:rPr>
  </w:style>
  <w:style w:type="paragraph" w:styleId="Heading3">
    <w:name w:val="heading 3"/>
    <w:basedOn w:val="Heading2"/>
    <w:next w:val="Normal"/>
    <w:link w:val="Heading3Char"/>
    <w:qFormat/>
    <w:rsid w:val="00AC27AB"/>
    <w:pPr>
      <w:numPr>
        <w:ilvl w:val="2"/>
      </w:numPr>
      <w:outlineLvl w:val="2"/>
    </w:pPr>
    <w:rPr>
      <w:b w:val="0"/>
      <w:bCs/>
      <w:color w:val="auto"/>
      <w:sz w:val="24"/>
    </w:rPr>
  </w:style>
  <w:style w:type="paragraph" w:styleId="Heading4">
    <w:name w:val="heading 4"/>
    <w:basedOn w:val="Heading3"/>
    <w:next w:val="Normal"/>
    <w:link w:val="Heading4Char"/>
    <w:qFormat/>
    <w:rsid w:val="00AC27AB"/>
    <w:pPr>
      <w:numPr>
        <w:ilvl w:val="3"/>
      </w:numPr>
      <w:outlineLvl w:val="3"/>
    </w:pPr>
    <w:rPr>
      <w:bCs w:val="0"/>
      <w:i w:val="0"/>
      <w:iCs/>
    </w:rPr>
  </w:style>
  <w:style w:type="paragraph" w:styleId="Heading5">
    <w:name w:val="heading 5"/>
    <w:basedOn w:val="Normal"/>
    <w:next w:val="Normal"/>
    <w:link w:val="Heading5Char"/>
    <w:qFormat/>
    <w:locked/>
    <w:rsid w:val="00F14C6D"/>
    <w:pPr>
      <w:keepNext/>
      <w:spacing w:before="200"/>
      <w:outlineLvl w:val="4"/>
    </w:pPr>
    <w:rPr>
      <w:rFonts w:ascii="Cambria" w:hAnsi="Cambria"/>
      <w:color w:val="243F60"/>
    </w:rPr>
  </w:style>
  <w:style w:type="paragraph" w:styleId="Heading6">
    <w:name w:val="heading 6"/>
    <w:basedOn w:val="Normal"/>
    <w:next w:val="Normal"/>
    <w:link w:val="Heading6Char"/>
    <w:qFormat/>
    <w:locked/>
    <w:rsid w:val="00F14C6D"/>
    <w:pPr>
      <w:keepNext/>
      <w:spacing w:before="200"/>
      <w:outlineLvl w:val="5"/>
    </w:pPr>
    <w:rPr>
      <w:rFonts w:ascii="Cambria" w:hAnsi="Cambria"/>
      <w:i/>
      <w:iCs/>
      <w:color w:val="243F60"/>
    </w:rPr>
  </w:style>
  <w:style w:type="paragraph" w:styleId="Heading7">
    <w:name w:val="heading 7"/>
    <w:basedOn w:val="Normal"/>
    <w:next w:val="Normal"/>
    <w:link w:val="Heading7Char"/>
    <w:qFormat/>
    <w:locked/>
    <w:rsid w:val="00F14C6D"/>
    <w:pPr>
      <w:keepNext/>
      <w:spacing w:before="200"/>
      <w:outlineLvl w:val="6"/>
    </w:pPr>
    <w:rPr>
      <w:rFonts w:ascii="Cambria" w:hAnsi="Cambria"/>
      <w:i/>
      <w:iCs/>
      <w:color w:val="404040"/>
    </w:rPr>
  </w:style>
  <w:style w:type="paragraph" w:styleId="Heading8">
    <w:name w:val="heading 8"/>
    <w:basedOn w:val="Normal"/>
    <w:next w:val="Normal"/>
    <w:link w:val="Heading8Char"/>
    <w:uiPriority w:val="99"/>
    <w:qFormat/>
    <w:locked/>
    <w:rsid w:val="00F14C6D"/>
    <w:pPr>
      <w:keepNext/>
      <w:spacing w:before="200"/>
      <w:outlineLvl w:val="7"/>
    </w:pPr>
    <w:rPr>
      <w:rFonts w:ascii="Cambria" w:hAnsi="Cambria"/>
      <w:color w:val="404040"/>
    </w:rPr>
  </w:style>
  <w:style w:type="paragraph" w:styleId="Heading9">
    <w:name w:val="heading 9"/>
    <w:basedOn w:val="Normal"/>
    <w:next w:val="Normal"/>
    <w:link w:val="Heading9Char"/>
    <w:uiPriority w:val="99"/>
    <w:qFormat/>
    <w:locked/>
    <w:rsid w:val="00F14C6D"/>
    <w:pPr>
      <w:keepNext/>
      <w:spacing w:before="200"/>
      <w:outlineLvl w:val="8"/>
    </w:pPr>
    <w:rPr>
      <w:rFonts w:ascii="Cambria"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90141"/>
    <w:rPr>
      <w:rFonts w:ascii="Arial" w:hAnsi="Arial"/>
      <w:b/>
      <w:bCs/>
      <w:spacing w:val="-5"/>
      <w:sz w:val="28"/>
      <w:szCs w:val="28"/>
      <w:lang w:eastAsia="en-US"/>
    </w:rPr>
  </w:style>
  <w:style w:type="character" w:customStyle="1" w:styleId="Heading2Char">
    <w:name w:val="Heading 2 Char"/>
    <w:basedOn w:val="DefaultParagraphFont"/>
    <w:link w:val="Heading2"/>
    <w:locked/>
    <w:rsid w:val="00690141"/>
    <w:rPr>
      <w:rFonts w:ascii="Arial" w:hAnsi="Arial"/>
      <w:b/>
      <w:i/>
      <w:color w:val="000000"/>
      <w:spacing w:val="-5"/>
      <w:sz w:val="28"/>
      <w:szCs w:val="26"/>
      <w:lang w:eastAsia="en-US"/>
    </w:rPr>
  </w:style>
  <w:style w:type="character" w:customStyle="1" w:styleId="Heading3Char">
    <w:name w:val="Heading 3 Char"/>
    <w:basedOn w:val="DefaultParagraphFont"/>
    <w:link w:val="Heading3"/>
    <w:locked/>
    <w:rsid w:val="00AC27AB"/>
    <w:rPr>
      <w:rFonts w:ascii="Arial" w:hAnsi="Arial"/>
      <w:bCs/>
      <w:i/>
      <w:spacing w:val="-5"/>
      <w:sz w:val="24"/>
      <w:szCs w:val="26"/>
      <w:lang w:eastAsia="en-US"/>
    </w:rPr>
  </w:style>
  <w:style w:type="character" w:customStyle="1" w:styleId="Heading4Char">
    <w:name w:val="Heading 4 Char"/>
    <w:basedOn w:val="DefaultParagraphFont"/>
    <w:link w:val="Heading4"/>
    <w:locked/>
    <w:rsid w:val="00AC27AB"/>
    <w:rPr>
      <w:rFonts w:ascii="Arial" w:hAnsi="Arial"/>
      <w:iCs/>
      <w:spacing w:val="-5"/>
      <w:sz w:val="24"/>
      <w:szCs w:val="26"/>
      <w:lang w:eastAsia="en-US"/>
    </w:rPr>
  </w:style>
  <w:style w:type="character" w:customStyle="1" w:styleId="Heading5Char">
    <w:name w:val="Heading 5 Char"/>
    <w:basedOn w:val="DefaultParagraphFont"/>
    <w:link w:val="Heading5"/>
    <w:uiPriority w:val="99"/>
    <w:semiHidden/>
    <w:locked/>
    <w:rsid w:val="00F14C6D"/>
    <w:rPr>
      <w:rFonts w:ascii="Cambria" w:hAnsi="Cambria" w:cs="Times New Roman"/>
      <w:color w:val="243F60"/>
      <w:sz w:val="24"/>
      <w:szCs w:val="24"/>
      <w:lang w:val="en-AU" w:eastAsia="en-AU" w:bidi="ar-SA"/>
    </w:rPr>
  </w:style>
  <w:style w:type="character" w:customStyle="1" w:styleId="Heading6Char">
    <w:name w:val="Heading 6 Char"/>
    <w:basedOn w:val="DefaultParagraphFont"/>
    <w:link w:val="Heading6"/>
    <w:uiPriority w:val="99"/>
    <w:semiHidden/>
    <w:locked/>
    <w:rsid w:val="00F14C6D"/>
    <w:rPr>
      <w:rFonts w:ascii="Cambria" w:hAnsi="Cambria" w:cs="Times New Roman"/>
      <w:i/>
      <w:iCs/>
      <w:color w:val="243F60"/>
      <w:sz w:val="24"/>
      <w:szCs w:val="24"/>
      <w:lang w:val="en-AU" w:eastAsia="en-AU" w:bidi="ar-SA"/>
    </w:rPr>
  </w:style>
  <w:style w:type="character" w:customStyle="1" w:styleId="Heading7Char">
    <w:name w:val="Heading 7 Char"/>
    <w:basedOn w:val="DefaultParagraphFont"/>
    <w:link w:val="Heading7"/>
    <w:uiPriority w:val="99"/>
    <w:semiHidden/>
    <w:locked/>
    <w:rsid w:val="00F14C6D"/>
    <w:rPr>
      <w:rFonts w:ascii="Cambria" w:hAnsi="Cambria" w:cs="Times New Roman"/>
      <w:i/>
      <w:iCs/>
      <w:color w:val="404040"/>
      <w:sz w:val="24"/>
      <w:szCs w:val="24"/>
      <w:lang w:val="en-AU" w:eastAsia="en-AU" w:bidi="ar-SA"/>
    </w:rPr>
  </w:style>
  <w:style w:type="character" w:customStyle="1" w:styleId="Heading8Char">
    <w:name w:val="Heading 8 Char"/>
    <w:basedOn w:val="DefaultParagraphFont"/>
    <w:link w:val="Heading8"/>
    <w:uiPriority w:val="99"/>
    <w:semiHidden/>
    <w:locked/>
    <w:rsid w:val="00F14C6D"/>
    <w:rPr>
      <w:rFonts w:ascii="Cambria" w:hAnsi="Cambria" w:cs="Times New Roman"/>
      <w:color w:val="404040"/>
      <w:lang w:val="en-AU" w:eastAsia="en-AU" w:bidi="ar-SA"/>
    </w:rPr>
  </w:style>
  <w:style w:type="character" w:customStyle="1" w:styleId="Heading9Char">
    <w:name w:val="Heading 9 Char"/>
    <w:basedOn w:val="DefaultParagraphFont"/>
    <w:link w:val="Heading9"/>
    <w:uiPriority w:val="99"/>
    <w:semiHidden/>
    <w:locked/>
    <w:rsid w:val="00F14C6D"/>
    <w:rPr>
      <w:rFonts w:ascii="Cambria" w:hAnsi="Cambria" w:cs="Times New Roman"/>
      <w:i/>
      <w:iCs/>
      <w:color w:val="404040"/>
      <w:lang w:val="en-AU" w:eastAsia="en-AU" w:bidi="ar-SA"/>
    </w:rPr>
  </w:style>
  <w:style w:type="character" w:styleId="Strong">
    <w:name w:val="Strong"/>
    <w:basedOn w:val="DefaultParagraphFont"/>
    <w:uiPriority w:val="99"/>
    <w:qFormat/>
    <w:locked/>
    <w:rsid w:val="000B0A5D"/>
    <w:rPr>
      <w:rFonts w:cs="Times New Roman"/>
      <w:b/>
      <w:bCs/>
    </w:rPr>
  </w:style>
  <w:style w:type="paragraph" w:styleId="Header">
    <w:name w:val="header"/>
    <w:basedOn w:val="Normal"/>
    <w:link w:val="HeaderChar"/>
    <w:rsid w:val="00E75D90"/>
    <w:pPr>
      <w:tabs>
        <w:tab w:val="center" w:pos="4513"/>
        <w:tab w:val="right" w:pos="9026"/>
      </w:tabs>
      <w:jc w:val="right"/>
    </w:pPr>
    <w:rPr>
      <w:sz w:val="22"/>
    </w:rPr>
  </w:style>
  <w:style w:type="character" w:customStyle="1" w:styleId="HeaderChar">
    <w:name w:val="Header Char"/>
    <w:basedOn w:val="DefaultParagraphFont"/>
    <w:link w:val="Header"/>
    <w:locked/>
    <w:rsid w:val="00E75D90"/>
    <w:rPr>
      <w:rFonts w:ascii="Arial" w:hAnsi="Arial" w:cs="Times New Roman"/>
      <w:sz w:val="24"/>
      <w:szCs w:val="24"/>
    </w:rPr>
  </w:style>
  <w:style w:type="paragraph" w:styleId="Footer">
    <w:name w:val="footer"/>
    <w:basedOn w:val="Normal"/>
    <w:link w:val="FooterChar"/>
    <w:rsid w:val="00E75D90"/>
    <w:pPr>
      <w:tabs>
        <w:tab w:val="center" w:pos="4513"/>
        <w:tab w:val="right" w:pos="9026"/>
      </w:tabs>
      <w:jc w:val="right"/>
    </w:pPr>
    <w:rPr>
      <w:sz w:val="22"/>
    </w:rPr>
  </w:style>
  <w:style w:type="character" w:customStyle="1" w:styleId="FooterChar">
    <w:name w:val="Footer Char"/>
    <w:basedOn w:val="DefaultParagraphFont"/>
    <w:link w:val="Footer"/>
    <w:uiPriority w:val="99"/>
    <w:semiHidden/>
    <w:locked/>
    <w:rsid w:val="00E75D90"/>
    <w:rPr>
      <w:rFonts w:ascii="Arial" w:hAnsi="Arial" w:cs="Times New Roman"/>
      <w:sz w:val="24"/>
      <w:szCs w:val="24"/>
    </w:rPr>
  </w:style>
  <w:style w:type="paragraph" w:styleId="TOC3">
    <w:name w:val="toc 3"/>
    <w:basedOn w:val="Normal"/>
    <w:next w:val="Normal"/>
    <w:autoRedefine/>
    <w:uiPriority w:val="39"/>
    <w:locked/>
    <w:rsid w:val="002702D9"/>
    <w:pPr>
      <w:ind w:left="1202" w:hanging="720"/>
    </w:pPr>
    <w:rPr>
      <w:rFonts w:eastAsia="MS Mincho" w:cs="Arial"/>
      <w:i/>
      <w:noProof/>
    </w:rPr>
  </w:style>
  <w:style w:type="character" w:styleId="PlaceholderText">
    <w:name w:val="Placeholder Text"/>
    <w:basedOn w:val="DefaultParagraphFont"/>
    <w:uiPriority w:val="99"/>
    <w:semiHidden/>
    <w:locked/>
    <w:rsid w:val="005D1F34"/>
    <w:rPr>
      <w:rFonts w:cs="Times New Roman"/>
      <w:color w:val="808080"/>
    </w:rPr>
  </w:style>
  <w:style w:type="paragraph" w:styleId="ListContinue4">
    <w:name w:val="List Continue 4"/>
    <w:basedOn w:val="Normal"/>
    <w:uiPriority w:val="99"/>
    <w:semiHidden/>
    <w:locked/>
    <w:rsid w:val="0090165F"/>
    <w:pPr>
      <w:spacing w:after="120"/>
      <w:ind w:left="1132"/>
    </w:pPr>
  </w:style>
  <w:style w:type="paragraph" w:styleId="TOC1">
    <w:name w:val="toc 1"/>
    <w:basedOn w:val="Normal"/>
    <w:next w:val="Normal"/>
    <w:autoRedefine/>
    <w:uiPriority w:val="39"/>
    <w:locked/>
    <w:rsid w:val="002702D9"/>
    <w:pPr>
      <w:tabs>
        <w:tab w:val="right" w:leader="dot" w:pos="9060"/>
      </w:tabs>
      <w:ind w:left="720" w:hanging="720"/>
    </w:pPr>
    <w:rPr>
      <w:b/>
    </w:rPr>
  </w:style>
  <w:style w:type="paragraph" w:styleId="TOC2">
    <w:name w:val="toc 2"/>
    <w:basedOn w:val="Normal"/>
    <w:next w:val="Normal"/>
    <w:autoRedefine/>
    <w:uiPriority w:val="39"/>
    <w:locked/>
    <w:rsid w:val="002702D9"/>
    <w:pPr>
      <w:ind w:left="958" w:hanging="720"/>
    </w:pPr>
    <w:rPr>
      <w:b/>
      <w:i/>
    </w:rPr>
  </w:style>
  <w:style w:type="paragraph" w:styleId="TOC4">
    <w:name w:val="toc 4"/>
    <w:basedOn w:val="Normal"/>
    <w:next w:val="Normal"/>
    <w:autoRedefine/>
    <w:uiPriority w:val="99"/>
    <w:semiHidden/>
    <w:locked/>
    <w:rsid w:val="008A2AF7"/>
    <w:pPr>
      <w:tabs>
        <w:tab w:val="left" w:pos="1440"/>
        <w:tab w:val="right" w:leader="dot" w:pos="9060"/>
      </w:tabs>
      <w:ind w:left="1440" w:hanging="720"/>
    </w:pPr>
    <w:rPr>
      <w:noProof/>
    </w:rPr>
  </w:style>
  <w:style w:type="character" w:styleId="Hyperlink">
    <w:name w:val="Hyperlink"/>
    <w:basedOn w:val="DefaultParagraphFont"/>
    <w:uiPriority w:val="99"/>
    <w:locked/>
    <w:rsid w:val="0024557E"/>
    <w:rPr>
      <w:rFonts w:cs="Times New Roman"/>
      <w:color w:val="0000FF"/>
      <w:u w:val="single"/>
    </w:rPr>
  </w:style>
  <w:style w:type="paragraph" w:styleId="TOCHeading">
    <w:name w:val="TOC Heading"/>
    <w:basedOn w:val="Normal"/>
    <w:next w:val="Normal"/>
    <w:uiPriority w:val="99"/>
    <w:qFormat/>
    <w:locked/>
    <w:rsid w:val="00725D5E"/>
    <w:rPr>
      <w:b/>
      <w:sz w:val="28"/>
      <w:lang w:val="en-US"/>
    </w:rPr>
  </w:style>
  <w:style w:type="paragraph" w:styleId="EndnoteText">
    <w:name w:val="endnote text"/>
    <w:basedOn w:val="Normal"/>
    <w:link w:val="EndnoteTextChar"/>
    <w:semiHidden/>
    <w:rsid w:val="00706FAB"/>
  </w:style>
  <w:style w:type="character" w:customStyle="1" w:styleId="EndnoteTextChar">
    <w:name w:val="Endnote Text Char"/>
    <w:basedOn w:val="DefaultParagraphFont"/>
    <w:link w:val="EndnoteText"/>
    <w:uiPriority w:val="99"/>
    <w:locked/>
    <w:rsid w:val="00706FAB"/>
    <w:rPr>
      <w:rFonts w:ascii="Arial" w:hAnsi="Arial" w:cs="Times New Roman"/>
      <w:lang w:val="en-AU" w:eastAsia="en-AU" w:bidi="ar-SA"/>
    </w:rPr>
  </w:style>
  <w:style w:type="character" w:styleId="EndnoteReference">
    <w:name w:val="endnote reference"/>
    <w:basedOn w:val="DefaultParagraphFont"/>
    <w:semiHidden/>
    <w:rsid w:val="00074CD6"/>
    <w:rPr>
      <w:rFonts w:ascii="Arial" w:hAnsi="Arial" w:cs="Times New Roman"/>
      <w:sz w:val="20"/>
      <w:vertAlign w:val="superscript"/>
    </w:rPr>
  </w:style>
  <w:style w:type="paragraph" w:styleId="BlockText">
    <w:name w:val="Block Text"/>
    <w:basedOn w:val="Normal"/>
    <w:locked/>
    <w:rsid w:val="00E45954"/>
    <w:pPr>
      <w:spacing w:after="120"/>
      <w:ind w:left="1440" w:right="1440"/>
    </w:pPr>
  </w:style>
  <w:style w:type="paragraph" w:styleId="BodyText">
    <w:name w:val="Body Text"/>
    <w:basedOn w:val="Normal"/>
    <w:link w:val="BodyTextChar"/>
    <w:locked/>
    <w:rsid w:val="00E45954"/>
    <w:pPr>
      <w:spacing w:after="120"/>
    </w:pPr>
  </w:style>
  <w:style w:type="character" w:customStyle="1" w:styleId="BodyTextChar">
    <w:name w:val="Body Text Char"/>
    <w:basedOn w:val="DefaultParagraphFont"/>
    <w:link w:val="BodyText"/>
    <w:uiPriority w:val="99"/>
    <w:semiHidden/>
    <w:locked/>
    <w:rsid w:val="00DE2F25"/>
    <w:rPr>
      <w:rFonts w:ascii="Arial" w:hAnsi="Arial" w:cs="Times New Roman"/>
      <w:spacing w:val="-5"/>
      <w:sz w:val="20"/>
      <w:szCs w:val="20"/>
      <w:lang w:eastAsia="en-US"/>
    </w:rPr>
  </w:style>
  <w:style w:type="paragraph" w:styleId="BodyText2">
    <w:name w:val="Body Text 2"/>
    <w:basedOn w:val="Normal"/>
    <w:link w:val="BodyText2Char"/>
    <w:uiPriority w:val="99"/>
    <w:semiHidden/>
    <w:locked/>
    <w:rsid w:val="00E45954"/>
    <w:pPr>
      <w:spacing w:after="120" w:line="480" w:lineRule="auto"/>
    </w:pPr>
  </w:style>
  <w:style w:type="character" w:customStyle="1" w:styleId="BodyText2Char">
    <w:name w:val="Body Text 2 Char"/>
    <w:basedOn w:val="DefaultParagraphFont"/>
    <w:link w:val="BodyText2"/>
    <w:uiPriority w:val="99"/>
    <w:semiHidden/>
    <w:locked/>
    <w:rsid w:val="00DE2F25"/>
    <w:rPr>
      <w:rFonts w:ascii="Arial" w:hAnsi="Arial" w:cs="Times New Roman"/>
      <w:spacing w:val="-5"/>
      <w:sz w:val="20"/>
      <w:szCs w:val="20"/>
      <w:lang w:eastAsia="en-US"/>
    </w:rPr>
  </w:style>
  <w:style w:type="paragraph" w:styleId="BodyText3">
    <w:name w:val="Body Text 3"/>
    <w:basedOn w:val="Normal"/>
    <w:link w:val="BodyText3Char"/>
    <w:uiPriority w:val="99"/>
    <w:semiHidden/>
    <w:locked/>
    <w:rsid w:val="00E45954"/>
    <w:pPr>
      <w:spacing w:after="120"/>
    </w:pPr>
    <w:rPr>
      <w:sz w:val="16"/>
      <w:szCs w:val="16"/>
    </w:rPr>
  </w:style>
  <w:style w:type="character" w:customStyle="1" w:styleId="BodyText3Char">
    <w:name w:val="Body Text 3 Char"/>
    <w:basedOn w:val="DefaultParagraphFont"/>
    <w:link w:val="BodyText3"/>
    <w:uiPriority w:val="99"/>
    <w:semiHidden/>
    <w:locked/>
    <w:rsid w:val="00DE2F25"/>
    <w:rPr>
      <w:rFonts w:ascii="Arial" w:hAnsi="Arial" w:cs="Times New Roman"/>
      <w:spacing w:val="-5"/>
      <w:sz w:val="16"/>
      <w:szCs w:val="16"/>
      <w:lang w:eastAsia="en-US"/>
    </w:rPr>
  </w:style>
  <w:style w:type="paragraph" w:styleId="BodyTextFirstIndent">
    <w:name w:val="Body Text First Indent"/>
    <w:basedOn w:val="BodyText"/>
    <w:link w:val="BodyTextFirstIndentChar"/>
    <w:uiPriority w:val="99"/>
    <w:semiHidden/>
    <w:locked/>
    <w:rsid w:val="00E45954"/>
    <w:pPr>
      <w:ind w:firstLine="210"/>
    </w:pPr>
  </w:style>
  <w:style w:type="character" w:customStyle="1" w:styleId="BodyTextFirstIndentChar">
    <w:name w:val="Body Text First Indent Char"/>
    <w:basedOn w:val="BodyTextChar"/>
    <w:link w:val="BodyTextFirstIndent"/>
    <w:uiPriority w:val="99"/>
    <w:semiHidden/>
    <w:locked/>
    <w:rsid w:val="00DE2F25"/>
    <w:rPr>
      <w:rFonts w:ascii="Arial" w:hAnsi="Arial" w:cs="Times New Roman"/>
      <w:spacing w:val="-5"/>
      <w:sz w:val="20"/>
      <w:szCs w:val="20"/>
      <w:lang w:eastAsia="en-US"/>
    </w:rPr>
  </w:style>
  <w:style w:type="paragraph" w:styleId="BodyTextIndent">
    <w:name w:val="Body Text Indent"/>
    <w:basedOn w:val="Normal"/>
    <w:link w:val="BodyTextIndentChar"/>
    <w:uiPriority w:val="99"/>
    <w:semiHidden/>
    <w:locked/>
    <w:rsid w:val="00E45954"/>
    <w:pPr>
      <w:spacing w:after="120"/>
      <w:ind w:left="283"/>
    </w:pPr>
  </w:style>
  <w:style w:type="character" w:customStyle="1" w:styleId="BodyTextIndentChar">
    <w:name w:val="Body Text Indent Char"/>
    <w:basedOn w:val="DefaultParagraphFont"/>
    <w:link w:val="BodyTextIndent"/>
    <w:uiPriority w:val="99"/>
    <w:semiHidden/>
    <w:locked/>
    <w:rsid w:val="00DE2F25"/>
    <w:rPr>
      <w:rFonts w:ascii="Arial" w:hAnsi="Arial" w:cs="Times New Roman"/>
      <w:spacing w:val="-5"/>
      <w:sz w:val="20"/>
      <w:szCs w:val="20"/>
      <w:lang w:eastAsia="en-US"/>
    </w:rPr>
  </w:style>
  <w:style w:type="paragraph" w:styleId="BodyTextFirstIndent2">
    <w:name w:val="Body Text First Indent 2"/>
    <w:basedOn w:val="BodyTextIndent"/>
    <w:link w:val="BodyTextFirstIndent2Char"/>
    <w:uiPriority w:val="99"/>
    <w:semiHidden/>
    <w:locked/>
    <w:rsid w:val="00E45954"/>
    <w:pPr>
      <w:ind w:firstLine="210"/>
    </w:pPr>
  </w:style>
  <w:style w:type="character" w:customStyle="1" w:styleId="BodyTextFirstIndent2Char">
    <w:name w:val="Body Text First Indent 2 Char"/>
    <w:basedOn w:val="BodyTextIndentChar"/>
    <w:link w:val="BodyTextFirstIndent2"/>
    <w:uiPriority w:val="99"/>
    <w:semiHidden/>
    <w:locked/>
    <w:rsid w:val="00DE2F25"/>
    <w:rPr>
      <w:rFonts w:ascii="Arial" w:hAnsi="Arial" w:cs="Times New Roman"/>
      <w:spacing w:val="-5"/>
      <w:sz w:val="20"/>
      <w:szCs w:val="20"/>
      <w:lang w:eastAsia="en-US"/>
    </w:rPr>
  </w:style>
  <w:style w:type="paragraph" w:styleId="BodyTextIndent2">
    <w:name w:val="Body Text Indent 2"/>
    <w:basedOn w:val="Normal"/>
    <w:link w:val="BodyTextIndent2Char"/>
    <w:uiPriority w:val="99"/>
    <w:semiHidden/>
    <w:locked/>
    <w:rsid w:val="00E45954"/>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DE2F25"/>
    <w:rPr>
      <w:rFonts w:ascii="Arial" w:hAnsi="Arial" w:cs="Times New Roman"/>
      <w:spacing w:val="-5"/>
      <w:sz w:val="20"/>
      <w:szCs w:val="20"/>
      <w:lang w:eastAsia="en-US"/>
    </w:rPr>
  </w:style>
  <w:style w:type="paragraph" w:styleId="BodyTextIndent3">
    <w:name w:val="Body Text Indent 3"/>
    <w:basedOn w:val="Normal"/>
    <w:link w:val="BodyTextIndent3Char"/>
    <w:uiPriority w:val="99"/>
    <w:semiHidden/>
    <w:locked/>
    <w:rsid w:val="00E45954"/>
    <w:pPr>
      <w:spacing w:after="120"/>
      <w:ind w:left="283"/>
    </w:pPr>
    <w:rPr>
      <w:sz w:val="16"/>
      <w:szCs w:val="16"/>
    </w:rPr>
  </w:style>
  <w:style w:type="character" w:customStyle="1" w:styleId="BodyTextIndent3Char">
    <w:name w:val="Body Text Indent 3 Char"/>
    <w:basedOn w:val="DefaultParagraphFont"/>
    <w:link w:val="BodyTextIndent3"/>
    <w:uiPriority w:val="99"/>
    <w:semiHidden/>
    <w:locked/>
    <w:rsid w:val="00DE2F25"/>
    <w:rPr>
      <w:rFonts w:ascii="Arial" w:hAnsi="Arial" w:cs="Times New Roman"/>
      <w:spacing w:val="-5"/>
      <w:sz w:val="16"/>
      <w:szCs w:val="16"/>
      <w:lang w:eastAsia="en-US"/>
    </w:rPr>
  </w:style>
  <w:style w:type="paragraph" w:styleId="Closing">
    <w:name w:val="Closing"/>
    <w:basedOn w:val="Normal"/>
    <w:link w:val="ClosingChar"/>
    <w:uiPriority w:val="99"/>
    <w:semiHidden/>
    <w:locked/>
    <w:rsid w:val="00E45954"/>
    <w:pPr>
      <w:ind w:left="4252"/>
    </w:pPr>
  </w:style>
  <w:style w:type="character" w:customStyle="1" w:styleId="ClosingChar">
    <w:name w:val="Closing Char"/>
    <w:basedOn w:val="DefaultParagraphFont"/>
    <w:link w:val="Closing"/>
    <w:uiPriority w:val="99"/>
    <w:semiHidden/>
    <w:locked/>
    <w:rsid w:val="00DE2F25"/>
    <w:rPr>
      <w:rFonts w:ascii="Arial" w:hAnsi="Arial" w:cs="Times New Roman"/>
      <w:spacing w:val="-5"/>
      <w:sz w:val="20"/>
      <w:szCs w:val="20"/>
      <w:lang w:eastAsia="en-US"/>
    </w:rPr>
  </w:style>
  <w:style w:type="paragraph" w:styleId="Date">
    <w:name w:val="Date"/>
    <w:basedOn w:val="Normal"/>
    <w:next w:val="Normal"/>
    <w:link w:val="DateChar"/>
    <w:uiPriority w:val="99"/>
    <w:semiHidden/>
    <w:locked/>
    <w:rsid w:val="00E45954"/>
  </w:style>
  <w:style w:type="character" w:customStyle="1" w:styleId="DateChar">
    <w:name w:val="Date Char"/>
    <w:basedOn w:val="DefaultParagraphFont"/>
    <w:link w:val="Date"/>
    <w:uiPriority w:val="99"/>
    <w:semiHidden/>
    <w:locked/>
    <w:rsid w:val="00DE2F25"/>
    <w:rPr>
      <w:rFonts w:ascii="Arial" w:hAnsi="Arial" w:cs="Times New Roman"/>
      <w:spacing w:val="-5"/>
      <w:sz w:val="20"/>
      <w:szCs w:val="20"/>
      <w:lang w:eastAsia="en-US"/>
    </w:rPr>
  </w:style>
  <w:style w:type="paragraph" w:styleId="E-mailSignature">
    <w:name w:val="E-mail Signature"/>
    <w:basedOn w:val="Normal"/>
    <w:link w:val="E-mailSignatureChar"/>
    <w:uiPriority w:val="99"/>
    <w:semiHidden/>
    <w:locked/>
    <w:rsid w:val="00E45954"/>
  </w:style>
  <w:style w:type="character" w:customStyle="1" w:styleId="E-mailSignatureChar">
    <w:name w:val="E-mail Signature Char"/>
    <w:basedOn w:val="DefaultParagraphFont"/>
    <w:link w:val="E-mailSignature"/>
    <w:uiPriority w:val="99"/>
    <w:semiHidden/>
    <w:locked/>
    <w:rsid w:val="00DE2F25"/>
    <w:rPr>
      <w:rFonts w:ascii="Arial" w:hAnsi="Arial" w:cs="Times New Roman"/>
      <w:spacing w:val="-5"/>
      <w:sz w:val="20"/>
      <w:szCs w:val="20"/>
      <w:lang w:eastAsia="en-US"/>
    </w:rPr>
  </w:style>
  <w:style w:type="character" w:styleId="Emphasis">
    <w:name w:val="Emphasis"/>
    <w:basedOn w:val="DefaultParagraphFont"/>
    <w:uiPriority w:val="99"/>
    <w:qFormat/>
    <w:locked/>
    <w:rsid w:val="00E45954"/>
    <w:rPr>
      <w:rFonts w:cs="Times New Roman"/>
      <w:i/>
      <w:iCs/>
    </w:rPr>
  </w:style>
  <w:style w:type="paragraph" w:styleId="EnvelopeAddress">
    <w:name w:val="envelope address"/>
    <w:basedOn w:val="Normal"/>
    <w:uiPriority w:val="99"/>
    <w:semiHidden/>
    <w:locked/>
    <w:rsid w:val="001C139C"/>
    <w:pPr>
      <w:framePr w:w="7920" w:h="1980" w:hRule="exact" w:hSpace="180" w:wrap="auto" w:hAnchor="page" w:xAlign="center" w:yAlign="bottom"/>
      <w:ind w:left="2880"/>
    </w:pPr>
    <w:rPr>
      <w:rFonts w:cs="Arial"/>
    </w:rPr>
  </w:style>
  <w:style w:type="paragraph" w:styleId="EnvelopeReturn">
    <w:name w:val="envelope return"/>
    <w:basedOn w:val="Normal"/>
    <w:uiPriority w:val="99"/>
    <w:semiHidden/>
    <w:locked/>
    <w:rsid w:val="00E45954"/>
    <w:rPr>
      <w:rFonts w:cs="Arial"/>
    </w:rPr>
  </w:style>
  <w:style w:type="character" w:styleId="FootnoteReference">
    <w:name w:val="footnote reference"/>
    <w:basedOn w:val="DefaultParagraphFont"/>
    <w:semiHidden/>
    <w:rsid w:val="00074CD6"/>
    <w:rPr>
      <w:rFonts w:ascii="Arial" w:hAnsi="Arial" w:cs="Times New Roman"/>
      <w:sz w:val="20"/>
      <w:vertAlign w:val="superscript"/>
    </w:rPr>
  </w:style>
  <w:style w:type="paragraph" w:styleId="FootnoteText">
    <w:name w:val="footnote text"/>
    <w:aliases w:val="Footnote Text Char1 Char,Footnote Text Char Char Char,Footnote Text Char1 Char Char Char,Footnote Text Char Char Char Char Char,Footnote Text Char2 Char Char Char Char Char,Footnote Text Char1,Footnote Text Char Char,FA Char,FA "/>
    <w:basedOn w:val="Normal"/>
    <w:link w:val="FootnoteTextChar"/>
    <w:rsid w:val="00706FAB"/>
  </w:style>
  <w:style w:type="character" w:customStyle="1" w:styleId="FootnoteTextChar">
    <w:name w:val="Footnote Text Char"/>
    <w:aliases w:val="Footnote Text Char1 Char Char,Footnote Text Char Char Char Char,Footnote Text Char1 Char Char Char Char,Footnote Text Char Char Char Char Char Char,Footnote Text Char2 Char Char Char Char Char Char,Footnote Text Char1 Char1,FA  Char"/>
    <w:basedOn w:val="DefaultParagraphFont"/>
    <w:link w:val="FootnoteText"/>
    <w:locked/>
    <w:rsid w:val="00706FAB"/>
    <w:rPr>
      <w:rFonts w:ascii="Arial" w:hAnsi="Arial" w:cs="Times New Roman"/>
      <w:lang w:val="en-AU" w:eastAsia="en-AU" w:bidi="ar-SA"/>
    </w:rPr>
  </w:style>
  <w:style w:type="character" w:styleId="HTMLAcronym">
    <w:name w:val="HTML Acronym"/>
    <w:basedOn w:val="DefaultParagraphFont"/>
    <w:uiPriority w:val="99"/>
    <w:semiHidden/>
    <w:locked/>
    <w:rsid w:val="00E45954"/>
    <w:rPr>
      <w:rFonts w:cs="Times New Roman"/>
    </w:rPr>
  </w:style>
  <w:style w:type="paragraph" w:styleId="HTMLAddress">
    <w:name w:val="HTML Address"/>
    <w:basedOn w:val="Normal"/>
    <w:link w:val="HTMLAddressChar"/>
    <w:uiPriority w:val="99"/>
    <w:semiHidden/>
    <w:locked/>
    <w:rsid w:val="00E45954"/>
    <w:rPr>
      <w:i/>
      <w:iCs/>
    </w:rPr>
  </w:style>
  <w:style w:type="character" w:customStyle="1" w:styleId="HTMLAddressChar">
    <w:name w:val="HTML Address Char"/>
    <w:basedOn w:val="DefaultParagraphFont"/>
    <w:link w:val="HTMLAddress"/>
    <w:uiPriority w:val="99"/>
    <w:semiHidden/>
    <w:locked/>
    <w:rsid w:val="00DE2F25"/>
    <w:rPr>
      <w:rFonts w:ascii="Arial" w:hAnsi="Arial" w:cs="Times New Roman"/>
      <w:i/>
      <w:iCs/>
      <w:spacing w:val="-5"/>
      <w:sz w:val="20"/>
      <w:szCs w:val="20"/>
      <w:lang w:eastAsia="en-US"/>
    </w:rPr>
  </w:style>
  <w:style w:type="character" w:styleId="HTMLCite">
    <w:name w:val="HTML Cite"/>
    <w:basedOn w:val="DefaultParagraphFont"/>
    <w:uiPriority w:val="99"/>
    <w:semiHidden/>
    <w:locked/>
    <w:rsid w:val="00E45954"/>
    <w:rPr>
      <w:rFonts w:cs="Times New Roman"/>
      <w:i/>
      <w:iCs/>
    </w:rPr>
  </w:style>
  <w:style w:type="character" w:styleId="HTMLCode">
    <w:name w:val="HTML Code"/>
    <w:basedOn w:val="DefaultParagraphFont"/>
    <w:uiPriority w:val="99"/>
    <w:semiHidden/>
    <w:locked/>
    <w:rsid w:val="00E45954"/>
    <w:rPr>
      <w:rFonts w:ascii="Courier New" w:hAnsi="Courier New" w:cs="Courier New"/>
      <w:sz w:val="20"/>
      <w:szCs w:val="20"/>
    </w:rPr>
  </w:style>
  <w:style w:type="character" w:styleId="HTMLDefinition">
    <w:name w:val="HTML Definition"/>
    <w:basedOn w:val="DefaultParagraphFont"/>
    <w:uiPriority w:val="99"/>
    <w:semiHidden/>
    <w:locked/>
    <w:rsid w:val="00E45954"/>
    <w:rPr>
      <w:rFonts w:cs="Times New Roman"/>
      <w:i/>
      <w:iCs/>
    </w:rPr>
  </w:style>
  <w:style w:type="character" w:styleId="HTMLKeyboard">
    <w:name w:val="HTML Keyboard"/>
    <w:basedOn w:val="DefaultParagraphFont"/>
    <w:uiPriority w:val="99"/>
    <w:semiHidden/>
    <w:locked/>
    <w:rsid w:val="00E45954"/>
    <w:rPr>
      <w:rFonts w:ascii="Courier New" w:hAnsi="Courier New" w:cs="Courier New"/>
      <w:sz w:val="20"/>
      <w:szCs w:val="20"/>
    </w:rPr>
  </w:style>
  <w:style w:type="paragraph" w:styleId="HTMLPreformatted">
    <w:name w:val="HTML Preformatted"/>
    <w:basedOn w:val="Normal"/>
    <w:link w:val="HTMLPreformattedChar"/>
    <w:uiPriority w:val="99"/>
    <w:semiHidden/>
    <w:locked/>
    <w:rsid w:val="00E45954"/>
    <w:rPr>
      <w:rFonts w:ascii="Courier New" w:hAnsi="Courier New" w:cs="Courier New"/>
    </w:rPr>
  </w:style>
  <w:style w:type="character" w:customStyle="1" w:styleId="HTMLPreformattedChar">
    <w:name w:val="HTML Preformatted Char"/>
    <w:basedOn w:val="DefaultParagraphFont"/>
    <w:link w:val="HTMLPreformatted"/>
    <w:uiPriority w:val="99"/>
    <w:semiHidden/>
    <w:locked/>
    <w:rsid w:val="00DE2F25"/>
    <w:rPr>
      <w:rFonts w:ascii="Courier New" w:hAnsi="Courier New" w:cs="Courier New"/>
      <w:spacing w:val="-5"/>
      <w:sz w:val="20"/>
      <w:szCs w:val="20"/>
      <w:lang w:eastAsia="en-US"/>
    </w:rPr>
  </w:style>
  <w:style w:type="character" w:styleId="HTMLSample">
    <w:name w:val="HTML Sample"/>
    <w:basedOn w:val="DefaultParagraphFont"/>
    <w:uiPriority w:val="99"/>
    <w:semiHidden/>
    <w:locked/>
    <w:rsid w:val="00E45954"/>
    <w:rPr>
      <w:rFonts w:ascii="Courier New" w:hAnsi="Courier New" w:cs="Courier New"/>
    </w:rPr>
  </w:style>
  <w:style w:type="character" w:styleId="HTMLTypewriter">
    <w:name w:val="HTML Typewriter"/>
    <w:basedOn w:val="DefaultParagraphFont"/>
    <w:uiPriority w:val="99"/>
    <w:semiHidden/>
    <w:locked/>
    <w:rsid w:val="00E45954"/>
    <w:rPr>
      <w:rFonts w:ascii="Courier New" w:hAnsi="Courier New" w:cs="Courier New"/>
      <w:sz w:val="20"/>
      <w:szCs w:val="20"/>
    </w:rPr>
  </w:style>
  <w:style w:type="character" w:styleId="HTMLVariable">
    <w:name w:val="HTML Variable"/>
    <w:basedOn w:val="DefaultParagraphFont"/>
    <w:uiPriority w:val="99"/>
    <w:semiHidden/>
    <w:locked/>
    <w:rsid w:val="00E45954"/>
    <w:rPr>
      <w:rFonts w:cs="Times New Roman"/>
      <w:i/>
      <w:iCs/>
    </w:rPr>
  </w:style>
  <w:style w:type="character" w:styleId="LineNumber">
    <w:name w:val="line number"/>
    <w:basedOn w:val="DefaultParagraphFont"/>
    <w:uiPriority w:val="99"/>
    <w:semiHidden/>
    <w:locked/>
    <w:rsid w:val="00E45954"/>
    <w:rPr>
      <w:rFonts w:cs="Times New Roman"/>
    </w:rPr>
  </w:style>
  <w:style w:type="paragraph" w:styleId="List">
    <w:name w:val="List"/>
    <w:basedOn w:val="Normal"/>
    <w:uiPriority w:val="99"/>
    <w:semiHidden/>
    <w:locked/>
    <w:rsid w:val="00E45954"/>
    <w:pPr>
      <w:ind w:left="283" w:hanging="283"/>
    </w:pPr>
  </w:style>
  <w:style w:type="paragraph" w:styleId="List2">
    <w:name w:val="List 2"/>
    <w:basedOn w:val="Normal"/>
    <w:uiPriority w:val="99"/>
    <w:semiHidden/>
    <w:locked/>
    <w:rsid w:val="00E45954"/>
    <w:pPr>
      <w:ind w:left="566" w:hanging="283"/>
    </w:pPr>
  </w:style>
  <w:style w:type="paragraph" w:styleId="List3">
    <w:name w:val="List 3"/>
    <w:basedOn w:val="Normal"/>
    <w:uiPriority w:val="99"/>
    <w:semiHidden/>
    <w:locked/>
    <w:rsid w:val="00E45954"/>
    <w:pPr>
      <w:ind w:left="849" w:hanging="283"/>
    </w:pPr>
  </w:style>
  <w:style w:type="paragraph" w:styleId="List4">
    <w:name w:val="List 4"/>
    <w:basedOn w:val="Normal"/>
    <w:uiPriority w:val="99"/>
    <w:semiHidden/>
    <w:locked/>
    <w:rsid w:val="00E45954"/>
    <w:pPr>
      <w:ind w:left="1132" w:hanging="283"/>
    </w:pPr>
  </w:style>
  <w:style w:type="paragraph" w:styleId="List5">
    <w:name w:val="List 5"/>
    <w:basedOn w:val="Normal"/>
    <w:uiPriority w:val="99"/>
    <w:semiHidden/>
    <w:locked/>
    <w:rsid w:val="00E45954"/>
    <w:pPr>
      <w:ind w:left="1415" w:hanging="283"/>
    </w:pPr>
  </w:style>
  <w:style w:type="paragraph" w:styleId="ListBullet2">
    <w:name w:val="List Bullet 2"/>
    <w:basedOn w:val="Normal"/>
    <w:uiPriority w:val="99"/>
    <w:semiHidden/>
    <w:locked/>
    <w:rsid w:val="00E45954"/>
    <w:pPr>
      <w:tabs>
        <w:tab w:val="num" w:pos="643"/>
      </w:tabs>
      <w:ind w:left="643" w:hanging="360"/>
    </w:pPr>
  </w:style>
  <w:style w:type="paragraph" w:styleId="ListBullet3">
    <w:name w:val="List Bullet 3"/>
    <w:basedOn w:val="Normal"/>
    <w:uiPriority w:val="99"/>
    <w:semiHidden/>
    <w:locked/>
    <w:rsid w:val="00E45954"/>
    <w:pPr>
      <w:tabs>
        <w:tab w:val="num" w:pos="926"/>
      </w:tabs>
      <w:ind w:left="926" w:hanging="360"/>
    </w:pPr>
  </w:style>
  <w:style w:type="paragraph" w:styleId="ListBullet4">
    <w:name w:val="List Bullet 4"/>
    <w:basedOn w:val="Normal"/>
    <w:uiPriority w:val="99"/>
    <w:semiHidden/>
    <w:locked/>
    <w:rsid w:val="00E45954"/>
    <w:pPr>
      <w:tabs>
        <w:tab w:val="num" w:pos="1209"/>
      </w:tabs>
      <w:ind w:left="1209" w:hanging="360"/>
    </w:pPr>
  </w:style>
  <w:style w:type="paragraph" w:styleId="ListBullet5">
    <w:name w:val="List Bullet 5"/>
    <w:basedOn w:val="Normal"/>
    <w:semiHidden/>
    <w:locked/>
    <w:rsid w:val="00E45954"/>
    <w:pPr>
      <w:tabs>
        <w:tab w:val="num" w:pos="1492"/>
      </w:tabs>
      <w:ind w:left="1492" w:hanging="360"/>
    </w:pPr>
  </w:style>
  <w:style w:type="paragraph" w:styleId="ListContinue">
    <w:name w:val="List Continue"/>
    <w:basedOn w:val="Normal"/>
    <w:uiPriority w:val="99"/>
    <w:semiHidden/>
    <w:locked/>
    <w:rsid w:val="00E45954"/>
    <w:pPr>
      <w:spacing w:after="120"/>
      <w:ind w:left="283"/>
    </w:pPr>
  </w:style>
  <w:style w:type="paragraph" w:styleId="ListContinue2">
    <w:name w:val="List Continue 2"/>
    <w:basedOn w:val="Normal"/>
    <w:uiPriority w:val="99"/>
    <w:semiHidden/>
    <w:locked/>
    <w:rsid w:val="00E45954"/>
    <w:pPr>
      <w:spacing w:after="120"/>
      <w:ind w:left="566"/>
    </w:pPr>
  </w:style>
  <w:style w:type="paragraph" w:styleId="ListContinue3">
    <w:name w:val="List Continue 3"/>
    <w:basedOn w:val="Normal"/>
    <w:uiPriority w:val="99"/>
    <w:semiHidden/>
    <w:locked/>
    <w:rsid w:val="00E45954"/>
    <w:pPr>
      <w:spacing w:after="120"/>
      <w:ind w:left="849"/>
    </w:pPr>
  </w:style>
  <w:style w:type="paragraph" w:styleId="ListContinue5">
    <w:name w:val="List Continue 5"/>
    <w:basedOn w:val="Normal"/>
    <w:uiPriority w:val="99"/>
    <w:semiHidden/>
    <w:locked/>
    <w:rsid w:val="00E45954"/>
    <w:pPr>
      <w:spacing w:after="120"/>
      <w:ind w:left="1415"/>
    </w:pPr>
  </w:style>
  <w:style w:type="paragraph" w:styleId="ListNumber">
    <w:name w:val="List Number"/>
    <w:basedOn w:val="Normal"/>
    <w:uiPriority w:val="99"/>
    <w:semiHidden/>
    <w:locked/>
    <w:rsid w:val="00E45954"/>
    <w:pPr>
      <w:tabs>
        <w:tab w:val="num" w:pos="360"/>
      </w:tabs>
      <w:ind w:left="360" w:hanging="360"/>
    </w:pPr>
  </w:style>
  <w:style w:type="paragraph" w:styleId="ListNumber2">
    <w:name w:val="List Number 2"/>
    <w:basedOn w:val="Normal"/>
    <w:uiPriority w:val="99"/>
    <w:semiHidden/>
    <w:locked/>
    <w:rsid w:val="00E45954"/>
    <w:pPr>
      <w:tabs>
        <w:tab w:val="num" w:pos="643"/>
      </w:tabs>
      <w:ind w:left="643" w:hanging="360"/>
    </w:pPr>
  </w:style>
  <w:style w:type="paragraph" w:styleId="ListNumber3">
    <w:name w:val="List Number 3"/>
    <w:basedOn w:val="Normal"/>
    <w:uiPriority w:val="99"/>
    <w:semiHidden/>
    <w:locked/>
    <w:rsid w:val="00E45954"/>
    <w:pPr>
      <w:tabs>
        <w:tab w:val="num" w:pos="926"/>
      </w:tabs>
      <w:ind w:left="926" w:hanging="360"/>
    </w:pPr>
  </w:style>
  <w:style w:type="paragraph" w:styleId="ListNumber4">
    <w:name w:val="List Number 4"/>
    <w:basedOn w:val="Normal"/>
    <w:uiPriority w:val="99"/>
    <w:semiHidden/>
    <w:locked/>
    <w:rsid w:val="00E45954"/>
    <w:pPr>
      <w:tabs>
        <w:tab w:val="num" w:pos="1209"/>
      </w:tabs>
      <w:ind w:left="1209" w:hanging="360"/>
    </w:pPr>
  </w:style>
  <w:style w:type="paragraph" w:styleId="ListNumber5">
    <w:name w:val="List Number 5"/>
    <w:basedOn w:val="Normal"/>
    <w:uiPriority w:val="99"/>
    <w:semiHidden/>
    <w:locked/>
    <w:rsid w:val="00E45954"/>
    <w:pPr>
      <w:tabs>
        <w:tab w:val="num" w:pos="1492"/>
      </w:tabs>
      <w:ind w:left="1492" w:hanging="360"/>
    </w:pPr>
  </w:style>
  <w:style w:type="paragraph" w:styleId="MessageHeader">
    <w:name w:val="Message Header"/>
    <w:basedOn w:val="Normal"/>
    <w:link w:val="MessageHeaderChar"/>
    <w:uiPriority w:val="99"/>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MessageHeaderChar">
    <w:name w:val="Message Header Char"/>
    <w:basedOn w:val="DefaultParagraphFont"/>
    <w:link w:val="MessageHeader"/>
    <w:uiPriority w:val="99"/>
    <w:semiHidden/>
    <w:locked/>
    <w:rsid w:val="00DE2F25"/>
    <w:rPr>
      <w:rFonts w:ascii="Cambria" w:hAnsi="Cambria" w:cs="Times New Roman"/>
      <w:spacing w:val="-5"/>
      <w:sz w:val="24"/>
      <w:szCs w:val="24"/>
      <w:shd w:val="pct20" w:color="auto" w:fill="auto"/>
      <w:lang w:eastAsia="en-US"/>
    </w:rPr>
  </w:style>
  <w:style w:type="paragraph" w:styleId="NormalWeb">
    <w:name w:val="Normal (Web)"/>
    <w:basedOn w:val="Normal"/>
    <w:uiPriority w:val="99"/>
    <w:semiHidden/>
    <w:locked/>
    <w:rsid w:val="00E45954"/>
    <w:rPr>
      <w:rFonts w:ascii="Times New Roman" w:hAnsi="Times New Roman"/>
    </w:rPr>
  </w:style>
  <w:style w:type="paragraph" w:styleId="NormalIndent">
    <w:name w:val="Normal Indent"/>
    <w:basedOn w:val="Normal"/>
    <w:locked/>
    <w:rsid w:val="00E45954"/>
    <w:pPr>
      <w:ind w:left="720"/>
    </w:pPr>
  </w:style>
  <w:style w:type="paragraph" w:styleId="NoteHeading">
    <w:name w:val="Note Heading"/>
    <w:basedOn w:val="Normal"/>
    <w:next w:val="Normal"/>
    <w:link w:val="NoteHeadingChar"/>
    <w:locked/>
    <w:rsid w:val="00E45954"/>
  </w:style>
  <w:style w:type="character" w:customStyle="1" w:styleId="NoteHeadingChar">
    <w:name w:val="Note Heading Char"/>
    <w:basedOn w:val="DefaultParagraphFont"/>
    <w:link w:val="NoteHeading"/>
    <w:uiPriority w:val="99"/>
    <w:semiHidden/>
    <w:locked/>
    <w:rsid w:val="00DE2F25"/>
    <w:rPr>
      <w:rFonts w:ascii="Arial" w:hAnsi="Arial" w:cs="Times New Roman"/>
      <w:spacing w:val="-5"/>
      <w:sz w:val="20"/>
      <w:szCs w:val="20"/>
      <w:lang w:eastAsia="en-US"/>
    </w:rPr>
  </w:style>
  <w:style w:type="character" w:styleId="PageNumber">
    <w:name w:val="page number"/>
    <w:basedOn w:val="DefaultParagraphFont"/>
    <w:locked/>
    <w:rsid w:val="00E45954"/>
    <w:rPr>
      <w:rFonts w:cs="Times New Roman"/>
    </w:rPr>
  </w:style>
  <w:style w:type="paragraph" w:styleId="PlainText">
    <w:name w:val="Plain Text"/>
    <w:basedOn w:val="Normal"/>
    <w:link w:val="PlainTextChar"/>
    <w:uiPriority w:val="99"/>
    <w:semiHidden/>
    <w:locked/>
    <w:rsid w:val="00E45954"/>
    <w:rPr>
      <w:rFonts w:ascii="Courier New" w:hAnsi="Courier New" w:cs="Courier New"/>
    </w:rPr>
  </w:style>
  <w:style w:type="character" w:customStyle="1" w:styleId="PlainTextChar">
    <w:name w:val="Plain Text Char"/>
    <w:basedOn w:val="DefaultParagraphFont"/>
    <w:link w:val="PlainText"/>
    <w:uiPriority w:val="99"/>
    <w:semiHidden/>
    <w:locked/>
    <w:rsid w:val="00DE2F25"/>
    <w:rPr>
      <w:rFonts w:ascii="Courier New" w:hAnsi="Courier New" w:cs="Courier New"/>
      <w:spacing w:val="-5"/>
      <w:sz w:val="20"/>
      <w:szCs w:val="20"/>
      <w:lang w:eastAsia="en-US"/>
    </w:rPr>
  </w:style>
  <w:style w:type="paragraph" w:styleId="Salutation">
    <w:name w:val="Salutation"/>
    <w:basedOn w:val="Normal"/>
    <w:next w:val="Normal"/>
    <w:link w:val="SalutationChar"/>
    <w:uiPriority w:val="99"/>
    <w:semiHidden/>
    <w:locked/>
    <w:rsid w:val="00E45954"/>
  </w:style>
  <w:style w:type="character" w:customStyle="1" w:styleId="SalutationChar">
    <w:name w:val="Salutation Char"/>
    <w:basedOn w:val="DefaultParagraphFont"/>
    <w:link w:val="Salutation"/>
    <w:uiPriority w:val="99"/>
    <w:semiHidden/>
    <w:locked/>
    <w:rsid w:val="00DE2F25"/>
    <w:rPr>
      <w:rFonts w:ascii="Arial" w:hAnsi="Arial" w:cs="Times New Roman"/>
      <w:spacing w:val="-5"/>
      <w:sz w:val="20"/>
      <w:szCs w:val="20"/>
      <w:lang w:eastAsia="en-US"/>
    </w:rPr>
  </w:style>
  <w:style w:type="paragraph" w:styleId="Signature">
    <w:name w:val="Signature"/>
    <w:basedOn w:val="Normal"/>
    <w:link w:val="SignatureChar"/>
    <w:uiPriority w:val="99"/>
    <w:semiHidden/>
    <w:locked/>
    <w:rsid w:val="00E45954"/>
    <w:pPr>
      <w:ind w:left="4252"/>
    </w:pPr>
  </w:style>
  <w:style w:type="character" w:customStyle="1" w:styleId="SignatureChar">
    <w:name w:val="Signature Char"/>
    <w:basedOn w:val="DefaultParagraphFont"/>
    <w:link w:val="Signature"/>
    <w:uiPriority w:val="99"/>
    <w:semiHidden/>
    <w:locked/>
    <w:rsid w:val="00DE2F25"/>
    <w:rPr>
      <w:rFonts w:ascii="Arial" w:hAnsi="Arial" w:cs="Times New Roman"/>
      <w:spacing w:val="-5"/>
      <w:sz w:val="20"/>
      <w:szCs w:val="20"/>
      <w:lang w:eastAsia="en-US"/>
    </w:rPr>
  </w:style>
  <w:style w:type="paragraph" w:styleId="Subtitle">
    <w:name w:val="Subtitle"/>
    <w:basedOn w:val="Normal"/>
    <w:link w:val="SubtitleChar"/>
    <w:uiPriority w:val="99"/>
    <w:qFormat/>
    <w:locked/>
    <w:rsid w:val="00E45954"/>
    <w:pPr>
      <w:spacing w:after="60"/>
      <w:jc w:val="center"/>
      <w:outlineLvl w:val="1"/>
    </w:pPr>
    <w:rPr>
      <w:rFonts w:cs="Arial"/>
    </w:rPr>
  </w:style>
  <w:style w:type="character" w:customStyle="1" w:styleId="SubtitleChar">
    <w:name w:val="Subtitle Char"/>
    <w:basedOn w:val="DefaultParagraphFont"/>
    <w:link w:val="Subtitle"/>
    <w:uiPriority w:val="99"/>
    <w:locked/>
    <w:rsid w:val="00DE2F25"/>
    <w:rPr>
      <w:rFonts w:ascii="Cambria" w:hAnsi="Cambria" w:cs="Times New Roman"/>
      <w:spacing w:val="-5"/>
      <w:sz w:val="24"/>
      <w:szCs w:val="24"/>
      <w:lang w:eastAsia="en-US"/>
    </w:rPr>
  </w:style>
  <w:style w:type="table" w:styleId="Table3Deffects1">
    <w:name w:val="Table 3D effects 1"/>
    <w:basedOn w:val="TableNormal"/>
    <w:uiPriority w:val="99"/>
    <w:semiHidden/>
    <w:locked/>
    <w:rsid w:val="00E45954"/>
    <w:pPr>
      <w:spacing w:after="240"/>
    </w:pPr>
    <w:rPr>
      <w:sz w:val="20"/>
      <w:szCs w:val="20"/>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locked/>
    <w:rsid w:val="00E45954"/>
    <w:pPr>
      <w:spacing w:after="240"/>
    </w:pPr>
    <w:rPr>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locked/>
    <w:rsid w:val="00E45954"/>
    <w:pPr>
      <w:spacing w:after="240"/>
    </w:pPr>
    <w:rPr>
      <w:sz w:val="20"/>
      <w:szCs w:val="20"/>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semiHidden/>
    <w:locked/>
    <w:rsid w:val="00E45954"/>
    <w:pPr>
      <w:spacing w:after="240"/>
    </w:pPr>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semiHidden/>
    <w:locked/>
    <w:rsid w:val="00E45954"/>
    <w:pPr>
      <w:spacing w:after="240"/>
    </w:pPr>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locked/>
    <w:rsid w:val="00E45954"/>
    <w:pPr>
      <w:spacing w:after="240"/>
    </w:pPr>
    <w:rPr>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locked/>
    <w:rsid w:val="00E45954"/>
    <w:pPr>
      <w:spacing w:after="240"/>
    </w:pPr>
    <w:rPr>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locked/>
    <w:rsid w:val="00E45954"/>
    <w:pPr>
      <w:spacing w:after="240"/>
    </w:pPr>
    <w:rPr>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locked/>
    <w:rsid w:val="00E45954"/>
    <w:pPr>
      <w:spacing w:after="240"/>
    </w:pPr>
    <w:rPr>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locked/>
    <w:rsid w:val="00E45954"/>
    <w:pPr>
      <w:spacing w:after="240"/>
    </w:pPr>
    <w:rPr>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locked/>
    <w:rsid w:val="00E45954"/>
    <w:pPr>
      <w:spacing w:after="240"/>
    </w:pPr>
    <w:rPr>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semiHidden/>
    <w:locked/>
    <w:rsid w:val="00E45954"/>
    <w:pPr>
      <w:spacing w:after="240"/>
    </w:pPr>
    <w:rPr>
      <w:b/>
      <w:bCs/>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semiHidden/>
    <w:locked/>
    <w:rsid w:val="00E45954"/>
    <w:pPr>
      <w:spacing w:after="240"/>
    </w:pPr>
    <w:rPr>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semiHidden/>
    <w:locked/>
    <w:rsid w:val="00E45954"/>
    <w:pPr>
      <w:spacing w:after="240"/>
    </w:pPr>
    <w:rPr>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semiHidden/>
    <w:locked/>
    <w:rsid w:val="00E45954"/>
    <w:pPr>
      <w:spacing w:after="240"/>
    </w:pPr>
    <w:rPr>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semiHidden/>
    <w:locked/>
    <w:rsid w:val="00E45954"/>
    <w:pPr>
      <w:spacing w:after="240"/>
    </w:pPr>
    <w:rPr>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locked/>
    <w:rsid w:val="00E45954"/>
    <w:pPr>
      <w:spacing w:after="240"/>
    </w:pPr>
    <w:rPr>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TableGrid">
    <w:name w:val="Table Grid"/>
    <w:basedOn w:val="TableNormal"/>
    <w:locked/>
    <w:rsid w:val="00E45954"/>
    <w:pPr>
      <w:spacing w:after="240"/>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uiPriority w:val="99"/>
    <w:semiHidden/>
    <w:locked/>
    <w:rsid w:val="00E45954"/>
    <w:pPr>
      <w:spacing w:after="240"/>
    </w:pPr>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semiHidden/>
    <w:locked/>
    <w:rsid w:val="00E45954"/>
    <w:pPr>
      <w:spacing w:after="240"/>
    </w:pPr>
    <w:rPr>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semiHidden/>
    <w:locked/>
    <w:rsid w:val="00E45954"/>
    <w:pPr>
      <w:spacing w:after="240"/>
    </w:pPr>
    <w:rPr>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semiHidden/>
    <w:locked/>
    <w:rsid w:val="00E45954"/>
    <w:pPr>
      <w:spacing w:after="240"/>
    </w:pPr>
    <w:rPr>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locked/>
    <w:rsid w:val="00E45954"/>
    <w:pPr>
      <w:spacing w:after="240"/>
    </w:pPr>
    <w:rPr>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semiHidden/>
    <w:locked/>
    <w:rsid w:val="00E45954"/>
    <w:pPr>
      <w:spacing w:after="240"/>
    </w:pPr>
    <w:rPr>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semiHidden/>
    <w:locked/>
    <w:rsid w:val="00E45954"/>
    <w:pPr>
      <w:spacing w:after="240"/>
    </w:pPr>
    <w:rPr>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semiHidden/>
    <w:locked/>
    <w:rsid w:val="00E45954"/>
    <w:pPr>
      <w:spacing w:after="240"/>
    </w:pPr>
    <w:rPr>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locked/>
    <w:rsid w:val="00E45954"/>
    <w:pPr>
      <w:spacing w:after="240"/>
    </w:pPr>
    <w:rPr>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semiHidden/>
    <w:locked/>
    <w:rsid w:val="00E45954"/>
    <w:pPr>
      <w:spacing w:after="240"/>
    </w:pPr>
    <w:rPr>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semiHidden/>
    <w:locked/>
    <w:rsid w:val="00E45954"/>
    <w:pPr>
      <w:spacing w:after="240"/>
    </w:pPr>
    <w:rPr>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locked/>
    <w:rsid w:val="00E45954"/>
    <w:pPr>
      <w:spacing w:after="240"/>
    </w:pPr>
    <w:rPr>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locked/>
    <w:rsid w:val="00E45954"/>
    <w:pPr>
      <w:spacing w:after="240"/>
    </w:pPr>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semiHidden/>
    <w:locked/>
    <w:rsid w:val="00E45954"/>
    <w:pPr>
      <w:spacing w:after="240"/>
    </w:pPr>
    <w:rPr>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locked/>
    <w:rsid w:val="00E45954"/>
    <w:pPr>
      <w:spacing w:after="240"/>
    </w:pPr>
    <w:rPr>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locked/>
    <w:rsid w:val="00E45954"/>
    <w:pPr>
      <w:spacing w:after="240"/>
    </w:pPr>
    <w:rPr>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locked/>
    <w:rsid w:val="00E45954"/>
    <w:pPr>
      <w:spacing w:after="240"/>
    </w:pPr>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locked/>
    <w:rsid w:val="00E45954"/>
    <w:pPr>
      <w:spacing w:after="240"/>
    </w:pPr>
    <w:rPr>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locked/>
    <w:rsid w:val="00E45954"/>
    <w:pPr>
      <w:spacing w:after="240"/>
    </w:pPr>
    <w:rPr>
      <w:sz w:val="20"/>
      <w:szCs w:val="20"/>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locked/>
    <w:rsid w:val="00E45954"/>
    <w:pPr>
      <w:spacing w:after="240"/>
    </w:pPr>
    <w:rPr>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locked/>
    <w:rsid w:val="00E45954"/>
    <w:pPr>
      <w:spacing w:after="240"/>
    </w:pPr>
    <w:rPr>
      <w:sz w:val="20"/>
      <w:szCs w:val="20"/>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semiHidden/>
    <w:locked/>
    <w:rsid w:val="00E45954"/>
    <w:pPr>
      <w:spacing w:after="240"/>
    </w:pPr>
    <w:rPr>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semiHidden/>
    <w:locked/>
    <w:rsid w:val="00E45954"/>
    <w:pPr>
      <w:spacing w:after="240"/>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locked/>
    <w:rsid w:val="00E45954"/>
    <w:pPr>
      <w:spacing w:after="240"/>
    </w:pPr>
    <w:rPr>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semiHidden/>
    <w:locked/>
    <w:rsid w:val="00E45954"/>
    <w:pPr>
      <w:spacing w:after="240"/>
    </w:pPr>
    <w:rPr>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semiHidden/>
    <w:locked/>
    <w:rsid w:val="00E45954"/>
    <w:pPr>
      <w:spacing w:after="240"/>
    </w:pPr>
    <w:rPr>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Title">
    <w:name w:val="Title"/>
    <w:basedOn w:val="Normal"/>
    <w:link w:val="TitleChar"/>
    <w:uiPriority w:val="99"/>
    <w:qFormat/>
    <w:locked/>
    <w:rsid w:val="00E45954"/>
    <w:pPr>
      <w:spacing w:before="240" w:after="60"/>
      <w:jc w:val="center"/>
      <w:outlineLvl w:val="0"/>
    </w:pPr>
    <w:rPr>
      <w:rFonts w:cs="Arial"/>
      <w:b/>
      <w:bCs/>
      <w:kern w:val="28"/>
      <w:sz w:val="32"/>
      <w:szCs w:val="32"/>
    </w:rPr>
  </w:style>
  <w:style w:type="character" w:customStyle="1" w:styleId="TitleChar">
    <w:name w:val="Title Char"/>
    <w:basedOn w:val="DefaultParagraphFont"/>
    <w:link w:val="Title"/>
    <w:uiPriority w:val="99"/>
    <w:locked/>
    <w:rsid w:val="00DE2F25"/>
    <w:rPr>
      <w:rFonts w:ascii="Cambria" w:hAnsi="Cambria" w:cs="Times New Roman"/>
      <w:b/>
      <w:bCs/>
      <w:spacing w:val="-5"/>
      <w:kern w:val="28"/>
      <w:sz w:val="32"/>
      <w:szCs w:val="32"/>
      <w:lang w:eastAsia="en-US"/>
    </w:rPr>
  </w:style>
  <w:style w:type="character" w:styleId="FollowedHyperlink">
    <w:name w:val="FollowedHyperlink"/>
    <w:basedOn w:val="DefaultParagraphFont"/>
    <w:uiPriority w:val="99"/>
    <w:semiHidden/>
    <w:locked/>
    <w:rsid w:val="00E45954"/>
    <w:rPr>
      <w:rFonts w:cs="Times New Roman"/>
      <w:color w:val="800080"/>
      <w:u w:val="single"/>
    </w:rPr>
  </w:style>
  <w:style w:type="paragraph" w:styleId="ListBullet">
    <w:name w:val="List Bullet"/>
    <w:basedOn w:val="Normal"/>
    <w:uiPriority w:val="99"/>
    <w:semiHidden/>
    <w:locked/>
    <w:rsid w:val="00950E88"/>
    <w:pPr>
      <w:tabs>
        <w:tab w:val="num" w:pos="360"/>
      </w:tabs>
      <w:ind w:left="360" w:hanging="360"/>
    </w:pPr>
  </w:style>
  <w:style w:type="paragraph" w:customStyle="1" w:styleId="Contactdetails">
    <w:name w:val="Contact details"/>
    <w:basedOn w:val="Normal"/>
    <w:rsid w:val="002702D9"/>
    <w:pPr>
      <w:keepNext/>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10" w:lineRule="exact"/>
    </w:pPr>
    <w:rPr>
      <w:rFonts w:ascii="ArialMT" w:hAnsi="ArialMT" w:cs="ArialMT"/>
      <w:lang w:val="en-US"/>
    </w:rPr>
  </w:style>
  <w:style w:type="character" w:customStyle="1" w:styleId="CharChar9">
    <w:name w:val="Char Char9"/>
    <w:basedOn w:val="DefaultParagraphFont"/>
    <w:uiPriority w:val="99"/>
    <w:semiHidden/>
    <w:locked/>
    <w:rsid w:val="001C451B"/>
    <w:rPr>
      <w:rFonts w:ascii="Arial" w:hAnsi="Arial" w:cs="Times New Roman"/>
      <w:bCs/>
      <w:i/>
      <w:sz w:val="26"/>
      <w:szCs w:val="26"/>
      <w:lang w:val="en-AU" w:eastAsia="en-AU" w:bidi="ar-SA"/>
    </w:rPr>
  </w:style>
  <w:style w:type="character" w:customStyle="1" w:styleId="CharChar8">
    <w:name w:val="Char Char8"/>
    <w:basedOn w:val="DefaultParagraphFont"/>
    <w:uiPriority w:val="99"/>
    <w:semiHidden/>
    <w:locked/>
    <w:rsid w:val="001C451B"/>
    <w:rPr>
      <w:rFonts w:ascii="Arial" w:hAnsi="Arial" w:cs="Times New Roman"/>
      <w:iCs/>
      <w:sz w:val="26"/>
      <w:szCs w:val="26"/>
      <w:lang w:val="en-AU" w:eastAsia="en-AU" w:bidi="ar-SA"/>
    </w:rPr>
  </w:style>
  <w:style w:type="character" w:customStyle="1" w:styleId="CharChar">
    <w:name w:val="Char Char"/>
    <w:basedOn w:val="DefaultParagraphFont"/>
    <w:uiPriority w:val="99"/>
    <w:semiHidden/>
    <w:locked/>
    <w:rsid w:val="001C451B"/>
    <w:rPr>
      <w:rFonts w:ascii="Arial" w:hAnsi="Arial" w:cs="Arial"/>
      <w:lang w:val="en-AU" w:eastAsia="en-AU" w:bidi="ar-SA"/>
    </w:rPr>
  </w:style>
  <w:style w:type="paragraph" w:customStyle="1" w:styleId="DocumentLabel">
    <w:name w:val="Document Label"/>
    <w:basedOn w:val="Normal"/>
    <w:next w:val="Normal"/>
    <w:uiPriority w:val="99"/>
    <w:rsid w:val="004E5579"/>
    <w:pPr>
      <w:keepNext/>
      <w:spacing w:before="400" w:after="120" w:line="240" w:lineRule="atLeast"/>
      <w:ind w:left="-840"/>
    </w:pPr>
    <w:rPr>
      <w:rFonts w:ascii="Arial Black" w:hAnsi="Arial Black"/>
      <w:kern w:val="28"/>
      <w:sz w:val="96"/>
    </w:rPr>
  </w:style>
  <w:style w:type="character" w:styleId="CommentReference">
    <w:name w:val="annotation reference"/>
    <w:basedOn w:val="DefaultParagraphFont"/>
    <w:locked/>
    <w:rsid w:val="00C27C28"/>
    <w:rPr>
      <w:rFonts w:cs="Times New Roman"/>
      <w:sz w:val="16"/>
      <w:szCs w:val="16"/>
    </w:rPr>
  </w:style>
  <w:style w:type="paragraph" w:styleId="CommentText">
    <w:name w:val="annotation text"/>
    <w:basedOn w:val="Normal"/>
    <w:link w:val="CommentTextChar"/>
    <w:locked/>
    <w:rsid w:val="00C27C28"/>
  </w:style>
  <w:style w:type="character" w:customStyle="1" w:styleId="CommentTextChar">
    <w:name w:val="Comment Text Char"/>
    <w:basedOn w:val="DefaultParagraphFont"/>
    <w:link w:val="CommentText"/>
    <w:locked/>
    <w:rsid w:val="00DE2F25"/>
    <w:rPr>
      <w:rFonts w:ascii="Arial" w:hAnsi="Arial" w:cs="Times New Roman"/>
      <w:spacing w:val="-5"/>
      <w:sz w:val="20"/>
      <w:szCs w:val="20"/>
      <w:lang w:eastAsia="en-US"/>
    </w:rPr>
  </w:style>
  <w:style w:type="paragraph" w:styleId="CommentSubject">
    <w:name w:val="annotation subject"/>
    <w:basedOn w:val="CommentText"/>
    <w:next w:val="CommentText"/>
    <w:link w:val="CommentSubjectChar"/>
    <w:semiHidden/>
    <w:locked/>
    <w:rsid w:val="00C27C28"/>
    <w:rPr>
      <w:b/>
      <w:bCs/>
    </w:rPr>
  </w:style>
  <w:style w:type="character" w:customStyle="1" w:styleId="CommentSubjectChar">
    <w:name w:val="Comment Subject Char"/>
    <w:basedOn w:val="CommentTextChar"/>
    <w:link w:val="CommentSubject"/>
    <w:uiPriority w:val="99"/>
    <w:semiHidden/>
    <w:locked/>
    <w:rsid w:val="00DE2F25"/>
    <w:rPr>
      <w:rFonts w:ascii="Arial" w:hAnsi="Arial" w:cs="Times New Roman"/>
      <w:b/>
      <w:bCs/>
      <w:spacing w:val="-5"/>
      <w:sz w:val="20"/>
      <w:szCs w:val="20"/>
      <w:lang w:eastAsia="en-US"/>
    </w:rPr>
  </w:style>
  <w:style w:type="paragraph" w:styleId="BalloonText">
    <w:name w:val="Balloon Text"/>
    <w:basedOn w:val="Normal"/>
    <w:link w:val="BalloonTextChar"/>
    <w:semiHidden/>
    <w:locked/>
    <w:rsid w:val="00C27C2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E2F25"/>
    <w:rPr>
      <w:rFonts w:cs="Times New Roman"/>
      <w:spacing w:val="-5"/>
      <w:sz w:val="2"/>
      <w:lang w:eastAsia="en-US"/>
    </w:rPr>
  </w:style>
  <w:style w:type="character" w:customStyle="1" w:styleId="citation">
    <w:name w:val="citation"/>
    <w:basedOn w:val="DefaultParagraphFont"/>
    <w:uiPriority w:val="99"/>
    <w:rsid w:val="00740B7E"/>
    <w:rPr>
      <w:rFonts w:cs="Times New Roman"/>
    </w:rPr>
  </w:style>
  <w:style w:type="paragraph" w:customStyle="1" w:styleId="Definition">
    <w:name w:val="Definition"/>
    <w:aliases w:val="dd"/>
    <w:basedOn w:val="Normal"/>
    <w:uiPriority w:val="99"/>
    <w:rsid w:val="003972AD"/>
    <w:pPr>
      <w:autoSpaceDE w:val="0"/>
      <w:autoSpaceDN w:val="0"/>
      <w:spacing w:before="180" w:line="260" w:lineRule="atLeast"/>
      <w:ind w:left="1134"/>
    </w:pPr>
    <w:rPr>
      <w:rFonts w:ascii="Times" w:hAnsi="Times" w:cs="Times"/>
      <w:spacing w:val="0"/>
      <w:sz w:val="22"/>
      <w:szCs w:val="22"/>
      <w:lang w:eastAsia="en-AU"/>
    </w:rPr>
  </w:style>
  <w:style w:type="paragraph" w:customStyle="1" w:styleId="indenta">
    <w:name w:val="indent(a)"/>
    <w:aliases w:val="a,paragraph"/>
    <w:basedOn w:val="Normal"/>
    <w:rsid w:val="003972AD"/>
    <w:pPr>
      <w:tabs>
        <w:tab w:val="right" w:pos="1531"/>
      </w:tabs>
      <w:autoSpaceDE w:val="0"/>
      <w:autoSpaceDN w:val="0"/>
      <w:spacing w:before="40" w:line="260" w:lineRule="atLeast"/>
      <w:ind w:left="1644" w:hanging="1644"/>
    </w:pPr>
    <w:rPr>
      <w:rFonts w:ascii="Times" w:hAnsi="Times" w:cs="Times"/>
      <w:spacing w:val="0"/>
      <w:sz w:val="22"/>
      <w:szCs w:val="22"/>
      <w:lang w:eastAsia="en-AU"/>
    </w:rPr>
  </w:style>
  <w:style w:type="paragraph" w:customStyle="1" w:styleId="indentii">
    <w:name w:val="indent(ii)"/>
    <w:aliases w:val="aa,paragraph(sub)"/>
    <w:basedOn w:val="indenta"/>
    <w:uiPriority w:val="99"/>
    <w:rsid w:val="003972AD"/>
    <w:pPr>
      <w:tabs>
        <w:tab w:val="clear" w:pos="1531"/>
        <w:tab w:val="right" w:pos="1985"/>
      </w:tabs>
      <w:ind w:left="2098" w:hanging="2098"/>
    </w:pPr>
  </w:style>
  <w:style w:type="character" w:customStyle="1" w:styleId="streetline">
    <w:name w:val="streetline"/>
    <w:basedOn w:val="DefaultParagraphFont"/>
    <w:uiPriority w:val="99"/>
    <w:rsid w:val="00244506"/>
    <w:rPr>
      <w:rFonts w:cs="Times New Roman"/>
    </w:rPr>
  </w:style>
  <w:style w:type="character" w:customStyle="1" w:styleId="locality3">
    <w:name w:val="locality3"/>
    <w:basedOn w:val="DefaultParagraphFont"/>
    <w:uiPriority w:val="99"/>
    <w:rsid w:val="00244506"/>
    <w:rPr>
      <w:rFonts w:cs="Times New Roman"/>
      <w:color w:val="666666"/>
    </w:rPr>
  </w:style>
  <w:style w:type="character" w:customStyle="1" w:styleId="state">
    <w:name w:val="state"/>
    <w:basedOn w:val="DefaultParagraphFont"/>
    <w:uiPriority w:val="99"/>
    <w:rsid w:val="00244506"/>
    <w:rPr>
      <w:rFonts w:cs="Times New Roman"/>
    </w:rPr>
  </w:style>
  <w:style w:type="character" w:customStyle="1" w:styleId="postcode">
    <w:name w:val="postcode"/>
    <w:basedOn w:val="DefaultParagraphFont"/>
    <w:uiPriority w:val="99"/>
    <w:rsid w:val="00244506"/>
    <w:rPr>
      <w:rFonts w:cs="Times New Roman"/>
    </w:rPr>
  </w:style>
  <w:style w:type="paragraph" w:styleId="Revision">
    <w:name w:val="Revision"/>
    <w:hidden/>
    <w:uiPriority w:val="99"/>
    <w:semiHidden/>
    <w:rsid w:val="002314FC"/>
    <w:rPr>
      <w:rFonts w:ascii="Arial" w:hAnsi="Arial"/>
      <w:spacing w:val="-5"/>
      <w:sz w:val="20"/>
      <w:szCs w:val="20"/>
      <w:lang w:eastAsia="en-US"/>
    </w:rPr>
  </w:style>
  <w:style w:type="paragraph" w:customStyle="1" w:styleId="subsection">
    <w:name w:val="subsection"/>
    <w:aliases w:val="ss"/>
    <w:rsid w:val="003C0EE0"/>
    <w:pPr>
      <w:tabs>
        <w:tab w:val="right" w:pos="1021"/>
      </w:tabs>
      <w:spacing w:before="180"/>
      <w:ind w:left="1134" w:hanging="1134"/>
    </w:pPr>
  </w:style>
  <w:style w:type="paragraph" w:customStyle="1" w:styleId="Style1">
    <w:name w:val="Style1"/>
    <w:basedOn w:val="FootnoteText"/>
    <w:uiPriority w:val="99"/>
    <w:rsid w:val="00A247AA"/>
  </w:style>
  <w:style w:type="paragraph" w:customStyle="1" w:styleId="SubmissionNormal">
    <w:name w:val="Submission Normal"/>
    <w:aliases w:val="No Spacing,No Spacing1,No Spacing11"/>
    <w:basedOn w:val="Normal"/>
    <w:link w:val="SubmissionNormalChar"/>
    <w:rsid w:val="00306EBC"/>
    <w:pPr>
      <w:numPr>
        <w:numId w:val="6"/>
      </w:numPr>
      <w:spacing w:before="240" w:after="240"/>
    </w:pPr>
    <w:rPr>
      <w:spacing w:val="0"/>
      <w:sz w:val="24"/>
      <w:szCs w:val="24"/>
      <w:lang w:eastAsia="en-AU"/>
    </w:rPr>
  </w:style>
  <w:style w:type="character" w:customStyle="1" w:styleId="SubmissionNormalChar">
    <w:name w:val="Submission Normal Char"/>
    <w:aliases w:val="No Spacing Char,No Spacing1 Char"/>
    <w:basedOn w:val="DefaultParagraphFont"/>
    <w:link w:val="SubmissionNormal"/>
    <w:locked/>
    <w:rsid w:val="00306EBC"/>
    <w:rPr>
      <w:rFonts w:ascii="Arial" w:hAnsi="Arial"/>
      <w:sz w:val="24"/>
      <w:szCs w:val="24"/>
    </w:rPr>
  </w:style>
  <w:style w:type="paragraph" w:customStyle="1" w:styleId="msolistparagraph0">
    <w:name w:val="msolistparagraph"/>
    <w:basedOn w:val="Normal"/>
    <w:uiPriority w:val="99"/>
    <w:rsid w:val="00D35380"/>
    <w:pPr>
      <w:ind w:left="720"/>
    </w:pPr>
    <w:rPr>
      <w:rFonts w:ascii="Calibri" w:hAnsi="Calibri"/>
      <w:spacing w:val="0"/>
      <w:sz w:val="22"/>
      <w:szCs w:val="22"/>
      <w:lang w:eastAsia="en-AU"/>
    </w:rPr>
  </w:style>
  <w:style w:type="paragraph" w:customStyle="1" w:styleId="MainTitle">
    <w:name w:val="Main Title"/>
    <w:uiPriority w:val="99"/>
    <w:semiHidden/>
    <w:rsid w:val="00BE2BC6"/>
    <w:pPr>
      <w:pBdr>
        <w:top w:val="single" w:sz="12" w:space="10" w:color="0070C0"/>
        <w:bottom w:val="single" w:sz="12" w:space="10" w:color="0070C0"/>
      </w:pBdr>
      <w:spacing w:before="240" w:after="240"/>
    </w:pPr>
    <w:rPr>
      <w:rFonts w:ascii="Arial" w:hAnsi="Arial"/>
      <w:bCs/>
      <w:kern w:val="32"/>
      <w:sz w:val="100"/>
      <w:szCs w:val="32"/>
    </w:rPr>
  </w:style>
  <w:style w:type="numbering" w:styleId="ArticleSection">
    <w:name w:val="Outline List 3"/>
    <w:basedOn w:val="NoList"/>
    <w:uiPriority w:val="99"/>
    <w:semiHidden/>
    <w:unhideWhenUsed/>
    <w:locked/>
    <w:rsid w:val="00F04B47"/>
    <w:pPr>
      <w:numPr>
        <w:numId w:val="3"/>
      </w:numPr>
    </w:pPr>
  </w:style>
  <w:style w:type="numbering" w:styleId="1ai">
    <w:name w:val="Outline List 1"/>
    <w:basedOn w:val="NoList"/>
    <w:uiPriority w:val="99"/>
    <w:semiHidden/>
    <w:unhideWhenUsed/>
    <w:locked/>
    <w:rsid w:val="00F04B47"/>
    <w:pPr>
      <w:numPr>
        <w:numId w:val="2"/>
      </w:numPr>
    </w:pPr>
  </w:style>
  <w:style w:type="numbering" w:customStyle="1" w:styleId="StyleNumbered">
    <w:name w:val="Style Numbered"/>
    <w:rsid w:val="00F04B47"/>
    <w:pPr>
      <w:numPr>
        <w:numId w:val="4"/>
      </w:numPr>
    </w:pPr>
  </w:style>
  <w:style w:type="numbering" w:styleId="111111">
    <w:name w:val="Outline List 2"/>
    <w:basedOn w:val="NoList"/>
    <w:uiPriority w:val="99"/>
    <w:semiHidden/>
    <w:unhideWhenUsed/>
    <w:locked/>
    <w:rsid w:val="00F04B47"/>
    <w:pPr>
      <w:numPr>
        <w:numId w:val="1"/>
      </w:numPr>
    </w:pPr>
  </w:style>
  <w:style w:type="paragraph" w:styleId="ListParagraph">
    <w:name w:val="List Paragraph"/>
    <w:basedOn w:val="Normal"/>
    <w:uiPriority w:val="34"/>
    <w:qFormat/>
    <w:rsid w:val="00690141"/>
    <w:pPr>
      <w:ind w:left="851" w:hanging="851"/>
      <w:contextualSpacing/>
    </w:pPr>
  </w:style>
  <w:style w:type="paragraph" w:customStyle="1" w:styleId="paragraphsub">
    <w:name w:val="paragraphsub"/>
    <w:basedOn w:val="Normal"/>
    <w:rsid w:val="006A539A"/>
    <w:pPr>
      <w:spacing w:before="100" w:beforeAutospacing="1" w:after="100" w:afterAutospacing="1"/>
    </w:pPr>
    <w:rPr>
      <w:rFonts w:ascii="Times New Roman" w:hAnsi="Times New Roman"/>
      <w:spacing w:val="0"/>
      <w:sz w:val="24"/>
      <w:szCs w:val="24"/>
      <w:lang w:eastAsia="en-AU"/>
    </w:rPr>
  </w:style>
  <w:style w:type="character" w:customStyle="1" w:styleId="EndnoteTextChar1">
    <w:name w:val="Endnote Text Char1"/>
    <w:rsid w:val="004D61EA"/>
    <w:rPr>
      <w:rFonts w:ascii="Arial" w:hAnsi="Arial"/>
    </w:rPr>
  </w:style>
  <w:style w:type="paragraph" w:customStyle="1" w:styleId="Bullet">
    <w:name w:val="Bullet"/>
    <w:basedOn w:val="Normal"/>
    <w:rsid w:val="009A531E"/>
    <w:pPr>
      <w:numPr>
        <w:numId w:val="8"/>
      </w:numPr>
      <w:spacing w:before="60" w:after="60" w:line="360" w:lineRule="exact"/>
      <w:ind w:left="0" w:firstLine="0"/>
      <w:jc w:val="both"/>
    </w:pPr>
    <w:rPr>
      <w:color w:val="000000"/>
      <w:spacing w:val="0"/>
      <w:sz w:val="24"/>
    </w:rPr>
  </w:style>
  <w:style w:type="paragraph" w:customStyle="1" w:styleId="Dash">
    <w:name w:val="Dash"/>
    <w:basedOn w:val="Normal"/>
    <w:rsid w:val="009A531E"/>
    <w:pPr>
      <w:numPr>
        <w:numId w:val="9"/>
      </w:numPr>
      <w:tabs>
        <w:tab w:val="num" w:pos="360"/>
      </w:tabs>
      <w:spacing w:before="20" w:after="20" w:line="360" w:lineRule="exact"/>
      <w:ind w:left="0" w:firstLine="0"/>
      <w:jc w:val="both"/>
    </w:pPr>
    <w:rPr>
      <w:color w:val="000000"/>
      <w:spacing w:val="0"/>
      <w:sz w:val="24"/>
    </w:rPr>
  </w:style>
  <w:style w:type="paragraph" w:customStyle="1" w:styleId="IndentedParagraph">
    <w:name w:val="Indented Paragraph"/>
    <w:basedOn w:val="Normal"/>
    <w:rsid w:val="009A531E"/>
    <w:pPr>
      <w:spacing w:after="240" w:line="360" w:lineRule="exact"/>
      <w:ind w:left="1440"/>
      <w:jc w:val="both"/>
    </w:pPr>
    <w:rPr>
      <w:color w:val="000000"/>
      <w:spacing w:val="0"/>
      <w:sz w:val="24"/>
    </w:rPr>
  </w:style>
  <w:style w:type="paragraph" w:customStyle="1" w:styleId="BasicParagraph">
    <w:name w:val="[Basic Paragraph]"/>
    <w:basedOn w:val="Normal"/>
    <w:rsid w:val="009A531E"/>
    <w:pPr>
      <w:widowControl w:val="0"/>
      <w:autoSpaceDE w:val="0"/>
      <w:autoSpaceDN w:val="0"/>
      <w:adjustRightInd w:val="0"/>
      <w:spacing w:line="288" w:lineRule="auto"/>
      <w:textAlignment w:val="center"/>
    </w:pPr>
    <w:rPr>
      <w:rFonts w:ascii="Times-Roman" w:hAnsi="Times-Roman" w:cs="Times-Roman"/>
      <w:color w:val="000000"/>
      <w:spacing w:val="0"/>
      <w:sz w:val="24"/>
      <w:szCs w:val="24"/>
      <w:lang w:val="en-US" w:bidi="en-US"/>
    </w:rPr>
  </w:style>
  <w:style w:type="paragraph" w:customStyle="1" w:styleId="AddressBlock">
    <w:name w:val="Address Block"/>
    <w:basedOn w:val="BodyText"/>
    <w:rsid w:val="009A531E"/>
    <w:pPr>
      <w:keepNext/>
      <w:spacing w:after="0"/>
      <w:jc w:val="both"/>
    </w:pPr>
    <w:rPr>
      <w:rFonts w:cs="ArialMT"/>
      <w:color w:val="000000"/>
      <w:spacing w:val="0"/>
      <w:sz w:val="24"/>
      <w:szCs w:val="24"/>
      <w:lang w:val="en-US" w:bidi="en-US"/>
    </w:rPr>
  </w:style>
  <w:style w:type="paragraph" w:customStyle="1" w:styleId="Addressee">
    <w:name w:val="Addressee"/>
    <w:basedOn w:val="BodyText"/>
    <w:rsid w:val="009A531E"/>
    <w:pPr>
      <w:spacing w:before="227" w:after="340"/>
      <w:jc w:val="both"/>
    </w:pPr>
    <w:rPr>
      <w:rFonts w:cs="ArialMT"/>
      <w:color w:val="000000"/>
      <w:spacing w:val="0"/>
      <w:sz w:val="24"/>
      <w:szCs w:val="24"/>
      <w:lang w:val="en-US" w:bidi="en-US"/>
    </w:rPr>
  </w:style>
  <w:style w:type="paragraph" w:customStyle="1" w:styleId="Titleofletter">
    <w:name w:val="Title of letter"/>
    <w:basedOn w:val="BodyText"/>
    <w:rsid w:val="009A531E"/>
    <w:pPr>
      <w:jc w:val="both"/>
    </w:pPr>
    <w:rPr>
      <w:rFonts w:cs="ArialMT"/>
      <w:b/>
      <w:color w:val="000000"/>
      <w:spacing w:val="0"/>
      <w:sz w:val="24"/>
      <w:szCs w:val="24"/>
      <w:lang w:val="en-US" w:bidi="en-US"/>
    </w:rPr>
  </w:style>
  <w:style w:type="paragraph" w:customStyle="1" w:styleId="YoursSincerley">
    <w:name w:val="Yours Sincerley"/>
    <w:basedOn w:val="BodyText"/>
    <w:rsid w:val="009A531E"/>
    <w:pPr>
      <w:keepNext/>
      <w:spacing w:after="901"/>
      <w:jc w:val="both"/>
    </w:pPr>
    <w:rPr>
      <w:rFonts w:cs="ArialMT"/>
      <w:color w:val="000000"/>
      <w:spacing w:val="0"/>
      <w:sz w:val="24"/>
      <w:szCs w:val="24"/>
      <w:lang w:val="en-US" w:bidi="en-US"/>
    </w:rPr>
  </w:style>
  <w:style w:type="paragraph" w:customStyle="1" w:styleId="HeaderFooter">
    <w:name w:val="Header &amp; Footer"/>
    <w:basedOn w:val="Normal"/>
    <w:rsid w:val="009A531E"/>
    <w:pPr>
      <w:spacing w:line="200" w:lineRule="exact"/>
      <w:jc w:val="both"/>
    </w:pPr>
    <w:rPr>
      <w:rFonts w:cs="ArialMT"/>
      <w:color w:val="000000"/>
      <w:spacing w:val="0"/>
      <w:sz w:val="16"/>
      <w:szCs w:val="24"/>
    </w:rPr>
  </w:style>
  <w:style w:type="paragraph" w:customStyle="1" w:styleId="LogoType">
    <w:name w:val="Logo Type"/>
    <w:basedOn w:val="Header"/>
    <w:rsid w:val="009A531E"/>
    <w:pPr>
      <w:pBdr>
        <w:bottom w:val="single" w:sz="4" w:space="4" w:color="auto"/>
      </w:pBdr>
      <w:tabs>
        <w:tab w:val="clear" w:pos="4513"/>
        <w:tab w:val="clear" w:pos="9026"/>
        <w:tab w:val="left" w:pos="4686"/>
        <w:tab w:val="left" w:pos="7088"/>
        <w:tab w:val="left" w:pos="7242"/>
      </w:tabs>
      <w:spacing w:line="320" w:lineRule="exact"/>
      <w:jc w:val="left"/>
    </w:pPr>
    <w:rPr>
      <w:rFonts w:cs="ArialMT"/>
      <w:b/>
      <w:color w:val="808080"/>
      <w:spacing w:val="-20"/>
      <w:sz w:val="32"/>
      <w:szCs w:val="24"/>
    </w:rPr>
  </w:style>
  <w:style w:type="paragraph" w:customStyle="1" w:styleId="OurRef">
    <w:name w:val="Our Ref:"/>
    <w:basedOn w:val="BodyText"/>
    <w:rsid w:val="009A531E"/>
    <w:pPr>
      <w:spacing w:after="193"/>
    </w:pPr>
    <w:rPr>
      <w:rFonts w:cs="ArialMT"/>
      <w:color w:val="000000"/>
      <w:spacing w:val="0"/>
      <w:sz w:val="24"/>
      <w:szCs w:val="24"/>
      <w:lang w:val="en-US" w:bidi="en-US"/>
    </w:rPr>
  </w:style>
  <w:style w:type="paragraph" w:customStyle="1" w:styleId="StyleAddresseeAfter1135pt">
    <w:name w:val="Style Addressee + After:  11.35 pt"/>
    <w:basedOn w:val="Addressee"/>
    <w:rsid w:val="009A531E"/>
    <w:pPr>
      <w:spacing w:before="267" w:after="267"/>
    </w:pPr>
    <w:rPr>
      <w:rFonts w:cs="Times New Roman"/>
      <w:szCs w:val="20"/>
    </w:rPr>
  </w:style>
  <w:style w:type="paragraph" w:customStyle="1" w:styleId="DateInsert">
    <w:name w:val="Date Insert"/>
    <w:basedOn w:val="AddressBlock"/>
    <w:rsid w:val="009A531E"/>
    <w:pPr>
      <w:spacing w:after="227" w:line="320" w:lineRule="exact"/>
    </w:pPr>
  </w:style>
  <w:style w:type="paragraph" w:customStyle="1" w:styleId="NameInsert">
    <w:name w:val="Name Insert"/>
    <w:basedOn w:val="BodyText"/>
    <w:rsid w:val="009A531E"/>
    <w:pPr>
      <w:jc w:val="both"/>
    </w:pPr>
    <w:rPr>
      <w:color w:val="000000"/>
      <w:spacing w:val="0"/>
      <w:sz w:val="24"/>
      <w:lang w:val="en-US" w:bidi="en-US"/>
    </w:rPr>
  </w:style>
  <w:style w:type="paragraph" w:styleId="Quote">
    <w:name w:val="Quote"/>
    <w:basedOn w:val="Normal"/>
    <w:link w:val="QuoteChar"/>
    <w:uiPriority w:val="29"/>
    <w:qFormat/>
    <w:rsid w:val="009A531E"/>
    <w:pPr>
      <w:spacing w:before="240" w:after="240"/>
    </w:pPr>
    <w:rPr>
      <w:i/>
      <w:iCs/>
      <w:color w:val="000000"/>
      <w:spacing w:val="0"/>
      <w:sz w:val="24"/>
      <w:szCs w:val="24"/>
      <w:lang w:eastAsia="en-AU"/>
    </w:rPr>
  </w:style>
  <w:style w:type="character" w:customStyle="1" w:styleId="QuoteChar">
    <w:name w:val="Quote Char"/>
    <w:basedOn w:val="DefaultParagraphFont"/>
    <w:link w:val="Quote"/>
    <w:uiPriority w:val="29"/>
    <w:rsid w:val="009A531E"/>
    <w:rPr>
      <w:rFonts w:ascii="Arial" w:hAnsi="Arial"/>
      <w:i/>
      <w:iCs/>
      <w:color w:val="000000"/>
      <w:sz w:val="24"/>
      <w:szCs w:val="24"/>
    </w:rPr>
  </w:style>
  <w:style w:type="paragraph" w:customStyle="1" w:styleId="definition0">
    <w:name w:val="definition"/>
    <w:basedOn w:val="Normal"/>
    <w:rsid w:val="009A531E"/>
    <w:pPr>
      <w:spacing w:before="100" w:beforeAutospacing="1" w:after="100" w:afterAutospacing="1"/>
    </w:pPr>
    <w:rPr>
      <w:rFonts w:ascii="Times New Roman" w:hAnsi="Times New Roman"/>
      <w:spacing w:val="0"/>
      <w:sz w:val="24"/>
      <w:szCs w:val="24"/>
      <w:lang w:eastAsia="en-AU"/>
    </w:rPr>
  </w:style>
  <w:style w:type="paragraph" w:customStyle="1" w:styleId="ActHead5">
    <w:name w:val="ActHead 5"/>
    <w:aliases w:val="s"/>
    <w:basedOn w:val="Normal"/>
    <w:next w:val="Normal"/>
    <w:rsid w:val="009A531E"/>
    <w:pPr>
      <w:keepNext/>
      <w:spacing w:before="280"/>
      <w:ind w:left="1134" w:hanging="1134"/>
      <w:outlineLvl w:val="4"/>
    </w:pPr>
    <w:rPr>
      <w:rFonts w:ascii="Times New Roman" w:hAnsi="Times New Roman"/>
      <w:b/>
      <w:bCs/>
      <w:spacing w:val="0"/>
      <w:kern w:val="28"/>
      <w:sz w:val="24"/>
      <w:szCs w:val="32"/>
      <w:lang w:eastAsia="en-AU"/>
    </w:rPr>
  </w:style>
  <w:style w:type="character" w:customStyle="1" w:styleId="CharSectno">
    <w:name w:val="CharSectno"/>
    <w:rsid w:val="009A531E"/>
  </w:style>
  <w:style w:type="paragraph" w:customStyle="1" w:styleId="SubsectionHead">
    <w:name w:val="SubsectionHead"/>
    <w:aliases w:val="ssh"/>
    <w:basedOn w:val="subsection"/>
    <w:next w:val="subsection"/>
    <w:rsid w:val="009A531E"/>
    <w:pPr>
      <w:keepNext/>
      <w:keepLines/>
      <w:tabs>
        <w:tab w:val="clear" w:pos="1021"/>
      </w:tabs>
      <w:spacing w:before="240"/>
      <w:ind w:firstLine="0"/>
    </w:pPr>
    <w:rPr>
      <w:i/>
      <w:szCs w:val="24"/>
    </w:rPr>
  </w:style>
  <w:style w:type="paragraph" w:customStyle="1" w:styleId="CopyrightText">
    <w:name w:val="Copyright Text"/>
    <w:basedOn w:val="Normal"/>
    <w:uiPriority w:val="99"/>
    <w:rsid w:val="00950690"/>
    <w:pPr>
      <w:keepLines w:val="0"/>
      <w:widowControl w:val="0"/>
      <w:tabs>
        <w:tab w:val="left" w:pos="170"/>
      </w:tabs>
      <w:suppressAutoHyphens/>
      <w:autoSpaceDE w:val="0"/>
      <w:autoSpaceDN w:val="0"/>
      <w:adjustRightInd w:val="0"/>
      <w:spacing w:after="57" w:line="288" w:lineRule="auto"/>
      <w:textAlignment w:val="center"/>
    </w:pPr>
    <w:rPr>
      <w:rFonts w:eastAsiaTheme="minorEastAsia" w:cs="HelveticaCYPlain"/>
      <w:spacing w:val="0"/>
      <w:szCs w:val="16"/>
      <w:u w:color="000000"/>
      <w:lang w:val="it-IT"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AU" w:eastAsia="en-A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Bullet 5"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Note Heading" w:uiPriority="0"/>
    <w:lsdException w:name="Block Text"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CF663E"/>
    <w:pPr>
      <w:keepLines/>
    </w:pPr>
    <w:rPr>
      <w:rFonts w:ascii="Arial" w:hAnsi="Arial"/>
      <w:spacing w:val="-5"/>
      <w:sz w:val="20"/>
      <w:szCs w:val="20"/>
      <w:lang w:eastAsia="en-US"/>
    </w:rPr>
  </w:style>
  <w:style w:type="paragraph" w:styleId="Heading1">
    <w:name w:val="heading 1"/>
    <w:basedOn w:val="Normal"/>
    <w:next w:val="Normal"/>
    <w:link w:val="Heading1Char"/>
    <w:qFormat/>
    <w:rsid w:val="00690141"/>
    <w:pPr>
      <w:keepNext/>
      <w:numPr>
        <w:numId w:val="5"/>
      </w:numPr>
      <w:spacing w:before="360"/>
      <w:ind w:left="720" w:hanging="720"/>
      <w:outlineLvl w:val="0"/>
    </w:pPr>
    <w:rPr>
      <w:b/>
      <w:bCs/>
      <w:sz w:val="28"/>
      <w:szCs w:val="28"/>
    </w:rPr>
  </w:style>
  <w:style w:type="paragraph" w:styleId="Heading2">
    <w:name w:val="heading 2"/>
    <w:basedOn w:val="Heading1"/>
    <w:next w:val="Normal"/>
    <w:link w:val="Heading2Char"/>
    <w:qFormat/>
    <w:rsid w:val="00690141"/>
    <w:pPr>
      <w:numPr>
        <w:ilvl w:val="1"/>
      </w:numPr>
      <w:ind w:left="720" w:hanging="720"/>
      <w:outlineLvl w:val="1"/>
    </w:pPr>
    <w:rPr>
      <w:bCs w:val="0"/>
      <w:i/>
      <w:color w:val="000000"/>
      <w:szCs w:val="26"/>
    </w:rPr>
  </w:style>
  <w:style w:type="paragraph" w:styleId="Heading3">
    <w:name w:val="heading 3"/>
    <w:basedOn w:val="Heading2"/>
    <w:next w:val="Normal"/>
    <w:link w:val="Heading3Char"/>
    <w:qFormat/>
    <w:rsid w:val="00AC27AB"/>
    <w:pPr>
      <w:numPr>
        <w:ilvl w:val="2"/>
      </w:numPr>
      <w:outlineLvl w:val="2"/>
    </w:pPr>
    <w:rPr>
      <w:b w:val="0"/>
      <w:bCs/>
      <w:color w:val="auto"/>
      <w:sz w:val="24"/>
    </w:rPr>
  </w:style>
  <w:style w:type="paragraph" w:styleId="Heading4">
    <w:name w:val="heading 4"/>
    <w:basedOn w:val="Heading3"/>
    <w:next w:val="Normal"/>
    <w:link w:val="Heading4Char"/>
    <w:qFormat/>
    <w:rsid w:val="00AC27AB"/>
    <w:pPr>
      <w:numPr>
        <w:ilvl w:val="3"/>
      </w:numPr>
      <w:outlineLvl w:val="3"/>
    </w:pPr>
    <w:rPr>
      <w:bCs w:val="0"/>
      <w:i w:val="0"/>
      <w:iCs/>
    </w:rPr>
  </w:style>
  <w:style w:type="paragraph" w:styleId="Heading5">
    <w:name w:val="heading 5"/>
    <w:basedOn w:val="Normal"/>
    <w:next w:val="Normal"/>
    <w:link w:val="Heading5Char"/>
    <w:qFormat/>
    <w:locked/>
    <w:rsid w:val="00F14C6D"/>
    <w:pPr>
      <w:keepNext/>
      <w:spacing w:before="200"/>
      <w:outlineLvl w:val="4"/>
    </w:pPr>
    <w:rPr>
      <w:rFonts w:ascii="Cambria" w:hAnsi="Cambria"/>
      <w:color w:val="243F60"/>
    </w:rPr>
  </w:style>
  <w:style w:type="paragraph" w:styleId="Heading6">
    <w:name w:val="heading 6"/>
    <w:basedOn w:val="Normal"/>
    <w:next w:val="Normal"/>
    <w:link w:val="Heading6Char"/>
    <w:qFormat/>
    <w:locked/>
    <w:rsid w:val="00F14C6D"/>
    <w:pPr>
      <w:keepNext/>
      <w:spacing w:before="200"/>
      <w:outlineLvl w:val="5"/>
    </w:pPr>
    <w:rPr>
      <w:rFonts w:ascii="Cambria" w:hAnsi="Cambria"/>
      <w:i/>
      <w:iCs/>
      <w:color w:val="243F60"/>
    </w:rPr>
  </w:style>
  <w:style w:type="paragraph" w:styleId="Heading7">
    <w:name w:val="heading 7"/>
    <w:basedOn w:val="Normal"/>
    <w:next w:val="Normal"/>
    <w:link w:val="Heading7Char"/>
    <w:qFormat/>
    <w:locked/>
    <w:rsid w:val="00F14C6D"/>
    <w:pPr>
      <w:keepNext/>
      <w:spacing w:before="200"/>
      <w:outlineLvl w:val="6"/>
    </w:pPr>
    <w:rPr>
      <w:rFonts w:ascii="Cambria" w:hAnsi="Cambria"/>
      <w:i/>
      <w:iCs/>
      <w:color w:val="404040"/>
    </w:rPr>
  </w:style>
  <w:style w:type="paragraph" w:styleId="Heading8">
    <w:name w:val="heading 8"/>
    <w:basedOn w:val="Normal"/>
    <w:next w:val="Normal"/>
    <w:link w:val="Heading8Char"/>
    <w:uiPriority w:val="99"/>
    <w:qFormat/>
    <w:locked/>
    <w:rsid w:val="00F14C6D"/>
    <w:pPr>
      <w:keepNext/>
      <w:spacing w:before="200"/>
      <w:outlineLvl w:val="7"/>
    </w:pPr>
    <w:rPr>
      <w:rFonts w:ascii="Cambria" w:hAnsi="Cambria"/>
      <w:color w:val="404040"/>
    </w:rPr>
  </w:style>
  <w:style w:type="paragraph" w:styleId="Heading9">
    <w:name w:val="heading 9"/>
    <w:basedOn w:val="Normal"/>
    <w:next w:val="Normal"/>
    <w:link w:val="Heading9Char"/>
    <w:uiPriority w:val="99"/>
    <w:qFormat/>
    <w:locked/>
    <w:rsid w:val="00F14C6D"/>
    <w:pPr>
      <w:keepNext/>
      <w:spacing w:before="200"/>
      <w:outlineLvl w:val="8"/>
    </w:pPr>
    <w:rPr>
      <w:rFonts w:ascii="Cambria"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90141"/>
    <w:rPr>
      <w:rFonts w:ascii="Arial" w:hAnsi="Arial"/>
      <w:b/>
      <w:bCs/>
      <w:spacing w:val="-5"/>
      <w:sz w:val="28"/>
      <w:szCs w:val="28"/>
      <w:lang w:eastAsia="en-US"/>
    </w:rPr>
  </w:style>
  <w:style w:type="character" w:customStyle="1" w:styleId="Heading2Char">
    <w:name w:val="Heading 2 Char"/>
    <w:basedOn w:val="DefaultParagraphFont"/>
    <w:link w:val="Heading2"/>
    <w:locked/>
    <w:rsid w:val="00690141"/>
    <w:rPr>
      <w:rFonts w:ascii="Arial" w:hAnsi="Arial"/>
      <w:b/>
      <w:i/>
      <w:color w:val="000000"/>
      <w:spacing w:val="-5"/>
      <w:sz w:val="28"/>
      <w:szCs w:val="26"/>
      <w:lang w:eastAsia="en-US"/>
    </w:rPr>
  </w:style>
  <w:style w:type="character" w:customStyle="1" w:styleId="Heading3Char">
    <w:name w:val="Heading 3 Char"/>
    <w:basedOn w:val="DefaultParagraphFont"/>
    <w:link w:val="Heading3"/>
    <w:locked/>
    <w:rsid w:val="00AC27AB"/>
    <w:rPr>
      <w:rFonts w:ascii="Arial" w:hAnsi="Arial"/>
      <w:bCs/>
      <w:i/>
      <w:spacing w:val="-5"/>
      <w:sz w:val="24"/>
      <w:szCs w:val="26"/>
      <w:lang w:eastAsia="en-US"/>
    </w:rPr>
  </w:style>
  <w:style w:type="character" w:customStyle="1" w:styleId="Heading4Char">
    <w:name w:val="Heading 4 Char"/>
    <w:basedOn w:val="DefaultParagraphFont"/>
    <w:link w:val="Heading4"/>
    <w:locked/>
    <w:rsid w:val="00AC27AB"/>
    <w:rPr>
      <w:rFonts w:ascii="Arial" w:hAnsi="Arial"/>
      <w:iCs/>
      <w:spacing w:val="-5"/>
      <w:sz w:val="24"/>
      <w:szCs w:val="26"/>
      <w:lang w:eastAsia="en-US"/>
    </w:rPr>
  </w:style>
  <w:style w:type="character" w:customStyle="1" w:styleId="Heading5Char">
    <w:name w:val="Heading 5 Char"/>
    <w:basedOn w:val="DefaultParagraphFont"/>
    <w:link w:val="Heading5"/>
    <w:uiPriority w:val="99"/>
    <w:semiHidden/>
    <w:locked/>
    <w:rsid w:val="00F14C6D"/>
    <w:rPr>
      <w:rFonts w:ascii="Cambria" w:hAnsi="Cambria" w:cs="Times New Roman"/>
      <w:color w:val="243F60"/>
      <w:sz w:val="24"/>
      <w:szCs w:val="24"/>
      <w:lang w:val="en-AU" w:eastAsia="en-AU" w:bidi="ar-SA"/>
    </w:rPr>
  </w:style>
  <w:style w:type="character" w:customStyle="1" w:styleId="Heading6Char">
    <w:name w:val="Heading 6 Char"/>
    <w:basedOn w:val="DefaultParagraphFont"/>
    <w:link w:val="Heading6"/>
    <w:uiPriority w:val="99"/>
    <w:semiHidden/>
    <w:locked/>
    <w:rsid w:val="00F14C6D"/>
    <w:rPr>
      <w:rFonts w:ascii="Cambria" w:hAnsi="Cambria" w:cs="Times New Roman"/>
      <w:i/>
      <w:iCs/>
      <w:color w:val="243F60"/>
      <w:sz w:val="24"/>
      <w:szCs w:val="24"/>
      <w:lang w:val="en-AU" w:eastAsia="en-AU" w:bidi="ar-SA"/>
    </w:rPr>
  </w:style>
  <w:style w:type="character" w:customStyle="1" w:styleId="Heading7Char">
    <w:name w:val="Heading 7 Char"/>
    <w:basedOn w:val="DefaultParagraphFont"/>
    <w:link w:val="Heading7"/>
    <w:uiPriority w:val="99"/>
    <w:semiHidden/>
    <w:locked/>
    <w:rsid w:val="00F14C6D"/>
    <w:rPr>
      <w:rFonts w:ascii="Cambria" w:hAnsi="Cambria" w:cs="Times New Roman"/>
      <w:i/>
      <w:iCs/>
      <w:color w:val="404040"/>
      <w:sz w:val="24"/>
      <w:szCs w:val="24"/>
      <w:lang w:val="en-AU" w:eastAsia="en-AU" w:bidi="ar-SA"/>
    </w:rPr>
  </w:style>
  <w:style w:type="character" w:customStyle="1" w:styleId="Heading8Char">
    <w:name w:val="Heading 8 Char"/>
    <w:basedOn w:val="DefaultParagraphFont"/>
    <w:link w:val="Heading8"/>
    <w:uiPriority w:val="99"/>
    <w:semiHidden/>
    <w:locked/>
    <w:rsid w:val="00F14C6D"/>
    <w:rPr>
      <w:rFonts w:ascii="Cambria" w:hAnsi="Cambria" w:cs="Times New Roman"/>
      <w:color w:val="404040"/>
      <w:lang w:val="en-AU" w:eastAsia="en-AU" w:bidi="ar-SA"/>
    </w:rPr>
  </w:style>
  <w:style w:type="character" w:customStyle="1" w:styleId="Heading9Char">
    <w:name w:val="Heading 9 Char"/>
    <w:basedOn w:val="DefaultParagraphFont"/>
    <w:link w:val="Heading9"/>
    <w:uiPriority w:val="99"/>
    <w:semiHidden/>
    <w:locked/>
    <w:rsid w:val="00F14C6D"/>
    <w:rPr>
      <w:rFonts w:ascii="Cambria" w:hAnsi="Cambria" w:cs="Times New Roman"/>
      <w:i/>
      <w:iCs/>
      <w:color w:val="404040"/>
      <w:lang w:val="en-AU" w:eastAsia="en-AU" w:bidi="ar-SA"/>
    </w:rPr>
  </w:style>
  <w:style w:type="character" w:styleId="Strong">
    <w:name w:val="Strong"/>
    <w:basedOn w:val="DefaultParagraphFont"/>
    <w:uiPriority w:val="99"/>
    <w:qFormat/>
    <w:locked/>
    <w:rsid w:val="000B0A5D"/>
    <w:rPr>
      <w:rFonts w:cs="Times New Roman"/>
      <w:b/>
      <w:bCs/>
    </w:rPr>
  </w:style>
  <w:style w:type="paragraph" w:styleId="Header">
    <w:name w:val="header"/>
    <w:basedOn w:val="Normal"/>
    <w:link w:val="HeaderChar"/>
    <w:rsid w:val="00E75D90"/>
    <w:pPr>
      <w:tabs>
        <w:tab w:val="center" w:pos="4513"/>
        <w:tab w:val="right" w:pos="9026"/>
      </w:tabs>
      <w:jc w:val="right"/>
    </w:pPr>
    <w:rPr>
      <w:sz w:val="22"/>
    </w:rPr>
  </w:style>
  <w:style w:type="character" w:customStyle="1" w:styleId="HeaderChar">
    <w:name w:val="Header Char"/>
    <w:basedOn w:val="DefaultParagraphFont"/>
    <w:link w:val="Header"/>
    <w:locked/>
    <w:rsid w:val="00E75D90"/>
    <w:rPr>
      <w:rFonts w:ascii="Arial" w:hAnsi="Arial" w:cs="Times New Roman"/>
      <w:sz w:val="24"/>
      <w:szCs w:val="24"/>
    </w:rPr>
  </w:style>
  <w:style w:type="paragraph" w:styleId="Footer">
    <w:name w:val="footer"/>
    <w:basedOn w:val="Normal"/>
    <w:link w:val="FooterChar"/>
    <w:rsid w:val="00E75D90"/>
    <w:pPr>
      <w:tabs>
        <w:tab w:val="center" w:pos="4513"/>
        <w:tab w:val="right" w:pos="9026"/>
      </w:tabs>
      <w:jc w:val="right"/>
    </w:pPr>
    <w:rPr>
      <w:sz w:val="22"/>
    </w:rPr>
  </w:style>
  <w:style w:type="character" w:customStyle="1" w:styleId="FooterChar">
    <w:name w:val="Footer Char"/>
    <w:basedOn w:val="DefaultParagraphFont"/>
    <w:link w:val="Footer"/>
    <w:uiPriority w:val="99"/>
    <w:semiHidden/>
    <w:locked/>
    <w:rsid w:val="00E75D90"/>
    <w:rPr>
      <w:rFonts w:ascii="Arial" w:hAnsi="Arial" w:cs="Times New Roman"/>
      <w:sz w:val="24"/>
      <w:szCs w:val="24"/>
    </w:rPr>
  </w:style>
  <w:style w:type="paragraph" w:styleId="TOC3">
    <w:name w:val="toc 3"/>
    <w:basedOn w:val="Normal"/>
    <w:next w:val="Normal"/>
    <w:autoRedefine/>
    <w:uiPriority w:val="39"/>
    <w:locked/>
    <w:rsid w:val="002702D9"/>
    <w:pPr>
      <w:ind w:left="1202" w:hanging="720"/>
    </w:pPr>
    <w:rPr>
      <w:rFonts w:eastAsia="MS Mincho" w:cs="Arial"/>
      <w:i/>
      <w:noProof/>
    </w:rPr>
  </w:style>
  <w:style w:type="character" w:styleId="PlaceholderText">
    <w:name w:val="Placeholder Text"/>
    <w:basedOn w:val="DefaultParagraphFont"/>
    <w:uiPriority w:val="99"/>
    <w:semiHidden/>
    <w:locked/>
    <w:rsid w:val="005D1F34"/>
    <w:rPr>
      <w:rFonts w:cs="Times New Roman"/>
      <w:color w:val="808080"/>
    </w:rPr>
  </w:style>
  <w:style w:type="paragraph" w:styleId="ListContinue4">
    <w:name w:val="List Continue 4"/>
    <w:basedOn w:val="Normal"/>
    <w:uiPriority w:val="99"/>
    <w:semiHidden/>
    <w:locked/>
    <w:rsid w:val="0090165F"/>
    <w:pPr>
      <w:spacing w:after="120"/>
      <w:ind w:left="1132"/>
    </w:pPr>
  </w:style>
  <w:style w:type="paragraph" w:styleId="TOC1">
    <w:name w:val="toc 1"/>
    <w:basedOn w:val="Normal"/>
    <w:next w:val="Normal"/>
    <w:autoRedefine/>
    <w:uiPriority w:val="39"/>
    <w:locked/>
    <w:rsid w:val="002702D9"/>
    <w:pPr>
      <w:tabs>
        <w:tab w:val="right" w:leader="dot" w:pos="9060"/>
      </w:tabs>
      <w:ind w:left="720" w:hanging="720"/>
    </w:pPr>
    <w:rPr>
      <w:b/>
    </w:rPr>
  </w:style>
  <w:style w:type="paragraph" w:styleId="TOC2">
    <w:name w:val="toc 2"/>
    <w:basedOn w:val="Normal"/>
    <w:next w:val="Normal"/>
    <w:autoRedefine/>
    <w:uiPriority w:val="39"/>
    <w:locked/>
    <w:rsid w:val="002702D9"/>
    <w:pPr>
      <w:ind w:left="958" w:hanging="720"/>
    </w:pPr>
    <w:rPr>
      <w:b/>
      <w:i/>
    </w:rPr>
  </w:style>
  <w:style w:type="paragraph" w:styleId="TOC4">
    <w:name w:val="toc 4"/>
    <w:basedOn w:val="Normal"/>
    <w:next w:val="Normal"/>
    <w:autoRedefine/>
    <w:uiPriority w:val="99"/>
    <w:semiHidden/>
    <w:locked/>
    <w:rsid w:val="008A2AF7"/>
    <w:pPr>
      <w:tabs>
        <w:tab w:val="left" w:pos="1440"/>
        <w:tab w:val="right" w:leader="dot" w:pos="9060"/>
      </w:tabs>
      <w:ind w:left="1440" w:hanging="720"/>
    </w:pPr>
    <w:rPr>
      <w:noProof/>
    </w:rPr>
  </w:style>
  <w:style w:type="character" w:styleId="Hyperlink">
    <w:name w:val="Hyperlink"/>
    <w:basedOn w:val="DefaultParagraphFont"/>
    <w:uiPriority w:val="99"/>
    <w:locked/>
    <w:rsid w:val="0024557E"/>
    <w:rPr>
      <w:rFonts w:cs="Times New Roman"/>
      <w:color w:val="0000FF"/>
      <w:u w:val="single"/>
    </w:rPr>
  </w:style>
  <w:style w:type="paragraph" w:styleId="TOCHeading">
    <w:name w:val="TOC Heading"/>
    <w:basedOn w:val="Normal"/>
    <w:next w:val="Normal"/>
    <w:uiPriority w:val="99"/>
    <w:qFormat/>
    <w:locked/>
    <w:rsid w:val="00725D5E"/>
    <w:rPr>
      <w:b/>
      <w:sz w:val="28"/>
      <w:lang w:val="en-US"/>
    </w:rPr>
  </w:style>
  <w:style w:type="paragraph" w:styleId="EndnoteText">
    <w:name w:val="endnote text"/>
    <w:basedOn w:val="Normal"/>
    <w:link w:val="EndnoteTextChar"/>
    <w:semiHidden/>
    <w:rsid w:val="00706FAB"/>
  </w:style>
  <w:style w:type="character" w:customStyle="1" w:styleId="EndnoteTextChar">
    <w:name w:val="Endnote Text Char"/>
    <w:basedOn w:val="DefaultParagraphFont"/>
    <w:link w:val="EndnoteText"/>
    <w:uiPriority w:val="99"/>
    <w:locked/>
    <w:rsid w:val="00706FAB"/>
    <w:rPr>
      <w:rFonts w:ascii="Arial" w:hAnsi="Arial" w:cs="Times New Roman"/>
      <w:lang w:val="en-AU" w:eastAsia="en-AU" w:bidi="ar-SA"/>
    </w:rPr>
  </w:style>
  <w:style w:type="character" w:styleId="EndnoteReference">
    <w:name w:val="endnote reference"/>
    <w:basedOn w:val="DefaultParagraphFont"/>
    <w:semiHidden/>
    <w:rsid w:val="00074CD6"/>
    <w:rPr>
      <w:rFonts w:ascii="Arial" w:hAnsi="Arial" w:cs="Times New Roman"/>
      <w:sz w:val="20"/>
      <w:vertAlign w:val="superscript"/>
    </w:rPr>
  </w:style>
  <w:style w:type="paragraph" w:styleId="BlockText">
    <w:name w:val="Block Text"/>
    <w:basedOn w:val="Normal"/>
    <w:locked/>
    <w:rsid w:val="00E45954"/>
    <w:pPr>
      <w:spacing w:after="120"/>
      <w:ind w:left="1440" w:right="1440"/>
    </w:pPr>
  </w:style>
  <w:style w:type="paragraph" w:styleId="BodyText">
    <w:name w:val="Body Text"/>
    <w:basedOn w:val="Normal"/>
    <w:link w:val="BodyTextChar"/>
    <w:locked/>
    <w:rsid w:val="00E45954"/>
    <w:pPr>
      <w:spacing w:after="120"/>
    </w:pPr>
  </w:style>
  <w:style w:type="character" w:customStyle="1" w:styleId="BodyTextChar">
    <w:name w:val="Body Text Char"/>
    <w:basedOn w:val="DefaultParagraphFont"/>
    <w:link w:val="BodyText"/>
    <w:uiPriority w:val="99"/>
    <w:semiHidden/>
    <w:locked/>
    <w:rsid w:val="00DE2F25"/>
    <w:rPr>
      <w:rFonts w:ascii="Arial" w:hAnsi="Arial" w:cs="Times New Roman"/>
      <w:spacing w:val="-5"/>
      <w:sz w:val="20"/>
      <w:szCs w:val="20"/>
      <w:lang w:eastAsia="en-US"/>
    </w:rPr>
  </w:style>
  <w:style w:type="paragraph" w:styleId="BodyText2">
    <w:name w:val="Body Text 2"/>
    <w:basedOn w:val="Normal"/>
    <w:link w:val="BodyText2Char"/>
    <w:uiPriority w:val="99"/>
    <w:semiHidden/>
    <w:locked/>
    <w:rsid w:val="00E45954"/>
    <w:pPr>
      <w:spacing w:after="120" w:line="480" w:lineRule="auto"/>
    </w:pPr>
  </w:style>
  <w:style w:type="character" w:customStyle="1" w:styleId="BodyText2Char">
    <w:name w:val="Body Text 2 Char"/>
    <w:basedOn w:val="DefaultParagraphFont"/>
    <w:link w:val="BodyText2"/>
    <w:uiPriority w:val="99"/>
    <w:semiHidden/>
    <w:locked/>
    <w:rsid w:val="00DE2F25"/>
    <w:rPr>
      <w:rFonts w:ascii="Arial" w:hAnsi="Arial" w:cs="Times New Roman"/>
      <w:spacing w:val="-5"/>
      <w:sz w:val="20"/>
      <w:szCs w:val="20"/>
      <w:lang w:eastAsia="en-US"/>
    </w:rPr>
  </w:style>
  <w:style w:type="paragraph" w:styleId="BodyText3">
    <w:name w:val="Body Text 3"/>
    <w:basedOn w:val="Normal"/>
    <w:link w:val="BodyText3Char"/>
    <w:uiPriority w:val="99"/>
    <w:semiHidden/>
    <w:locked/>
    <w:rsid w:val="00E45954"/>
    <w:pPr>
      <w:spacing w:after="120"/>
    </w:pPr>
    <w:rPr>
      <w:sz w:val="16"/>
      <w:szCs w:val="16"/>
    </w:rPr>
  </w:style>
  <w:style w:type="character" w:customStyle="1" w:styleId="BodyText3Char">
    <w:name w:val="Body Text 3 Char"/>
    <w:basedOn w:val="DefaultParagraphFont"/>
    <w:link w:val="BodyText3"/>
    <w:uiPriority w:val="99"/>
    <w:semiHidden/>
    <w:locked/>
    <w:rsid w:val="00DE2F25"/>
    <w:rPr>
      <w:rFonts w:ascii="Arial" w:hAnsi="Arial" w:cs="Times New Roman"/>
      <w:spacing w:val="-5"/>
      <w:sz w:val="16"/>
      <w:szCs w:val="16"/>
      <w:lang w:eastAsia="en-US"/>
    </w:rPr>
  </w:style>
  <w:style w:type="paragraph" w:styleId="BodyTextFirstIndent">
    <w:name w:val="Body Text First Indent"/>
    <w:basedOn w:val="BodyText"/>
    <w:link w:val="BodyTextFirstIndentChar"/>
    <w:uiPriority w:val="99"/>
    <w:semiHidden/>
    <w:locked/>
    <w:rsid w:val="00E45954"/>
    <w:pPr>
      <w:ind w:firstLine="210"/>
    </w:pPr>
  </w:style>
  <w:style w:type="character" w:customStyle="1" w:styleId="BodyTextFirstIndentChar">
    <w:name w:val="Body Text First Indent Char"/>
    <w:basedOn w:val="BodyTextChar"/>
    <w:link w:val="BodyTextFirstIndent"/>
    <w:uiPriority w:val="99"/>
    <w:semiHidden/>
    <w:locked/>
    <w:rsid w:val="00DE2F25"/>
    <w:rPr>
      <w:rFonts w:ascii="Arial" w:hAnsi="Arial" w:cs="Times New Roman"/>
      <w:spacing w:val="-5"/>
      <w:sz w:val="20"/>
      <w:szCs w:val="20"/>
      <w:lang w:eastAsia="en-US"/>
    </w:rPr>
  </w:style>
  <w:style w:type="paragraph" w:styleId="BodyTextIndent">
    <w:name w:val="Body Text Indent"/>
    <w:basedOn w:val="Normal"/>
    <w:link w:val="BodyTextIndentChar"/>
    <w:uiPriority w:val="99"/>
    <w:semiHidden/>
    <w:locked/>
    <w:rsid w:val="00E45954"/>
    <w:pPr>
      <w:spacing w:after="120"/>
      <w:ind w:left="283"/>
    </w:pPr>
  </w:style>
  <w:style w:type="character" w:customStyle="1" w:styleId="BodyTextIndentChar">
    <w:name w:val="Body Text Indent Char"/>
    <w:basedOn w:val="DefaultParagraphFont"/>
    <w:link w:val="BodyTextIndent"/>
    <w:uiPriority w:val="99"/>
    <w:semiHidden/>
    <w:locked/>
    <w:rsid w:val="00DE2F25"/>
    <w:rPr>
      <w:rFonts w:ascii="Arial" w:hAnsi="Arial" w:cs="Times New Roman"/>
      <w:spacing w:val="-5"/>
      <w:sz w:val="20"/>
      <w:szCs w:val="20"/>
      <w:lang w:eastAsia="en-US"/>
    </w:rPr>
  </w:style>
  <w:style w:type="paragraph" w:styleId="BodyTextFirstIndent2">
    <w:name w:val="Body Text First Indent 2"/>
    <w:basedOn w:val="BodyTextIndent"/>
    <w:link w:val="BodyTextFirstIndent2Char"/>
    <w:uiPriority w:val="99"/>
    <w:semiHidden/>
    <w:locked/>
    <w:rsid w:val="00E45954"/>
    <w:pPr>
      <w:ind w:firstLine="210"/>
    </w:pPr>
  </w:style>
  <w:style w:type="character" w:customStyle="1" w:styleId="BodyTextFirstIndent2Char">
    <w:name w:val="Body Text First Indent 2 Char"/>
    <w:basedOn w:val="BodyTextIndentChar"/>
    <w:link w:val="BodyTextFirstIndent2"/>
    <w:uiPriority w:val="99"/>
    <w:semiHidden/>
    <w:locked/>
    <w:rsid w:val="00DE2F25"/>
    <w:rPr>
      <w:rFonts w:ascii="Arial" w:hAnsi="Arial" w:cs="Times New Roman"/>
      <w:spacing w:val="-5"/>
      <w:sz w:val="20"/>
      <w:szCs w:val="20"/>
      <w:lang w:eastAsia="en-US"/>
    </w:rPr>
  </w:style>
  <w:style w:type="paragraph" w:styleId="BodyTextIndent2">
    <w:name w:val="Body Text Indent 2"/>
    <w:basedOn w:val="Normal"/>
    <w:link w:val="BodyTextIndent2Char"/>
    <w:uiPriority w:val="99"/>
    <w:semiHidden/>
    <w:locked/>
    <w:rsid w:val="00E45954"/>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DE2F25"/>
    <w:rPr>
      <w:rFonts w:ascii="Arial" w:hAnsi="Arial" w:cs="Times New Roman"/>
      <w:spacing w:val="-5"/>
      <w:sz w:val="20"/>
      <w:szCs w:val="20"/>
      <w:lang w:eastAsia="en-US"/>
    </w:rPr>
  </w:style>
  <w:style w:type="paragraph" w:styleId="BodyTextIndent3">
    <w:name w:val="Body Text Indent 3"/>
    <w:basedOn w:val="Normal"/>
    <w:link w:val="BodyTextIndent3Char"/>
    <w:uiPriority w:val="99"/>
    <w:semiHidden/>
    <w:locked/>
    <w:rsid w:val="00E45954"/>
    <w:pPr>
      <w:spacing w:after="120"/>
      <w:ind w:left="283"/>
    </w:pPr>
    <w:rPr>
      <w:sz w:val="16"/>
      <w:szCs w:val="16"/>
    </w:rPr>
  </w:style>
  <w:style w:type="character" w:customStyle="1" w:styleId="BodyTextIndent3Char">
    <w:name w:val="Body Text Indent 3 Char"/>
    <w:basedOn w:val="DefaultParagraphFont"/>
    <w:link w:val="BodyTextIndent3"/>
    <w:uiPriority w:val="99"/>
    <w:semiHidden/>
    <w:locked/>
    <w:rsid w:val="00DE2F25"/>
    <w:rPr>
      <w:rFonts w:ascii="Arial" w:hAnsi="Arial" w:cs="Times New Roman"/>
      <w:spacing w:val="-5"/>
      <w:sz w:val="16"/>
      <w:szCs w:val="16"/>
      <w:lang w:eastAsia="en-US"/>
    </w:rPr>
  </w:style>
  <w:style w:type="paragraph" w:styleId="Closing">
    <w:name w:val="Closing"/>
    <w:basedOn w:val="Normal"/>
    <w:link w:val="ClosingChar"/>
    <w:uiPriority w:val="99"/>
    <w:semiHidden/>
    <w:locked/>
    <w:rsid w:val="00E45954"/>
    <w:pPr>
      <w:ind w:left="4252"/>
    </w:pPr>
  </w:style>
  <w:style w:type="character" w:customStyle="1" w:styleId="ClosingChar">
    <w:name w:val="Closing Char"/>
    <w:basedOn w:val="DefaultParagraphFont"/>
    <w:link w:val="Closing"/>
    <w:uiPriority w:val="99"/>
    <w:semiHidden/>
    <w:locked/>
    <w:rsid w:val="00DE2F25"/>
    <w:rPr>
      <w:rFonts w:ascii="Arial" w:hAnsi="Arial" w:cs="Times New Roman"/>
      <w:spacing w:val="-5"/>
      <w:sz w:val="20"/>
      <w:szCs w:val="20"/>
      <w:lang w:eastAsia="en-US"/>
    </w:rPr>
  </w:style>
  <w:style w:type="paragraph" w:styleId="Date">
    <w:name w:val="Date"/>
    <w:basedOn w:val="Normal"/>
    <w:next w:val="Normal"/>
    <w:link w:val="DateChar"/>
    <w:uiPriority w:val="99"/>
    <w:semiHidden/>
    <w:locked/>
    <w:rsid w:val="00E45954"/>
  </w:style>
  <w:style w:type="character" w:customStyle="1" w:styleId="DateChar">
    <w:name w:val="Date Char"/>
    <w:basedOn w:val="DefaultParagraphFont"/>
    <w:link w:val="Date"/>
    <w:uiPriority w:val="99"/>
    <w:semiHidden/>
    <w:locked/>
    <w:rsid w:val="00DE2F25"/>
    <w:rPr>
      <w:rFonts w:ascii="Arial" w:hAnsi="Arial" w:cs="Times New Roman"/>
      <w:spacing w:val="-5"/>
      <w:sz w:val="20"/>
      <w:szCs w:val="20"/>
      <w:lang w:eastAsia="en-US"/>
    </w:rPr>
  </w:style>
  <w:style w:type="paragraph" w:styleId="E-mailSignature">
    <w:name w:val="E-mail Signature"/>
    <w:basedOn w:val="Normal"/>
    <w:link w:val="E-mailSignatureChar"/>
    <w:uiPriority w:val="99"/>
    <w:semiHidden/>
    <w:locked/>
    <w:rsid w:val="00E45954"/>
  </w:style>
  <w:style w:type="character" w:customStyle="1" w:styleId="E-mailSignatureChar">
    <w:name w:val="E-mail Signature Char"/>
    <w:basedOn w:val="DefaultParagraphFont"/>
    <w:link w:val="E-mailSignature"/>
    <w:uiPriority w:val="99"/>
    <w:semiHidden/>
    <w:locked/>
    <w:rsid w:val="00DE2F25"/>
    <w:rPr>
      <w:rFonts w:ascii="Arial" w:hAnsi="Arial" w:cs="Times New Roman"/>
      <w:spacing w:val="-5"/>
      <w:sz w:val="20"/>
      <w:szCs w:val="20"/>
      <w:lang w:eastAsia="en-US"/>
    </w:rPr>
  </w:style>
  <w:style w:type="character" w:styleId="Emphasis">
    <w:name w:val="Emphasis"/>
    <w:basedOn w:val="DefaultParagraphFont"/>
    <w:uiPriority w:val="99"/>
    <w:qFormat/>
    <w:locked/>
    <w:rsid w:val="00E45954"/>
    <w:rPr>
      <w:rFonts w:cs="Times New Roman"/>
      <w:i/>
      <w:iCs/>
    </w:rPr>
  </w:style>
  <w:style w:type="paragraph" w:styleId="EnvelopeAddress">
    <w:name w:val="envelope address"/>
    <w:basedOn w:val="Normal"/>
    <w:uiPriority w:val="99"/>
    <w:semiHidden/>
    <w:locked/>
    <w:rsid w:val="001C139C"/>
    <w:pPr>
      <w:framePr w:w="7920" w:h="1980" w:hRule="exact" w:hSpace="180" w:wrap="auto" w:hAnchor="page" w:xAlign="center" w:yAlign="bottom"/>
      <w:ind w:left="2880"/>
    </w:pPr>
    <w:rPr>
      <w:rFonts w:cs="Arial"/>
    </w:rPr>
  </w:style>
  <w:style w:type="paragraph" w:styleId="EnvelopeReturn">
    <w:name w:val="envelope return"/>
    <w:basedOn w:val="Normal"/>
    <w:uiPriority w:val="99"/>
    <w:semiHidden/>
    <w:locked/>
    <w:rsid w:val="00E45954"/>
    <w:rPr>
      <w:rFonts w:cs="Arial"/>
    </w:rPr>
  </w:style>
  <w:style w:type="character" w:styleId="FootnoteReference">
    <w:name w:val="footnote reference"/>
    <w:basedOn w:val="DefaultParagraphFont"/>
    <w:semiHidden/>
    <w:rsid w:val="00074CD6"/>
    <w:rPr>
      <w:rFonts w:ascii="Arial" w:hAnsi="Arial" w:cs="Times New Roman"/>
      <w:sz w:val="20"/>
      <w:vertAlign w:val="superscript"/>
    </w:rPr>
  </w:style>
  <w:style w:type="paragraph" w:styleId="FootnoteText">
    <w:name w:val="footnote text"/>
    <w:aliases w:val="Footnote Text Char1 Char,Footnote Text Char Char Char,Footnote Text Char1 Char Char Char,Footnote Text Char Char Char Char Char,Footnote Text Char2 Char Char Char Char Char,Footnote Text Char1,Footnote Text Char Char,FA Char,FA "/>
    <w:basedOn w:val="Normal"/>
    <w:link w:val="FootnoteTextChar"/>
    <w:rsid w:val="00706FAB"/>
  </w:style>
  <w:style w:type="character" w:customStyle="1" w:styleId="FootnoteTextChar">
    <w:name w:val="Footnote Text Char"/>
    <w:aliases w:val="Footnote Text Char1 Char Char,Footnote Text Char Char Char Char,Footnote Text Char1 Char Char Char Char,Footnote Text Char Char Char Char Char Char,Footnote Text Char2 Char Char Char Char Char Char,Footnote Text Char1 Char1,FA  Char"/>
    <w:basedOn w:val="DefaultParagraphFont"/>
    <w:link w:val="FootnoteText"/>
    <w:locked/>
    <w:rsid w:val="00706FAB"/>
    <w:rPr>
      <w:rFonts w:ascii="Arial" w:hAnsi="Arial" w:cs="Times New Roman"/>
      <w:lang w:val="en-AU" w:eastAsia="en-AU" w:bidi="ar-SA"/>
    </w:rPr>
  </w:style>
  <w:style w:type="character" w:styleId="HTMLAcronym">
    <w:name w:val="HTML Acronym"/>
    <w:basedOn w:val="DefaultParagraphFont"/>
    <w:uiPriority w:val="99"/>
    <w:semiHidden/>
    <w:locked/>
    <w:rsid w:val="00E45954"/>
    <w:rPr>
      <w:rFonts w:cs="Times New Roman"/>
    </w:rPr>
  </w:style>
  <w:style w:type="paragraph" w:styleId="HTMLAddress">
    <w:name w:val="HTML Address"/>
    <w:basedOn w:val="Normal"/>
    <w:link w:val="HTMLAddressChar"/>
    <w:uiPriority w:val="99"/>
    <w:semiHidden/>
    <w:locked/>
    <w:rsid w:val="00E45954"/>
    <w:rPr>
      <w:i/>
      <w:iCs/>
    </w:rPr>
  </w:style>
  <w:style w:type="character" w:customStyle="1" w:styleId="HTMLAddressChar">
    <w:name w:val="HTML Address Char"/>
    <w:basedOn w:val="DefaultParagraphFont"/>
    <w:link w:val="HTMLAddress"/>
    <w:uiPriority w:val="99"/>
    <w:semiHidden/>
    <w:locked/>
    <w:rsid w:val="00DE2F25"/>
    <w:rPr>
      <w:rFonts w:ascii="Arial" w:hAnsi="Arial" w:cs="Times New Roman"/>
      <w:i/>
      <w:iCs/>
      <w:spacing w:val="-5"/>
      <w:sz w:val="20"/>
      <w:szCs w:val="20"/>
      <w:lang w:eastAsia="en-US"/>
    </w:rPr>
  </w:style>
  <w:style w:type="character" w:styleId="HTMLCite">
    <w:name w:val="HTML Cite"/>
    <w:basedOn w:val="DefaultParagraphFont"/>
    <w:uiPriority w:val="99"/>
    <w:semiHidden/>
    <w:locked/>
    <w:rsid w:val="00E45954"/>
    <w:rPr>
      <w:rFonts w:cs="Times New Roman"/>
      <w:i/>
      <w:iCs/>
    </w:rPr>
  </w:style>
  <w:style w:type="character" w:styleId="HTMLCode">
    <w:name w:val="HTML Code"/>
    <w:basedOn w:val="DefaultParagraphFont"/>
    <w:uiPriority w:val="99"/>
    <w:semiHidden/>
    <w:locked/>
    <w:rsid w:val="00E45954"/>
    <w:rPr>
      <w:rFonts w:ascii="Courier New" w:hAnsi="Courier New" w:cs="Courier New"/>
      <w:sz w:val="20"/>
      <w:szCs w:val="20"/>
    </w:rPr>
  </w:style>
  <w:style w:type="character" w:styleId="HTMLDefinition">
    <w:name w:val="HTML Definition"/>
    <w:basedOn w:val="DefaultParagraphFont"/>
    <w:uiPriority w:val="99"/>
    <w:semiHidden/>
    <w:locked/>
    <w:rsid w:val="00E45954"/>
    <w:rPr>
      <w:rFonts w:cs="Times New Roman"/>
      <w:i/>
      <w:iCs/>
    </w:rPr>
  </w:style>
  <w:style w:type="character" w:styleId="HTMLKeyboard">
    <w:name w:val="HTML Keyboard"/>
    <w:basedOn w:val="DefaultParagraphFont"/>
    <w:uiPriority w:val="99"/>
    <w:semiHidden/>
    <w:locked/>
    <w:rsid w:val="00E45954"/>
    <w:rPr>
      <w:rFonts w:ascii="Courier New" w:hAnsi="Courier New" w:cs="Courier New"/>
      <w:sz w:val="20"/>
      <w:szCs w:val="20"/>
    </w:rPr>
  </w:style>
  <w:style w:type="paragraph" w:styleId="HTMLPreformatted">
    <w:name w:val="HTML Preformatted"/>
    <w:basedOn w:val="Normal"/>
    <w:link w:val="HTMLPreformattedChar"/>
    <w:uiPriority w:val="99"/>
    <w:semiHidden/>
    <w:locked/>
    <w:rsid w:val="00E45954"/>
    <w:rPr>
      <w:rFonts w:ascii="Courier New" w:hAnsi="Courier New" w:cs="Courier New"/>
    </w:rPr>
  </w:style>
  <w:style w:type="character" w:customStyle="1" w:styleId="HTMLPreformattedChar">
    <w:name w:val="HTML Preformatted Char"/>
    <w:basedOn w:val="DefaultParagraphFont"/>
    <w:link w:val="HTMLPreformatted"/>
    <w:uiPriority w:val="99"/>
    <w:semiHidden/>
    <w:locked/>
    <w:rsid w:val="00DE2F25"/>
    <w:rPr>
      <w:rFonts w:ascii="Courier New" w:hAnsi="Courier New" w:cs="Courier New"/>
      <w:spacing w:val="-5"/>
      <w:sz w:val="20"/>
      <w:szCs w:val="20"/>
      <w:lang w:eastAsia="en-US"/>
    </w:rPr>
  </w:style>
  <w:style w:type="character" w:styleId="HTMLSample">
    <w:name w:val="HTML Sample"/>
    <w:basedOn w:val="DefaultParagraphFont"/>
    <w:uiPriority w:val="99"/>
    <w:semiHidden/>
    <w:locked/>
    <w:rsid w:val="00E45954"/>
    <w:rPr>
      <w:rFonts w:ascii="Courier New" w:hAnsi="Courier New" w:cs="Courier New"/>
    </w:rPr>
  </w:style>
  <w:style w:type="character" w:styleId="HTMLTypewriter">
    <w:name w:val="HTML Typewriter"/>
    <w:basedOn w:val="DefaultParagraphFont"/>
    <w:uiPriority w:val="99"/>
    <w:semiHidden/>
    <w:locked/>
    <w:rsid w:val="00E45954"/>
    <w:rPr>
      <w:rFonts w:ascii="Courier New" w:hAnsi="Courier New" w:cs="Courier New"/>
      <w:sz w:val="20"/>
      <w:szCs w:val="20"/>
    </w:rPr>
  </w:style>
  <w:style w:type="character" w:styleId="HTMLVariable">
    <w:name w:val="HTML Variable"/>
    <w:basedOn w:val="DefaultParagraphFont"/>
    <w:uiPriority w:val="99"/>
    <w:semiHidden/>
    <w:locked/>
    <w:rsid w:val="00E45954"/>
    <w:rPr>
      <w:rFonts w:cs="Times New Roman"/>
      <w:i/>
      <w:iCs/>
    </w:rPr>
  </w:style>
  <w:style w:type="character" w:styleId="LineNumber">
    <w:name w:val="line number"/>
    <w:basedOn w:val="DefaultParagraphFont"/>
    <w:uiPriority w:val="99"/>
    <w:semiHidden/>
    <w:locked/>
    <w:rsid w:val="00E45954"/>
    <w:rPr>
      <w:rFonts w:cs="Times New Roman"/>
    </w:rPr>
  </w:style>
  <w:style w:type="paragraph" w:styleId="List">
    <w:name w:val="List"/>
    <w:basedOn w:val="Normal"/>
    <w:uiPriority w:val="99"/>
    <w:semiHidden/>
    <w:locked/>
    <w:rsid w:val="00E45954"/>
    <w:pPr>
      <w:ind w:left="283" w:hanging="283"/>
    </w:pPr>
  </w:style>
  <w:style w:type="paragraph" w:styleId="List2">
    <w:name w:val="List 2"/>
    <w:basedOn w:val="Normal"/>
    <w:uiPriority w:val="99"/>
    <w:semiHidden/>
    <w:locked/>
    <w:rsid w:val="00E45954"/>
    <w:pPr>
      <w:ind w:left="566" w:hanging="283"/>
    </w:pPr>
  </w:style>
  <w:style w:type="paragraph" w:styleId="List3">
    <w:name w:val="List 3"/>
    <w:basedOn w:val="Normal"/>
    <w:uiPriority w:val="99"/>
    <w:semiHidden/>
    <w:locked/>
    <w:rsid w:val="00E45954"/>
    <w:pPr>
      <w:ind w:left="849" w:hanging="283"/>
    </w:pPr>
  </w:style>
  <w:style w:type="paragraph" w:styleId="List4">
    <w:name w:val="List 4"/>
    <w:basedOn w:val="Normal"/>
    <w:uiPriority w:val="99"/>
    <w:semiHidden/>
    <w:locked/>
    <w:rsid w:val="00E45954"/>
    <w:pPr>
      <w:ind w:left="1132" w:hanging="283"/>
    </w:pPr>
  </w:style>
  <w:style w:type="paragraph" w:styleId="List5">
    <w:name w:val="List 5"/>
    <w:basedOn w:val="Normal"/>
    <w:uiPriority w:val="99"/>
    <w:semiHidden/>
    <w:locked/>
    <w:rsid w:val="00E45954"/>
    <w:pPr>
      <w:ind w:left="1415" w:hanging="283"/>
    </w:pPr>
  </w:style>
  <w:style w:type="paragraph" w:styleId="ListBullet2">
    <w:name w:val="List Bullet 2"/>
    <w:basedOn w:val="Normal"/>
    <w:uiPriority w:val="99"/>
    <w:semiHidden/>
    <w:locked/>
    <w:rsid w:val="00E45954"/>
    <w:pPr>
      <w:tabs>
        <w:tab w:val="num" w:pos="643"/>
      </w:tabs>
      <w:ind w:left="643" w:hanging="360"/>
    </w:pPr>
  </w:style>
  <w:style w:type="paragraph" w:styleId="ListBullet3">
    <w:name w:val="List Bullet 3"/>
    <w:basedOn w:val="Normal"/>
    <w:uiPriority w:val="99"/>
    <w:semiHidden/>
    <w:locked/>
    <w:rsid w:val="00E45954"/>
    <w:pPr>
      <w:tabs>
        <w:tab w:val="num" w:pos="926"/>
      </w:tabs>
      <w:ind w:left="926" w:hanging="360"/>
    </w:pPr>
  </w:style>
  <w:style w:type="paragraph" w:styleId="ListBullet4">
    <w:name w:val="List Bullet 4"/>
    <w:basedOn w:val="Normal"/>
    <w:uiPriority w:val="99"/>
    <w:semiHidden/>
    <w:locked/>
    <w:rsid w:val="00E45954"/>
    <w:pPr>
      <w:tabs>
        <w:tab w:val="num" w:pos="1209"/>
      </w:tabs>
      <w:ind w:left="1209" w:hanging="360"/>
    </w:pPr>
  </w:style>
  <w:style w:type="paragraph" w:styleId="ListBullet5">
    <w:name w:val="List Bullet 5"/>
    <w:basedOn w:val="Normal"/>
    <w:semiHidden/>
    <w:locked/>
    <w:rsid w:val="00E45954"/>
    <w:pPr>
      <w:tabs>
        <w:tab w:val="num" w:pos="1492"/>
      </w:tabs>
      <w:ind w:left="1492" w:hanging="360"/>
    </w:pPr>
  </w:style>
  <w:style w:type="paragraph" w:styleId="ListContinue">
    <w:name w:val="List Continue"/>
    <w:basedOn w:val="Normal"/>
    <w:uiPriority w:val="99"/>
    <w:semiHidden/>
    <w:locked/>
    <w:rsid w:val="00E45954"/>
    <w:pPr>
      <w:spacing w:after="120"/>
      <w:ind w:left="283"/>
    </w:pPr>
  </w:style>
  <w:style w:type="paragraph" w:styleId="ListContinue2">
    <w:name w:val="List Continue 2"/>
    <w:basedOn w:val="Normal"/>
    <w:uiPriority w:val="99"/>
    <w:semiHidden/>
    <w:locked/>
    <w:rsid w:val="00E45954"/>
    <w:pPr>
      <w:spacing w:after="120"/>
      <w:ind w:left="566"/>
    </w:pPr>
  </w:style>
  <w:style w:type="paragraph" w:styleId="ListContinue3">
    <w:name w:val="List Continue 3"/>
    <w:basedOn w:val="Normal"/>
    <w:uiPriority w:val="99"/>
    <w:semiHidden/>
    <w:locked/>
    <w:rsid w:val="00E45954"/>
    <w:pPr>
      <w:spacing w:after="120"/>
      <w:ind w:left="849"/>
    </w:pPr>
  </w:style>
  <w:style w:type="paragraph" w:styleId="ListContinue5">
    <w:name w:val="List Continue 5"/>
    <w:basedOn w:val="Normal"/>
    <w:uiPriority w:val="99"/>
    <w:semiHidden/>
    <w:locked/>
    <w:rsid w:val="00E45954"/>
    <w:pPr>
      <w:spacing w:after="120"/>
      <w:ind w:left="1415"/>
    </w:pPr>
  </w:style>
  <w:style w:type="paragraph" w:styleId="ListNumber">
    <w:name w:val="List Number"/>
    <w:basedOn w:val="Normal"/>
    <w:uiPriority w:val="99"/>
    <w:semiHidden/>
    <w:locked/>
    <w:rsid w:val="00E45954"/>
    <w:pPr>
      <w:tabs>
        <w:tab w:val="num" w:pos="360"/>
      </w:tabs>
      <w:ind w:left="360" w:hanging="360"/>
    </w:pPr>
  </w:style>
  <w:style w:type="paragraph" w:styleId="ListNumber2">
    <w:name w:val="List Number 2"/>
    <w:basedOn w:val="Normal"/>
    <w:uiPriority w:val="99"/>
    <w:semiHidden/>
    <w:locked/>
    <w:rsid w:val="00E45954"/>
    <w:pPr>
      <w:tabs>
        <w:tab w:val="num" w:pos="643"/>
      </w:tabs>
      <w:ind w:left="643" w:hanging="360"/>
    </w:pPr>
  </w:style>
  <w:style w:type="paragraph" w:styleId="ListNumber3">
    <w:name w:val="List Number 3"/>
    <w:basedOn w:val="Normal"/>
    <w:uiPriority w:val="99"/>
    <w:semiHidden/>
    <w:locked/>
    <w:rsid w:val="00E45954"/>
    <w:pPr>
      <w:tabs>
        <w:tab w:val="num" w:pos="926"/>
      </w:tabs>
      <w:ind w:left="926" w:hanging="360"/>
    </w:pPr>
  </w:style>
  <w:style w:type="paragraph" w:styleId="ListNumber4">
    <w:name w:val="List Number 4"/>
    <w:basedOn w:val="Normal"/>
    <w:uiPriority w:val="99"/>
    <w:semiHidden/>
    <w:locked/>
    <w:rsid w:val="00E45954"/>
    <w:pPr>
      <w:tabs>
        <w:tab w:val="num" w:pos="1209"/>
      </w:tabs>
      <w:ind w:left="1209" w:hanging="360"/>
    </w:pPr>
  </w:style>
  <w:style w:type="paragraph" w:styleId="ListNumber5">
    <w:name w:val="List Number 5"/>
    <w:basedOn w:val="Normal"/>
    <w:uiPriority w:val="99"/>
    <w:semiHidden/>
    <w:locked/>
    <w:rsid w:val="00E45954"/>
    <w:pPr>
      <w:tabs>
        <w:tab w:val="num" w:pos="1492"/>
      </w:tabs>
      <w:ind w:left="1492" w:hanging="360"/>
    </w:pPr>
  </w:style>
  <w:style w:type="paragraph" w:styleId="MessageHeader">
    <w:name w:val="Message Header"/>
    <w:basedOn w:val="Normal"/>
    <w:link w:val="MessageHeaderChar"/>
    <w:uiPriority w:val="99"/>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MessageHeaderChar">
    <w:name w:val="Message Header Char"/>
    <w:basedOn w:val="DefaultParagraphFont"/>
    <w:link w:val="MessageHeader"/>
    <w:uiPriority w:val="99"/>
    <w:semiHidden/>
    <w:locked/>
    <w:rsid w:val="00DE2F25"/>
    <w:rPr>
      <w:rFonts w:ascii="Cambria" w:hAnsi="Cambria" w:cs="Times New Roman"/>
      <w:spacing w:val="-5"/>
      <w:sz w:val="24"/>
      <w:szCs w:val="24"/>
      <w:shd w:val="pct20" w:color="auto" w:fill="auto"/>
      <w:lang w:eastAsia="en-US"/>
    </w:rPr>
  </w:style>
  <w:style w:type="paragraph" w:styleId="NormalWeb">
    <w:name w:val="Normal (Web)"/>
    <w:basedOn w:val="Normal"/>
    <w:uiPriority w:val="99"/>
    <w:semiHidden/>
    <w:locked/>
    <w:rsid w:val="00E45954"/>
    <w:rPr>
      <w:rFonts w:ascii="Times New Roman" w:hAnsi="Times New Roman"/>
    </w:rPr>
  </w:style>
  <w:style w:type="paragraph" w:styleId="NormalIndent">
    <w:name w:val="Normal Indent"/>
    <w:basedOn w:val="Normal"/>
    <w:locked/>
    <w:rsid w:val="00E45954"/>
    <w:pPr>
      <w:ind w:left="720"/>
    </w:pPr>
  </w:style>
  <w:style w:type="paragraph" w:styleId="NoteHeading">
    <w:name w:val="Note Heading"/>
    <w:basedOn w:val="Normal"/>
    <w:next w:val="Normal"/>
    <w:link w:val="NoteHeadingChar"/>
    <w:locked/>
    <w:rsid w:val="00E45954"/>
  </w:style>
  <w:style w:type="character" w:customStyle="1" w:styleId="NoteHeadingChar">
    <w:name w:val="Note Heading Char"/>
    <w:basedOn w:val="DefaultParagraphFont"/>
    <w:link w:val="NoteHeading"/>
    <w:uiPriority w:val="99"/>
    <w:semiHidden/>
    <w:locked/>
    <w:rsid w:val="00DE2F25"/>
    <w:rPr>
      <w:rFonts w:ascii="Arial" w:hAnsi="Arial" w:cs="Times New Roman"/>
      <w:spacing w:val="-5"/>
      <w:sz w:val="20"/>
      <w:szCs w:val="20"/>
      <w:lang w:eastAsia="en-US"/>
    </w:rPr>
  </w:style>
  <w:style w:type="character" w:styleId="PageNumber">
    <w:name w:val="page number"/>
    <w:basedOn w:val="DefaultParagraphFont"/>
    <w:locked/>
    <w:rsid w:val="00E45954"/>
    <w:rPr>
      <w:rFonts w:cs="Times New Roman"/>
    </w:rPr>
  </w:style>
  <w:style w:type="paragraph" w:styleId="PlainText">
    <w:name w:val="Plain Text"/>
    <w:basedOn w:val="Normal"/>
    <w:link w:val="PlainTextChar"/>
    <w:uiPriority w:val="99"/>
    <w:semiHidden/>
    <w:locked/>
    <w:rsid w:val="00E45954"/>
    <w:rPr>
      <w:rFonts w:ascii="Courier New" w:hAnsi="Courier New" w:cs="Courier New"/>
    </w:rPr>
  </w:style>
  <w:style w:type="character" w:customStyle="1" w:styleId="PlainTextChar">
    <w:name w:val="Plain Text Char"/>
    <w:basedOn w:val="DefaultParagraphFont"/>
    <w:link w:val="PlainText"/>
    <w:uiPriority w:val="99"/>
    <w:semiHidden/>
    <w:locked/>
    <w:rsid w:val="00DE2F25"/>
    <w:rPr>
      <w:rFonts w:ascii="Courier New" w:hAnsi="Courier New" w:cs="Courier New"/>
      <w:spacing w:val="-5"/>
      <w:sz w:val="20"/>
      <w:szCs w:val="20"/>
      <w:lang w:eastAsia="en-US"/>
    </w:rPr>
  </w:style>
  <w:style w:type="paragraph" w:styleId="Salutation">
    <w:name w:val="Salutation"/>
    <w:basedOn w:val="Normal"/>
    <w:next w:val="Normal"/>
    <w:link w:val="SalutationChar"/>
    <w:uiPriority w:val="99"/>
    <w:semiHidden/>
    <w:locked/>
    <w:rsid w:val="00E45954"/>
  </w:style>
  <w:style w:type="character" w:customStyle="1" w:styleId="SalutationChar">
    <w:name w:val="Salutation Char"/>
    <w:basedOn w:val="DefaultParagraphFont"/>
    <w:link w:val="Salutation"/>
    <w:uiPriority w:val="99"/>
    <w:semiHidden/>
    <w:locked/>
    <w:rsid w:val="00DE2F25"/>
    <w:rPr>
      <w:rFonts w:ascii="Arial" w:hAnsi="Arial" w:cs="Times New Roman"/>
      <w:spacing w:val="-5"/>
      <w:sz w:val="20"/>
      <w:szCs w:val="20"/>
      <w:lang w:eastAsia="en-US"/>
    </w:rPr>
  </w:style>
  <w:style w:type="paragraph" w:styleId="Signature">
    <w:name w:val="Signature"/>
    <w:basedOn w:val="Normal"/>
    <w:link w:val="SignatureChar"/>
    <w:uiPriority w:val="99"/>
    <w:semiHidden/>
    <w:locked/>
    <w:rsid w:val="00E45954"/>
    <w:pPr>
      <w:ind w:left="4252"/>
    </w:pPr>
  </w:style>
  <w:style w:type="character" w:customStyle="1" w:styleId="SignatureChar">
    <w:name w:val="Signature Char"/>
    <w:basedOn w:val="DefaultParagraphFont"/>
    <w:link w:val="Signature"/>
    <w:uiPriority w:val="99"/>
    <w:semiHidden/>
    <w:locked/>
    <w:rsid w:val="00DE2F25"/>
    <w:rPr>
      <w:rFonts w:ascii="Arial" w:hAnsi="Arial" w:cs="Times New Roman"/>
      <w:spacing w:val="-5"/>
      <w:sz w:val="20"/>
      <w:szCs w:val="20"/>
      <w:lang w:eastAsia="en-US"/>
    </w:rPr>
  </w:style>
  <w:style w:type="paragraph" w:styleId="Subtitle">
    <w:name w:val="Subtitle"/>
    <w:basedOn w:val="Normal"/>
    <w:link w:val="SubtitleChar"/>
    <w:uiPriority w:val="99"/>
    <w:qFormat/>
    <w:locked/>
    <w:rsid w:val="00E45954"/>
    <w:pPr>
      <w:spacing w:after="60"/>
      <w:jc w:val="center"/>
      <w:outlineLvl w:val="1"/>
    </w:pPr>
    <w:rPr>
      <w:rFonts w:cs="Arial"/>
    </w:rPr>
  </w:style>
  <w:style w:type="character" w:customStyle="1" w:styleId="SubtitleChar">
    <w:name w:val="Subtitle Char"/>
    <w:basedOn w:val="DefaultParagraphFont"/>
    <w:link w:val="Subtitle"/>
    <w:uiPriority w:val="99"/>
    <w:locked/>
    <w:rsid w:val="00DE2F25"/>
    <w:rPr>
      <w:rFonts w:ascii="Cambria" w:hAnsi="Cambria" w:cs="Times New Roman"/>
      <w:spacing w:val="-5"/>
      <w:sz w:val="24"/>
      <w:szCs w:val="24"/>
      <w:lang w:eastAsia="en-US"/>
    </w:rPr>
  </w:style>
  <w:style w:type="table" w:styleId="Table3Deffects1">
    <w:name w:val="Table 3D effects 1"/>
    <w:basedOn w:val="TableNormal"/>
    <w:uiPriority w:val="99"/>
    <w:semiHidden/>
    <w:locked/>
    <w:rsid w:val="00E45954"/>
    <w:pPr>
      <w:spacing w:after="240"/>
    </w:pPr>
    <w:rPr>
      <w:sz w:val="20"/>
      <w:szCs w:val="20"/>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locked/>
    <w:rsid w:val="00E45954"/>
    <w:pPr>
      <w:spacing w:after="240"/>
    </w:pPr>
    <w:rPr>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locked/>
    <w:rsid w:val="00E45954"/>
    <w:pPr>
      <w:spacing w:after="240"/>
    </w:pPr>
    <w:rPr>
      <w:sz w:val="20"/>
      <w:szCs w:val="20"/>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semiHidden/>
    <w:locked/>
    <w:rsid w:val="00E45954"/>
    <w:pPr>
      <w:spacing w:after="240"/>
    </w:pPr>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semiHidden/>
    <w:locked/>
    <w:rsid w:val="00E45954"/>
    <w:pPr>
      <w:spacing w:after="240"/>
    </w:pPr>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locked/>
    <w:rsid w:val="00E45954"/>
    <w:pPr>
      <w:spacing w:after="240"/>
    </w:pPr>
    <w:rPr>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locked/>
    <w:rsid w:val="00E45954"/>
    <w:pPr>
      <w:spacing w:after="240"/>
    </w:pPr>
    <w:rPr>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locked/>
    <w:rsid w:val="00E45954"/>
    <w:pPr>
      <w:spacing w:after="240"/>
    </w:pPr>
    <w:rPr>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locked/>
    <w:rsid w:val="00E45954"/>
    <w:pPr>
      <w:spacing w:after="240"/>
    </w:pPr>
    <w:rPr>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locked/>
    <w:rsid w:val="00E45954"/>
    <w:pPr>
      <w:spacing w:after="240"/>
    </w:pPr>
    <w:rPr>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locked/>
    <w:rsid w:val="00E45954"/>
    <w:pPr>
      <w:spacing w:after="240"/>
    </w:pPr>
    <w:rPr>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semiHidden/>
    <w:locked/>
    <w:rsid w:val="00E45954"/>
    <w:pPr>
      <w:spacing w:after="240"/>
    </w:pPr>
    <w:rPr>
      <w:b/>
      <w:bCs/>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semiHidden/>
    <w:locked/>
    <w:rsid w:val="00E45954"/>
    <w:pPr>
      <w:spacing w:after="240"/>
    </w:pPr>
    <w:rPr>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semiHidden/>
    <w:locked/>
    <w:rsid w:val="00E45954"/>
    <w:pPr>
      <w:spacing w:after="240"/>
    </w:pPr>
    <w:rPr>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semiHidden/>
    <w:locked/>
    <w:rsid w:val="00E45954"/>
    <w:pPr>
      <w:spacing w:after="240"/>
    </w:pPr>
    <w:rPr>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semiHidden/>
    <w:locked/>
    <w:rsid w:val="00E45954"/>
    <w:pPr>
      <w:spacing w:after="240"/>
    </w:pPr>
    <w:rPr>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locked/>
    <w:rsid w:val="00E45954"/>
    <w:pPr>
      <w:spacing w:after="240"/>
    </w:pPr>
    <w:rPr>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TableGrid">
    <w:name w:val="Table Grid"/>
    <w:basedOn w:val="TableNormal"/>
    <w:locked/>
    <w:rsid w:val="00E45954"/>
    <w:pPr>
      <w:spacing w:after="240"/>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uiPriority w:val="99"/>
    <w:semiHidden/>
    <w:locked/>
    <w:rsid w:val="00E45954"/>
    <w:pPr>
      <w:spacing w:after="240"/>
    </w:pPr>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semiHidden/>
    <w:locked/>
    <w:rsid w:val="00E45954"/>
    <w:pPr>
      <w:spacing w:after="240"/>
    </w:pPr>
    <w:rPr>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semiHidden/>
    <w:locked/>
    <w:rsid w:val="00E45954"/>
    <w:pPr>
      <w:spacing w:after="240"/>
    </w:pPr>
    <w:rPr>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semiHidden/>
    <w:locked/>
    <w:rsid w:val="00E45954"/>
    <w:pPr>
      <w:spacing w:after="240"/>
    </w:pPr>
    <w:rPr>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locked/>
    <w:rsid w:val="00E45954"/>
    <w:pPr>
      <w:spacing w:after="240"/>
    </w:pPr>
    <w:rPr>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semiHidden/>
    <w:locked/>
    <w:rsid w:val="00E45954"/>
    <w:pPr>
      <w:spacing w:after="240"/>
    </w:pPr>
    <w:rPr>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semiHidden/>
    <w:locked/>
    <w:rsid w:val="00E45954"/>
    <w:pPr>
      <w:spacing w:after="240"/>
    </w:pPr>
    <w:rPr>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semiHidden/>
    <w:locked/>
    <w:rsid w:val="00E45954"/>
    <w:pPr>
      <w:spacing w:after="240"/>
    </w:pPr>
    <w:rPr>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locked/>
    <w:rsid w:val="00E45954"/>
    <w:pPr>
      <w:spacing w:after="240"/>
    </w:pPr>
    <w:rPr>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semiHidden/>
    <w:locked/>
    <w:rsid w:val="00E45954"/>
    <w:pPr>
      <w:spacing w:after="240"/>
    </w:pPr>
    <w:rPr>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semiHidden/>
    <w:locked/>
    <w:rsid w:val="00E45954"/>
    <w:pPr>
      <w:spacing w:after="240"/>
    </w:pPr>
    <w:rPr>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locked/>
    <w:rsid w:val="00E45954"/>
    <w:pPr>
      <w:spacing w:after="240"/>
    </w:pPr>
    <w:rPr>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locked/>
    <w:rsid w:val="00E45954"/>
    <w:pPr>
      <w:spacing w:after="240"/>
    </w:pPr>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semiHidden/>
    <w:locked/>
    <w:rsid w:val="00E45954"/>
    <w:pPr>
      <w:spacing w:after="240"/>
    </w:pPr>
    <w:rPr>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locked/>
    <w:rsid w:val="00E45954"/>
    <w:pPr>
      <w:spacing w:after="240"/>
    </w:pPr>
    <w:rPr>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locked/>
    <w:rsid w:val="00E45954"/>
    <w:pPr>
      <w:spacing w:after="240"/>
    </w:pPr>
    <w:rPr>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locked/>
    <w:rsid w:val="00E45954"/>
    <w:pPr>
      <w:spacing w:after="240"/>
    </w:pPr>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locked/>
    <w:rsid w:val="00E45954"/>
    <w:pPr>
      <w:spacing w:after="240"/>
    </w:pPr>
    <w:rPr>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locked/>
    <w:rsid w:val="00E45954"/>
    <w:pPr>
      <w:spacing w:after="240"/>
    </w:pPr>
    <w:rPr>
      <w:sz w:val="20"/>
      <w:szCs w:val="20"/>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locked/>
    <w:rsid w:val="00E45954"/>
    <w:pPr>
      <w:spacing w:after="240"/>
    </w:pPr>
    <w:rPr>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locked/>
    <w:rsid w:val="00E45954"/>
    <w:pPr>
      <w:spacing w:after="240"/>
    </w:pPr>
    <w:rPr>
      <w:sz w:val="20"/>
      <w:szCs w:val="20"/>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semiHidden/>
    <w:locked/>
    <w:rsid w:val="00E45954"/>
    <w:pPr>
      <w:spacing w:after="240"/>
    </w:pPr>
    <w:rPr>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semiHidden/>
    <w:locked/>
    <w:rsid w:val="00E45954"/>
    <w:pPr>
      <w:spacing w:after="240"/>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locked/>
    <w:rsid w:val="00E45954"/>
    <w:pPr>
      <w:spacing w:after="240"/>
    </w:pPr>
    <w:rPr>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semiHidden/>
    <w:locked/>
    <w:rsid w:val="00E45954"/>
    <w:pPr>
      <w:spacing w:after="240"/>
    </w:pPr>
    <w:rPr>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semiHidden/>
    <w:locked/>
    <w:rsid w:val="00E45954"/>
    <w:pPr>
      <w:spacing w:after="240"/>
    </w:pPr>
    <w:rPr>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Title">
    <w:name w:val="Title"/>
    <w:basedOn w:val="Normal"/>
    <w:link w:val="TitleChar"/>
    <w:uiPriority w:val="99"/>
    <w:qFormat/>
    <w:locked/>
    <w:rsid w:val="00E45954"/>
    <w:pPr>
      <w:spacing w:before="240" w:after="60"/>
      <w:jc w:val="center"/>
      <w:outlineLvl w:val="0"/>
    </w:pPr>
    <w:rPr>
      <w:rFonts w:cs="Arial"/>
      <w:b/>
      <w:bCs/>
      <w:kern w:val="28"/>
      <w:sz w:val="32"/>
      <w:szCs w:val="32"/>
    </w:rPr>
  </w:style>
  <w:style w:type="character" w:customStyle="1" w:styleId="TitleChar">
    <w:name w:val="Title Char"/>
    <w:basedOn w:val="DefaultParagraphFont"/>
    <w:link w:val="Title"/>
    <w:uiPriority w:val="99"/>
    <w:locked/>
    <w:rsid w:val="00DE2F25"/>
    <w:rPr>
      <w:rFonts w:ascii="Cambria" w:hAnsi="Cambria" w:cs="Times New Roman"/>
      <w:b/>
      <w:bCs/>
      <w:spacing w:val="-5"/>
      <w:kern w:val="28"/>
      <w:sz w:val="32"/>
      <w:szCs w:val="32"/>
      <w:lang w:eastAsia="en-US"/>
    </w:rPr>
  </w:style>
  <w:style w:type="character" w:styleId="FollowedHyperlink">
    <w:name w:val="FollowedHyperlink"/>
    <w:basedOn w:val="DefaultParagraphFont"/>
    <w:uiPriority w:val="99"/>
    <w:semiHidden/>
    <w:locked/>
    <w:rsid w:val="00E45954"/>
    <w:rPr>
      <w:rFonts w:cs="Times New Roman"/>
      <w:color w:val="800080"/>
      <w:u w:val="single"/>
    </w:rPr>
  </w:style>
  <w:style w:type="paragraph" w:styleId="ListBullet">
    <w:name w:val="List Bullet"/>
    <w:basedOn w:val="Normal"/>
    <w:uiPriority w:val="99"/>
    <w:semiHidden/>
    <w:locked/>
    <w:rsid w:val="00950E88"/>
    <w:pPr>
      <w:tabs>
        <w:tab w:val="num" w:pos="360"/>
      </w:tabs>
      <w:ind w:left="360" w:hanging="360"/>
    </w:pPr>
  </w:style>
  <w:style w:type="paragraph" w:customStyle="1" w:styleId="Contactdetails">
    <w:name w:val="Contact details"/>
    <w:basedOn w:val="Normal"/>
    <w:rsid w:val="002702D9"/>
    <w:pPr>
      <w:keepNext/>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10" w:lineRule="exact"/>
    </w:pPr>
    <w:rPr>
      <w:rFonts w:ascii="ArialMT" w:hAnsi="ArialMT" w:cs="ArialMT"/>
      <w:lang w:val="en-US"/>
    </w:rPr>
  </w:style>
  <w:style w:type="character" w:customStyle="1" w:styleId="CharChar9">
    <w:name w:val="Char Char9"/>
    <w:basedOn w:val="DefaultParagraphFont"/>
    <w:uiPriority w:val="99"/>
    <w:semiHidden/>
    <w:locked/>
    <w:rsid w:val="001C451B"/>
    <w:rPr>
      <w:rFonts w:ascii="Arial" w:hAnsi="Arial" w:cs="Times New Roman"/>
      <w:bCs/>
      <w:i/>
      <w:sz w:val="26"/>
      <w:szCs w:val="26"/>
      <w:lang w:val="en-AU" w:eastAsia="en-AU" w:bidi="ar-SA"/>
    </w:rPr>
  </w:style>
  <w:style w:type="character" w:customStyle="1" w:styleId="CharChar8">
    <w:name w:val="Char Char8"/>
    <w:basedOn w:val="DefaultParagraphFont"/>
    <w:uiPriority w:val="99"/>
    <w:semiHidden/>
    <w:locked/>
    <w:rsid w:val="001C451B"/>
    <w:rPr>
      <w:rFonts w:ascii="Arial" w:hAnsi="Arial" w:cs="Times New Roman"/>
      <w:iCs/>
      <w:sz w:val="26"/>
      <w:szCs w:val="26"/>
      <w:lang w:val="en-AU" w:eastAsia="en-AU" w:bidi="ar-SA"/>
    </w:rPr>
  </w:style>
  <w:style w:type="character" w:customStyle="1" w:styleId="CharChar">
    <w:name w:val="Char Char"/>
    <w:basedOn w:val="DefaultParagraphFont"/>
    <w:uiPriority w:val="99"/>
    <w:semiHidden/>
    <w:locked/>
    <w:rsid w:val="001C451B"/>
    <w:rPr>
      <w:rFonts w:ascii="Arial" w:hAnsi="Arial" w:cs="Arial"/>
      <w:lang w:val="en-AU" w:eastAsia="en-AU" w:bidi="ar-SA"/>
    </w:rPr>
  </w:style>
  <w:style w:type="paragraph" w:customStyle="1" w:styleId="DocumentLabel">
    <w:name w:val="Document Label"/>
    <w:basedOn w:val="Normal"/>
    <w:next w:val="Normal"/>
    <w:uiPriority w:val="99"/>
    <w:rsid w:val="004E5579"/>
    <w:pPr>
      <w:keepNext/>
      <w:spacing w:before="400" w:after="120" w:line="240" w:lineRule="atLeast"/>
      <w:ind w:left="-840"/>
    </w:pPr>
    <w:rPr>
      <w:rFonts w:ascii="Arial Black" w:hAnsi="Arial Black"/>
      <w:kern w:val="28"/>
      <w:sz w:val="96"/>
    </w:rPr>
  </w:style>
  <w:style w:type="character" w:styleId="CommentReference">
    <w:name w:val="annotation reference"/>
    <w:basedOn w:val="DefaultParagraphFont"/>
    <w:locked/>
    <w:rsid w:val="00C27C28"/>
    <w:rPr>
      <w:rFonts w:cs="Times New Roman"/>
      <w:sz w:val="16"/>
      <w:szCs w:val="16"/>
    </w:rPr>
  </w:style>
  <w:style w:type="paragraph" w:styleId="CommentText">
    <w:name w:val="annotation text"/>
    <w:basedOn w:val="Normal"/>
    <w:link w:val="CommentTextChar"/>
    <w:locked/>
    <w:rsid w:val="00C27C28"/>
  </w:style>
  <w:style w:type="character" w:customStyle="1" w:styleId="CommentTextChar">
    <w:name w:val="Comment Text Char"/>
    <w:basedOn w:val="DefaultParagraphFont"/>
    <w:link w:val="CommentText"/>
    <w:locked/>
    <w:rsid w:val="00DE2F25"/>
    <w:rPr>
      <w:rFonts w:ascii="Arial" w:hAnsi="Arial" w:cs="Times New Roman"/>
      <w:spacing w:val="-5"/>
      <w:sz w:val="20"/>
      <w:szCs w:val="20"/>
      <w:lang w:eastAsia="en-US"/>
    </w:rPr>
  </w:style>
  <w:style w:type="paragraph" w:styleId="CommentSubject">
    <w:name w:val="annotation subject"/>
    <w:basedOn w:val="CommentText"/>
    <w:next w:val="CommentText"/>
    <w:link w:val="CommentSubjectChar"/>
    <w:semiHidden/>
    <w:locked/>
    <w:rsid w:val="00C27C28"/>
    <w:rPr>
      <w:b/>
      <w:bCs/>
    </w:rPr>
  </w:style>
  <w:style w:type="character" w:customStyle="1" w:styleId="CommentSubjectChar">
    <w:name w:val="Comment Subject Char"/>
    <w:basedOn w:val="CommentTextChar"/>
    <w:link w:val="CommentSubject"/>
    <w:uiPriority w:val="99"/>
    <w:semiHidden/>
    <w:locked/>
    <w:rsid w:val="00DE2F25"/>
    <w:rPr>
      <w:rFonts w:ascii="Arial" w:hAnsi="Arial" w:cs="Times New Roman"/>
      <w:b/>
      <w:bCs/>
      <w:spacing w:val="-5"/>
      <w:sz w:val="20"/>
      <w:szCs w:val="20"/>
      <w:lang w:eastAsia="en-US"/>
    </w:rPr>
  </w:style>
  <w:style w:type="paragraph" w:styleId="BalloonText">
    <w:name w:val="Balloon Text"/>
    <w:basedOn w:val="Normal"/>
    <w:link w:val="BalloonTextChar"/>
    <w:semiHidden/>
    <w:locked/>
    <w:rsid w:val="00C27C2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E2F25"/>
    <w:rPr>
      <w:rFonts w:cs="Times New Roman"/>
      <w:spacing w:val="-5"/>
      <w:sz w:val="2"/>
      <w:lang w:eastAsia="en-US"/>
    </w:rPr>
  </w:style>
  <w:style w:type="character" w:customStyle="1" w:styleId="citation">
    <w:name w:val="citation"/>
    <w:basedOn w:val="DefaultParagraphFont"/>
    <w:uiPriority w:val="99"/>
    <w:rsid w:val="00740B7E"/>
    <w:rPr>
      <w:rFonts w:cs="Times New Roman"/>
    </w:rPr>
  </w:style>
  <w:style w:type="paragraph" w:customStyle="1" w:styleId="Definition">
    <w:name w:val="Definition"/>
    <w:aliases w:val="dd"/>
    <w:basedOn w:val="Normal"/>
    <w:uiPriority w:val="99"/>
    <w:rsid w:val="003972AD"/>
    <w:pPr>
      <w:autoSpaceDE w:val="0"/>
      <w:autoSpaceDN w:val="0"/>
      <w:spacing w:before="180" w:line="260" w:lineRule="atLeast"/>
      <w:ind w:left="1134"/>
    </w:pPr>
    <w:rPr>
      <w:rFonts w:ascii="Times" w:hAnsi="Times" w:cs="Times"/>
      <w:spacing w:val="0"/>
      <w:sz w:val="22"/>
      <w:szCs w:val="22"/>
      <w:lang w:eastAsia="en-AU"/>
    </w:rPr>
  </w:style>
  <w:style w:type="paragraph" w:customStyle="1" w:styleId="indenta">
    <w:name w:val="indent(a)"/>
    <w:aliases w:val="a,paragraph"/>
    <w:basedOn w:val="Normal"/>
    <w:rsid w:val="003972AD"/>
    <w:pPr>
      <w:tabs>
        <w:tab w:val="right" w:pos="1531"/>
      </w:tabs>
      <w:autoSpaceDE w:val="0"/>
      <w:autoSpaceDN w:val="0"/>
      <w:spacing w:before="40" w:line="260" w:lineRule="atLeast"/>
      <w:ind w:left="1644" w:hanging="1644"/>
    </w:pPr>
    <w:rPr>
      <w:rFonts w:ascii="Times" w:hAnsi="Times" w:cs="Times"/>
      <w:spacing w:val="0"/>
      <w:sz w:val="22"/>
      <w:szCs w:val="22"/>
      <w:lang w:eastAsia="en-AU"/>
    </w:rPr>
  </w:style>
  <w:style w:type="paragraph" w:customStyle="1" w:styleId="indentii">
    <w:name w:val="indent(ii)"/>
    <w:aliases w:val="aa,paragraph(sub)"/>
    <w:basedOn w:val="indenta"/>
    <w:uiPriority w:val="99"/>
    <w:rsid w:val="003972AD"/>
    <w:pPr>
      <w:tabs>
        <w:tab w:val="clear" w:pos="1531"/>
        <w:tab w:val="right" w:pos="1985"/>
      </w:tabs>
      <w:ind w:left="2098" w:hanging="2098"/>
    </w:pPr>
  </w:style>
  <w:style w:type="character" w:customStyle="1" w:styleId="streetline">
    <w:name w:val="streetline"/>
    <w:basedOn w:val="DefaultParagraphFont"/>
    <w:uiPriority w:val="99"/>
    <w:rsid w:val="00244506"/>
    <w:rPr>
      <w:rFonts w:cs="Times New Roman"/>
    </w:rPr>
  </w:style>
  <w:style w:type="character" w:customStyle="1" w:styleId="locality3">
    <w:name w:val="locality3"/>
    <w:basedOn w:val="DefaultParagraphFont"/>
    <w:uiPriority w:val="99"/>
    <w:rsid w:val="00244506"/>
    <w:rPr>
      <w:rFonts w:cs="Times New Roman"/>
      <w:color w:val="666666"/>
    </w:rPr>
  </w:style>
  <w:style w:type="character" w:customStyle="1" w:styleId="state">
    <w:name w:val="state"/>
    <w:basedOn w:val="DefaultParagraphFont"/>
    <w:uiPriority w:val="99"/>
    <w:rsid w:val="00244506"/>
    <w:rPr>
      <w:rFonts w:cs="Times New Roman"/>
    </w:rPr>
  </w:style>
  <w:style w:type="character" w:customStyle="1" w:styleId="postcode">
    <w:name w:val="postcode"/>
    <w:basedOn w:val="DefaultParagraphFont"/>
    <w:uiPriority w:val="99"/>
    <w:rsid w:val="00244506"/>
    <w:rPr>
      <w:rFonts w:cs="Times New Roman"/>
    </w:rPr>
  </w:style>
  <w:style w:type="paragraph" w:styleId="Revision">
    <w:name w:val="Revision"/>
    <w:hidden/>
    <w:uiPriority w:val="99"/>
    <w:semiHidden/>
    <w:rsid w:val="002314FC"/>
    <w:rPr>
      <w:rFonts w:ascii="Arial" w:hAnsi="Arial"/>
      <w:spacing w:val="-5"/>
      <w:sz w:val="20"/>
      <w:szCs w:val="20"/>
      <w:lang w:eastAsia="en-US"/>
    </w:rPr>
  </w:style>
  <w:style w:type="paragraph" w:customStyle="1" w:styleId="subsection">
    <w:name w:val="subsection"/>
    <w:aliases w:val="ss"/>
    <w:rsid w:val="003C0EE0"/>
    <w:pPr>
      <w:tabs>
        <w:tab w:val="right" w:pos="1021"/>
      </w:tabs>
      <w:spacing w:before="180"/>
      <w:ind w:left="1134" w:hanging="1134"/>
    </w:pPr>
  </w:style>
  <w:style w:type="paragraph" w:customStyle="1" w:styleId="Style1">
    <w:name w:val="Style1"/>
    <w:basedOn w:val="FootnoteText"/>
    <w:uiPriority w:val="99"/>
    <w:rsid w:val="00A247AA"/>
  </w:style>
  <w:style w:type="paragraph" w:customStyle="1" w:styleId="SubmissionNormal">
    <w:name w:val="Submission Normal"/>
    <w:aliases w:val="No Spacing,No Spacing1,No Spacing11"/>
    <w:basedOn w:val="Normal"/>
    <w:link w:val="SubmissionNormalChar"/>
    <w:rsid w:val="00306EBC"/>
    <w:pPr>
      <w:numPr>
        <w:numId w:val="6"/>
      </w:numPr>
      <w:spacing w:before="240" w:after="240"/>
    </w:pPr>
    <w:rPr>
      <w:spacing w:val="0"/>
      <w:sz w:val="24"/>
      <w:szCs w:val="24"/>
      <w:lang w:eastAsia="en-AU"/>
    </w:rPr>
  </w:style>
  <w:style w:type="character" w:customStyle="1" w:styleId="SubmissionNormalChar">
    <w:name w:val="Submission Normal Char"/>
    <w:aliases w:val="No Spacing Char,No Spacing1 Char"/>
    <w:basedOn w:val="DefaultParagraphFont"/>
    <w:link w:val="SubmissionNormal"/>
    <w:locked/>
    <w:rsid w:val="00306EBC"/>
    <w:rPr>
      <w:rFonts w:ascii="Arial" w:hAnsi="Arial"/>
      <w:sz w:val="24"/>
      <w:szCs w:val="24"/>
    </w:rPr>
  </w:style>
  <w:style w:type="paragraph" w:customStyle="1" w:styleId="msolistparagraph0">
    <w:name w:val="msolistparagraph"/>
    <w:basedOn w:val="Normal"/>
    <w:uiPriority w:val="99"/>
    <w:rsid w:val="00D35380"/>
    <w:pPr>
      <w:ind w:left="720"/>
    </w:pPr>
    <w:rPr>
      <w:rFonts w:ascii="Calibri" w:hAnsi="Calibri"/>
      <w:spacing w:val="0"/>
      <w:sz w:val="22"/>
      <w:szCs w:val="22"/>
      <w:lang w:eastAsia="en-AU"/>
    </w:rPr>
  </w:style>
  <w:style w:type="paragraph" w:customStyle="1" w:styleId="MainTitle">
    <w:name w:val="Main Title"/>
    <w:uiPriority w:val="99"/>
    <w:semiHidden/>
    <w:rsid w:val="00BE2BC6"/>
    <w:pPr>
      <w:pBdr>
        <w:top w:val="single" w:sz="12" w:space="10" w:color="0070C0"/>
        <w:bottom w:val="single" w:sz="12" w:space="10" w:color="0070C0"/>
      </w:pBdr>
      <w:spacing w:before="240" w:after="240"/>
    </w:pPr>
    <w:rPr>
      <w:rFonts w:ascii="Arial" w:hAnsi="Arial"/>
      <w:bCs/>
      <w:kern w:val="32"/>
      <w:sz w:val="100"/>
      <w:szCs w:val="32"/>
    </w:rPr>
  </w:style>
  <w:style w:type="numbering" w:styleId="ArticleSection">
    <w:name w:val="Outline List 3"/>
    <w:basedOn w:val="NoList"/>
    <w:uiPriority w:val="99"/>
    <w:semiHidden/>
    <w:unhideWhenUsed/>
    <w:locked/>
    <w:rsid w:val="00F04B47"/>
    <w:pPr>
      <w:numPr>
        <w:numId w:val="3"/>
      </w:numPr>
    </w:pPr>
  </w:style>
  <w:style w:type="numbering" w:styleId="1ai">
    <w:name w:val="Outline List 1"/>
    <w:basedOn w:val="NoList"/>
    <w:uiPriority w:val="99"/>
    <w:semiHidden/>
    <w:unhideWhenUsed/>
    <w:locked/>
    <w:rsid w:val="00F04B47"/>
    <w:pPr>
      <w:numPr>
        <w:numId w:val="2"/>
      </w:numPr>
    </w:pPr>
  </w:style>
  <w:style w:type="numbering" w:customStyle="1" w:styleId="StyleNumbered">
    <w:name w:val="Style Numbered"/>
    <w:rsid w:val="00F04B47"/>
    <w:pPr>
      <w:numPr>
        <w:numId w:val="4"/>
      </w:numPr>
    </w:pPr>
  </w:style>
  <w:style w:type="numbering" w:styleId="111111">
    <w:name w:val="Outline List 2"/>
    <w:basedOn w:val="NoList"/>
    <w:uiPriority w:val="99"/>
    <w:semiHidden/>
    <w:unhideWhenUsed/>
    <w:locked/>
    <w:rsid w:val="00F04B47"/>
    <w:pPr>
      <w:numPr>
        <w:numId w:val="1"/>
      </w:numPr>
    </w:pPr>
  </w:style>
  <w:style w:type="paragraph" w:styleId="ListParagraph">
    <w:name w:val="List Paragraph"/>
    <w:basedOn w:val="Normal"/>
    <w:uiPriority w:val="34"/>
    <w:qFormat/>
    <w:rsid w:val="00690141"/>
    <w:pPr>
      <w:ind w:left="851" w:hanging="851"/>
      <w:contextualSpacing/>
    </w:pPr>
  </w:style>
  <w:style w:type="paragraph" w:customStyle="1" w:styleId="paragraphsub">
    <w:name w:val="paragraphsub"/>
    <w:basedOn w:val="Normal"/>
    <w:rsid w:val="006A539A"/>
    <w:pPr>
      <w:spacing w:before="100" w:beforeAutospacing="1" w:after="100" w:afterAutospacing="1"/>
    </w:pPr>
    <w:rPr>
      <w:rFonts w:ascii="Times New Roman" w:hAnsi="Times New Roman"/>
      <w:spacing w:val="0"/>
      <w:sz w:val="24"/>
      <w:szCs w:val="24"/>
      <w:lang w:eastAsia="en-AU"/>
    </w:rPr>
  </w:style>
  <w:style w:type="character" w:customStyle="1" w:styleId="EndnoteTextChar1">
    <w:name w:val="Endnote Text Char1"/>
    <w:rsid w:val="004D61EA"/>
    <w:rPr>
      <w:rFonts w:ascii="Arial" w:hAnsi="Arial"/>
    </w:rPr>
  </w:style>
  <w:style w:type="paragraph" w:customStyle="1" w:styleId="Bullet">
    <w:name w:val="Bullet"/>
    <w:basedOn w:val="Normal"/>
    <w:rsid w:val="009A531E"/>
    <w:pPr>
      <w:numPr>
        <w:numId w:val="8"/>
      </w:numPr>
      <w:spacing w:before="60" w:after="60" w:line="360" w:lineRule="exact"/>
      <w:ind w:left="0" w:firstLine="0"/>
      <w:jc w:val="both"/>
    </w:pPr>
    <w:rPr>
      <w:color w:val="000000"/>
      <w:spacing w:val="0"/>
      <w:sz w:val="24"/>
    </w:rPr>
  </w:style>
  <w:style w:type="paragraph" w:customStyle="1" w:styleId="Dash">
    <w:name w:val="Dash"/>
    <w:basedOn w:val="Normal"/>
    <w:rsid w:val="009A531E"/>
    <w:pPr>
      <w:numPr>
        <w:numId w:val="9"/>
      </w:numPr>
      <w:tabs>
        <w:tab w:val="num" w:pos="360"/>
      </w:tabs>
      <w:spacing w:before="20" w:after="20" w:line="360" w:lineRule="exact"/>
      <w:ind w:left="0" w:firstLine="0"/>
      <w:jc w:val="both"/>
    </w:pPr>
    <w:rPr>
      <w:color w:val="000000"/>
      <w:spacing w:val="0"/>
      <w:sz w:val="24"/>
    </w:rPr>
  </w:style>
  <w:style w:type="paragraph" w:customStyle="1" w:styleId="IndentedParagraph">
    <w:name w:val="Indented Paragraph"/>
    <w:basedOn w:val="Normal"/>
    <w:rsid w:val="009A531E"/>
    <w:pPr>
      <w:spacing w:after="240" w:line="360" w:lineRule="exact"/>
      <w:ind w:left="1440"/>
      <w:jc w:val="both"/>
    </w:pPr>
    <w:rPr>
      <w:color w:val="000000"/>
      <w:spacing w:val="0"/>
      <w:sz w:val="24"/>
    </w:rPr>
  </w:style>
  <w:style w:type="paragraph" w:customStyle="1" w:styleId="BasicParagraph">
    <w:name w:val="[Basic Paragraph]"/>
    <w:basedOn w:val="Normal"/>
    <w:rsid w:val="009A531E"/>
    <w:pPr>
      <w:widowControl w:val="0"/>
      <w:autoSpaceDE w:val="0"/>
      <w:autoSpaceDN w:val="0"/>
      <w:adjustRightInd w:val="0"/>
      <w:spacing w:line="288" w:lineRule="auto"/>
      <w:textAlignment w:val="center"/>
    </w:pPr>
    <w:rPr>
      <w:rFonts w:ascii="Times-Roman" w:hAnsi="Times-Roman" w:cs="Times-Roman"/>
      <w:color w:val="000000"/>
      <w:spacing w:val="0"/>
      <w:sz w:val="24"/>
      <w:szCs w:val="24"/>
      <w:lang w:val="en-US" w:bidi="en-US"/>
    </w:rPr>
  </w:style>
  <w:style w:type="paragraph" w:customStyle="1" w:styleId="AddressBlock">
    <w:name w:val="Address Block"/>
    <w:basedOn w:val="BodyText"/>
    <w:rsid w:val="009A531E"/>
    <w:pPr>
      <w:keepNext/>
      <w:spacing w:after="0"/>
      <w:jc w:val="both"/>
    </w:pPr>
    <w:rPr>
      <w:rFonts w:cs="ArialMT"/>
      <w:color w:val="000000"/>
      <w:spacing w:val="0"/>
      <w:sz w:val="24"/>
      <w:szCs w:val="24"/>
      <w:lang w:val="en-US" w:bidi="en-US"/>
    </w:rPr>
  </w:style>
  <w:style w:type="paragraph" w:customStyle="1" w:styleId="Addressee">
    <w:name w:val="Addressee"/>
    <w:basedOn w:val="BodyText"/>
    <w:rsid w:val="009A531E"/>
    <w:pPr>
      <w:spacing w:before="227" w:after="340"/>
      <w:jc w:val="both"/>
    </w:pPr>
    <w:rPr>
      <w:rFonts w:cs="ArialMT"/>
      <w:color w:val="000000"/>
      <w:spacing w:val="0"/>
      <w:sz w:val="24"/>
      <w:szCs w:val="24"/>
      <w:lang w:val="en-US" w:bidi="en-US"/>
    </w:rPr>
  </w:style>
  <w:style w:type="paragraph" w:customStyle="1" w:styleId="Titleofletter">
    <w:name w:val="Title of letter"/>
    <w:basedOn w:val="BodyText"/>
    <w:rsid w:val="009A531E"/>
    <w:pPr>
      <w:jc w:val="both"/>
    </w:pPr>
    <w:rPr>
      <w:rFonts w:cs="ArialMT"/>
      <w:b/>
      <w:color w:val="000000"/>
      <w:spacing w:val="0"/>
      <w:sz w:val="24"/>
      <w:szCs w:val="24"/>
      <w:lang w:val="en-US" w:bidi="en-US"/>
    </w:rPr>
  </w:style>
  <w:style w:type="paragraph" w:customStyle="1" w:styleId="YoursSincerley">
    <w:name w:val="Yours Sincerley"/>
    <w:basedOn w:val="BodyText"/>
    <w:rsid w:val="009A531E"/>
    <w:pPr>
      <w:keepNext/>
      <w:spacing w:after="901"/>
      <w:jc w:val="both"/>
    </w:pPr>
    <w:rPr>
      <w:rFonts w:cs="ArialMT"/>
      <w:color w:val="000000"/>
      <w:spacing w:val="0"/>
      <w:sz w:val="24"/>
      <w:szCs w:val="24"/>
      <w:lang w:val="en-US" w:bidi="en-US"/>
    </w:rPr>
  </w:style>
  <w:style w:type="paragraph" w:customStyle="1" w:styleId="HeaderFooter">
    <w:name w:val="Header &amp; Footer"/>
    <w:basedOn w:val="Normal"/>
    <w:rsid w:val="009A531E"/>
    <w:pPr>
      <w:spacing w:line="200" w:lineRule="exact"/>
      <w:jc w:val="both"/>
    </w:pPr>
    <w:rPr>
      <w:rFonts w:cs="ArialMT"/>
      <w:color w:val="000000"/>
      <w:spacing w:val="0"/>
      <w:sz w:val="16"/>
      <w:szCs w:val="24"/>
    </w:rPr>
  </w:style>
  <w:style w:type="paragraph" w:customStyle="1" w:styleId="LogoType">
    <w:name w:val="Logo Type"/>
    <w:basedOn w:val="Header"/>
    <w:rsid w:val="009A531E"/>
    <w:pPr>
      <w:pBdr>
        <w:bottom w:val="single" w:sz="4" w:space="4" w:color="auto"/>
      </w:pBdr>
      <w:tabs>
        <w:tab w:val="clear" w:pos="4513"/>
        <w:tab w:val="clear" w:pos="9026"/>
        <w:tab w:val="left" w:pos="4686"/>
        <w:tab w:val="left" w:pos="7088"/>
        <w:tab w:val="left" w:pos="7242"/>
      </w:tabs>
      <w:spacing w:line="320" w:lineRule="exact"/>
      <w:jc w:val="left"/>
    </w:pPr>
    <w:rPr>
      <w:rFonts w:cs="ArialMT"/>
      <w:b/>
      <w:color w:val="808080"/>
      <w:spacing w:val="-20"/>
      <w:sz w:val="32"/>
      <w:szCs w:val="24"/>
    </w:rPr>
  </w:style>
  <w:style w:type="paragraph" w:customStyle="1" w:styleId="OurRef">
    <w:name w:val="Our Ref:"/>
    <w:basedOn w:val="BodyText"/>
    <w:rsid w:val="009A531E"/>
    <w:pPr>
      <w:spacing w:after="193"/>
    </w:pPr>
    <w:rPr>
      <w:rFonts w:cs="ArialMT"/>
      <w:color w:val="000000"/>
      <w:spacing w:val="0"/>
      <w:sz w:val="24"/>
      <w:szCs w:val="24"/>
      <w:lang w:val="en-US" w:bidi="en-US"/>
    </w:rPr>
  </w:style>
  <w:style w:type="paragraph" w:customStyle="1" w:styleId="StyleAddresseeAfter1135pt">
    <w:name w:val="Style Addressee + After:  11.35 pt"/>
    <w:basedOn w:val="Addressee"/>
    <w:rsid w:val="009A531E"/>
    <w:pPr>
      <w:spacing w:before="267" w:after="267"/>
    </w:pPr>
    <w:rPr>
      <w:rFonts w:cs="Times New Roman"/>
      <w:szCs w:val="20"/>
    </w:rPr>
  </w:style>
  <w:style w:type="paragraph" w:customStyle="1" w:styleId="DateInsert">
    <w:name w:val="Date Insert"/>
    <w:basedOn w:val="AddressBlock"/>
    <w:rsid w:val="009A531E"/>
    <w:pPr>
      <w:spacing w:after="227" w:line="320" w:lineRule="exact"/>
    </w:pPr>
  </w:style>
  <w:style w:type="paragraph" w:customStyle="1" w:styleId="NameInsert">
    <w:name w:val="Name Insert"/>
    <w:basedOn w:val="BodyText"/>
    <w:rsid w:val="009A531E"/>
    <w:pPr>
      <w:jc w:val="both"/>
    </w:pPr>
    <w:rPr>
      <w:color w:val="000000"/>
      <w:spacing w:val="0"/>
      <w:sz w:val="24"/>
      <w:lang w:val="en-US" w:bidi="en-US"/>
    </w:rPr>
  </w:style>
  <w:style w:type="paragraph" w:styleId="Quote">
    <w:name w:val="Quote"/>
    <w:basedOn w:val="Normal"/>
    <w:link w:val="QuoteChar"/>
    <w:uiPriority w:val="29"/>
    <w:qFormat/>
    <w:rsid w:val="009A531E"/>
    <w:pPr>
      <w:spacing w:before="240" w:after="240"/>
    </w:pPr>
    <w:rPr>
      <w:i/>
      <w:iCs/>
      <w:color w:val="000000"/>
      <w:spacing w:val="0"/>
      <w:sz w:val="24"/>
      <w:szCs w:val="24"/>
      <w:lang w:eastAsia="en-AU"/>
    </w:rPr>
  </w:style>
  <w:style w:type="character" w:customStyle="1" w:styleId="QuoteChar">
    <w:name w:val="Quote Char"/>
    <w:basedOn w:val="DefaultParagraphFont"/>
    <w:link w:val="Quote"/>
    <w:uiPriority w:val="29"/>
    <w:rsid w:val="009A531E"/>
    <w:rPr>
      <w:rFonts w:ascii="Arial" w:hAnsi="Arial"/>
      <w:i/>
      <w:iCs/>
      <w:color w:val="000000"/>
      <w:sz w:val="24"/>
      <w:szCs w:val="24"/>
    </w:rPr>
  </w:style>
  <w:style w:type="paragraph" w:customStyle="1" w:styleId="definition0">
    <w:name w:val="definition"/>
    <w:basedOn w:val="Normal"/>
    <w:rsid w:val="009A531E"/>
    <w:pPr>
      <w:spacing w:before="100" w:beforeAutospacing="1" w:after="100" w:afterAutospacing="1"/>
    </w:pPr>
    <w:rPr>
      <w:rFonts w:ascii="Times New Roman" w:hAnsi="Times New Roman"/>
      <w:spacing w:val="0"/>
      <w:sz w:val="24"/>
      <w:szCs w:val="24"/>
      <w:lang w:eastAsia="en-AU"/>
    </w:rPr>
  </w:style>
  <w:style w:type="paragraph" w:customStyle="1" w:styleId="ActHead5">
    <w:name w:val="ActHead 5"/>
    <w:aliases w:val="s"/>
    <w:basedOn w:val="Normal"/>
    <w:next w:val="Normal"/>
    <w:rsid w:val="009A531E"/>
    <w:pPr>
      <w:keepNext/>
      <w:spacing w:before="280"/>
      <w:ind w:left="1134" w:hanging="1134"/>
      <w:outlineLvl w:val="4"/>
    </w:pPr>
    <w:rPr>
      <w:rFonts w:ascii="Times New Roman" w:hAnsi="Times New Roman"/>
      <w:b/>
      <w:bCs/>
      <w:spacing w:val="0"/>
      <w:kern w:val="28"/>
      <w:sz w:val="24"/>
      <w:szCs w:val="32"/>
      <w:lang w:eastAsia="en-AU"/>
    </w:rPr>
  </w:style>
  <w:style w:type="character" w:customStyle="1" w:styleId="CharSectno">
    <w:name w:val="CharSectno"/>
    <w:rsid w:val="009A531E"/>
  </w:style>
  <w:style w:type="paragraph" w:customStyle="1" w:styleId="SubsectionHead">
    <w:name w:val="SubsectionHead"/>
    <w:aliases w:val="ssh"/>
    <w:basedOn w:val="subsection"/>
    <w:next w:val="subsection"/>
    <w:rsid w:val="009A531E"/>
    <w:pPr>
      <w:keepNext/>
      <w:keepLines/>
      <w:tabs>
        <w:tab w:val="clear" w:pos="1021"/>
      </w:tabs>
      <w:spacing w:before="240"/>
      <w:ind w:firstLine="0"/>
    </w:pPr>
    <w:rPr>
      <w:i/>
      <w:szCs w:val="24"/>
    </w:rPr>
  </w:style>
  <w:style w:type="paragraph" w:customStyle="1" w:styleId="CopyrightText">
    <w:name w:val="Copyright Text"/>
    <w:basedOn w:val="Normal"/>
    <w:uiPriority w:val="99"/>
    <w:rsid w:val="00950690"/>
    <w:pPr>
      <w:keepLines w:val="0"/>
      <w:widowControl w:val="0"/>
      <w:tabs>
        <w:tab w:val="left" w:pos="170"/>
      </w:tabs>
      <w:suppressAutoHyphens/>
      <w:autoSpaceDE w:val="0"/>
      <w:autoSpaceDN w:val="0"/>
      <w:adjustRightInd w:val="0"/>
      <w:spacing w:after="57" w:line="288" w:lineRule="auto"/>
      <w:textAlignment w:val="center"/>
    </w:pPr>
    <w:rPr>
      <w:rFonts w:eastAsiaTheme="minorEastAsia" w:cs="HelveticaCYPlain"/>
      <w:spacing w:val="0"/>
      <w:szCs w:val="16"/>
      <w:u w:color="000000"/>
      <w:lang w:val="it-IT"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619820">
      <w:marLeft w:val="0"/>
      <w:marRight w:val="0"/>
      <w:marTop w:val="0"/>
      <w:marBottom w:val="0"/>
      <w:divBdr>
        <w:top w:val="none" w:sz="0" w:space="0" w:color="auto"/>
        <w:left w:val="none" w:sz="0" w:space="0" w:color="auto"/>
        <w:bottom w:val="none" w:sz="0" w:space="0" w:color="auto"/>
        <w:right w:val="none" w:sz="0" w:space="0" w:color="auto"/>
      </w:divBdr>
      <w:divsChild>
        <w:div w:id="103619826">
          <w:marLeft w:val="0"/>
          <w:marRight w:val="0"/>
          <w:marTop w:val="0"/>
          <w:marBottom w:val="0"/>
          <w:divBdr>
            <w:top w:val="none" w:sz="0" w:space="0" w:color="auto"/>
            <w:left w:val="none" w:sz="0" w:space="0" w:color="auto"/>
            <w:bottom w:val="none" w:sz="0" w:space="0" w:color="auto"/>
            <w:right w:val="none" w:sz="0" w:space="0" w:color="auto"/>
          </w:divBdr>
          <w:divsChild>
            <w:div w:id="10361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19821">
      <w:marLeft w:val="0"/>
      <w:marRight w:val="0"/>
      <w:marTop w:val="0"/>
      <w:marBottom w:val="0"/>
      <w:divBdr>
        <w:top w:val="none" w:sz="0" w:space="0" w:color="auto"/>
        <w:left w:val="none" w:sz="0" w:space="0" w:color="auto"/>
        <w:bottom w:val="none" w:sz="0" w:space="0" w:color="auto"/>
        <w:right w:val="none" w:sz="0" w:space="0" w:color="auto"/>
      </w:divBdr>
    </w:div>
    <w:div w:id="103619822">
      <w:marLeft w:val="0"/>
      <w:marRight w:val="0"/>
      <w:marTop w:val="0"/>
      <w:marBottom w:val="0"/>
      <w:divBdr>
        <w:top w:val="none" w:sz="0" w:space="0" w:color="auto"/>
        <w:left w:val="none" w:sz="0" w:space="0" w:color="auto"/>
        <w:bottom w:val="none" w:sz="0" w:space="0" w:color="auto"/>
        <w:right w:val="none" w:sz="0" w:space="0" w:color="auto"/>
      </w:divBdr>
    </w:div>
    <w:div w:id="103619823">
      <w:marLeft w:val="0"/>
      <w:marRight w:val="0"/>
      <w:marTop w:val="0"/>
      <w:marBottom w:val="0"/>
      <w:divBdr>
        <w:top w:val="none" w:sz="0" w:space="0" w:color="auto"/>
        <w:left w:val="none" w:sz="0" w:space="0" w:color="auto"/>
        <w:bottom w:val="none" w:sz="0" w:space="0" w:color="auto"/>
        <w:right w:val="none" w:sz="0" w:space="0" w:color="auto"/>
      </w:divBdr>
    </w:div>
    <w:div w:id="103619824">
      <w:marLeft w:val="0"/>
      <w:marRight w:val="0"/>
      <w:marTop w:val="0"/>
      <w:marBottom w:val="0"/>
      <w:divBdr>
        <w:top w:val="none" w:sz="0" w:space="0" w:color="auto"/>
        <w:left w:val="none" w:sz="0" w:space="0" w:color="auto"/>
        <w:bottom w:val="none" w:sz="0" w:space="0" w:color="auto"/>
        <w:right w:val="none" w:sz="0" w:space="0" w:color="auto"/>
      </w:divBdr>
    </w:div>
    <w:div w:id="103619828">
      <w:marLeft w:val="0"/>
      <w:marRight w:val="0"/>
      <w:marTop w:val="0"/>
      <w:marBottom w:val="0"/>
      <w:divBdr>
        <w:top w:val="none" w:sz="0" w:space="0" w:color="auto"/>
        <w:left w:val="none" w:sz="0" w:space="0" w:color="auto"/>
        <w:bottom w:val="none" w:sz="0" w:space="0" w:color="auto"/>
        <w:right w:val="none" w:sz="0" w:space="0" w:color="auto"/>
      </w:divBdr>
    </w:div>
    <w:div w:id="103619829">
      <w:marLeft w:val="0"/>
      <w:marRight w:val="0"/>
      <w:marTop w:val="0"/>
      <w:marBottom w:val="0"/>
      <w:divBdr>
        <w:top w:val="none" w:sz="0" w:space="0" w:color="auto"/>
        <w:left w:val="none" w:sz="0" w:space="0" w:color="auto"/>
        <w:bottom w:val="none" w:sz="0" w:space="0" w:color="auto"/>
        <w:right w:val="none" w:sz="0" w:space="0" w:color="auto"/>
      </w:divBdr>
    </w:div>
    <w:div w:id="103619830">
      <w:marLeft w:val="0"/>
      <w:marRight w:val="0"/>
      <w:marTop w:val="0"/>
      <w:marBottom w:val="0"/>
      <w:divBdr>
        <w:top w:val="none" w:sz="0" w:space="0" w:color="auto"/>
        <w:left w:val="none" w:sz="0" w:space="0" w:color="auto"/>
        <w:bottom w:val="none" w:sz="0" w:space="0" w:color="auto"/>
        <w:right w:val="none" w:sz="0" w:space="0" w:color="auto"/>
      </w:divBdr>
      <w:divsChild>
        <w:div w:id="103619819">
          <w:marLeft w:val="0"/>
          <w:marRight w:val="0"/>
          <w:marTop w:val="0"/>
          <w:marBottom w:val="0"/>
          <w:divBdr>
            <w:top w:val="none" w:sz="0" w:space="0" w:color="auto"/>
            <w:left w:val="none" w:sz="0" w:space="0" w:color="auto"/>
            <w:bottom w:val="none" w:sz="0" w:space="0" w:color="auto"/>
            <w:right w:val="none" w:sz="0" w:space="0" w:color="auto"/>
          </w:divBdr>
          <w:divsChild>
            <w:div w:id="103619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19831">
      <w:marLeft w:val="0"/>
      <w:marRight w:val="0"/>
      <w:marTop w:val="0"/>
      <w:marBottom w:val="0"/>
      <w:divBdr>
        <w:top w:val="none" w:sz="0" w:space="0" w:color="auto"/>
        <w:left w:val="none" w:sz="0" w:space="0" w:color="auto"/>
        <w:bottom w:val="none" w:sz="0" w:space="0" w:color="auto"/>
        <w:right w:val="none" w:sz="0" w:space="0" w:color="auto"/>
      </w:divBdr>
    </w:div>
    <w:div w:id="103619832">
      <w:marLeft w:val="0"/>
      <w:marRight w:val="0"/>
      <w:marTop w:val="0"/>
      <w:marBottom w:val="0"/>
      <w:divBdr>
        <w:top w:val="none" w:sz="0" w:space="0" w:color="auto"/>
        <w:left w:val="none" w:sz="0" w:space="0" w:color="auto"/>
        <w:bottom w:val="none" w:sz="0" w:space="0" w:color="auto"/>
        <w:right w:val="none" w:sz="0" w:space="0" w:color="auto"/>
      </w:divBdr>
    </w:div>
    <w:div w:id="103619833">
      <w:marLeft w:val="0"/>
      <w:marRight w:val="0"/>
      <w:marTop w:val="0"/>
      <w:marBottom w:val="0"/>
      <w:divBdr>
        <w:top w:val="none" w:sz="0" w:space="0" w:color="auto"/>
        <w:left w:val="none" w:sz="0" w:space="0" w:color="auto"/>
        <w:bottom w:val="none" w:sz="0" w:space="0" w:color="auto"/>
        <w:right w:val="none" w:sz="0" w:space="0" w:color="auto"/>
      </w:divBdr>
    </w:div>
    <w:div w:id="103619834">
      <w:marLeft w:val="0"/>
      <w:marRight w:val="0"/>
      <w:marTop w:val="0"/>
      <w:marBottom w:val="0"/>
      <w:divBdr>
        <w:top w:val="none" w:sz="0" w:space="0" w:color="auto"/>
        <w:left w:val="none" w:sz="0" w:space="0" w:color="auto"/>
        <w:bottom w:val="none" w:sz="0" w:space="0" w:color="auto"/>
        <w:right w:val="none" w:sz="0" w:space="0" w:color="auto"/>
      </w:divBdr>
      <w:divsChild>
        <w:div w:id="103619836">
          <w:marLeft w:val="0"/>
          <w:marRight w:val="0"/>
          <w:marTop w:val="0"/>
          <w:marBottom w:val="0"/>
          <w:divBdr>
            <w:top w:val="none" w:sz="0" w:space="0" w:color="auto"/>
            <w:left w:val="none" w:sz="0" w:space="0" w:color="auto"/>
            <w:bottom w:val="none" w:sz="0" w:space="0" w:color="auto"/>
            <w:right w:val="none" w:sz="0" w:space="0" w:color="auto"/>
          </w:divBdr>
          <w:divsChild>
            <w:div w:id="10361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19835">
      <w:marLeft w:val="0"/>
      <w:marRight w:val="0"/>
      <w:marTop w:val="0"/>
      <w:marBottom w:val="0"/>
      <w:divBdr>
        <w:top w:val="none" w:sz="0" w:space="0" w:color="auto"/>
        <w:left w:val="none" w:sz="0" w:space="0" w:color="auto"/>
        <w:bottom w:val="none" w:sz="0" w:space="0" w:color="auto"/>
        <w:right w:val="none" w:sz="0" w:space="0" w:color="auto"/>
      </w:divBdr>
    </w:div>
    <w:div w:id="860892821">
      <w:bodyDiv w:val="1"/>
      <w:marLeft w:val="0"/>
      <w:marRight w:val="0"/>
      <w:marTop w:val="0"/>
      <w:marBottom w:val="0"/>
      <w:divBdr>
        <w:top w:val="none" w:sz="0" w:space="0" w:color="auto"/>
        <w:left w:val="none" w:sz="0" w:space="0" w:color="auto"/>
        <w:bottom w:val="none" w:sz="0" w:space="0" w:color="auto"/>
        <w:right w:val="none" w:sz="0" w:space="0" w:color="auto"/>
      </w:divBdr>
      <w:divsChild>
        <w:div w:id="503741259">
          <w:marLeft w:val="75"/>
          <w:marRight w:val="75"/>
          <w:marTop w:val="0"/>
          <w:marBottom w:val="0"/>
          <w:divBdr>
            <w:top w:val="none" w:sz="0" w:space="0" w:color="auto"/>
            <w:left w:val="none" w:sz="0" w:space="0" w:color="auto"/>
            <w:bottom w:val="none" w:sz="0" w:space="0" w:color="auto"/>
            <w:right w:val="none" w:sz="0" w:space="0" w:color="auto"/>
          </w:divBdr>
          <w:divsChild>
            <w:div w:id="474494333">
              <w:marLeft w:val="0"/>
              <w:marRight w:val="0"/>
              <w:marTop w:val="210"/>
              <w:marBottom w:val="0"/>
              <w:divBdr>
                <w:top w:val="none" w:sz="0" w:space="0" w:color="auto"/>
                <w:left w:val="none" w:sz="0" w:space="0" w:color="auto"/>
                <w:bottom w:val="none" w:sz="0" w:space="0" w:color="auto"/>
                <w:right w:val="none" w:sz="0" w:space="0" w:color="auto"/>
              </w:divBdr>
              <w:divsChild>
                <w:div w:id="837573529">
                  <w:marLeft w:val="0"/>
                  <w:marRight w:val="0"/>
                  <w:marTop w:val="0"/>
                  <w:marBottom w:val="0"/>
                  <w:divBdr>
                    <w:top w:val="none" w:sz="0" w:space="0" w:color="auto"/>
                    <w:left w:val="none" w:sz="0" w:space="0" w:color="auto"/>
                    <w:bottom w:val="none" w:sz="0" w:space="0" w:color="auto"/>
                    <w:right w:val="none" w:sz="0" w:space="0" w:color="auto"/>
                  </w:divBdr>
                  <w:divsChild>
                    <w:div w:id="772478895">
                      <w:marLeft w:val="0"/>
                      <w:marRight w:val="0"/>
                      <w:marTop w:val="210"/>
                      <w:marBottom w:val="0"/>
                      <w:divBdr>
                        <w:top w:val="none" w:sz="0" w:space="0" w:color="auto"/>
                        <w:left w:val="none" w:sz="0" w:space="0" w:color="auto"/>
                        <w:bottom w:val="none" w:sz="0" w:space="0" w:color="auto"/>
                        <w:right w:val="none" w:sz="0" w:space="0" w:color="auto"/>
                      </w:divBdr>
                      <w:divsChild>
                        <w:div w:id="601571517">
                          <w:marLeft w:val="0"/>
                          <w:marRight w:val="0"/>
                          <w:marTop w:val="0"/>
                          <w:marBottom w:val="0"/>
                          <w:divBdr>
                            <w:top w:val="none" w:sz="0" w:space="0" w:color="auto"/>
                            <w:left w:val="none" w:sz="0" w:space="0" w:color="auto"/>
                            <w:bottom w:val="none" w:sz="0" w:space="0" w:color="auto"/>
                            <w:right w:val="none" w:sz="0" w:space="0" w:color="auto"/>
                          </w:divBdr>
                          <w:divsChild>
                            <w:div w:id="43719392">
                              <w:marLeft w:val="0"/>
                              <w:marRight w:val="0"/>
                              <w:marTop w:val="0"/>
                              <w:marBottom w:val="0"/>
                              <w:divBdr>
                                <w:top w:val="none" w:sz="0" w:space="0" w:color="auto"/>
                                <w:left w:val="none" w:sz="0" w:space="0" w:color="auto"/>
                                <w:bottom w:val="none" w:sz="0" w:space="0" w:color="auto"/>
                                <w:right w:val="none" w:sz="0" w:space="0" w:color="auto"/>
                              </w:divBdr>
                              <w:divsChild>
                                <w:div w:id="559292592">
                                  <w:marLeft w:val="300"/>
                                  <w:marRight w:val="0"/>
                                  <w:marTop w:val="0"/>
                                  <w:marBottom w:val="0"/>
                                  <w:divBdr>
                                    <w:top w:val="none" w:sz="0" w:space="0" w:color="auto"/>
                                    <w:left w:val="none" w:sz="0" w:space="0" w:color="auto"/>
                                    <w:bottom w:val="none" w:sz="0" w:space="0" w:color="auto"/>
                                    <w:right w:val="none" w:sz="0" w:space="0" w:color="auto"/>
                                  </w:divBdr>
                                </w:div>
                                <w:div w:id="201016341">
                                  <w:marLeft w:val="300"/>
                                  <w:marRight w:val="0"/>
                                  <w:marTop w:val="0"/>
                                  <w:marBottom w:val="0"/>
                                  <w:divBdr>
                                    <w:top w:val="none" w:sz="0" w:space="0" w:color="auto"/>
                                    <w:left w:val="none" w:sz="0" w:space="0" w:color="auto"/>
                                    <w:bottom w:val="none" w:sz="0" w:space="0" w:color="auto"/>
                                    <w:right w:val="none" w:sz="0" w:space="0" w:color="auto"/>
                                  </w:divBdr>
                                </w:div>
                                <w:div w:id="1914897448">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3715832">
      <w:bodyDiv w:val="1"/>
      <w:marLeft w:val="0"/>
      <w:marRight w:val="0"/>
      <w:marTop w:val="0"/>
      <w:marBottom w:val="0"/>
      <w:divBdr>
        <w:top w:val="none" w:sz="0" w:space="0" w:color="auto"/>
        <w:left w:val="none" w:sz="0" w:space="0" w:color="auto"/>
        <w:bottom w:val="none" w:sz="0" w:space="0" w:color="auto"/>
        <w:right w:val="none" w:sz="0" w:space="0" w:color="auto"/>
      </w:divBdr>
    </w:div>
    <w:div w:id="1156798644">
      <w:bodyDiv w:val="1"/>
      <w:marLeft w:val="0"/>
      <w:marRight w:val="0"/>
      <w:marTop w:val="0"/>
      <w:marBottom w:val="0"/>
      <w:divBdr>
        <w:top w:val="none" w:sz="0" w:space="0" w:color="auto"/>
        <w:left w:val="none" w:sz="0" w:space="0" w:color="auto"/>
        <w:bottom w:val="none" w:sz="0" w:space="0" w:color="auto"/>
        <w:right w:val="none" w:sz="0" w:space="0" w:color="auto"/>
      </w:divBdr>
    </w:div>
    <w:div w:id="1196650023">
      <w:bodyDiv w:val="1"/>
      <w:marLeft w:val="0"/>
      <w:marRight w:val="0"/>
      <w:marTop w:val="0"/>
      <w:marBottom w:val="0"/>
      <w:divBdr>
        <w:top w:val="none" w:sz="0" w:space="0" w:color="auto"/>
        <w:left w:val="none" w:sz="0" w:space="0" w:color="auto"/>
        <w:bottom w:val="none" w:sz="0" w:space="0" w:color="auto"/>
        <w:right w:val="none" w:sz="0" w:space="0" w:color="auto"/>
      </w:divBdr>
    </w:div>
    <w:div w:id="1906718070">
      <w:bodyDiv w:val="1"/>
      <w:marLeft w:val="0"/>
      <w:marRight w:val="0"/>
      <w:marTop w:val="0"/>
      <w:marBottom w:val="0"/>
      <w:divBdr>
        <w:top w:val="none" w:sz="0" w:space="0" w:color="auto"/>
        <w:left w:val="none" w:sz="0" w:space="0" w:color="auto"/>
        <w:bottom w:val="none" w:sz="0" w:space="0" w:color="auto"/>
        <w:right w:val="none" w:sz="0" w:space="0" w:color="auto"/>
      </w:divBdr>
      <w:divsChild>
        <w:div w:id="43526217">
          <w:marLeft w:val="75"/>
          <w:marRight w:val="75"/>
          <w:marTop w:val="0"/>
          <w:marBottom w:val="0"/>
          <w:divBdr>
            <w:top w:val="none" w:sz="0" w:space="0" w:color="auto"/>
            <w:left w:val="none" w:sz="0" w:space="0" w:color="auto"/>
            <w:bottom w:val="none" w:sz="0" w:space="0" w:color="auto"/>
            <w:right w:val="none" w:sz="0" w:space="0" w:color="auto"/>
          </w:divBdr>
          <w:divsChild>
            <w:div w:id="675576220">
              <w:marLeft w:val="0"/>
              <w:marRight w:val="0"/>
              <w:marTop w:val="210"/>
              <w:marBottom w:val="0"/>
              <w:divBdr>
                <w:top w:val="none" w:sz="0" w:space="0" w:color="auto"/>
                <w:left w:val="none" w:sz="0" w:space="0" w:color="auto"/>
                <w:bottom w:val="none" w:sz="0" w:space="0" w:color="auto"/>
                <w:right w:val="none" w:sz="0" w:space="0" w:color="auto"/>
              </w:divBdr>
              <w:divsChild>
                <w:div w:id="2041973562">
                  <w:marLeft w:val="0"/>
                  <w:marRight w:val="0"/>
                  <w:marTop w:val="0"/>
                  <w:marBottom w:val="0"/>
                  <w:divBdr>
                    <w:top w:val="none" w:sz="0" w:space="0" w:color="auto"/>
                    <w:left w:val="none" w:sz="0" w:space="0" w:color="auto"/>
                    <w:bottom w:val="none" w:sz="0" w:space="0" w:color="auto"/>
                    <w:right w:val="none" w:sz="0" w:space="0" w:color="auto"/>
                  </w:divBdr>
                  <w:divsChild>
                    <w:div w:id="1575777818">
                      <w:marLeft w:val="0"/>
                      <w:marRight w:val="0"/>
                      <w:marTop w:val="210"/>
                      <w:marBottom w:val="0"/>
                      <w:divBdr>
                        <w:top w:val="none" w:sz="0" w:space="0" w:color="auto"/>
                        <w:left w:val="none" w:sz="0" w:space="0" w:color="auto"/>
                        <w:bottom w:val="none" w:sz="0" w:space="0" w:color="auto"/>
                        <w:right w:val="none" w:sz="0" w:space="0" w:color="auto"/>
                      </w:divBdr>
                      <w:divsChild>
                        <w:div w:id="1609193180">
                          <w:marLeft w:val="0"/>
                          <w:marRight w:val="0"/>
                          <w:marTop w:val="0"/>
                          <w:marBottom w:val="0"/>
                          <w:divBdr>
                            <w:top w:val="none" w:sz="0" w:space="0" w:color="auto"/>
                            <w:left w:val="none" w:sz="0" w:space="0" w:color="auto"/>
                            <w:bottom w:val="none" w:sz="0" w:space="0" w:color="auto"/>
                            <w:right w:val="none" w:sz="0" w:space="0" w:color="auto"/>
                          </w:divBdr>
                          <w:divsChild>
                            <w:div w:id="1575044634">
                              <w:marLeft w:val="0"/>
                              <w:marRight w:val="0"/>
                              <w:marTop w:val="0"/>
                              <w:marBottom w:val="0"/>
                              <w:divBdr>
                                <w:top w:val="none" w:sz="0" w:space="0" w:color="auto"/>
                                <w:left w:val="none" w:sz="0" w:space="0" w:color="auto"/>
                                <w:bottom w:val="none" w:sz="0" w:space="0" w:color="auto"/>
                                <w:right w:val="none" w:sz="0" w:space="0" w:color="auto"/>
                              </w:divBdr>
                              <w:divsChild>
                                <w:div w:id="987779752">
                                  <w:marLeft w:val="300"/>
                                  <w:marRight w:val="0"/>
                                  <w:marTop w:val="0"/>
                                  <w:marBottom w:val="0"/>
                                  <w:divBdr>
                                    <w:top w:val="none" w:sz="0" w:space="0" w:color="auto"/>
                                    <w:left w:val="none" w:sz="0" w:space="0" w:color="auto"/>
                                    <w:bottom w:val="none" w:sz="0" w:space="0" w:color="auto"/>
                                    <w:right w:val="none" w:sz="0" w:space="0" w:color="auto"/>
                                  </w:divBdr>
                                </w:div>
                                <w:div w:id="407581430">
                                  <w:marLeft w:val="300"/>
                                  <w:marRight w:val="0"/>
                                  <w:marTop w:val="0"/>
                                  <w:marBottom w:val="0"/>
                                  <w:divBdr>
                                    <w:top w:val="none" w:sz="0" w:space="0" w:color="auto"/>
                                    <w:left w:val="none" w:sz="0" w:space="0" w:color="auto"/>
                                    <w:bottom w:val="none" w:sz="0" w:space="0" w:color="auto"/>
                                    <w:right w:val="none" w:sz="0" w:space="0" w:color="auto"/>
                                  </w:divBdr>
                                </w:div>
                                <w:div w:id="478154332">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humanrights.gov.au"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humanrights.gov.au/publications/index.htm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cid:image006.jpg@01CFD652.DC74FAF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reativecommons.org/licences/by/3.0/au" TargetMode="External"/><Relationship Id="rId5" Type="http://schemas.openxmlformats.org/officeDocument/2006/relationships/settings" Target="settings.xml"/><Relationship Id="rId15" Type="http://schemas.openxmlformats.org/officeDocument/2006/relationships/image" Target="media/image3.jpeg"/><Relationship Id="rId10" Type="http://schemas.openxmlformats.org/officeDocument/2006/relationships/image" Target="media/image2.emf"/><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communications@humanrights.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0E8215-CE39-4952-A705-D0CBEEE2D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29</Pages>
  <Words>9464</Words>
  <Characters>50335</Characters>
  <Application>Microsoft Office Word</Application>
  <DocSecurity>0</DocSecurity>
  <Lines>419</Lines>
  <Paragraphs>119</Paragraphs>
  <ScaleCrop>false</ScaleCrop>
  <HeadingPairs>
    <vt:vector size="2" baseType="variant">
      <vt:variant>
        <vt:lpstr>Title</vt:lpstr>
      </vt:variant>
      <vt:variant>
        <vt:i4>1</vt:i4>
      </vt:variant>
    </vt:vector>
  </HeadingPairs>
  <TitlesOfParts>
    <vt:vector size="1" baseType="lpstr">
      <vt:lpstr>1</vt:lpstr>
    </vt:vector>
  </TitlesOfParts>
  <Company>Australian Human Rights Commission</Company>
  <LinksUpToDate>false</LinksUpToDate>
  <CharactersWithSpaces>59680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Bronwyn Byrnes</dc:creator>
  <cp:lastModifiedBy>Isobel McGarity</cp:lastModifiedBy>
  <cp:revision>3</cp:revision>
  <cp:lastPrinted>2014-08-29T06:18:00Z</cp:lastPrinted>
  <dcterms:created xsi:type="dcterms:W3CDTF">2015-02-09T20:48:00Z</dcterms:created>
  <dcterms:modified xsi:type="dcterms:W3CDTF">2015-02-09T22:30:00Z</dcterms:modified>
</cp:coreProperties>
</file>