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339F1" w14:textId="173A2183" w:rsidR="00F4097E" w:rsidRDefault="00F4097E" w:rsidP="00685461">
      <w:pPr>
        <w:spacing w:after="120"/>
        <w:rPr>
          <w:rFonts w:cs="Arial"/>
          <w:b/>
          <w:sz w:val="36"/>
          <w:szCs w:val="36"/>
        </w:rPr>
      </w:pPr>
      <w:r w:rsidRPr="009537B7">
        <w:rPr>
          <w:rFonts w:cs="Arial"/>
          <w:b/>
          <w:noProof/>
          <w:sz w:val="36"/>
          <w:szCs w:val="36"/>
          <w:lang w:eastAsia="en-AU"/>
        </w:rPr>
        <w:drawing>
          <wp:anchor distT="0" distB="0" distL="114300" distR="114300" simplePos="0" relativeHeight="251661312" behindDoc="1" locked="0" layoutInCell="0" allowOverlap="1" wp14:anchorId="2C244CF9" wp14:editId="07A9B0A5">
            <wp:simplePos x="0" y="0"/>
            <wp:positionH relativeFrom="margin">
              <wp:posOffset>-914400</wp:posOffset>
            </wp:positionH>
            <wp:positionV relativeFrom="margin">
              <wp:posOffset>-914400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0" cy="1116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37B7">
        <w:rPr>
          <w:rFonts w:cs="Arial"/>
          <w:b/>
          <w:noProof/>
          <w:sz w:val="36"/>
          <w:szCs w:val="36"/>
          <w:lang w:eastAsia="en-AU"/>
        </w:rPr>
        <mc:AlternateContent>
          <mc:Choice Requires="wps">
            <w:drawing>
              <wp:anchor distT="0" distB="0" distL="114300" distR="114300" simplePos="0" relativeHeight="251659264" behindDoc="0" locked="0" layoutInCell="1" allowOverlap="1" wp14:anchorId="658207F2" wp14:editId="4877BAE3">
                <wp:simplePos x="0" y="0"/>
                <wp:positionH relativeFrom="column">
                  <wp:posOffset>2602865</wp:posOffset>
                </wp:positionH>
                <wp:positionV relativeFrom="paragraph">
                  <wp:posOffset>571500</wp:posOffset>
                </wp:positionV>
                <wp:extent cx="32918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9184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4C50F4" w14:textId="22BDD025" w:rsidR="00F4097E" w:rsidRDefault="00F4097E" w:rsidP="00F4097E">
                            <w:pPr>
                              <w:spacing w:before="0"/>
                              <w:jc w:val="right"/>
                              <w:rPr>
                                <w:rFonts w:cs="Arial"/>
                                <w:b/>
                                <w:color w:val="548DD4" w:themeColor="text2" w:themeTint="99"/>
                                <w:sz w:val="48"/>
                                <w:szCs w:val="48"/>
                              </w:rPr>
                            </w:pPr>
                            <w:r>
                              <w:rPr>
                                <w:rFonts w:cs="Arial"/>
                                <w:b/>
                                <w:color w:val="548DD4" w:themeColor="text2" w:themeTint="99"/>
                                <w:sz w:val="48"/>
                                <w:szCs w:val="48"/>
                              </w:rPr>
                              <w:t>HG v</w:t>
                            </w:r>
                          </w:p>
                          <w:p w14:paraId="74CA92E7" w14:textId="77777777" w:rsidR="00F4097E" w:rsidRDefault="00F4097E" w:rsidP="00F4097E">
                            <w:pPr>
                              <w:spacing w:before="0"/>
                              <w:jc w:val="right"/>
                              <w:rPr>
                                <w:rFonts w:cs="Arial"/>
                                <w:b/>
                                <w:color w:val="548DD4" w:themeColor="text2" w:themeTint="99"/>
                                <w:sz w:val="48"/>
                                <w:szCs w:val="48"/>
                              </w:rPr>
                            </w:pPr>
                            <w:r>
                              <w:rPr>
                                <w:rFonts w:cs="Arial"/>
                                <w:b/>
                                <w:color w:val="548DD4" w:themeColor="text2" w:themeTint="99"/>
                                <w:sz w:val="48"/>
                                <w:szCs w:val="48"/>
                              </w:rPr>
                              <w:t>Commonwealth of</w:t>
                            </w:r>
                          </w:p>
                          <w:p w14:paraId="1A72A846" w14:textId="77777777" w:rsidR="00F4097E" w:rsidRPr="00833542" w:rsidRDefault="00F4097E" w:rsidP="00F4097E">
                            <w:pPr>
                              <w:spacing w:before="0" w:after="280"/>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3BAE3EC0" w14:textId="3B3CCE4A" w:rsidR="00F4097E" w:rsidRPr="00E46837" w:rsidRDefault="005C5773" w:rsidP="00F4097E">
                            <w:pPr>
                              <w:spacing w:before="0"/>
                              <w:jc w:val="right"/>
                              <w:rPr>
                                <w:rFonts w:ascii="Arial Narrow Bold" w:hAnsi="Arial Narrow Bold"/>
                                <w:sz w:val="32"/>
                                <w:szCs w:val="32"/>
                              </w:rPr>
                            </w:pPr>
                            <w:r>
                              <w:rPr>
                                <w:rFonts w:ascii="Arial Narrow Bold" w:hAnsi="Arial Narrow Bold"/>
                                <w:sz w:val="32"/>
                                <w:szCs w:val="32"/>
                              </w:rPr>
                              <w:t xml:space="preserve"> [2015</w:t>
                            </w:r>
                            <w:r w:rsidR="00F4097E">
                              <w:rPr>
                                <w:rFonts w:ascii="Arial Narrow Bold" w:hAnsi="Arial Narrow Bold"/>
                                <w:sz w:val="32"/>
                                <w:szCs w:val="32"/>
                              </w:rPr>
                              <w:t>] AusHRC 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207F2" id="_x0000_t202" coordsize="21600,21600" o:spt="202" path="m,l,21600r21600,l21600,xe">
                <v:stroke joinstyle="miter"/>
                <v:path gradientshapeok="t" o:connecttype="rect"/>
              </v:shapetype>
              <v:shape id="Text Box 5" o:spid="_x0000_s1026" type="#_x0000_t202" style="position:absolute;margin-left:204.95pt;margin-top:45pt;width:259.2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" filled="f" stroked="f">
                <v:textbox>
                  <w:txbxContent>
                    <w:p w14:paraId="724C50F4" w14:textId="22BDD025" w:rsidR="00F4097E" w:rsidRDefault="00F4097E" w:rsidP="00F4097E">
                      <w:pPr>
                        <w:spacing w:before="0"/>
                        <w:jc w:val="right"/>
                        <w:rPr>
                          <w:rFonts w:cs="Arial"/>
                          <w:b/>
                          <w:color w:val="548DD4" w:themeColor="text2" w:themeTint="99"/>
                          <w:sz w:val="48"/>
                          <w:szCs w:val="48"/>
                        </w:rPr>
                      </w:pPr>
                      <w:r>
                        <w:rPr>
                          <w:rFonts w:cs="Arial"/>
                          <w:b/>
                          <w:color w:val="548DD4" w:themeColor="text2" w:themeTint="99"/>
                          <w:sz w:val="48"/>
                          <w:szCs w:val="48"/>
                        </w:rPr>
                        <w:t>HG v</w:t>
                      </w:r>
                    </w:p>
                    <w:p w14:paraId="74CA92E7" w14:textId="77777777" w:rsidR="00F4097E" w:rsidRDefault="00F4097E" w:rsidP="00F4097E">
                      <w:pPr>
                        <w:spacing w:before="0"/>
                        <w:jc w:val="right"/>
                        <w:rPr>
                          <w:rFonts w:cs="Arial"/>
                          <w:b/>
                          <w:color w:val="548DD4" w:themeColor="text2" w:themeTint="99"/>
                          <w:sz w:val="48"/>
                          <w:szCs w:val="48"/>
                        </w:rPr>
                      </w:pPr>
                      <w:r>
                        <w:rPr>
                          <w:rFonts w:cs="Arial"/>
                          <w:b/>
                          <w:color w:val="548DD4" w:themeColor="text2" w:themeTint="99"/>
                          <w:sz w:val="48"/>
                          <w:szCs w:val="48"/>
                        </w:rPr>
                        <w:t>Commonwealth of</w:t>
                      </w:r>
                    </w:p>
                    <w:p w14:paraId="1A72A846" w14:textId="77777777" w:rsidR="00F4097E" w:rsidRPr="00833542" w:rsidRDefault="00F4097E" w:rsidP="00F4097E">
                      <w:pPr>
                        <w:spacing w:before="0" w:after="280"/>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3BAE3EC0" w14:textId="3B3CCE4A" w:rsidR="00F4097E" w:rsidRPr="00E46837" w:rsidRDefault="005C5773" w:rsidP="00F4097E">
                      <w:pPr>
                        <w:spacing w:before="0"/>
                        <w:jc w:val="right"/>
                        <w:rPr>
                          <w:rFonts w:ascii="Arial Narrow Bold" w:hAnsi="Arial Narrow Bold"/>
                          <w:sz w:val="32"/>
                          <w:szCs w:val="32"/>
                        </w:rPr>
                      </w:pPr>
                      <w:r>
                        <w:rPr>
                          <w:rFonts w:ascii="Arial Narrow Bold" w:hAnsi="Arial Narrow Bold"/>
                          <w:sz w:val="32"/>
                          <w:szCs w:val="32"/>
                        </w:rPr>
                        <w:t xml:space="preserve"> [2015</w:t>
                      </w:r>
                      <w:r w:rsidR="00F4097E">
                        <w:rPr>
                          <w:rFonts w:ascii="Arial Narrow Bold" w:hAnsi="Arial Narrow Bold"/>
                          <w:sz w:val="32"/>
                          <w:szCs w:val="32"/>
                        </w:rPr>
                        <w:t>] AusHRC 95</w:t>
                      </w:r>
                    </w:p>
                  </w:txbxContent>
                </v:textbox>
                <w10:wrap type="square"/>
              </v:shape>
            </w:pict>
          </mc:Fallback>
        </mc:AlternateContent>
      </w:r>
    </w:p>
    <w:p w14:paraId="55729456" w14:textId="77777777" w:rsidR="00F4097E" w:rsidRDefault="00F4097E" w:rsidP="00685461">
      <w:pPr>
        <w:spacing w:after="120"/>
        <w:rPr>
          <w:rFonts w:cs="Arial"/>
          <w:b/>
          <w:sz w:val="36"/>
          <w:szCs w:val="36"/>
        </w:rPr>
      </w:pPr>
    </w:p>
    <w:p w14:paraId="55213AE4" w14:textId="77777777" w:rsidR="00F4097E" w:rsidRDefault="00F4097E" w:rsidP="00685461">
      <w:pPr>
        <w:spacing w:after="120"/>
        <w:rPr>
          <w:rFonts w:cs="Arial"/>
          <w:b/>
          <w:sz w:val="36"/>
          <w:szCs w:val="36"/>
        </w:rPr>
      </w:pPr>
    </w:p>
    <w:p w14:paraId="27B19384" w14:textId="6274F47C" w:rsidR="00F4097E" w:rsidRDefault="00F4097E">
      <w:pPr>
        <w:spacing w:before="0" w:after="0"/>
        <w:rPr>
          <w:rFonts w:cs="Arial"/>
          <w:b/>
          <w:sz w:val="36"/>
          <w:szCs w:val="36"/>
        </w:rPr>
      </w:pPr>
      <w:r>
        <w:rPr>
          <w:rFonts w:cs="Arial"/>
          <w:b/>
          <w:sz w:val="36"/>
          <w:szCs w:val="36"/>
        </w:rPr>
        <w:br w:type="page"/>
      </w:r>
    </w:p>
    <w:p w14:paraId="3BD42877" w14:textId="77777777" w:rsidR="00F4097E" w:rsidRDefault="00F4097E" w:rsidP="00685461">
      <w:pPr>
        <w:spacing w:after="120"/>
        <w:rPr>
          <w:rFonts w:cs="Arial"/>
          <w:b/>
          <w:sz w:val="36"/>
          <w:szCs w:val="36"/>
        </w:rPr>
      </w:pPr>
    </w:p>
    <w:p w14:paraId="76DD189D" w14:textId="77777777" w:rsidR="00F4097E" w:rsidRDefault="00F4097E" w:rsidP="00685461">
      <w:pPr>
        <w:spacing w:after="120"/>
        <w:rPr>
          <w:rFonts w:cs="Arial"/>
          <w:b/>
          <w:sz w:val="36"/>
          <w:szCs w:val="36"/>
        </w:rPr>
      </w:pPr>
    </w:p>
    <w:p w14:paraId="287AAEF1" w14:textId="77777777" w:rsidR="00377199" w:rsidRDefault="00377199" w:rsidP="00377199">
      <w:pPr>
        <w:spacing w:after="120"/>
        <w:rPr>
          <w:rFonts w:cs="Arial"/>
          <w:b/>
          <w:sz w:val="36"/>
          <w:szCs w:val="36"/>
        </w:rPr>
      </w:pPr>
    </w:p>
    <w:p w14:paraId="4ED71EDE" w14:textId="77777777" w:rsidR="00377199" w:rsidRDefault="00377199" w:rsidP="00377199"/>
    <w:p w14:paraId="016E77B0" w14:textId="77777777" w:rsidR="000A4358" w:rsidRDefault="000A4358" w:rsidP="00377199"/>
    <w:p w14:paraId="2DC7F953" w14:textId="77777777" w:rsidR="00377199" w:rsidRDefault="00377199" w:rsidP="00377199"/>
    <w:p w14:paraId="6BB4B459" w14:textId="77777777" w:rsidR="00377199" w:rsidRPr="00F20955" w:rsidRDefault="00377199" w:rsidP="00377199">
      <w:pPr>
        <w:widowControl w:val="0"/>
        <w:tabs>
          <w:tab w:val="left" w:pos="567"/>
        </w:tabs>
        <w:suppressAutoHyphens/>
        <w:autoSpaceDE w:val="0"/>
        <w:autoSpaceDN w:val="0"/>
        <w:adjustRightInd w:val="0"/>
        <w:spacing w:after="113"/>
        <w:textAlignment w:val="center"/>
        <w:rPr>
          <w:rFonts w:cs="Arial"/>
          <w:b/>
          <w:bCs/>
          <w:sz w:val="20"/>
          <w:u w:color="000000"/>
          <w:lang w:val="en-US" w:eastAsia="en-AU"/>
        </w:rPr>
      </w:pPr>
      <w:r w:rsidRPr="00F20955">
        <w:rPr>
          <w:rFonts w:cs="Arial"/>
          <w:b/>
          <w:bCs/>
          <w:sz w:val="20"/>
          <w:u w:color="000000"/>
          <w:lang w:eastAsia="en-AU"/>
        </w:rPr>
        <w:t>© Australian Human Rights Commission 201</w:t>
      </w:r>
      <w:r>
        <w:rPr>
          <w:rFonts w:cs="Arial"/>
          <w:b/>
          <w:bCs/>
          <w:sz w:val="20"/>
          <w:u w:color="000000"/>
          <w:lang w:eastAsia="en-AU"/>
        </w:rPr>
        <w:t>5</w:t>
      </w:r>
      <w:r w:rsidRPr="00F20955">
        <w:rPr>
          <w:rFonts w:cs="Arial"/>
          <w:b/>
          <w:bCs/>
          <w:sz w:val="20"/>
          <w:u w:color="000000"/>
          <w:lang w:eastAsia="en-AU"/>
        </w:rPr>
        <w:t>.</w:t>
      </w:r>
    </w:p>
    <w:p w14:paraId="0E77BA50" w14:textId="77777777" w:rsidR="00377199" w:rsidRPr="00F20955" w:rsidRDefault="00377199" w:rsidP="00377199">
      <w:pPr>
        <w:widowControl w:val="0"/>
        <w:autoSpaceDE w:val="0"/>
        <w:autoSpaceDN w:val="0"/>
        <w:adjustRightInd w:val="0"/>
        <w:spacing w:after="113"/>
        <w:textAlignment w:val="center"/>
        <w:rPr>
          <w:rFonts w:cs="Arial"/>
          <w:sz w:val="20"/>
          <w:lang w:val="en-US" w:eastAsia="en-AU"/>
        </w:rPr>
      </w:pPr>
      <w:r>
        <w:rPr>
          <w:rFonts w:cs="Arial"/>
          <w:noProof/>
          <w:sz w:val="20"/>
          <w:lang w:eastAsia="en-AU"/>
        </w:rPr>
        <w:drawing>
          <wp:inline distT="0" distB="0" distL="0" distR="0" wp14:anchorId="2187AA12" wp14:editId="6C94483B">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9">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22334BD5" w14:textId="77777777" w:rsidR="00377199" w:rsidRPr="00F20955" w:rsidRDefault="00377199" w:rsidP="00377199">
      <w:pPr>
        <w:widowControl w:val="0"/>
        <w:tabs>
          <w:tab w:val="left" w:pos="567"/>
        </w:tabs>
        <w:suppressAutoHyphens/>
        <w:autoSpaceDE w:val="0"/>
        <w:autoSpaceDN w:val="0"/>
        <w:adjustRightInd w:val="0"/>
        <w:spacing w:after="113"/>
        <w:textAlignment w:val="center"/>
        <w:rPr>
          <w:rFonts w:cs="Arial"/>
          <w:sz w:val="20"/>
          <w:u w:color="000000"/>
          <w:lang w:eastAsia="en-AU"/>
        </w:rPr>
      </w:pPr>
      <w:r w:rsidRPr="00F20955">
        <w:rPr>
          <w:rFonts w:cs="Arial"/>
          <w:b/>
          <w:bCs/>
          <w:sz w:val="20"/>
          <w:u w:color="000000"/>
          <w:lang w:eastAsia="en-AU"/>
        </w:rPr>
        <w:t>ISSN 1837-1183</w:t>
      </w:r>
    </w:p>
    <w:p w14:paraId="24F0E9C5" w14:textId="77777777" w:rsidR="00377199" w:rsidRPr="00F20955" w:rsidRDefault="00377199" w:rsidP="00377199">
      <w:pPr>
        <w:widowControl w:val="0"/>
        <w:tabs>
          <w:tab w:val="left" w:pos="567"/>
        </w:tabs>
        <w:suppressAutoHyphens/>
        <w:autoSpaceDE w:val="0"/>
        <w:autoSpaceDN w:val="0"/>
        <w:adjustRightInd w:val="0"/>
        <w:spacing w:after="57"/>
        <w:textAlignment w:val="center"/>
        <w:rPr>
          <w:rFonts w:cs="Arial"/>
          <w:sz w:val="20"/>
          <w:u w:color="000000"/>
          <w:lang w:eastAsia="en-AU"/>
        </w:rPr>
      </w:pPr>
      <w:r w:rsidRPr="00F20955">
        <w:rPr>
          <w:rFonts w:cs="Arial"/>
          <w:sz w:val="20"/>
          <w:u w:color="000000"/>
          <w:lang w:eastAsia="en-AU"/>
        </w:rPr>
        <w:t>The Australian Human Rights Commission encourages the dissemination and exchange of information presented in this publication.</w:t>
      </w:r>
    </w:p>
    <w:p w14:paraId="4944F7AB" w14:textId="77777777" w:rsidR="00377199" w:rsidRPr="00F20955" w:rsidRDefault="00377199" w:rsidP="00377199">
      <w:pPr>
        <w:widowControl w:val="0"/>
        <w:tabs>
          <w:tab w:val="left" w:pos="567"/>
        </w:tabs>
        <w:suppressAutoHyphens/>
        <w:autoSpaceDE w:val="0"/>
        <w:autoSpaceDN w:val="0"/>
        <w:adjustRightInd w:val="0"/>
        <w:spacing w:after="57"/>
        <w:textAlignment w:val="center"/>
        <w:rPr>
          <w:rFonts w:cs="Arial"/>
          <w:sz w:val="20"/>
          <w:u w:color="000000"/>
          <w:lang w:eastAsia="en-AU"/>
        </w:rPr>
      </w:pPr>
      <w:r w:rsidRPr="00F20955">
        <w:rPr>
          <w:rFonts w:cs="Arial"/>
          <w:sz w:val="20"/>
          <w:u w:color="000000"/>
          <w:lang w:eastAsia="en-AU"/>
        </w:rPr>
        <w:t>All material presented in this publication is licenced under a Creative Commons Attribution 3.0 Australia licence, with the exception of the Australian Human Rights Commission Logo.</w:t>
      </w:r>
    </w:p>
    <w:p w14:paraId="75DE316F" w14:textId="77777777" w:rsidR="00377199" w:rsidRPr="00F20955" w:rsidRDefault="00377199" w:rsidP="00377199">
      <w:pPr>
        <w:widowControl w:val="0"/>
        <w:tabs>
          <w:tab w:val="left" w:pos="567"/>
        </w:tabs>
        <w:suppressAutoHyphens/>
        <w:autoSpaceDE w:val="0"/>
        <w:autoSpaceDN w:val="0"/>
        <w:adjustRightInd w:val="0"/>
        <w:spacing w:after="57"/>
        <w:textAlignment w:val="center"/>
        <w:rPr>
          <w:rFonts w:cs="Arial"/>
          <w:sz w:val="20"/>
          <w:u w:color="000000"/>
          <w:lang w:eastAsia="en-AU"/>
        </w:rPr>
      </w:pPr>
      <w:r w:rsidRPr="00F20955">
        <w:rPr>
          <w:rFonts w:cs="Arial"/>
          <w:sz w:val="20"/>
          <w:u w:color="000000"/>
          <w:lang w:eastAsia="en-AU"/>
        </w:rPr>
        <w:t xml:space="preserve">To view a copy of this licence, visit </w:t>
      </w:r>
      <w:hyperlink r:id="rId10" w:history="1">
        <w:r w:rsidRPr="00EA571C">
          <w:rPr>
            <w:rStyle w:val="Hyperlink"/>
            <w:rFonts w:cs="Arial"/>
            <w:b/>
            <w:sz w:val="20"/>
            <w:u w:color="000000"/>
          </w:rPr>
          <w:t>http://creativecommons.org/licences/by/3.0/au</w:t>
        </w:r>
      </w:hyperlink>
      <w:r>
        <w:rPr>
          <w:rFonts w:cs="Arial"/>
          <w:sz w:val="20"/>
          <w:u w:color="000000"/>
          <w:lang w:eastAsia="en-AU"/>
        </w:rPr>
        <w:t>.</w:t>
      </w:r>
    </w:p>
    <w:p w14:paraId="681B791D" w14:textId="77777777" w:rsidR="00377199" w:rsidRPr="00F20955" w:rsidRDefault="00377199" w:rsidP="00377199">
      <w:pPr>
        <w:widowControl w:val="0"/>
        <w:tabs>
          <w:tab w:val="left" w:pos="567"/>
        </w:tabs>
        <w:suppressAutoHyphens/>
        <w:autoSpaceDE w:val="0"/>
        <w:autoSpaceDN w:val="0"/>
        <w:adjustRightInd w:val="0"/>
        <w:spacing w:after="340"/>
        <w:textAlignment w:val="center"/>
        <w:rPr>
          <w:rFonts w:cs="Arial"/>
          <w:sz w:val="20"/>
          <w:u w:color="000000"/>
          <w:lang w:eastAsia="en-AU"/>
        </w:rPr>
      </w:pPr>
      <w:r w:rsidRPr="00F20955">
        <w:rPr>
          <w:rFonts w:cs="Arial"/>
          <w:sz w:val="20"/>
          <w:u w:color="000000"/>
          <w:lang w:eastAsia="en-AU"/>
        </w:rPr>
        <w:t>In essence, you are free to copy, communicate and adapt the work, as long as you attribute the work to the Australian Human Rights Commission and abide by the other licence terms.</w:t>
      </w:r>
    </w:p>
    <w:p w14:paraId="01024F3D" w14:textId="77777777" w:rsidR="00377199" w:rsidRPr="00F20955" w:rsidRDefault="00377199" w:rsidP="00377199">
      <w:pPr>
        <w:widowControl w:val="0"/>
        <w:tabs>
          <w:tab w:val="left" w:pos="567"/>
        </w:tabs>
        <w:suppressAutoHyphens/>
        <w:autoSpaceDE w:val="0"/>
        <w:autoSpaceDN w:val="0"/>
        <w:adjustRightInd w:val="0"/>
        <w:spacing w:before="113" w:after="57"/>
        <w:textAlignment w:val="center"/>
        <w:rPr>
          <w:rFonts w:cs="Arial"/>
          <w:b/>
          <w:bCs/>
          <w:sz w:val="20"/>
          <w:u w:color="000000"/>
          <w:lang w:eastAsia="en-AU"/>
        </w:rPr>
      </w:pPr>
      <w:r w:rsidRPr="00F20955">
        <w:rPr>
          <w:rFonts w:cs="Arial"/>
          <w:b/>
          <w:bCs/>
          <w:sz w:val="20"/>
          <w:u w:color="000000"/>
          <w:lang w:eastAsia="en-AU"/>
        </w:rPr>
        <w:t>Electronic format</w:t>
      </w:r>
    </w:p>
    <w:p w14:paraId="50A69ABF" w14:textId="77777777" w:rsidR="00377199" w:rsidRPr="00F20955" w:rsidRDefault="00377199" w:rsidP="00377199">
      <w:pPr>
        <w:widowControl w:val="0"/>
        <w:tabs>
          <w:tab w:val="left" w:pos="567"/>
        </w:tabs>
        <w:suppressAutoHyphens/>
        <w:autoSpaceDE w:val="0"/>
        <w:autoSpaceDN w:val="0"/>
        <w:adjustRightInd w:val="0"/>
        <w:spacing w:after="57"/>
        <w:textAlignment w:val="center"/>
        <w:rPr>
          <w:rFonts w:cs="Arial"/>
          <w:sz w:val="20"/>
          <w:u w:color="000000"/>
          <w:lang w:eastAsia="en-AU"/>
        </w:rPr>
      </w:pPr>
      <w:r w:rsidRPr="00F20955">
        <w:rPr>
          <w:rFonts w:cs="Arial"/>
          <w:sz w:val="20"/>
          <w:u w:color="000000"/>
          <w:lang w:eastAsia="en-AU"/>
        </w:rPr>
        <w:t xml:space="preserve">This publication can be found in electronic format on the website of the Australian Human Rights Commission: </w:t>
      </w:r>
      <w:hyperlink r:id="rId11" w:history="1">
        <w:r w:rsidRPr="00EA571C">
          <w:rPr>
            <w:rStyle w:val="Hyperlink"/>
            <w:rFonts w:cs="Arial"/>
            <w:b/>
            <w:sz w:val="20"/>
            <w:u w:color="000000"/>
          </w:rPr>
          <w:t>http://www.humanrights.gov.au/publications/index.html</w:t>
        </w:r>
      </w:hyperlink>
      <w:r w:rsidRPr="00F20955">
        <w:rPr>
          <w:rFonts w:cs="Arial"/>
          <w:sz w:val="20"/>
          <w:u w:color="000000"/>
          <w:lang w:eastAsia="en-AU"/>
        </w:rPr>
        <w:t>.</w:t>
      </w:r>
    </w:p>
    <w:p w14:paraId="228B6516" w14:textId="77777777" w:rsidR="00377199" w:rsidRPr="00F20955" w:rsidRDefault="00377199" w:rsidP="00377199">
      <w:pPr>
        <w:widowControl w:val="0"/>
        <w:tabs>
          <w:tab w:val="left" w:pos="567"/>
        </w:tabs>
        <w:suppressAutoHyphens/>
        <w:autoSpaceDE w:val="0"/>
        <w:autoSpaceDN w:val="0"/>
        <w:adjustRightInd w:val="0"/>
        <w:spacing w:before="113" w:after="57"/>
        <w:textAlignment w:val="center"/>
        <w:rPr>
          <w:rFonts w:cs="Arial"/>
          <w:b/>
          <w:bCs/>
          <w:sz w:val="20"/>
          <w:u w:color="000000"/>
          <w:lang w:eastAsia="en-AU"/>
        </w:rPr>
      </w:pPr>
      <w:r w:rsidRPr="00F20955">
        <w:rPr>
          <w:rFonts w:cs="Arial"/>
          <w:b/>
          <w:bCs/>
          <w:sz w:val="20"/>
          <w:u w:color="000000"/>
          <w:lang w:eastAsia="en-AU"/>
        </w:rPr>
        <w:t>Contact details</w:t>
      </w:r>
    </w:p>
    <w:p w14:paraId="58B1B7CF" w14:textId="77777777" w:rsidR="00377199" w:rsidRDefault="00377199" w:rsidP="00377199">
      <w:pPr>
        <w:widowControl w:val="0"/>
        <w:tabs>
          <w:tab w:val="left" w:pos="567"/>
        </w:tabs>
        <w:suppressAutoHyphens/>
        <w:autoSpaceDE w:val="0"/>
        <w:autoSpaceDN w:val="0"/>
        <w:adjustRightInd w:val="0"/>
        <w:spacing w:after="57"/>
        <w:textAlignment w:val="center"/>
        <w:rPr>
          <w:rFonts w:cs="Arial"/>
          <w:sz w:val="20"/>
          <w:u w:color="000000"/>
          <w:lang w:eastAsia="en-AU"/>
        </w:rPr>
      </w:pPr>
      <w:r w:rsidRPr="00F20955">
        <w:rPr>
          <w:rFonts w:cs="Arial"/>
          <w:sz w:val="20"/>
          <w:u w:color="000000"/>
          <w:lang w:eastAsia="en-AU"/>
        </w:rPr>
        <w:t xml:space="preserve">For further information about the Australian Human Rights Commission, please visit </w:t>
      </w:r>
      <w:hyperlink r:id="rId12" w:history="1">
        <w:r w:rsidRPr="00EA571C">
          <w:rPr>
            <w:rStyle w:val="Hyperlink"/>
            <w:rFonts w:cs="Arial"/>
            <w:b/>
            <w:sz w:val="20"/>
            <w:u w:color="000000"/>
          </w:rPr>
          <w:t>http://www.humanrights.gov.au</w:t>
        </w:r>
      </w:hyperlink>
      <w:r>
        <w:rPr>
          <w:rFonts w:cs="Arial"/>
          <w:sz w:val="20"/>
          <w:u w:color="000000"/>
          <w:lang w:eastAsia="en-AU"/>
        </w:rPr>
        <w:t xml:space="preserve"> </w:t>
      </w:r>
      <w:r w:rsidRPr="00F20955">
        <w:rPr>
          <w:rFonts w:cs="Arial"/>
          <w:sz w:val="20"/>
          <w:u w:color="000000"/>
          <w:lang w:eastAsia="en-AU"/>
        </w:rPr>
        <w:t xml:space="preserve">or email </w:t>
      </w:r>
      <w:hyperlink r:id="rId13" w:history="1">
        <w:r>
          <w:rPr>
            <w:rStyle w:val="Hyperlink"/>
            <w:rFonts w:cs="Arial"/>
            <w:b/>
            <w:sz w:val="20"/>
            <w:u w:color="000000"/>
          </w:rPr>
          <w:t>communications@humanrights.gov.au</w:t>
        </w:r>
      </w:hyperlink>
      <w:r>
        <w:rPr>
          <w:rFonts w:cs="Arial"/>
          <w:sz w:val="20"/>
          <w:u w:color="000000"/>
          <w:lang w:eastAsia="en-AU"/>
        </w:rPr>
        <w:t>.</w:t>
      </w:r>
    </w:p>
    <w:p w14:paraId="34E57098" w14:textId="77777777" w:rsidR="00377199" w:rsidRPr="00F20955" w:rsidRDefault="00377199" w:rsidP="00377199">
      <w:pPr>
        <w:widowControl w:val="0"/>
        <w:tabs>
          <w:tab w:val="left" w:pos="567"/>
        </w:tabs>
        <w:suppressAutoHyphens/>
        <w:autoSpaceDE w:val="0"/>
        <w:autoSpaceDN w:val="0"/>
        <w:adjustRightInd w:val="0"/>
        <w:spacing w:after="57"/>
        <w:textAlignment w:val="center"/>
        <w:rPr>
          <w:rFonts w:cs="Arial"/>
          <w:sz w:val="20"/>
          <w:u w:color="000000"/>
          <w:lang w:eastAsia="en-AU"/>
        </w:rPr>
      </w:pPr>
      <w:r w:rsidRPr="00F20955">
        <w:rPr>
          <w:rFonts w:cs="Arial"/>
          <w:sz w:val="20"/>
          <w:u w:color="000000"/>
          <w:lang w:eastAsia="en-AU"/>
        </w:rPr>
        <w:t>You can also write to:</w:t>
      </w:r>
    </w:p>
    <w:p w14:paraId="611D3C60" w14:textId="77777777" w:rsidR="00377199" w:rsidRPr="00F20955" w:rsidRDefault="00377199" w:rsidP="00377199">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39A221D1" w14:textId="77777777" w:rsidR="00377199" w:rsidRDefault="00377199" w:rsidP="00377199"/>
    <w:p w14:paraId="1BF81AD5" w14:textId="77777777" w:rsidR="00377199" w:rsidRDefault="00377199" w:rsidP="00377199"/>
    <w:p w14:paraId="78EEA6A7" w14:textId="34C526AC" w:rsidR="00377199" w:rsidRDefault="00377199" w:rsidP="00377199"/>
    <w:p w14:paraId="767C5DC9" w14:textId="77777777" w:rsidR="00377199" w:rsidRDefault="00377199" w:rsidP="00377199"/>
    <w:p w14:paraId="1C26D172" w14:textId="77777777" w:rsidR="00377199" w:rsidRDefault="00377199" w:rsidP="00377199"/>
    <w:p w14:paraId="0A696303" w14:textId="77777777" w:rsidR="00377199" w:rsidRDefault="00377199" w:rsidP="00377199"/>
    <w:p w14:paraId="183DCBC6" w14:textId="77777777" w:rsidR="00377199" w:rsidRDefault="00377199" w:rsidP="00377199"/>
    <w:p w14:paraId="15BF17BD" w14:textId="77777777" w:rsidR="00377199" w:rsidRDefault="00377199" w:rsidP="00377199"/>
    <w:p w14:paraId="05F23996" w14:textId="77777777" w:rsidR="000A4358" w:rsidRDefault="000A4358" w:rsidP="00377199"/>
    <w:p w14:paraId="3897EE22" w14:textId="77777777" w:rsidR="000A4358" w:rsidRDefault="000A4358" w:rsidP="00377199"/>
    <w:p w14:paraId="37976DFE" w14:textId="77777777" w:rsidR="000A4358" w:rsidRDefault="000A4358" w:rsidP="00377199"/>
    <w:p w14:paraId="4763897B" w14:textId="77777777" w:rsidR="000A4358" w:rsidRDefault="000A4358" w:rsidP="00377199"/>
    <w:p w14:paraId="509E1637" w14:textId="77777777" w:rsidR="000A4358" w:rsidRDefault="000A4358" w:rsidP="00377199"/>
    <w:p w14:paraId="5EFE78F6" w14:textId="77777777" w:rsidR="00377199" w:rsidRDefault="00377199" w:rsidP="00377199"/>
    <w:p w14:paraId="63736442" w14:textId="3C73FD8D" w:rsidR="00377199" w:rsidRPr="00337D9F" w:rsidRDefault="00377199" w:rsidP="00377199">
      <w:pPr>
        <w:pStyle w:val="InternalTitleBold"/>
        <w:spacing w:after="600"/>
        <w:rPr>
          <w:rFonts w:ascii="Arial" w:hAnsi="Arial" w:cs="Arial"/>
          <w:color w:val="808080" w:themeColor="background1" w:themeShade="80"/>
          <w:sz w:val="48"/>
          <w:szCs w:val="48"/>
        </w:rPr>
      </w:pPr>
      <w:r>
        <w:rPr>
          <w:rFonts w:ascii="Arial" w:hAnsi="Arial" w:cs="Arial"/>
          <w:color w:val="808080" w:themeColor="background1" w:themeShade="80"/>
          <w:sz w:val="48"/>
          <w:szCs w:val="48"/>
        </w:rPr>
        <w:t>HG</w:t>
      </w:r>
      <w:r>
        <w:rPr>
          <w:rFonts w:ascii="Arial" w:hAnsi="Arial" w:cs="Arial"/>
          <w:color w:val="808080" w:themeColor="background1" w:themeShade="80"/>
          <w:sz w:val="48"/>
          <w:szCs w:val="48"/>
        </w:rPr>
        <w:t xml:space="preserve"> v Commonwealth of Australia (Department of Immigration and Border Protection)</w:t>
      </w:r>
    </w:p>
    <w:p w14:paraId="5CDA3195" w14:textId="77777777" w:rsidR="00377199" w:rsidRPr="00FD73E1" w:rsidRDefault="00377199" w:rsidP="00377199">
      <w:pPr>
        <w:pStyle w:val="InternalSubTitlePlain"/>
        <w:rPr>
          <w:rFonts w:ascii="Arial" w:hAnsi="Arial" w:cs="Arial"/>
          <w:color w:val="808080" w:themeColor="background1" w:themeShade="80"/>
          <w:sz w:val="44"/>
          <w:szCs w:val="44"/>
        </w:rPr>
      </w:pPr>
      <w:r w:rsidRPr="00FD73E1">
        <w:rPr>
          <w:rFonts w:ascii="Arial" w:hAnsi="Arial" w:cs="Arial"/>
          <w:color w:val="808080" w:themeColor="background1" w:themeShade="80"/>
          <w:sz w:val="44"/>
          <w:szCs w:val="44"/>
        </w:rPr>
        <w:t xml:space="preserve">Report into </w:t>
      </w:r>
      <w:r>
        <w:rPr>
          <w:rFonts w:ascii="Arial" w:hAnsi="Arial" w:cs="Arial"/>
          <w:color w:val="808080" w:themeColor="background1" w:themeShade="80"/>
          <w:sz w:val="44"/>
          <w:szCs w:val="44"/>
        </w:rPr>
        <w:t>arbitrary detention</w:t>
      </w:r>
    </w:p>
    <w:p w14:paraId="39AD19C4" w14:textId="5ECBBCBD" w:rsidR="00377199" w:rsidRPr="00A44514" w:rsidRDefault="00377199" w:rsidP="00377199">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eastAsia="en-AU"/>
        </w:rPr>
      </w:pPr>
      <w:r>
        <w:rPr>
          <w:rFonts w:cs="Arial"/>
          <w:color w:val="808080" w:themeColor="background1" w:themeShade="80"/>
          <w:sz w:val="48"/>
          <w:szCs w:val="48"/>
          <w:lang w:eastAsia="en-AU"/>
        </w:rPr>
        <w:t>[2015</w:t>
      </w:r>
      <w:r w:rsidRPr="00A44514">
        <w:rPr>
          <w:rFonts w:cs="Arial"/>
          <w:color w:val="808080" w:themeColor="background1" w:themeShade="80"/>
          <w:sz w:val="48"/>
          <w:szCs w:val="48"/>
          <w:lang w:eastAsia="en-AU"/>
        </w:rPr>
        <w:t xml:space="preserve">] AusHRC </w:t>
      </w:r>
      <w:r>
        <w:rPr>
          <w:rFonts w:cs="Arial"/>
          <w:color w:val="808080" w:themeColor="background1" w:themeShade="80"/>
          <w:sz w:val="48"/>
          <w:szCs w:val="48"/>
          <w:lang w:eastAsia="en-AU"/>
        </w:rPr>
        <w:t>95</w:t>
      </w:r>
    </w:p>
    <w:p w14:paraId="40C2389D" w14:textId="77777777" w:rsidR="00377199" w:rsidRPr="00833542" w:rsidRDefault="00377199" w:rsidP="00377199">
      <w:pPr>
        <w:widowControl w:val="0"/>
        <w:tabs>
          <w:tab w:val="left" w:pos="680"/>
        </w:tabs>
        <w:suppressAutoHyphens/>
        <w:autoSpaceDE w:val="0"/>
        <w:autoSpaceDN w:val="0"/>
        <w:adjustRightInd w:val="0"/>
        <w:ind w:left="283" w:hanging="283"/>
        <w:textAlignment w:val="center"/>
        <w:rPr>
          <w:rFonts w:cs="Arial"/>
          <w:b/>
          <w:bCs/>
          <w:color w:val="808080" w:themeColor="background1" w:themeShade="80"/>
          <w:lang w:eastAsia="en-AU"/>
        </w:rPr>
      </w:pPr>
      <w:r w:rsidRPr="00833542">
        <w:rPr>
          <w:rFonts w:cs="Arial"/>
          <w:b/>
          <w:bCs/>
          <w:color w:val="808080" w:themeColor="background1" w:themeShade="80"/>
          <w:lang w:eastAsia="en-AU"/>
        </w:rPr>
        <w:t>Austral</w:t>
      </w:r>
      <w:r>
        <w:rPr>
          <w:rFonts w:cs="Arial"/>
          <w:b/>
          <w:bCs/>
          <w:color w:val="808080" w:themeColor="background1" w:themeShade="80"/>
          <w:lang w:eastAsia="en-AU"/>
        </w:rPr>
        <w:t>ian Human Rights Commission 2015</w:t>
      </w:r>
    </w:p>
    <w:p w14:paraId="7602B2A7" w14:textId="77777777" w:rsidR="00377199" w:rsidRDefault="00377199" w:rsidP="00377199"/>
    <w:p w14:paraId="608CA5C7" w14:textId="77777777" w:rsidR="00377199" w:rsidRDefault="00377199" w:rsidP="00377199"/>
    <w:p w14:paraId="0EC0BFE7" w14:textId="77777777" w:rsidR="00377199" w:rsidRDefault="00377199" w:rsidP="00377199"/>
    <w:p w14:paraId="138EB705" w14:textId="77777777" w:rsidR="00377199" w:rsidRDefault="00377199" w:rsidP="00377199"/>
    <w:p w14:paraId="650FF3D6" w14:textId="77777777" w:rsidR="00377199" w:rsidRDefault="00377199" w:rsidP="00377199"/>
    <w:p w14:paraId="06172126" w14:textId="660C56A1" w:rsidR="008C0E4E" w:rsidRPr="00377199" w:rsidRDefault="00377199" w:rsidP="00377199">
      <w:r>
        <w:rPr>
          <w:noProof/>
          <w:lang w:eastAsia="en-AU"/>
        </w:rPr>
        <w:drawing>
          <wp:inline distT="0" distB="0" distL="0" distR="0" wp14:anchorId="0FA3FB85" wp14:editId="20F4C900">
            <wp:extent cx="1696720" cy="5486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r w:rsidR="002128CB" w:rsidRPr="00923A1F">
        <w:rPr>
          <w:rFonts w:cs="Arial"/>
          <w:szCs w:val="24"/>
        </w:rPr>
        <w:br w:type="page"/>
      </w:r>
    </w:p>
    <w:p w14:paraId="405F631B" w14:textId="77777777" w:rsidR="00AE50C0" w:rsidRPr="000263C1" w:rsidRDefault="00AE50C0" w:rsidP="00685461">
      <w:pPr>
        <w:rPr>
          <w:rFonts w:cs="Arial"/>
          <w:szCs w:val="24"/>
        </w:rPr>
      </w:pPr>
      <w:r w:rsidRPr="000263C1">
        <w:rPr>
          <w:rFonts w:cs="Arial"/>
          <w:szCs w:val="24"/>
        </w:rPr>
        <w:lastRenderedPageBreak/>
        <w:t xml:space="preserve">Contents </w:t>
      </w:r>
    </w:p>
    <w:p w14:paraId="2669D468" w14:textId="77777777" w:rsidR="00AE50C0" w:rsidRPr="000263C1" w:rsidRDefault="00AE50C0" w:rsidP="00685461">
      <w:pPr>
        <w:rPr>
          <w:rFonts w:cs="Arial"/>
          <w:szCs w:val="24"/>
        </w:rPr>
      </w:pPr>
    </w:p>
    <w:p w14:paraId="45066C34" w14:textId="77777777" w:rsidR="00FA0393" w:rsidRDefault="00AE50C0">
      <w:pPr>
        <w:pStyle w:val="TOC1"/>
        <w:rPr>
          <w:rFonts w:asciiTheme="minorHAnsi" w:eastAsiaTheme="minorEastAsia" w:hAnsiTheme="minorHAnsi" w:cstheme="minorBidi"/>
          <w:b w:val="0"/>
          <w:color w:val="auto"/>
          <w:sz w:val="22"/>
          <w:szCs w:val="22"/>
          <w:lang w:eastAsia="en-AU"/>
        </w:rPr>
      </w:pPr>
      <w:r w:rsidRPr="000263C1">
        <w:rPr>
          <w:rFonts w:cs="Arial"/>
          <w:b w:val="0"/>
          <w:szCs w:val="24"/>
        </w:rPr>
        <w:fldChar w:fldCharType="begin"/>
      </w:r>
      <w:r w:rsidRPr="000263C1">
        <w:rPr>
          <w:rFonts w:cs="Arial"/>
          <w:b w:val="0"/>
          <w:szCs w:val="24"/>
        </w:rPr>
        <w:instrText xml:space="preserve"> TOC \o "1-3" \h \z \u </w:instrText>
      </w:r>
      <w:r w:rsidRPr="000263C1">
        <w:rPr>
          <w:rFonts w:cs="Arial"/>
          <w:b w:val="0"/>
          <w:szCs w:val="24"/>
        </w:rPr>
        <w:fldChar w:fldCharType="separate"/>
      </w:r>
      <w:hyperlink w:anchor="_Toc419813760" w:history="1">
        <w:r w:rsidR="00FA0393" w:rsidRPr="006D41E2">
          <w:rPr>
            <w:rStyle w:val="Hyperlink"/>
          </w:rPr>
          <w:t>1</w:t>
        </w:r>
        <w:r w:rsidR="00FA0393">
          <w:rPr>
            <w:rFonts w:asciiTheme="minorHAnsi" w:eastAsiaTheme="minorEastAsia" w:hAnsiTheme="minorHAnsi" w:cstheme="minorBidi"/>
            <w:b w:val="0"/>
            <w:color w:val="auto"/>
            <w:sz w:val="22"/>
            <w:szCs w:val="22"/>
            <w:lang w:eastAsia="en-AU"/>
          </w:rPr>
          <w:tab/>
        </w:r>
        <w:r w:rsidR="00FA0393" w:rsidRPr="006D41E2">
          <w:rPr>
            <w:rStyle w:val="Hyperlink"/>
          </w:rPr>
          <w:t>Intr</w:t>
        </w:r>
        <w:bookmarkStart w:id="0" w:name="_GoBack"/>
        <w:bookmarkEnd w:id="0"/>
        <w:r w:rsidR="00FA0393" w:rsidRPr="006D41E2">
          <w:rPr>
            <w:rStyle w:val="Hyperlink"/>
          </w:rPr>
          <w:t>oduction</w:t>
        </w:r>
        <w:r w:rsidR="00FA0393">
          <w:rPr>
            <w:webHidden/>
          </w:rPr>
          <w:tab/>
        </w:r>
        <w:r w:rsidR="00FA0393">
          <w:rPr>
            <w:webHidden/>
          </w:rPr>
          <w:fldChar w:fldCharType="begin"/>
        </w:r>
        <w:r w:rsidR="00FA0393">
          <w:rPr>
            <w:webHidden/>
          </w:rPr>
          <w:instrText xml:space="preserve"> PAGEREF _Toc419813760 \h </w:instrText>
        </w:r>
        <w:r w:rsidR="00FA0393">
          <w:rPr>
            <w:webHidden/>
          </w:rPr>
        </w:r>
        <w:r w:rsidR="00FA0393">
          <w:rPr>
            <w:webHidden/>
          </w:rPr>
          <w:fldChar w:fldCharType="separate"/>
        </w:r>
        <w:r w:rsidR="00F4097E">
          <w:rPr>
            <w:webHidden/>
          </w:rPr>
          <w:t>1</w:t>
        </w:r>
        <w:r w:rsidR="00FA0393">
          <w:rPr>
            <w:webHidden/>
          </w:rPr>
          <w:fldChar w:fldCharType="end"/>
        </w:r>
      </w:hyperlink>
    </w:p>
    <w:p w14:paraId="2271D93D" w14:textId="77777777" w:rsidR="00FA0393" w:rsidRDefault="000A4358">
      <w:pPr>
        <w:pStyle w:val="TOC1"/>
        <w:rPr>
          <w:rFonts w:asciiTheme="minorHAnsi" w:eastAsiaTheme="minorEastAsia" w:hAnsiTheme="minorHAnsi" w:cstheme="minorBidi"/>
          <w:b w:val="0"/>
          <w:color w:val="auto"/>
          <w:sz w:val="22"/>
          <w:szCs w:val="22"/>
          <w:lang w:eastAsia="en-AU"/>
        </w:rPr>
      </w:pPr>
      <w:hyperlink w:anchor="_Toc419813761" w:history="1">
        <w:r w:rsidR="00FA0393" w:rsidRPr="006D41E2">
          <w:rPr>
            <w:rStyle w:val="Hyperlink"/>
          </w:rPr>
          <w:t>2</w:t>
        </w:r>
        <w:r w:rsidR="00FA0393">
          <w:rPr>
            <w:rFonts w:asciiTheme="minorHAnsi" w:eastAsiaTheme="minorEastAsia" w:hAnsiTheme="minorHAnsi" w:cstheme="minorBidi"/>
            <w:b w:val="0"/>
            <w:color w:val="auto"/>
            <w:sz w:val="22"/>
            <w:szCs w:val="22"/>
            <w:lang w:eastAsia="en-AU"/>
          </w:rPr>
          <w:tab/>
        </w:r>
        <w:r w:rsidR="00FA0393" w:rsidRPr="006D41E2">
          <w:rPr>
            <w:rStyle w:val="Hyperlink"/>
          </w:rPr>
          <w:t>Summary of findings and recommendations</w:t>
        </w:r>
        <w:r w:rsidR="00FA0393">
          <w:rPr>
            <w:webHidden/>
          </w:rPr>
          <w:tab/>
        </w:r>
        <w:r w:rsidR="00FA0393">
          <w:rPr>
            <w:webHidden/>
          </w:rPr>
          <w:fldChar w:fldCharType="begin"/>
        </w:r>
        <w:r w:rsidR="00FA0393">
          <w:rPr>
            <w:webHidden/>
          </w:rPr>
          <w:instrText xml:space="preserve"> PAGEREF _Toc419813761 \h </w:instrText>
        </w:r>
        <w:r w:rsidR="00FA0393">
          <w:rPr>
            <w:webHidden/>
          </w:rPr>
        </w:r>
        <w:r w:rsidR="00FA0393">
          <w:rPr>
            <w:webHidden/>
          </w:rPr>
          <w:fldChar w:fldCharType="separate"/>
        </w:r>
        <w:r w:rsidR="00F4097E">
          <w:rPr>
            <w:webHidden/>
          </w:rPr>
          <w:t>1</w:t>
        </w:r>
        <w:r w:rsidR="00FA0393">
          <w:rPr>
            <w:webHidden/>
          </w:rPr>
          <w:fldChar w:fldCharType="end"/>
        </w:r>
      </w:hyperlink>
    </w:p>
    <w:p w14:paraId="04A7C48B"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62" w:history="1">
        <w:r w:rsidR="00FA0393" w:rsidRPr="006D41E2">
          <w:rPr>
            <w:rStyle w:val="Hyperlink"/>
          </w:rPr>
          <w:t>2.1</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rPr>
          <w:t>Relevant act under the AHRC Act</w:t>
        </w:r>
        <w:r w:rsidR="00FA0393">
          <w:rPr>
            <w:webHidden/>
          </w:rPr>
          <w:tab/>
        </w:r>
        <w:r w:rsidR="00FA0393">
          <w:rPr>
            <w:webHidden/>
          </w:rPr>
          <w:fldChar w:fldCharType="begin"/>
        </w:r>
        <w:r w:rsidR="00FA0393">
          <w:rPr>
            <w:webHidden/>
          </w:rPr>
          <w:instrText xml:space="preserve"> PAGEREF _Toc419813762 \h </w:instrText>
        </w:r>
        <w:r w:rsidR="00FA0393">
          <w:rPr>
            <w:webHidden/>
          </w:rPr>
        </w:r>
        <w:r w:rsidR="00FA0393">
          <w:rPr>
            <w:webHidden/>
          </w:rPr>
          <w:fldChar w:fldCharType="separate"/>
        </w:r>
        <w:r w:rsidR="00F4097E">
          <w:rPr>
            <w:webHidden/>
          </w:rPr>
          <w:t>1</w:t>
        </w:r>
        <w:r w:rsidR="00FA0393">
          <w:rPr>
            <w:webHidden/>
          </w:rPr>
          <w:fldChar w:fldCharType="end"/>
        </w:r>
      </w:hyperlink>
    </w:p>
    <w:p w14:paraId="332BB1A2"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63" w:history="1">
        <w:r w:rsidR="00FA0393" w:rsidRPr="006D41E2">
          <w:rPr>
            <w:rStyle w:val="Hyperlink"/>
          </w:rPr>
          <w:t>2.2</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rPr>
          <w:t>Inconsistent with Article 9, ICCPR</w:t>
        </w:r>
        <w:r w:rsidR="00FA0393">
          <w:rPr>
            <w:webHidden/>
          </w:rPr>
          <w:tab/>
        </w:r>
        <w:r w:rsidR="00FA0393">
          <w:rPr>
            <w:webHidden/>
          </w:rPr>
          <w:fldChar w:fldCharType="begin"/>
        </w:r>
        <w:r w:rsidR="00FA0393">
          <w:rPr>
            <w:webHidden/>
          </w:rPr>
          <w:instrText xml:space="preserve"> PAGEREF _Toc419813763 \h </w:instrText>
        </w:r>
        <w:r w:rsidR="00FA0393">
          <w:rPr>
            <w:webHidden/>
          </w:rPr>
        </w:r>
        <w:r w:rsidR="00FA0393">
          <w:rPr>
            <w:webHidden/>
          </w:rPr>
          <w:fldChar w:fldCharType="separate"/>
        </w:r>
        <w:r w:rsidR="00F4097E">
          <w:rPr>
            <w:webHidden/>
          </w:rPr>
          <w:t>1</w:t>
        </w:r>
        <w:r w:rsidR="00FA0393">
          <w:rPr>
            <w:webHidden/>
          </w:rPr>
          <w:fldChar w:fldCharType="end"/>
        </w:r>
      </w:hyperlink>
    </w:p>
    <w:p w14:paraId="2E4A62FA"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64" w:history="1">
        <w:r w:rsidR="00FA0393" w:rsidRPr="006D41E2">
          <w:rPr>
            <w:rStyle w:val="Hyperlink"/>
          </w:rPr>
          <w:t>2.3</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rPr>
          <w:t>Recommendations</w:t>
        </w:r>
        <w:r w:rsidR="00FA0393">
          <w:rPr>
            <w:webHidden/>
          </w:rPr>
          <w:tab/>
        </w:r>
        <w:r w:rsidR="00FA0393">
          <w:rPr>
            <w:webHidden/>
          </w:rPr>
          <w:fldChar w:fldCharType="begin"/>
        </w:r>
        <w:r w:rsidR="00FA0393">
          <w:rPr>
            <w:webHidden/>
          </w:rPr>
          <w:instrText xml:space="preserve"> PAGEREF _Toc419813764 \h </w:instrText>
        </w:r>
        <w:r w:rsidR="00FA0393">
          <w:rPr>
            <w:webHidden/>
          </w:rPr>
        </w:r>
        <w:r w:rsidR="00FA0393">
          <w:rPr>
            <w:webHidden/>
          </w:rPr>
          <w:fldChar w:fldCharType="separate"/>
        </w:r>
        <w:r w:rsidR="00F4097E">
          <w:rPr>
            <w:webHidden/>
          </w:rPr>
          <w:t>1</w:t>
        </w:r>
        <w:r w:rsidR="00FA0393">
          <w:rPr>
            <w:webHidden/>
          </w:rPr>
          <w:fldChar w:fldCharType="end"/>
        </w:r>
      </w:hyperlink>
    </w:p>
    <w:p w14:paraId="76C3E377" w14:textId="77777777" w:rsidR="00FA0393" w:rsidRDefault="000A4358">
      <w:pPr>
        <w:pStyle w:val="TOC1"/>
        <w:rPr>
          <w:rFonts w:asciiTheme="minorHAnsi" w:eastAsiaTheme="minorEastAsia" w:hAnsiTheme="minorHAnsi" w:cstheme="minorBidi"/>
          <w:b w:val="0"/>
          <w:color w:val="auto"/>
          <w:sz w:val="22"/>
          <w:szCs w:val="22"/>
          <w:lang w:eastAsia="en-AU"/>
        </w:rPr>
      </w:pPr>
      <w:hyperlink w:anchor="_Toc419813765" w:history="1">
        <w:r w:rsidR="00FA0393" w:rsidRPr="006D41E2">
          <w:rPr>
            <w:rStyle w:val="Hyperlink"/>
          </w:rPr>
          <w:t>3</w:t>
        </w:r>
        <w:r w:rsidR="00FA0393">
          <w:rPr>
            <w:rFonts w:asciiTheme="minorHAnsi" w:eastAsiaTheme="minorEastAsia" w:hAnsiTheme="minorHAnsi" w:cstheme="minorBidi"/>
            <w:b w:val="0"/>
            <w:color w:val="auto"/>
            <w:sz w:val="22"/>
            <w:szCs w:val="22"/>
            <w:lang w:eastAsia="en-AU"/>
          </w:rPr>
          <w:tab/>
        </w:r>
        <w:r w:rsidR="00FA0393" w:rsidRPr="006D41E2">
          <w:rPr>
            <w:rStyle w:val="Hyperlink"/>
          </w:rPr>
          <w:t>Background</w:t>
        </w:r>
        <w:r w:rsidR="00FA0393">
          <w:rPr>
            <w:webHidden/>
          </w:rPr>
          <w:tab/>
        </w:r>
        <w:r w:rsidR="00FA0393">
          <w:rPr>
            <w:webHidden/>
          </w:rPr>
          <w:fldChar w:fldCharType="begin"/>
        </w:r>
        <w:r w:rsidR="00FA0393">
          <w:rPr>
            <w:webHidden/>
          </w:rPr>
          <w:instrText xml:space="preserve"> PAGEREF _Toc419813765 \h </w:instrText>
        </w:r>
        <w:r w:rsidR="00FA0393">
          <w:rPr>
            <w:webHidden/>
          </w:rPr>
        </w:r>
        <w:r w:rsidR="00FA0393">
          <w:rPr>
            <w:webHidden/>
          </w:rPr>
          <w:fldChar w:fldCharType="separate"/>
        </w:r>
        <w:r w:rsidR="00F4097E">
          <w:rPr>
            <w:webHidden/>
          </w:rPr>
          <w:t>2</w:t>
        </w:r>
        <w:r w:rsidR="00FA0393">
          <w:rPr>
            <w:webHidden/>
          </w:rPr>
          <w:fldChar w:fldCharType="end"/>
        </w:r>
      </w:hyperlink>
    </w:p>
    <w:p w14:paraId="53FA337B" w14:textId="77777777" w:rsidR="00FA0393" w:rsidRDefault="000A4358">
      <w:pPr>
        <w:pStyle w:val="TOC1"/>
        <w:rPr>
          <w:rFonts w:asciiTheme="minorHAnsi" w:eastAsiaTheme="minorEastAsia" w:hAnsiTheme="minorHAnsi" w:cstheme="minorBidi"/>
          <w:b w:val="0"/>
          <w:color w:val="auto"/>
          <w:sz w:val="22"/>
          <w:szCs w:val="22"/>
          <w:lang w:eastAsia="en-AU"/>
        </w:rPr>
      </w:pPr>
      <w:hyperlink w:anchor="_Toc419813766" w:history="1">
        <w:r w:rsidR="00FA0393" w:rsidRPr="006D41E2">
          <w:rPr>
            <w:rStyle w:val="Hyperlink"/>
          </w:rPr>
          <w:t>4</w:t>
        </w:r>
        <w:r w:rsidR="00FA0393">
          <w:rPr>
            <w:rFonts w:asciiTheme="minorHAnsi" w:eastAsiaTheme="minorEastAsia" w:hAnsiTheme="minorHAnsi" w:cstheme="minorBidi"/>
            <w:b w:val="0"/>
            <w:color w:val="auto"/>
            <w:sz w:val="22"/>
            <w:szCs w:val="22"/>
            <w:lang w:eastAsia="en-AU"/>
          </w:rPr>
          <w:tab/>
        </w:r>
        <w:r w:rsidR="00FA0393" w:rsidRPr="006D41E2">
          <w:rPr>
            <w:rStyle w:val="Hyperlink"/>
          </w:rPr>
          <w:t>Legislative framework</w:t>
        </w:r>
        <w:r w:rsidR="00FA0393">
          <w:rPr>
            <w:webHidden/>
          </w:rPr>
          <w:tab/>
        </w:r>
        <w:r w:rsidR="00FA0393">
          <w:rPr>
            <w:webHidden/>
          </w:rPr>
          <w:fldChar w:fldCharType="begin"/>
        </w:r>
        <w:r w:rsidR="00FA0393">
          <w:rPr>
            <w:webHidden/>
          </w:rPr>
          <w:instrText xml:space="preserve"> PAGEREF _Toc419813766 \h </w:instrText>
        </w:r>
        <w:r w:rsidR="00FA0393">
          <w:rPr>
            <w:webHidden/>
          </w:rPr>
        </w:r>
        <w:r w:rsidR="00FA0393">
          <w:rPr>
            <w:webHidden/>
          </w:rPr>
          <w:fldChar w:fldCharType="separate"/>
        </w:r>
        <w:r w:rsidR="00F4097E">
          <w:rPr>
            <w:webHidden/>
          </w:rPr>
          <w:t>2</w:t>
        </w:r>
        <w:r w:rsidR="00FA0393">
          <w:rPr>
            <w:webHidden/>
          </w:rPr>
          <w:fldChar w:fldCharType="end"/>
        </w:r>
      </w:hyperlink>
    </w:p>
    <w:p w14:paraId="4095DB36"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67" w:history="1">
        <w:r w:rsidR="00FA0393" w:rsidRPr="006D41E2">
          <w:rPr>
            <w:rStyle w:val="Hyperlink"/>
          </w:rPr>
          <w:t>4.1</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rPr>
          <w:t>Functions of the Commission</w:t>
        </w:r>
        <w:r w:rsidR="00FA0393">
          <w:rPr>
            <w:webHidden/>
          </w:rPr>
          <w:tab/>
        </w:r>
        <w:r w:rsidR="00FA0393">
          <w:rPr>
            <w:webHidden/>
          </w:rPr>
          <w:fldChar w:fldCharType="begin"/>
        </w:r>
        <w:r w:rsidR="00FA0393">
          <w:rPr>
            <w:webHidden/>
          </w:rPr>
          <w:instrText xml:space="preserve"> PAGEREF _Toc419813767 \h </w:instrText>
        </w:r>
        <w:r w:rsidR="00FA0393">
          <w:rPr>
            <w:webHidden/>
          </w:rPr>
        </w:r>
        <w:r w:rsidR="00FA0393">
          <w:rPr>
            <w:webHidden/>
          </w:rPr>
          <w:fldChar w:fldCharType="separate"/>
        </w:r>
        <w:r w:rsidR="00F4097E">
          <w:rPr>
            <w:webHidden/>
          </w:rPr>
          <w:t>2</w:t>
        </w:r>
        <w:r w:rsidR="00FA0393">
          <w:rPr>
            <w:webHidden/>
          </w:rPr>
          <w:fldChar w:fldCharType="end"/>
        </w:r>
      </w:hyperlink>
    </w:p>
    <w:p w14:paraId="5007852D" w14:textId="77777777" w:rsidR="00FA0393" w:rsidRDefault="000A4358">
      <w:pPr>
        <w:pStyle w:val="TOC1"/>
        <w:rPr>
          <w:rFonts w:asciiTheme="minorHAnsi" w:eastAsiaTheme="minorEastAsia" w:hAnsiTheme="minorHAnsi" w:cstheme="minorBidi"/>
          <w:b w:val="0"/>
          <w:color w:val="auto"/>
          <w:sz w:val="22"/>
          <w:szCs w:val="22"/>
          <w:lang w:eastAsia="en-AU"/>
        </w:rPr>
      </w:pPr>
      <w:hyperlink w:anchor="_Toc419813768" w:history="1">
        <w:r w:rsidR="00FA0393" w:rsidRPr="006D41E2">
          <w:rPr>
            <w:rStyle w:val="Hyperlink"/>
          </w:rPr>
          <w:t>5</w:t>
        </w:r>
        <w:r w:rsidR="00FA0393">
          <w:rPr>
            <w:rFonts w:asciiTheme="minorHAnsi" w:eastAsiaTheme="minorEastAsia" w:hAnsiTheme="minorHAnsi" w:cstheme="minorBidi"/>
            <w:b w:val="0"/>
            <w:color w:val="auto"/>
            <w:sz w:val="22"/>
            <w:szCs w:val="22"/>
            <w:lang w:eastAsia="en-AU"/>
          </w:rPr>
          <w:tab/>
        </w:r>
        <w:r w:rsidR="00FA0393" w:rsidRPr="006D41E2">
          <w:rPr>
            <w:rStyle w:val="Hyperlink"/>
          </w:rPr>
          <w:t>Assessment</w:t>
        </w:r>
        <w:r w:rsidR="00FA0393">
          <w:rPr>
            <w:webHidden/>
          </w:rPr>
          <w:tab/>
        </w:r>
        <w:r w:rsidR="00FA0393">
          <w:rPr>
            <w:webHidden/>
          </w:rPr>
          <w:fldChar w:fldCharType="begin"/>
        </w:r>
        <w:r w:rsidR="00FA0393">
          <w:rPr>
            <w:webHidden/>
          </w:rPr>
          <w:instrText xml:space="preserve"> PAGEREF _Toc419813768 \h </w:instrText>
        </w:r>
        <w:r w:rsidR="00FA0393">
          <w:rPr>
            <w:webHidden/>
          </w:rPr>
        </w:r>
        <w:r w:rsidR="00FA0393">
          <w:rPr>
            <w:webHidden/>
          </w:rPr>
          <w:fldChar w:fldCharType="separate"/>
        </w:r>
        <w:r w:rsidR="00F4097E">
          <w:rPr>
            <w:webHidden/>
          </w:rPr>
          <w:t>3</w:t>
        </w:r>
        <w:r w:rsidR="00FA0393">
          <w:rPr>
            <w:webHidden/>
          </w:rPr>
          <w:fldChar w:fldCharType="end"/>
        </w:r>
      </w:hyperlink>
    </w:p>
    <w:p w14:paraId="4B8CF207"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69" w:history="1">
        <w:r w:rsidR="00FA0393" w:rsidRPr="006D41E2">
          <w:rPr>
            <w:rStyle w:val="Hyperlink"/>
            <w:lang w:val="en"/>
          </w:rPr>
          <w:t>5.1</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lang w:val="en"/>
          </w:rPr>
          <w:t>Act or practice of the Commonwealth</w:t>
        </w:r>
        <w:r w:rsidR="00FA0393">
          <w:rPr>
            <w:webHidden/>
          </w:rPr>
          <w:tab/>
        </w:r>
        <w:r w:rsidR="00FA0393">
          <w:rPr>
            <w:webHidden/>
          </w:rPr>
          <w:fldChar w:fldCharType="begin"/>
        </w:r>
        <w:r w:rsidR="00FA0393">
          <w:rPr>
            <w:webHidden/>
          </w:rPr>
          <w:instrText xml:space="preserve"> PAGEREF _Toc419813769 \h </w:instrText>
        </w:r>
        <w:r w:rsidR="00FA0393">
          <w:rPr>
            <w:webHidden/>
          </w:rPr>
        </w:r>
        <w:r w:rsidR="00FA0393">
          <w:rPr>
            <w:webHidden/>
          </w:rPr>
          <w:fldChar w:fldCharType="separate"/>
        </w:r>
        <w:r w:rsidR="00F4097E">
          <w:rPr>
            <w:webHidden/>
          </w:rPr>
          <w:t>3</w:t>
        </w:r>
        <w:r w:rsidR="00FA0393">
          <w:rPr>
            <w:webHidden/>
          </w:rPr>
          <w:fldChar w:fldCharType="end"/>
        </w:r>
      </w:hyperlink>
    </w:p>
    <w:p w14:paraId="792DD8D9"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70" w:history="1">
        <w:r w:rsidR="00FA0393" w:rsidRPr="006D41E2">
          <w:rPr>
            <w:rStyle w:val="Hyperlink"/>
            <w:lang w:val="en"/>
          </w:rPr>
          <w:t>5.2</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lang w:val="en"/>
          </w:rPr>
          <w:t>Inconsistent with or contrary to human rights</w:t>
        </w:r>
        <w:r w:rsidR="00FA0393">
          <w:rPr>
            <w:webHidden/>
          </w:rPr>
          <w:tab/>
        </w:r>
        <w:r w:rsidR="00FA0393">
          <w:rPr>
            <w:webHidden/>
          </w:rPr>
          <w:fldChar w:fldCharType="begin"/>
        </w:r>
        <w:r w:rsidR="00FA0393">
          <w:rPr>
            <w:webHidden/>
          </w:rPr>
          <w:instrText xml:space="preserve"> PAGEREF _Toc419813770 \h </w:instrText>
        </w:r>
        <w:r w:rsidR="00FA0393">
          <w:rPr>
            <w:webHidden/>
          </w:rPr>
        </w:r>
        <w:r w:rsidR="00FA0393">
          <w:rPr>
            <w:webHidden/>
          </w:rPr>
          <w:fldChar w:fldCharType="separate"/>
        </w:r>
        <w:r w:rsidR="00F4097E">
          <w:rPr>
            <w:webHidden/>
          </w:rPr>
          <w:t>3</w:t>
        </w:r>
        <w:r w:rsidR="00FA0393">
          <w:rPr>
            <w:webHidden/>
          </w:rPr>
          <w:fldChar w:fldCharType="end"/>
        </w:r>
      </w:hyperlink>
    </w:p>
    <w:p w14:paraId="6EE4E2A8" w14:textId="77777777" w:rsidR="00FA0393" w:rsidRDefault="000A4358">
      <w:pPr>
        <w:pStyle w:val="TOC1"/>
        <w:rPr>
          <w:rFonts w:asciiTheme="minorHAnsi" w:eastAsiaTheme="minorEastAsia" w:hAnsiTheme="minorHAnsi" w:cstheme="minorBidi"/>
          <w:b w:val="0"/>
          <w:color w:val="auto"/>
          <w:sz w:val="22"/>
          <w:szCs w:val="22"/>
          <w:lang w:eastAsia="en-AU"/>
        </w:rPr>
      </w:pPr>
      <w:hyperlink w:anchor="_Toc419813771" w:history="1">
        <w:r w:rsidR="00FA0393" w:rsidRPr="006D41E2">
          <w:rPr>
            <w:rStyle w:val="Hyperlink"/>
          </w:rPr>
          <w:t>6</w:t>
        </w:r>
        <w:r w:rsidR="00FA0393">
          <w:rPr>
            <w:rFonts w:asciiTheme="minorHAnsi" w:eastAsiaTheme="minorEastAsia" w:hAnsiTheme="minorHAnsi" w:cstheme="minorBidi"/>
            <w:b w:val="0"/>
            <w:color w:val="auto"/>
            <w:sz w:val="22"/>
            <w:szCs w:val="22"/>
            <w:lang w:eastAsia="en-AU"/>
          </w:rPr>
          <w:tab/>
        </w:r>
        <w:r w:rsidR="00FA0393" w:rsidRPr="006D41E2">
          <w:rPr>
            <w:rStyle w:val="Hyperlink"/>
          </w:rPr>
          <w:t>Recommendations</w:t>
        </w:r>
        <w:r w:rsidR="00FA0393">
          <w:rPr>
            <w:webHidden/>
          </w:rPr>
          <w:tab/>
        </w:r>
        <w:r w:rsidR="00FA0393">
          <w:rPr>
            <w:webHidden/>
          </w:rPr>
          <w:fldChar w:fldCharType="begin"/>
        </w:r>
        <w:r w:rsidR="00FA0393">
          <w:rPr>
            <w:webHidden/>
          </w:rPr>
          <w:instrText xml:space="preserve"> PAGEREF _Toc419813771 \h </w:instrText>
        </w:r>
        <w:r w:rsidR="00FA0393">
          <w:rPr>
            <w:webHidden/>
          </w:rPr>
        </w:r>
        <w:r w:rsidR="00FA0393">
          <w:rPr>
            <w:webHidden/>
          </w:rPr>
          <w:fldChar w:fldCharType="separate"/>
        </w:r>
        <w:r w:rsidR="00F4097E">
          <w:rPr>
            <w:webHidden/>
          </w:rPr>
          <w:t>6</w:t>
        </w:r>
        <w:r w:rsidR="00FA0393">
          <w:rPr>
            <w:webHidden/>
          </w:rPr>
          <w:fldChar w:fldCharType="end"/>
        </w:r>
      </w:hyperlink>
    </w:p>
    <w:p w14:paraId="5DD8418A"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72" w:history="1">
        <w:r w:rsidR="00FA0393" w:rsidRPr="006D41E2">
          <w:rPr>
            <w:rStyle w:val="Hyperlink"/>
            <w:lang w:val="en"/>
          </w:rPr>
          <w:t>6.1</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lang w:val="en"/>
          </w:rPr>
          <w:t>Power to make recommendations</w:t>
        </w:r>
        <w:r w:rsidR="00FA0393">
          <w:rPr>
            <w:webHidden/>
          </w:rPr>
          <w:tab/>
        </w:r>
        <w:r w:rsidR="00FA0393">
          <w:rPr>
            <w:webHidden/>
          </w:rPr>
          <w:fldChar w:fldCharType="begin"/>
        </w:r>
        <w:r w:rsidR="00FA0393">
          <w:rPr>
            <w:webHidden/>
          </w:rPr>
          <w:instrText xml:space="preserve"> PAGEREF _Toc419813772 \h </w:instrText>
        </w:r>
        <w:r w:rsidR="00FA0393">
          <w:rPr>
            <w:webHidden/>
          </w:rPr>
        </w:r>
        <w:r w:rsidR="00FA0393">
          <w:rPr>
            <w:webHidden/>
          </w:rPr>
          <w:fldChar w:fldCharType="separate"/>
        </w:r>
        <w:r w:rsidR="00F4097E">
          <w:rPr>
            <w:webHidden/>
          </w:rPr>
          <w:t>6</w:t>
        </w:r>
        <w:r w:rsidR="00FA0393">
          <w:rPr>
            <w:webHidden/>
          </w:rPr>
          <w:fldChar w:fldCharType="end"/>
        </w:r>
      </w:hyperlink>
    </w:p>
    <w:p w14:paraId="4C57245F"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73" w:history="1">
        <w:r w:rsidR="00FA0393" w:rsidRPr="006D41E2">
          <w:rPr>
            <w:rStyle w:val="Hyperlink"/>
          </w:rPr>
          <w:t>6.2</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rPr>
          <w:t xml:space="preserve">Mr </w:t>
        </w:r>
        <w:r w:rsidR="00C97686">
          <w:rPr>
            <w:rStyle w:val="Hyperlink"/>
          </w:rPr>
          <w:t>HG</w:t>
        </w:r>
        <w:r w:rsidR="00FA0393" w:rsidRPr="006D41E2">
          <w:rPr>
            <w:rStyle w:val="Hyperlink"/>
          </w:rPr>
          <w:t>’s submissions</w:t>
        </w:r>
        <w:r w:rsidR="00FA0393">
          <w:rPr>
            <w:webHidden/>
          </w:rPr>
          <w:tab/>
        </w:r>
        <w:r w:rsidR="00FA0393">
          <w:rPr>
            <w:webHidden/>
          </w:rPr>
          <w:fldChar w:fldCharType="begin"/>
        </w:r>
        <w:r w:rsidR="00FA0393">
          <w:rPr>
            <w:webHidden/>
          </w:rPr>
          <w:instrText xml:space="preserve"> PAGEREF _Toc419813773 \h </w:instrText>
        </w:r>
        <w:r w:rsidR="00FA0393">
          <w:rPr>
            <w:webHidden/>
          </w:rPr>
        </w:r>
        <w:r w:rsidR="00FA0393">
          <w:rPr>
            <w:webHidden/>
          </w:rPr>
          <w:fldChar w:fldCharType="separate"/>
        </w:r>
        <w:r w:rsidR="00F4097E">
          <w:rPr>
            <w:webHidden/>
          </w:rPr>
          <w:t>6</w:t>
        </w:r>
        <w:r w:rsidR="00FA0393">
          <w:rPr>
            <w:webHidden/>
          </w:rPr>
          <w:fldChar w:fldCharType="end"/>
        </w:r>
      </w:hyperlink>
    </w:p>
    <w:p w14:paraId="461B372A"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74" w:history="1">
        <w:r w:rsidR="00FA0393" w:rsidRPr="006D41E2">
          <w:rPr>
            <w:rStyle w:val="Hyperlink"/>
          </w:rPr>
          <w:t>6.3</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rPr>
          <w:t>Consideration of compensation</w:t>
        </w:r>
        <w:r w:rsidR="00FA0393">
          <w:rPr>
            <w:webHidden/>
          </w:rPr>
          <w:tab/>
        </w:r>
        <w:r w:rsidR="00FA0393">
          <w:rPr>
            <w:webHidden/>
          </w:rPr>
          <w:fldChar w:fldCharType="begin"/>
        </w:r>
        <w:r w:rsidR="00FA0393">
          <w:rPr>
            <w:webHidden/>
          </w:rPr>
          <w:instrText xml:space="preserve"> PAGEREF _Toc419813774 \h </w:instrText>
        </w:r>
        <w:r w:rsidR="00FA0393">
          <w:rPr>
            <w:webHidden/>
          </w:rPr>
        </w:r>
        <w:r w:rsidR="00FA0393">
          <w:rPr>
            <w:webHidden/>
          </w:rPr>
          <w:fldChar w:fldCharType="separate"/>
        </w:r>
        <w:r w:rsidR="00F4097E">
          <w:rPr>
            <w:webHidden/>
          </w:rPr>
          <w:t>6</w:t>
        </w:r>
        <w:r w:rsidR="00FA0393">
          <w:rPr>
            <w:webHidden/>
          </w:rPr>
          <w:fldChar w:fldCharType="end"/>
        </w:r>
      </w:hyperlink>
    </w:p>
    <w:p w14:paraId="1D201A41"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75" w:history="1">
        <w:r w:rsidR="00FA0393" w:rsidRPr="006D41E2">
          <w:rPr>
            <w:rStyle w:val="Hyperlink"/>
          </w:rPr>
          <w:t>6.4</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rPr>
          <w:t>Recommendation that compensation be paid</w:t>
        </w:r>
        <w:r w:rsidR="00FA0393">
          <w:rPr>
            <w:webHidden/>
          </w:rPr>
          <w:tab/>
        </w:r>
        <w:r w:rsidR="00FA0393">
          <w:rPr>
            <w:webHidden/>
          </w:rPr>
          <w:fldChar w:fldCharType="begin"/>
        </w:r>
        <w:r w:rsidR="00FA0393">
          <w:rPr>
            <w:webHidden/>
          </w:rPr>
          <w:instrText xml:space="preserve"> PAGEREF _Toc419813775 \h </w:instrText>
        </w:r>
        <w:r w:rsidR="00FA0393">
          <w:rPr>
            <w:webHidden/>
          </w:rPr>
        </w:r>
        <w:r w:rsidR="00FA0393">
          <w:rPr>
            <w:webHidden/>
          </w:rPr>
          <w:fldChar w:fldCharType="separate"/>
        </w:r>
        <w:r w:rsidR="00F4097E">
          <w:rPr>
            <w:webHidden/>
          </w:rPr>
          <w:t>8</w:t>
        </w:r>
        <w:r w:rsidR="00FA0393">
          <w:rPr>
            <w:webHidden/>
          </w:rPr>
          <w:fldChar w:fldCharType="end"/>
        </w:r>
      </w:hyperlink>
    </w:p>
    <w:p w14:paraId="739BFAD7"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76" w:history="1">
        <w:r w:rsidR="00FA0393" w:rsidRPr="006D41E2">
          <w:rPr>
            <w:rStyle w:val="Hyperlink"/>
          </w:rPr>
          <w:t>6.5</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rPr>
          <w:t>Apology</w:t>
        </w:r>
        <w:r w:rsidR="00FA0393">
          <w:rPr>
            <w:webHidden/>
          </w:rPr>
          <w:tab/>
        </w:r>
        <w:r w:rsidR="00FA0393">
          <w:rPr>
            <w:webHidden/>
          </w:rPr>
          <w:fldChar w:fldCharType="begin"/>
        </w:r>
        <w:r w:rsidR="00FA0393">
          <w:rPr>
            <w:webHidden/>
          </w:rPr>
          <w:instrText xml:space="preserve"> PAGEREF _Toc419813776 \h </w:instrText>
        </w:r>
        <w:r w:rsidR="00FA0393">
          <w:rPr>
            <w:webHidden/>
          </w:rPr>
        </w:r>
        <w:r w:rsidR="00FA0393">
          <w:rPr>
            <w:webHidden/>
          </w:rPr>
          <w:fldChar w:fldCharType="separate"/>
        </w:r>
        <w:r w:rsidR="00F4097E">
          <w:rPr>
            <w:webHidden/>
          </w:rPr>
          <w:t>9</w:t>
        </w:r>
        <w:r w:rsidR="00FA0393">
          <w:rPr>
            <w:webHidden/>
          </w:rPr>
          <w:fldChar w:fldCharType="end"/>
        </w:r>
      </w:hyperlink>
    </w:p>
    <w:p w14:paraId="41F2F208" w14:textId="77777777" w:rsidR="00FA0393" w:rsidRDefault="000A4358">
      <w:pPr>
        <w:pStyle w:val="TOC2"/>
        <w:rPr>
          <w:rFonts w:asciiTheme="minorHAnsi" w:eastAsiaTheme="minorEastAsia" w:hAnsiTheme="minorHAnsi" w:cstheme="minorBidi"/>
          <w:b w:val="0"/>
          <w:i w:val="0"/>
          <w:color w:val="auto"/>
          <w:sz w:val="22"/>
          <w:szCs w:val="22"/>
          <w:lang w:eastAsia="en-AU"/>
        </w:rPr>
      </w:pPr>
      <w:hyperlink w:anchor="_Toc419813777" w:history="1">
        <w:r w:rsidR="00FA0393" w:rsidRPr="006D41E2">
          <w:rPr>
            <w:rStyle w:val="Hyperlink"/>
          </w:rPr>
          <w:t>6.6</w:t>
        </w:r>
        <w:r w:rsidR="00FA0393">
          <w:rPr>
            <w:rFonts w:asciiTheme="minorHAnsi" w:eastAsiaTheme="minorEastAsia" w:hAnsiTheme="minorHAnsi" w:cstheme="minorBidi"/>
            <w:b w:val="0"/>
            <w:i w:val="0"/>
            <w:color w:val="auto"/>
            <w:sz w:val="22"/>
            <w:szCs w:val="22"/>
            <w:lang w:eastAsia="en-AU"/>
          </w:rPr>
          <w:tab/>
        </w:r>
        <w:r w:rsidR="00FA0393" w:rsidRPr="006D41E2">
          <w:rPr>
            <w:rStyle w:val="Hyperlink"/>
          </w:rPr>
          <w:t>Other considerations</w:t>
        </w:r>
        <w:r w:rsidR="00FA0393">
          <w:rPr>
            <w:webHidden/>
          </w:rPr>
          <w:tab/>
        </w:r>
        <w:r w:rsidR="00FA0393">
          <w:rPr>
            <w:webHidden/>
          </w:rPr>
          <w:fldChar w:fldCharType="begin"/>
        </w:r>
        <w:r w:rsidR="00FA0393">
          <w:rPr>
            <w:webHidden/>
          </w:rPr>
          <w:instrText xml:space="preserve"> PAGEREF _Toc419813777 \h </w:instrText>
        </w:r>
        <w:r w:rsidR="00FA0393">
          <w:rPr>
            <w:webHidden/>
          </w:rPr>
        </w:r>
        <w:r w:rsidR="00FA0393">
          <w:rPr>
            <w:webHidden/>
          </w:rPr>
          <w:fldChar w:fldCharType="separate"/>
        </w:r>
        <w:r w:rsidR="00F4097E">
          <w:rPr>
            <w:webHidden/>
          </w:rPr>
          <w:t>9</w:t>
        </w:r>
        <w:r w:rsidR="00FA0393">
          <w:rPr>
            <w:webHidden/>
          </w:rPr>
          <w:fldChar w:fldCharType="end"/>
        </w:r>
      </w:hyperlink>
    </w:p>
    <w:p w14:paraId="203BF45A" w14:textId="77777777" w:rsidR="00FA0393" w:rsidRDefault="000A4358">
      <w:pPr>
        <w:pStyle w:val="TOC1"/>
        <w:rPr>
          <w:rFonts w:asciiTheme="minorHAnsi" w:eastAsiaTheme="minorEastAsia" w:hAnsiTheme="minorHAnsi" w:cstheme="minorBidi"/>
          <w:b w:val="0"/>
          <w:color w:val="auto"/>
          <w:sz w:val="22"/>
          <w:szCs w:val="22"/>
          <w:lang w:eastAsia="en-AU"/>
        </w:rPr>
      </w:pPr>
      <w:hyperlink w:anchor="_Toc419813778" w:history="1">
        <w:r w:rsidR="00FA0393" w:rsidRPr="006D41E2">
          <w:rPr>
            <w:rStyle w:val="Hyperlink"/>
          </w:rPr>
          <w:t>7</w:t>
        </w:r>
        <w:r w:rsidR="00FA0393">
          <w:rPr>
            <w:rFonts w:asciiTheme="minorHAnsi" w:eastAsiaTheme="minorEastAsia" w:hAnsiTheme="minorHAnsi" w:cstheme="minorBidi"/>
            <w:b w:val="0"/>
            <w:color w:val="auto"/>
            <w:sz w:val="22"/>
            <w:szCs w:val="22"/>
            <w:lang w:eastAsia="en-AU"/>
          </w:rPr>
          <w:tab/>
        </w:r>
        <w:r w:rsidR="00FA0393" w:rsidRPr="006D41E2">
          <w:rPr>
            <w:rStyle w:val="Hyperlink"/>
          </w:rPr>
          <w:t>Department’s response</w:t>
        </w:r>
        <w:r w:rsidR="00FA0393">
          <w:rPr>
            <w:webHidden/>
          </w:rPr>
          <w:tab/>
        </w:r>
        <w:r w:rsidR="00FA0393">
          <w:rPr>
            <w:webHidden/>
          </w:rPr>
          <w:fldChar w:fldCharType="begin"/>
        </w:r>
        <w:r w:rsidR="00FA0393">
          <w:rPr>
            <w:webHidden/>
          </w:rPr>
          <w:instrText xml:space="preserve"> PAGEREF _Toc419813778 \h </w:instrText>
        </w:r>
        <w:r w:rsidR="00FA0393">
          <w:rPr>
            <w:webHidden/>
          </w:rPr>
        </w:r>
        <w:r w:rsidR="00FA0393">
          <w:rPr>
            <w:webHidden/>
          </w:rPr>
          <w:fldChar w:fldCharType="separate"/>
        </w:r>
        <w:r w:rsidR="00F4097E">
          <w:rPr>
            <w:webHidden/>
          </w:rPr>
          <w:t>9</w:t>
        </w:r>
        <w:r w:rsidR="00FA0393">
          <w:rPr>
            <w:webHidden/>
          </w:rPr>
          <w:fldChar w:fldCharType="end"/>
        </w:r>
      </w:hyperlink>
    </w:p>
    <w:p w14:paraId="3719D333" w14:textId="77777777" w:rsidR="00AE50C0" w:rsidRDefault="00AE50C0" w:rsidP="00685461">
      <w:pPr>
        <w:spacing w:line="480" w:lineRule="auto"/>
        <w:rPr>
          <w:rFonts w:cs="Arial"/>
          <w:b/>
          <w:szCs w:val="24"/>
        </w:rPr>
      </w:pPr>
      <w:r w:rsidRPr="000263C1">
        <w:rPr>
          <w:rFonts w:cs="Arial"/>
          <w:b/>
          <w:szCs w:val="24"/>
        </w:rPr>
        <w:fldChar w:fldCharType="end"/>
      </w:r>
    </w:p>
    <w:p w14:paraId="74C80F56" w14:textId="77777777" w:rsidR="00AE50C0" w:rsidRDefault="00AE50C0" w:rsidP="00685461">
      <w:pPr>
        <w:spacing w:line="480" w:lineRule="auto"/>
        <w:rPr>
          <w:rFonts w:cs="Arial"/>
          <w:b/>
          <w:szCs w:val="24"/>
        </w:rPr>
      </w:pPr>
    </w:p>
    <w:p w14:paraId="3A013ED8" w14:textId="77777777" w:rsidR="00AE50C0" w:rsidRPr="00DF65BF" w:rsidRDefault="00AE50C0" w:rsidP="00685461">
      <w:pPr>
        <w:spacing w:before="0" w:after="0"/>
        <w:rPr>
          <w:rFonts w:cs="Arial"/>
          <w:color w:val="auto"/>
          <w:spacing w:val="-5"/>
          <w:szCs w:val="24"/>
        </w:rPr>
      </w:pPr>
      <w:r w:rsidRPr="00AB4AED">
        <w:rPr>
          <w:rFonts w:cs="Arial"/>
          <w:szCs w:val="24"/>
        </w:rPr>
        <w:br w:type="page"/>
      </w:r>
      <w:r w:rsidR="00C304F2">
        <w:rPr>
          <w:rFonts w:cs="Arial"/>
          <w:szCs w:val="24"/>
        </w:rPr>
        <w:lastRenderedPageBreak/>
        <w:br/>
      </w:r>
      <w:r w:rsidR="00C304F2">
        <w:rPr>
          <w:rFonts w:cs="Arial"/>
          <w:szCs w:val="24"/>
        </w:rPr>
        <w:br/>
      </w:r>
      <w:r w:rsidR="006F43ED">
        <w:rPr>
          <w:szCs w:val="24"/>
          <w:lang w:eastAsia="en-AU"/>
        </w:rPr>
        <w:t xml:space="preserve">June </w:t>
      </w:r>
      <w:r>
        <w:rPr>
          <w:szCs w:val="24"/>
          <w:lang w:eastAsia="en-AU"/>
        </w:rPr>
        <w:t>2015</w:t>
      </w:r>
    </w:p>
    <w:p w14:paraId="5CD4ADD2" w14:textId="77777777" w:rsidR="00AE50C0" w:rsidRDefault="00AE50C0" w:rsidP="00685461">
      <w:pPr>
        <w:keepNext/>
        <w:rPr>
          <w:szCs w:val="24"/>
          <w:lang w:eastAsia="en-AU"/>
        </w:rPr>
      </w:pPr>
      <w:r>
        <w:rPr>
          <w:szCs w:val="24"/>
          <w:lang w:eastAsia="en-AU"/>
        </w:rPr>
        <w:br/>
        <w:t>Senator t</w:t>
      </w:r>
      <w:r w:rsidRPr="00E46988">
        <w:rPr>
          <w:szCs w:val="24"/>
          <w:lang w:eastAsia="en-AU"/>
        </w:rPr>
        <w:t>he Hon</w:t>
      </w:r>
      <w:r>
        <w:rPr>
          <w:szCs w:val="24"/>
          <w:lang w:eastAsia="en-AU"/>
        </w:rPr>
        <w:t>.</w:t>
      </w:r>
      <w:r w:rsidRPr="00E46988">
        <w:rPr>
          <w:szCs w:val="24"/>
          <w:lang w:eastAsia="en-AU"/>
        </w:rPr>
        <w:t xml:space="preserve"> </w:t>
      </w:r>
      <w:r>
        <w:rPr>
          <w:szCs w:val="24"/>
          <w:lang w:eastAsia="en-AU"/>
        </w:rPr>
        <w:t>George Brandis QC</w:t>
      </w:r>
      <w:r>
        <w:rPr>
          <w:szCs w:val="24"/>
          <w:lang w:eastAsia="en-AU"/>
        </w:rPr>
        <w:br/>
        <w:t>Attorney-</w:t>
      </w:r>
      <w:r w:rsidRPr="00E46988">
        <w:rPr>
          <w:szCs w:val="24"/>
          <w:lang w:eastAsia="en-AU"/>
        </w:rPr>
        <w:t>General</w:t>
      </w:r>
      <w:r w:rsidRPr="00E46988">
        <w:rPr>
          <w:szCs w:val="24"/>
          <w:lang w:eastAsia="en-AU"/>
        </w:rPr>
        <w:br/>
        <w:t>Parliament House</w:t>
      </w:r>
      <w:r w:rsidRPr="00E46988">
        <w:rPr>
          <w:szCs w:val="24"/>
          <w:lang w:eastAsia="en-AU"/>
        </w:rPr>
        <w:br/>
      </w:r>
      <w:r>
        <w:rPr>
          <w:szCs w:val="24"/>
          <w:lang w:eastAsia="en-AU"/>
        </w:rPr>
        <w:t xml:space="preserve">Canberra </w:t>
      </w:r>
      <w:r w:rsidRPr="00E46988">
        <w:rPr>
          <w:szCs w:val="24"/>
          <w:lang w:eastAsia="en-AU"/>
        </w:rPr>
        <w:t>ACT</w:t>
      </w:r>
      <w:r>
        <w:rPr>
          <w:szCs w:val="24"/>
          <w:lang w:eastAsia="en-AU"/>
        </w:rPr>
        <w:t xml:space="preserve"> </w:t>
      </w:r>
      <w:r w:rsidRPr="00E46988">
        <w:rPr>
          <w:szCs w:val="24"/>
          <w:lang w:eastAsia="en-AU"/>
        </w:rPr>
        <w:t>2600</w:t>
      </w:r>
    </w:p>
    <w:p w14:paraId="661D4AD2" w14:textId="77777777" w:rsidR="00AE50C0" w:rsidRPr="00E46988" w:rsidRDefault="00AE50C0" w:rsidP="00C304F2">
      <w:pPr>
        <w:keepNext/>
        <w:rPr>
          <w:szCs w:val="24"/>
          <w:lang w:eastAsia="en-AU"/>
        </w:rPr>
      </w:pPr>
      <w:r w:rsidRPr="00E46988">
        <w:rPr>
          <w:szCs w:val="24"/>
          <w:lang w:eastAsia="en-AU"/>
        </w:rPr>
        <w:br/>
        <w:t>Dear Attorney</w:t>
      </w:r>
      <w:r>
        <w:rPr>
          <w:szCs w:val="24"/>
          <w:lang w:eastAsia="en-AU"/>
        </w:rPr>
        <w:t>,</w:t>
      </w:r>
      <w:r w:rsidRPr="00E46988">
        <w:rPr>
          <w:szCs w:val="24"/>
          <w:lang w:eastAsia="en-AU"/>
        </w:rPr>
        <w:br/>
      </w:r>
      <w:r w:rsidRPr="00E46988">
        <w:rPr>
          <w:szCs w:val="24"/>
          <w:lang w:eastAsia="en-AU"/>
        </w:rPr>
        <w:br/>
        <w:t xml:space="preserve">I </w:t>
      </w:r>
      <w:r>
        <w:rPr>
          <w:szCs w:val="24"/>
          <w:lang w:eastAsia="en-AU"/>
        </w:rPr>
        <w:t xml:space="preserve">have completed my </w:t>
      </w:r>
      <w:r w:rsidRPr="00E46988">
        <w:rPr>
          <w:szCs w:val="24"/>
          <w:lang w:eastAsia="en-AU"/>
        </w:rPr>
        <w:t xml:space="preserve">report </w:t>
      </w:r>
      <w:r>
        <w:rPr>
          <w:szCs w:val="24"/>
          <w:lang w:eastAsia="en-AU"/>
        </w:rPr>
        <w:t xml:space="preserve">pursuant </w:t>
      </w:r>
      <w:r w:rsidRPr="00E46988">
        <w:rPr>
          <w:szCs w:val="24"/>
          <w:lang w:eastAsia="en-AU"/>
        </w:rPr>
        <w:t xml:space="preserve">to </w:t>
      </w:r>
      <w:r>
        <w:rPr>
          <w:szCs w:val="24"/>
          <w:lang w:eastAsia="en-AU"/>
        </w:rPr>
        <w:t>s </w:t>
      </w:r>
      <w:r w:rsidRPr="00E46988">
        <w:rPr>
          <w:szCs w:val="24"/>
          <w:lang w:eastAsia="en-AU"/>
        </w:rPr>
        <w:t xml:space="preserve">11(1)(f)(ii) of the </w:t>
      </w:r>
      <w:r w:rsidRPr="00E46988">
        <w:rPr>
          <w:i/>
          <w:szCs w:val="24"/>
          <w:lang w:eastAsia="en-AU"/>
        </w:rPr>
        <w:t>Australian Human Rights Commission Act 1986</w:t>
      </w:r>
      <w:r w:rsidRPr="00E46988">
        <w:rPr>
          <w:szCs w:val="24"/>
          <w:lang w:eastAsia="en-AU"/>
        </w:rPr>
        <w:t xml:space="preserve"> (Cth) into the complaint made by</w:t>
      </w:r>
      <w:r>
        <w:rPr>
          <w:szCs w:val="24"/>
          <w:lang w:eastAsia="en-AU"/>
        </w:rPr>
        <w:t xml:space="preserve"> </w:t>
      </w:r>
      <w:r w:rsidRPr="00DE05DF">
        <w:rPr>
          <w:rFonts w:cs="Arial"/>
          <w:szCs w:val="24"/>
        </w:rPr>
        <w:t xml:space="preserve">Mr </w:t>
      </w:r>
      <w:r w:rsidR="0081716E">
        <w:rPr>
          <w:rFonts w:cs="Arial"/>
          <w:szCs w:val="24"/>
        </w:rPr>
        <w:t>HG</w:t>
      </w:r>
      <w:r w:rsidRPr="00DE05DF">
        <w:rPr>
          <w:rFonts w:cs="Arial"/>
          <w:szCs w:val="24"/>
        </w:rPr>
        <w:t xml:space="preserve"> against the Commonwealth of Australia – Department of Immigration and </w:t>
      </w:r>
      <w:r>
        <w:rPr>
          <w:rFonts w:cs="Arial"/>
          <w:szCs w:val="24"/>
        </w:rPr>
        <w:t>Border Protection .</w:t>
      </w:r>
    </w:p>
    <w:p w14:paraId="0CCC4BF5" w14:textId="77777777" w:rsidR="00AE50C0" w:rsidRPr="000934B0" w:rsidRDefault="00AE50C0" w:rsidP="00C304F2">
      <w:pPr>
        <w:jc w:val="both"/>
        <w:rPr>
          <w:szCs w:val="24"/>
        </w:rPr>
      </w:pPr>
      <w:r w:rsidRPr="000934B0">
        <w:rPr>
          <w:szCs w:val="24"/>
        </w:rPr>
        <w:t xml:space="preserve">I have found that Mr </w:t>
      </w:r>
      <w:r w:rsidR="00C97686">
        <w:rPr>
          <w:rFonts w:cs="Arial"/>
          <w:szCs w:val="24"/>
        </w:rPr>
        <w:t>HG</w:t>
      </w:r>
      <w:r w:rsidR="00143230">
        <w:rPr>
          <w:rFonts w:cs="Arial"/>
          <w:szCs w:val="24"/>
        </w:rPr>
        <w:t>’s</w:t>
      </w:r>
      <w:r w:rsidR="00143230" w:rsidRPr="00DE05DF">
        <w:rPr>
          <w:rFonts w:cs="Arial"/>
          <w:szCs w:val="24"/>
        </w:rPr>
        <w:t xml:space="preserve"> </w:t>
      </w:r>
      <w:r w:rsidRPr="000934B0">
        <w:rPr>
          <w:szCs w:val="24"/>
        </w:rPr>
        <w:t>detention</w:t>
      </w:r>
      <w:r>
        <w:rPr>
          <w:szCs w:val="24"/>
        </w:rPr>
        <w:t xml:space="preserve"> at </w:t>
      </w:r>
      <w:r w:rsidR="00F52DE5" w:rsidRPr="00092F2F">
        <w:rPr>
          <w:szCs w:val="24"/>
          <w:lang w:val="en-US" w:eastAsia="en-AU" w:bidi="en-US"/>
        </w:rPr>
        <w:t>North West Point Immigr</w:t>
      </w:r>
      <w:r w:rsidR="00F52DE5">
        <w:rPr>
          <w:szCs w:val="24"/>
          <w:lang w:val="en-US" w:eastAsia="en-AU" w:bidi="en-US"/>
        </w:rPr>
        <w:t xml:space="preserve">ation Detention Centre, </w:t>
      </w:r>
      <w:r w:rsidR="00F52DE5" w:rsidRPr="00092F2F">
        <w:rPr>
          <w:szCs w:val="24"/>
          <w:lang w:val="en-US" w:eastAsia="en-AU" w:bidi="en-US"/>
        </w:rPr>
        <w:t xml:space="preserve">Perth Immigration Detention Centre </w:t>
      </w:r>
      <w:r w:rsidR="00F52DE5">
        <w:rPr>
          <w:szCs w:val="24"/>
          <w:lang w:val="en-US" w:eastAsia="en-AU" w:bidi="en-US"/>
        </w:rPr>
        <w:t xml:space="preserve">and </w:t>
      </w:r>
      <w:r w:rsidR="00F52DE5" w:rsidRPr="00092F2F">
        <w:rPr>
          <w:szCs w:val="24"/>
          <w:lang w:val="en-US" w:eastAsia="en-AU" w:bidi="en-US"/>
        </w:rPr>
        <w:t>Maribyrnong Immi</w:t>
      </w:r>
      <w:r w:rsidR="00F52DE5">
        <w:rPr>
          <w:szCs w:val="24"/>
          <w:lang w:val="en-US" w:eastAsia="en-AU" w:bidi="en-US"/>
        </w:rPr>
        <w:t xml:space="preserve">gration Detention Centre </w:t>
      </w:r>
      <w:r w:rsidRPr="000934B0">
        <w:rPr>
          <w:szCs w:val="24"/>
        </w:rPr>
        <w:t xml:space="preserve">from </w:t>
      </w:r>
      <w:r w:rsidR="00143230" w:rsidRPr="009C0C26">
        <w:rPr>
          <w:szCs w:val="24"/>
          <w:lang w:val="en"/>
        </w:rPr>
        <w:t xml:space="preserve">26 June 2010 until </w:t>
      </w:r>
      <w:r w:rsidR="00143230" w:rsidRPr="009C0C26">
        <w:rPr>
          <w:szCs w:val="24"/>
          <w:lang w:eastAsia="en-AU"/>
        </w:rPr>
        <w:t>21 May 2012</w:t>
      </w:r>
      <w:r w:rsidR="00143230">
        <w:rPr>
          <w:szCs w:val="24"/>
          <w:lang w:eastAsia="en-AU"/>
        </w:rPr>
        <w:t xml:space="preserve"> </w:t>
      </w:r>
      <w:r w:rsidRPr="000934B0">
        <w:rPr>
          <w:szCs w:val="24"/>
        </w:rPr>
        <w:t>was arbitrary within the meaning of article 9(1) of the</w:t>
      </w:r>
      <w:r w:rsidRPr="001A6770">
        <w:rPr>
          <w:rFonts w:cs="Arial"/>
          <w:i/>
          <w:szCs w:val="24"/>
        </w:rPr>
        <w:t xml:space="preserve"> </w:t>
      </w:r>
      <w:r w:rsidRPr="007560F1">
        <w:rPr>
          <w:rFonts w:cs="Arial"/>
          <w:i/>
          <w:szCs w:val="24"/>
        </w:rPr>
        <w:t>International Covenant on Civil and Political Rights</w:t>
      </w:r>
      <w:r w:rsidR="008E0FF5">
        <w:rPr>
          <w:rFonts w:cs="Arial"/>
          <w:szCs w:val="24"/>
        </w:rPr>
        <w:t xml:space="preserve"> (ICCPR).</w:t>
      </w:r>
    </w:p>
    <w:p w14:paraId="148ABE8A" w14:textId="77777777" w:rsidR="00AE50C0" w:rsidRDefault="00AE50C0" w:rsidP="00C304F2">
      <w:pPr>
        <w:jc w:val="both"/>
        <w:rPr>
          <w:rFonts w:cs="Arial"/>
          <w:szCs w:val="24"/>
        </w:rPr>
      </w:pPr>
      <w:r>
        <w:rPr>
          <w:rFonts w:cs="Arial"/>
          <w:szCs w:val="24"/>
        </w:rPr>
        <w:t xml:space="preserve">In light of my findings, I recommend that </w:t>
      </w:r>
      <w:r w:rsidRPr="00114A06">
        <w:rPr>
          <w:rFonts w:cs="Arial"/>
          <w:szCs w:val="24"/>
        </w:rPr>
        <w:t xml:space="preserve">the Commonwealth pay compensation </w:t>
      </w:r>
      <w:r w:rsidR="00F3434D">
        <w:rPr>
          <w:rFonts w:cs="Arial"/>
          <w:szCs w:val="24"/>
        </w:rPr>
        <w:t>and apologise</w:t>
      </w:r>
      <w:r w:rsidR="00F3434D" w:rsidRPr="00114A06">
        <w:rPr>
          <w:rFonts w:cs="Arial"/>
          <w:szCs w:val="24"/>
        </w:rPr>
        <w:t xml:space="preserve"> </w:t>
      </w:r>
      <w:r w:rsidRPr="00114A06">
        <w:rPr>
          <w:rFonts w:cs="Arial"/>
          <w:szCs w:val="24"/>
        </w:rPr>
        <w:t xml:space="preserve">to Mr </w:t>
      </w:r>
      <w:r w:rsidR="00201212">
        <w:rPr>
          <w:rFonts w:cs="Arial"/>
          <w:szCs w:val="24"/>
        </w:rPr>
        <w:t>HG</w:t>
      </w:r>
      <w:r w:rsidRPr="00114A06">
        <w:rPr>
          <w:rFonts w:cs="Arial"/>
          <w:szCs w:val="24"/>
        </w:rPr>
        <w:t>.</w:t>
      </w:r>
    </w:p>
    <w:p w14:paraId="29BC6104" w14:textId="77777777" w:rsidR="00AE50C0" w:rsidRPr="009D5F54" w:rsidRDefault="00AE50C0" w:rsidP="00C304F2">
      <w:pPr>
        <w:jc w:val="both"/>
        <w:rPr>
          <w:rFonts w:cs="Arial"/>
          <w:szCs w:val="24"/>
        </w:rPr>
      </w:pPr>
      <w:r w:rsidRPr="009D5F54">
        <w:rPr>
          <w:szCs w:val="24"/>
          <w:lang w:eastAsia="en-AU"/>
        </w:rPr>
        <w:t xml:space="preserve">By letter dated </w:t>
      </w:r>
      <w:r>
        <w:rPr>
          <w:szCs w:val="24"/>
          <w:lang w:eastAsia="en-AU"/>
        </w:rPr>
        <w:t xml:space="preserve">15 May 2015 </w:t>
      </w:r>
      <w:r w:rsidRPr="009D5F54">
        <w:rPr>
          <w:szCs w:val="24"/>
          <w:lang w:eastAsia="en-AU"/>
        </w:rPr>
        <w:t xml:space="preserve">the </w:t>
      </w:r>
      <w:r>
        <w:rPr>
          <w:szCs w:val="24"/>
          <w:lang w:eastAsia="en-AU"/>
        </w:rPr>
        <w:t>D</w:t>
      </w:r>
      <w:r w:rsidRPr="009D5F54">
        <w:rPr>
          <w:szCs w:val="24"/>
          <w:lang w:eastAsia="en-AU"/>
        </w:rPr>
        <w:t>epartment pr</w:t>
      </w:r>
      <w:r>
        <w:rPr>
          <w:szCs w:val="24"/>
          <w:lang w:eastAsia="en-AU"/>
        </w:rPr>
        <w:t>ovided a response to my findings and recommendation</w:t>
      </w:r>
      <w:r w:rsidR="00764262">
        <w:rPr>
          <w:szCs w:val="24"/>
          <w:lang w:eastAsia="en-AU"/>
        </w:rPr>
        <w:t>s</w:t>
      </w:r>
      <w:r w:rsidRPr="009D5F54">
        <w:rPr>
          <w:szCs w:val="24"/>
          <w:lang w:eastAsia="en-AU"/>
        </w:rPr>
        <w:t xml:space="preserve">. </w:t>
      </w:r>
      <w:r>
        <w:rPr>
          <w:szCs w:val="24"/>
          <w:lang w:eastAsia="en-AU"/>
        </w:rPr>
        <w:t>I have outlined the Department’s response in part 7 of this report.</w:t>
      </w:r>
    </w:p>
    <w:p w14:paraId="3AE2A8BA" w14:textId="77777777" w:rsidR="00AE50C0" w:rsidRDefault="00AE50C0" w:rsidP="00685461">
      <w:pPr>
        <w:rPr>
          <w:szCs w:val="24"/>
          <w:lang w:eastAsia="en-AU"/>
        </w:rPr>
      </w:pPr>
      <w:r>
        <w:rPr>
          <w:szCs w:val="24"/>
          <w:lang w:eastAsia="en-AU"/>
        </w:rPr>
        <w:t>I enclose a copy of my report.</w:t>
      </w:r>
    </w:p>
    <w:p w14:paraId="246FABFB" w14:textId="77777777" w:rsidR="00AE50C0" w:rsidRDefault="00AE50C0" w:rsidP="00C304F2">
      <w:pPr>
        <w:keepNext/>
        <w:keepLines/>
        <w:jc w:val="both"/>
      </w:pPr>
      <w:r w:rsidRPr="00E46988">
        <w:rPr>
          <w:rFonts w:cs="ArialMT"/>
          <w:szCs w:val="24"/>
          <w:lang w:val="en-US" w:bidi="en-US"/>
        </w:rPr>
        <w:t>Yours sincerely</w:t>
      </w:r>
      <w:r>
        <w:rPr>
          <w:rFonts w:cs="ArialMT"/>
          <w:szCs w:val="24"/>
          <w:lang w:val="en-US" w:bidi="en-US"/>
        </w:rPr>
        <w:t>,</w:t>
      </w:r>
    </w:p>
    <w:p w14:paraId="6B258FCD" w14:textId="77777777" w:rsidR="00AE50C0" w:rsidRDefault="00C304F2" w:rsidP="00C304F2">
      <w:pPr>
        <w:ind w:left="-284"/>
        <w:rPr>
          <w:noProof/>
          <w:lang w:eastAsia="en-AU"/>
        </w:rPr>
      </w:pPr>
      <w:r>
        <w:rPr>
          <w:rFonts w:cs="Arial"/>
          <w:b/>
          <w:bCs/>
          <w:noProof/>
          <w:lang w:eastAsia="en-AU"/>
        </w:rPr>
        <w:drawing>
          <wp:inline distT="0" distB="0" distL="0" distR="0" wp14:anchorId="1E3B7B65" wp14:editId="6AF99919">
            <wp:extent cx="1828800" cy="1079863"/>
            <wp:effectExtent l="0" t="0" r="0" b="6350"/>
            <wp:docPr id="1" name="Picture 1" descr="cid:image001.png@01D03A46.C71F3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3A46.C71F3F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37496" cy="1084998"/>
                    </a:xfrm>
                    <a:prstGeom prst="rect">
                      <a:avLst/>
                    </a:prstGeom>
                    <a:noFill/>
                    <a:ln>
                      <a:noFill/>
                    </a:ln>
                  </pic:spPr>
                </pic:pic>
              </a:graphicData>
            </a:graphic>
          </wp:inline>
        </w:drawing>
      </w:r>
    </w:p>
    <w:p w14:paraId="1B0AA097" w14:textId="77777777" w:rsidR="00AE50C0" w:rsidRPr="001034C2" w:rsidRDefault="00AE50C0" w:rsidP="00685461">
      <w:pPr>
        <w:spacing w:before="0" w:after="0"/>
        <w:rPr>
          <w:szCs w:val="24"/>
        </w:rPr>
      </w:pPr>
      <w:r>
        <w:rPr>
          <w:szCs w:val="24"/>
        </w:rPr>
        <w:t>Gillian Triggs</w:t>
      </w:r>
    </w:p>
    <w:p w14:paraId="01BF70BD" w14:textId="77777777" w:rsidR="00AE50C0" w:rsidRPr="001034C2" w:rsidRDefault="00AE50C0" w:rsidP="00685461">
      <w:pPr>
        <w:spacing w:before="0" w:after="0"/>
        <w:rPr>
          <w:szCs w:val="24"/>
        </w:rPr>
      </w:pPr>
      <w:r w:rsidRPr="001034C2">
        <w:rPr>
          <w:b/>
          <w:szCs w:val="24"/>
        </w:rPr>
        <w:t>President</w:t>
      </w:r>
      <w:r w:rsidRPr="001034C2">
        <w:rPr>
          <w:szCs w:val="24"/>
        </w:rPr>
        <w:t xml:space="preserve"> </w:t>
      </w:r>
    </w:p>
    <w:p w14:paraId="2854B8C3" w14:textId="77777777" w:rsidR="00AE50C0" w:rsidRDefault="00AE50C0" w:rsidP="00685461">
      <w:pPr>
        <w:spacing w:before="0" w:after="0"/>
        <w:rPr>
          <w:szCs w:val="24"/>
        </w:rPr>
        <w:sectPr w:rsidR="00AE50C0" w:rsidSect="00B65E69">
          <w:footerReference w:type="default" r:id="rId17"/>
          <w:endnotePr>
            <w:numFmt w:val="decimal"/>
          </w:endnotePr>
          <w:pgSz w:w="11906" w:h="16838" w:code="9"/>
          <w:pgMar w:top="1134" w:right="1418" w:bottom="1134" w:left="1418" w:header="709" w:footer="709" w:gutter="0"/>
          <w:pgNumType w:start="1"/>
          <w:cols w:space="708"/>
          <w:docGrid w:linePitch="360"/>
        </w:sectPr>
      </w:pPr>
      <w:r w:rsidRPr="001034C2">
        <w:rPr>
          <w:szCs w:val="24"/>
        </w:rPr>
        <w:t>Australian Human Rights Commission</w:t>
      </w:r>
    </w:p>
    <w:p w14:paraId="5540C9DD" w14:textId="77777777" w:rsidR="00AE50C0" w:rsidRPr="00C168A1" w:rsidRDefault="00AE50C0" w:rsidP="00685461">
      <w:pPr>
        <w:pStyle w:val="Heading1"/>
        <w:spacing w:before="0"/>
      </w:pPr>
      <w:bookmarkStart w:id="1" w:name="_Toc419813760"/>
      <w:r w:rsidRPr="00C168A1">
        <w:lastRenderedPageBreak/>
        <w:t>Introduction</w:t>
      </w:r>
      <w:bookmarkEnd w:id="1"/>
    </w:p>
    <w:p w14:paraId="318CF688" w14:textId="77777777" w:rsidR="009E0D4C" w:rsidRPr="00DD36E8" w:rsidRDefault="00AE50C0" w:rsidP="00685461">
      <w:pPr>
        <w:numPr>
          <w:ilvl w:val="0"/>
          <w:numId w:val="7"/>
        </w:numPr>
        <w:rPr>
          <w:szCs w:val="24"/>
        </w:rPr>
      </w:pPr>
      <w:r w:rsidRPr="00753E28">
        <w:rPr>
          <w:szCs w:val="24"/>
        </w:rPr>
        <w:t xml:space="preserve">This is a </w:t>
      </w:r>
      <w:r w:rsidR="00143230">
        <w:rPr>
          <w:szCs w:val="24"/>
        </w:rPr>
        <w:t>report</w:t>
      </w:r>
      <w:r w:rsidRPr="00753E28">
        <w:rPr>
          <w:szCs w:val="24"/>
        </w:rPr>
        <w:t xml:space="preserve"> setting out the findings of the Australian Human Rights </w:t>
      </w:r>
      <w:r w:rsidRPr="00DD36E8">
        <w:rPr>
          <w:szCs w:val="24"/>
        </w:rPr>
        <w:t xml:space="preserve">Commission (the Commission) and the reasons for those findings following an inquiry by the Commission into the complaint lodged by Mr </w:t>
      </w:r>
      <w:r w:rsidR="009E0D4C" w:rsidRPr="00DD36E8">
        <w:rPr>
          <w:szCs w:val="24"/>
        </w:rPr>
        <w:t>HG</w:t>
      </w:r>
      <w:r w:rsidRPr="00DD36E8">
        <w:rPr>
          <w:szCs w:val="24"/>
        </w:rPr>
        <w:t>.</w:t>
      </w:r>
    </w:p>
    <w:p w14:paraId="07DA91AE" w14:textId="01E13681" w:rsidR="00AE50C0" w:rsidRPr="00DD36E8" w:rsidRDefault="009E0D4C" w:rsidP="009E0D4C">
      <w:pPr>
        <w:numPr>
          <w:ilvl w:val="0"/>
          <w:numId w:val="7"/>
        </w:numPr>
        <w:rPr>
          <w:szCs w:val="24"/>
        </w:rPr>
      </w:pPr>
      <w:r w:rsidRPr="00DD36E8">
        <w:rPr>
          <w:szCs w:val="24"/>
        </w:rPr>
        <w:t xml:space="preserve">Mr HG has asked that he not be referred to by name in this report. I consider that the preservation of the anonymity of Mr HG is necessary to protect his privacy. Accordingly, I have given a direction pursuant to s 14(2) of the </w:t>
      </w:r>
      <w:r w:rsidR="00DB2FDC" w:rsidRPr="00664FFC">
        <w:rPr>
          <w:i/>
        </w:rPr>
        <w:t xml:space="preserve">Australian Human Rights Commission Act 1986 </w:t>
      </w:r>
      <w:r w:rsidR="00DB2FDC" w:rsidRPr="00664FFC">
        <w:t>(Cth) (AHRC Act)</w:t>
      </w:r>
      <w:r w:rsidRPr="00DD36E8">
        <w:rPr>
          <w:szCs w:val="24"/>
        </w:rPr>
        <w:t xml:space="preserve"> and have referred to him throughout as Mr HG.</w:t>
      </w:r>
      <w:r w:rsidR="00AE50C0" w:rsidRPr="00DD36E8">
        <w:rPr>
          <w:szCs w:val="24"/>
        </w:rPr>
        <w:t xml:space="preserve"> </w:t>
      </w:r>
    </w:p>
    <w:p w14:paraId="6713849E" w14:textId="77777777" w:rsidR="00AE50C0" w:rsidRPr="00C168A1" w:rsidRDefault="00AE50C0" w:rsidP="00685461">
      <w:pPr>
        <w:numPr>
          <w:ilvl w:val="0"/>
          <w:numId w:val="7"/>
        </w:numPr>
        <w:rPr>
          <w:szCs w:val="24"/>
        </w:rPr>
      </w:pPr>
      <w:r w:rsidRPr="00DD36E8">
        <w:rPr>
          <w:szCs w:val="24"/>
        </w:rPr>
        <w:t xml:space="preserve">Mr </w:t>
      </w:r>
      <w:r w:rsidR="00C97686" w:rsidRPr="00DD36E8">
        <w:rPr>
          <w:szCs w:val="24"/>
        </w:rPr>
        <w:t>HG</w:t>
      </w:r>
      <w:r w:rsidRPr="00DD36E8">
        <w:rPr>
          <w:szCs w:val="24"/>
        </w:rPr>
        <w:t xml:space="preserve"> alleges that his treatment by the Commonwealth of Australia – Department of Immigration and Citizenship (subsequently redesignated as the Department</w:t>
      </w:r>
      <w:r w:rsidRPr="00753E28">
        <w:rPr>
          <w:szCs w:val="24"/>
        </w:rPr>
        <w:t xml:space="preserve"> of Immigration and Border Protection (</w:t>
      </w:r>
      <w:r>
        <w:rPr>
          <w:szCs w:val="24"/>
        </w:rPr>
        <w:t>the d</w:t>
      </w:r>
      <w:r w:rsidRPr="00753E28">
        <w:rPr>
          <w:szCs w:val="24"/>
        </w:rPr>
        <w:t xml:space="preserve">epartment)), involved </w:t>
      </w:r>
      <w:r>
        <w:rPr>
          <w:szCs w:val="24"/>
        </w:rPr>
        <w:t>an act or practice</w:t>
      </w:r>
      <w:r w:rsidRPr="00753E28">
        <w:rPr>
          <w:szCs w:val="24"/>
        </w:rPr>
        <w:t xml:space="preserve"> inconsistent with or contrary to his human rights under the </w:t>
      </w:r>
      <w:r w:rsidRPr="009E2236">
        <w:rPr>
          <w:i/>
          <w:szCs w:val="24"/>
        </w:rPr>
        <w:t>International Covenant on Civil and Political Rights</w:t>
      </w:r>
      <w:r w:rsidRPr="00753E28">
        <w:rPr>
          <w:szCs w:val="24"/>
        </w:rPr>
        <w:t xml:space="preserve"> (ICCPR).</w:t>
      </w:r>
      <w:r>
        <w:rPr>
          <w:szCs w:val="24"/>
        </w:rPr>
        <w:t xml:space="preserve"> </w:t>
      </w:r>
    </w:p>
    <w:p w14:paraId="72D39B61" w14:textId="77777777" w:rsidR="00AE50C0" w:rsidRPr="001D2680" w:rsidRDefault="00AE50C0" w:rsidP="00685461">
      <w:pPr>
        <w:pStyle w:val="Heading1"/>
        <w:spacing w:before="0"/>
      </w:pPr>
      <w:bookmarkStart w:id="2" w:name="_Toc262480898"/>
      <w:bookmarkStart w:id="3" w:name="_Toc419813761"/>
      <w:r w:rsidRPr="001D2680">
        <w:t xml:space="preserve">Summary of </w:t>
      </w:r>
      <w:bookmarkEnd w:id="2"/>
      <w:r w:rsidRPr="001D2680">
        <w:t>findings and recommendations</w:t>
      </w:r>
      <w:bookmarkEnd w:id="3"/>
    </w:p>
    <w:p w14:paraId="3AFCCD5A" w14:textId="77777777" w:rsidR="00AE50C0" w:rsidRPr="001D2680" w:rsidRDefault="00AE50C0" w:rsidP="00685461">
      <w:pPr>
        <w:pStyle w:val="Heading2"/>
        <w:tabs>
          <w:tab w:val="clear" w:pos="284"/>
          <w:tab w:val="clear" w:pos="567"/>
        </w:tabs>
        <w:spacing w:before="0"/>
        <w:ind w:left="1091" w:hanging="1091"/>
        <w:rPr>
          <w:color w:val="auto"/>
        </w:rPr>
      </w:pPr>
      <w:bookmarkStart w:id="4" w:name="_Toc262480899"/>
      <w:bookmarkStart w:id="5" w:name="_Toc419813762"/>
      <w:r>
        <w:rPr>
          <w:color w:val="auto"/>
        </w:rPr>
        <w:t xml:space="preserve">Relevant act </w:t>
      </w:r>
      <w:r w:rsidRPr="001D2680">
        <w:rPr>
          <w:color w:val="auto"/>
        </w:rPr>
        <w:t>under the AHRC Act</w:t>
      </w:r>
      <w:bookmarkEnd w:id="4"/>
      <w:bookmarkEnd w:id="5"/>
    </w:p>
    <w:p w14:paraId="0F5ECBF1" w14:textId="1441507B" w:rsidR="00AE50C0" w:rsidRPr="00664FFC" w:rsidRDefault="00AE50C0" w:rsidP="00685461">
      <w:pPr>
        <w:pStyle w:val="SubmissionNormal"/>
        <w:numPr>
          <w:ilvl w:val="0"/>
          <w:numId w:val="7"/>
        </w:numPr>
      </w:pPr>
      <w:r w:rsidRPr="0094462A">
        <w:t xml:space="preserve">I have found that the </w:t>
      </w:r>
      <w:r w:rsidRPr="00664FFC">
        <w:t xml:space="preserve">Commonwealth’s failure to detain Mr </w:t>
      </w:r>
      <w:r w:rsidR="00C97686">
        <w:t>HG</w:t>
      </w:r>
      <w:r w:rsidRPr="00664FFC">
        <w:t xml:space="preserve"> in the least restrictive manner possible during the 23 months that he was detained in closed detention facilities was an </w:t>
      </w:r>
      <w:r w:rsidR="00764262">
        <w:t>‘</w:t>
      </w:r>
      <w:r w:rsidRPr="00664FFC">
        <w:t>act</w:t>
      </w:r>
      <w:r w:rsidR="00764262">
        <w:t>’</w:t>
      </w:r>
      <w:r w:rsidRPr="00664FFC">
        <w:t xml:space="preserve"> for the purposes of the </w:t>
      </w:r>
      <w:r w:rsidR="00DB2FDC">
        <w:t>AHRC Act</w:t>
      </w:r>
      <w:r w:rsidRPr="00664FFC">
        <w:t xml:space="preserve">. The Minister could have placed Mr </w:t>
      </w:r>
      <w:r w:rsidR="00C97686">
        <w:t>HG</w:t>
      </w:r>
      <w:r w:rsidRPr="00664FFC">
        <w:t xml:space="preserve"> in community detention or in a place other than an immigration detention centre during this time but did not do so.</w:t>
      </w:r>
    </w:p>
    <w:p w14:paraId="42C292A6" w14:textId="77777777" w:rsidR="00AE50C0" w:rsidRPr="001D2680" w:rsidRDefault="00AE50C0" w:rsidP="00685461">
      <w:pPr>
        <w:pStyle w:val="Heading2"/>
        <w:tabs>
          <w:tab w:val="clear" w:pos="284"/>
          <w:tab w:val="clear" w:pos="567"/>
        </w:tabs>
        <w:spacing w:before="0"/>
        <w:ind w:left="1091" w:hanging="1091"/>
        <w:rPr>
          <w:color w:val="auto"/>
        </w:rPr>
      </w:pPr>
      <w:bookmarkStart w:id="6" w:name="_Toc419813763"/>
      <w:r>
        <w:rPr>
          <w:color w:val="auto"/>
        </w:rPr>
        <w:t>Inconsistent with Article 9, ICCPR</w:t>
      </w:r>
      <w:bookmarkEnd w:id="6"/>
    </w:p>
    <w:p w14:paraId="3D80C9B0" w14:textId="77777777" w:rsidR="00AE50C0" w:rsidRPr="001B3693" w:rsidRDefault="00AE50C0" w:rsidP="00685461">
      <w:pPr>
        <w:pStyle w:val="SubmissionNormal"/>
        <w:numPr>
          <w:ilvl w:val="0"/>
          <w:numId w:val="7"/>
        </w:numPr>
      </w:pPr>
      <w:r w:rsidRPr="001B3693">
        <w:rPr>
          <w:rFonts w:cs="Arial"/>
        </w:rPr>
        <w:t xml:space="preserve">I have found that Mr </w:t>
      </w:r>
      <w:r w:rsidR="00C97686">
        <w:rPr>
          <w:rFonts w:cs="Arial"/>
        </w:rPr>
        <w:t>HG</w:t>
      </w:r>
      <w:r>
        <w:rPr>
          <w:rFonts w:cs="Arial"/>
        </w:rPr>
        <w:t>’s detention for 23 months</w:t>
      </w:r>
      <w:r w:rsidRPr="001B3693">
        <w:rPr>
          <w:rFonts w:cs="Arial"/>
        </w:rPr>
        <w:t xml:space="preserve"> in immigration detention facilities was not </w:t>
      </w:r>
      <w:r>
        <w:rPr>
          <w:rFonts w:cs="Arial"/>
        </w:rPr>
        <w:t xml:space="preserve">necessary in the circumstances or </w:t>
      </w:r>
      <w:r w:rsidRPr="001B3693">
        <w:rPr>
          <w:rFonts w:cs="Arial"/>
        </w:rPr>
        <w:t xml:space="preserve">proportionate to the Commonwealth’s legitimate </w:t>
      </w:r>
      <w:r>
        <w:rPr>
          <w:rFonts w:cs="Arial"/>
        </w:rPr>
        <w:t>aim of managing its migration system</w:t>
      </w:r>
      <w:r w:rsidRPr="001B3693">
        <w:rPr>
          <w:rFonts w:cs="Arial"/>
        </w:rPr>
        <w:t>.</w:t>
      </w:r>
    </w:p>
    <w:p w14:paraId="10C6478C" w14:textId="77777777" w:rsidR="00AE50C0" w:rsidRPr="001B3693" w:rsidRDefault="00AE50C0" w:rsidP="00685461">
      <w:pPr>
        <w:pStyle w:val="SubmissionNormal"/>
        <w:numPr>
          <w:ilvl w:val="0"/>
          <w:numId w:val="7"/>
        </w:numPr>
      </w:pPr>
      <w:r w:rsidRPr="001B3693">
        <w:rPr>
          <w:rFonts w:cs="Arial"/>
        </w:rPr>
        <w:t xml:space="preserve">For this reason, I have found that the failure to place </w:t>
      </w:r>
      <w:r>
        <w:rPr>
          <w:rFonts w:cs="Arial"/>
        </w:rPr>
        <w:t xml:space="preserve">Mr </w:t>
      </w:r>
      <w:r w:rsidR="00C97686">
        <w:rPr>
          <w:rFonts w:cs="Arial"/>
        </w:rPr>
        <w:t>HG</w:t>
      </w:r>
      <w:r w:rsidRPr="001B3693">
        <w:rPr>
          <w:rFonts w:cs="Arial"/>
        </w:rPr>
        <w:t xml:space="preserve"> in community detention or some other less restrictive form of detention was inconsistent with the prohibition of arbitrary detention in Article 9 of the ICCPR.</w:t>
      </w:r>
    </w:p>
    <w:p w14:paraId="21B37AD6" w14:textId="77777777" w:rsidR="00AE50C0" w:rsidRPr="002F2EF3" w:rsidRDefault="00AE50C0" w:rsidP="00685461">
      <w:pPr>
        <w:pStyle w:val="Heading2"/>
        <w:tabs>
          <w:tab w:val="clear" w:pos="284"/>
          <w:tab w:val="clear" w:pos="567"/>
        </w:tabs>
        <w:spacing w:before="0"/>
        <w:ind w:left="1091" w:hanging="1091"/>
        <w:rPr>
          <w:color w:val="auto"/>
        </w:rPr>
      </w:pPr>
      <w:bookmarkStart w:id="7" w:name="_Toc419813764"/>
      <w:r w:rsidRPr="002F2EF3">
        <w:rPr>
          <w:color w:val="auto"/>
        </w:rPr>
        <w:t>Recommendations</w:t>
      </w:r>
      <w:bookmarkEnd w:id="7"/>
    </w:p>
    <w:p w14:paraId="7D7C2753" w14:textId="77777777" w:rsidR="00AE50C0" w:rsidRPr="002F2EF3" w:rsidRDefault="00AE50C0" w:rsidP="00685461">
      <w:pPr>
        <w:pStyle w:val="SubmissionNormal"/>
        <w:numPr>
          <w:ilvl w:val="0"/>
          <w:numId w:val="7"/>
        </w:numPr>
      </w:pPr>
      <w:r w:rsidRPr="002F2EF3">
        <w:t>I have recommended that the Commonwealth:</w:t>
      </w:r>
    </w:p>
    <w:p w14:paraId="1EFD9536" w14:textId="77777777" w:rsidR="00AE50C0" w:rsidRPr="00182DBF" w:rsidRDefault="00F3434D" w:rsidP="00685461">
      <w:pPr>
        <w:pStyle w:val="SubmissionNormal"/>
        <w:numPr>
          <w:ilvl w:val="0"/>
          <w:numId w:val="85"/>
        </w:numPr>
        <w:ind w:left="1865" w:hanging="731"/>
      </w:pPr>
      <w:r>
        <w:t>p</w:t>
      </w:r>
      <w:r w:rsidR="00AE50C0" w:rsidRPr="00182DBF">
        <w:t xml:space="preserve">ay Mr </w:t>
      </w:r>
      <w:r w:rsidR="00C97686">
        <w:t>HG</w:t>
      </w:r>
      <w:r w:rsidR="00AE50C0" w:rsidRPr="00182DBF">
        <w:t xml:space="preserve"> </w:t>
      </w:r>
      <w:r w:rsidR="00AE50C0">
        <w:t xml:space="preserve">an appropriate sum of </w:t>
      </w:r>
      <w:r w:rsidR="00143230">
        <w:t>compensation</w:t>
      </w:r>
      <w:r w:rsidR="00AE50C0">
        <w:t>;</w:t>
      </w:r>
      <w:r w:rsidR="00AE50C0" w:rsidRPr="00D0310E">
        <w:rPr>
          <w:color w:val="FF0000"/>
        </w:rPr>
        <w:t xml:space="preserve"> </w:t>
      </w:r>
      <w:r w:rsidR="00AE50C0" w:rsidRPr="00182DBF">
        <w:t>and</w:t>
      </w:r>
    </w:p>
    <w:p w14:paraId="01520E6A" w14:textId="77777777" w:rsidR="00AE50C0" w:rsidRPr="002F2EF3" w:rsidRDefault="00F3434D" w:rsidP="00685461">
      <w:pPr>
        <w:pStyle w:val="SubmissionNormal"/>
        <w:numPr>
          <w:ilvl w:val="0"/>
          <w:numId w:val="85"/>
        </w:numPr>
        <w:ind w:left="1865" w:hanging="731"/>
      </w:pPr>
      <w:r>
        <w:t>i</w:t>
      </w:r>
      <w:r w:rsidR="00AE50C0">
        <w:t xml:space="preserve">ssue an apology to Mr </w:t>
      </w:r>
      <w:r w:rsidR="00C97686">
        <w:t>HG</w:t>
      </w:r>
      <w:r w:rsidR="00AE50C0" w:rsidRPr="002F2EF3">
        <w:t>.</w:t>
      </w:r>
      <w:r w:rsidR="00AE50C0">
        <w:t xml:space="preserve"> </w:t>
      </w:r>
    </w:p>
    <w:p w14:paraId="43FFAB29" w14:textId="77777777" w:rsidR="00AE50C0" w:rsidRPr="00CA722E" w:rsidRDefault="00AE50C0" w:rsidP="00685461">
      <w:pPr>
        <w:pStyle w:val="Heading1"/>
        <w:spacing w:before="0"/>
      </w:pPr>
      <w:bookmarkStart w:id="8" w:name="_Toc419813765"/>
      <w:r w:rsidRPr="00CA722E">
        <w:lastRenderedPageBreak/>
        <w:t>Background</w:t>
      </w:r>
      <w:bookmarkEnd w:id="8"/>
    </w:p>
    <w:p w14:paraId="425615A5" w14:textId="77777777" w:rsidR="00AE50C0" w:rsidRPr="00092F2F" w:rsidRDefault="00AE50C0" w:rsidP="00685461">
      <w:pPr>
        <w:numPr>
          <w:ilvl w:val="0"/>
          <w:numId w:val="7"/>
        </w:numPr>
        <w:rPr>
          <w:szCs w:val="24"/>
          <w:lang w:eastAsia="en-AU"/>
        </w:rPr>
      </w:pPr>
      <w:r w:rsidRPr="00092F2F">
        <w:rPr>
          <w:szCs w:val="24"/>
          <w:lang w:val="en-US" w:eastAsia="en-AU" w:bidi="en-US"/>
        </w:rPr>
        <w:t xml:space="preserve">Mr </w:t>
      </w:r>
      <w:r w:rsidR="00C97686">
        <w:rPr>
          <w:szCs w:val="24"/>
          <w:lang w:val="en-US" w:eastAsia="en-AU" w:bidi="en-US"/>
        </w:rPr>
        <w:t>HG</w:t>
      </w:r>
      <w:r w:rsidRPr="00092F2F">
        <w:rPr>
          <w:szCs w:val="24"/>
          <w:lang w:val="en-US" w:eastAsia="en-AU" w:bidi="en-US"/>
        </w:rPr>
        <w:t xml:space="preserve"> </w:t>
      </w:r>
      <w:r w:rsidRPr="00092F2F">
        <w:rPr>
          <w:szCs w:val="24"/>
          <w:lang w:eastAsia="en-AU"/>
        </w:rPr>
        <w:t xml:space="preserve">is a national of Iran who arrived on Christmas Island as an undocumented maritime arrival aboard suspected illegal entry vessel ‘Horsely’ on 26 June 2010. He was detained </w:t>
      </w:r>
      <w:r>
        <w:rPr>
          <w:szCs w:val="24"/>
          <w:lang w:eastAsia="en-AU"/>
        </w:rPr>
        <w:t>o</w:t>
      </w:r>
      <w:r w:rsidRPr="00092F2F">
        <w:rPr>
          <w:szCs w:val="24"/>
          <w:lang w:eastAsia="en-AU"/>
        </w:rPr>
        <w:t>n Christmas Island at the</w:t>
      </w:r>
      <w:r w:rsidRPr="00092F2F">
        <w:rPr>
          <w:szCs w:val="24"/>
          <w:lang w:val="en-US" w:eastAsia="en-AU" w:bidi="en-US"/>
        </w:rPr>
        <w:t xml:space="preserve"> North West Point Immigration Detention Centre (NWPIDC) for the first 14 months that he was in Australia. </w:t>
      </w:r>
      <w:r w:rsidRPr="00092F2F">
        <w:rPr>
          <w:szCs w:val="24"/>
          <w:lang w:eastAsia="en-AU"/>
        </w:rPr>
        <w:t>On 30 March 2011 he was assessed by the department as not being a refugee.</w:t>
      </w:r>
    </w:p>
    <w:p w14:paraId="7B892066" w14:textId="6B89EBBD" w:rsidR="00143230" w:rsidRPr="00991E15" w:rsidRDefault="00AE50C0" w:rsidP="00991E15">
      <w:pPr>
        <w:pStyle w:val="ListParagraph"/>
        <w:numPr>
          <w:ilvl w:val="0"/>
          <w:numId w:val="7"/>
        </w:numPr>
        <w:rPr>
          <w:szCs w:val="24"/>
          <w:lang w:eastAsia="en-AU"/>
        </w:rPr>
      </w:pPr>
      <w:r w:rsidRPr="00092F2F">
        <w:rPr>
          <w:szCs w:val="24"/>
          <w:lang w:val="en-US" w:eastAsia="en-AU" w:bidi="en-US"/>
        </w:rPr>
        <w:t xml:space="preserve">On 1 September 2011 Mr </w:t>
      </w:r>
      <w:r w:rsidR="00C97686">
        <w:rPr>
          <w:szCs w:val="24"/>
          <w:lang w:val="en-US" w:eastAsia="en-AU" w:bidi="en-US"/>
        </w:rPr>
        <w:t>HG</w:t>
      </w:r>
      <w:r w:rsidRPr="00092F2F">
        <w:rPr>
          <w:szCs w:val="24"/>
          <w:lang w:val="en-US" w:eastAsia="en-AU" w:bidi="en-US"/>
        </w:rPr>
        <w:t xml:space="preserve"> was transferred to Perth Immigration Detention Centre (PIDC). </w:t>
      </w:r>
      <w:r w:rsidRPr="00092F2F">
        <w:rPr>
          <w:szCs w:val="24"/>
          <w:lang w:eastAsia="en-AU"/>
        </w:rPr>
        <w:t>On 20 Septem</w:t>
      </w:r>
      <w:r w:rsidR="00B33E0E">
        <w:rPr>
          <w:szCs w:val="24"/>
          <w:lang w:eastAsia="en-AU"/>
        </w:rPr>
        <w:t>ber 2011 an Independent Merits R</w:t>
      </w:r>
      <w:r w:rsidRPr="00092F2F">
        <w:rPr>
          <w:szCs w:val="24"/>
          <w:lang w:eastAsia="en-AU"/>
        </w:rPr>
        <w:t xml:space="preserve">eview affirmed the decision that Mr </w:t>
      </w:r>
      <w:r w:rsidR="00C97686">
        <w:rPr>
          <w:szCs w:val="24"/>
          <w:lang w:eastAsia="en-AU"/>
        </w:rPr>
        <w:t>HG</w:t>
      </w:r>
      <w:r w:rsidRPr="00092F2F">
        <w:rPr>
          <w:szCs w:val="24"/>
          <w:lang w:eastAsia="en-AU"/>
        </w:rPr>
        <w:t xml:space="preserve"> was not a refugee. </w:t>
      </w:r>
      <w:r w:rsidRPr="00092F2F">
        <w:rPr>
          <w:szCs w:val="24"/>
          <w:lang w:val="en-US" w:eastAsia="en-AU" w:bidi="en-US"/>
        </w:rPr>
        <w:t>On 9 December 2011 he was transferred to Maribyrnong Immigration Detention Centre (MIDC).</w:t>
      </w:r>
    </w:p>
    <w:p w14:paraId="56ACD181" w14:textId="77777777" w:rsidR="00143230" w:rsidRPr="00991E15" w:rsidRDefault="00AE50C0" w:rsidP="00991E15">
      <w:pPr>
        <w:pStyle w:val="ListParagraph"/>
        <w:numPr>
          <w:ilvl w:val="0"/>
          <w:numId w:val="7"/>
        </w:numPr>
        <w:rPr>
          <w:szCs w:val="24"/>
          <w:lang w:eastAsia="en-AU"/>
        </w:rPr>
      </w:pPr>
      <w:r w:rsidRPr="00092F2F">
        <w:rPr>
          <w:szCs w:val="24"/>
          <w:lang w:eastAsia="en-AU"/>
        </w:rPr>
        <w:t xml:space="preserve">On 8 May 2012 the Minister agreed to exercise his public interest powers under s 197AB </w:t>
      </w:r>
      <w:r>
        <w:rPr>
          <w:szCs w:val="24"/>
          <w:lang w:eastAsia="en-AU"/>
        </w:rPr>
        <w:t xml:space="preserve">of the </w:t>
      </w:r>
      <w:r>
        <w:rPr>
          <w:i/>
          <w:szCs w:val="24"/>
          <w:lang w:eastAsia="en-AU"/>
        </w:rPr>
        <w:t xml:space="preserve">Migration Act 1958 </w:t>
      </w:r>
      <w:r>
        <w:rPr>
          <w:szCs w:val="24"/>
          <w:lang w:eastAsia="en-AU"/>
        </w:rPr>
        <w:t xml:space="preserve">(Cth) </w:t>
      </w:r>
      <w:r w:rsidRPr="00092F2F">
        <w:rPr>
          <w:szCs w:val="24"/>
          <w:lang w:eastAsia="en-AU"/>
        </w:rPr>
        <w:t xml:space="preserve">and made a residence determination for Mr </w:t>
      </w:r>
      <w:r w:rsidR="00C97686">
        <w:rPr>
          <w:szCs w:val="24"/>
          <w:lang w:eastAsia="en-AU"/>
        </w:rPr>
        <w:t>HG</w:t>
      </w:r>
      <w:r w:rsidRPr="00092F2F">
        <w:rPr>
          <w:szCs w:val="24"/>
          <w:lang w:eastAsia="en-AU"/>
        </w:rPr>
        <w:t xml:space="preserve"> to reside in community detention.</w:t>
      </w:r>
    </w:p>
    <w:p w14:paraId="3EEE23CC" w14:textId="77777777" w:rsidR="00143230" w:rsidRPr="00991E15" w:rsidRDefault="00AE50C0" w:rsidP="00991E15">
      <w:pPr>
        <w:pStyle w:val="ListParagraph"/>
        <w:numPr>
          <w:ilvl w:val="0"/>
          <w:numId w:val="7"/>
        </w:numPr>
        <w:rPr>
          <w:szCs w:val="24"/>
          <w:lang w:eastAsia="en-AU"/>
        </w:rPr>
      </w:pPr>
      <w:r w:rsidRPr="00092F2F">
        <w:rPr>
          <w:szCs w:val="24"/>
          <w:lang w:val="en-US" w:eastAsia="en-AU" w:bidi="en-US"/>
        </w:rPr>
        <w:t xml:space="preserve">On 18 May 2012 the department finalised a post-protection review check which found that Mr </w:t>
      </w:r>
      <w:r w:rsidR="00C97686">
        <w:rPr>
          <w:szCs w:val="24"/>
          <w:lang w:val="en-US" w:eastAsia="en-AU" w:bidi="en-US"/>
        </w:rPr>
        <w:t>HG</w:t>
      </w:r>
      <w:r w:rsidRPr="00092F2F">
        <w:rPr>
          <w:szCs w:val="24"/>
          <w:lang w:val="en-US" w:eastAsia="en-AU" w:bidi="en-US"/>
        </w:rPr>
        <w:t>’s case for making a successful Protection Visa application was not enhanced by the information before the department.</w:t>
      </w:r>
    </w:p>
    <w:p w14:paraId="50E00C18" w14:textId="77777777" w:rsidR="00143230" w:rsidRPr="00991E15" w:rsidRDefault="00AE50C0" w:rsidP="00991E15">
      <w:pPr>
        <w:pStyle w:val="ListParagraph"/>
        <w:numPr>
          <w:ilvl w:val="0"/>
          <w:numId w:val="7"/>
        </w:numPr>
        <w:rPr>
          <w:szCs w:val="24"/>
          <w:lang w:eastAsia="en-AU"/>
        </w:rPr>
      </w:pPr>
      <w:r w:rsidRPr="00092F2F">
        <w:rPr>
          <w:szCs w:val="24"/>
          <w:lang w:eastAsia="en-AU"/>
        </w:rPr>
        <w:t xml:space="preserve">On 21 May 2012, Mr </w:t>
      </w:r>
      <w:r w:rsidR="00C97686">
        <w:rPr>
          <w:szCs w:val="24"/>
          <w:lang w:eastAsia="en-AU"/>
        </w:rPr>
        <w:t>HG</w:t>
      </w:r>
      <w:r w:rsidRPr="00092F2F">
        <w:rPr>
          <w:szCs w:val="24"/>
          <w:lang w:eastAsia="en-AU"/>
        </w:rPr>
        <w:t xml:space="preserve"> was placed in community detention in Western Australia. </w:t>
      </w:r>
    </w:p>
    <w:p w14:paraId="3E3CDD65" w14:textId="77777777" w:rsidR="00143230" w:rsidRPr="00991E15" w:rsidRDefault="00AE50C0" w:rsidP="00991E15">
      <w:pPr>
        <w:pStyle w:val="ListParagraph"/>
        <w:numPr>
          <w:ilvl w:val="0"/>
          <w:numId w:val="7"/>
        </w:numPr>
        <w:autoSpaceDE w:val="0"/>
        <w:autoSpaceDN w:val="0"/>
        <w:adjustRightInd w:val="0"/>
        <w:rPr>
          <w:szCs w:val="24"/>
          <w:lang w:eastAsia="en-AU"/>
        </w:rPr>
      </w:pPr>
      <w:r w:rsidRPr="00092F2F">
        <w:rPr>
          <w:szCs w:val="24"/>
          <w:lang w:eastAsia="en-AU"/>
        </w:rPr>
        <w:t xml:space="preserve">On 25 March 2013, Mr </w:t>
      </w:r>
      <w:r w:rsidR="00C97686">
        <w:rPr>
          <w:szCs w:val="24"/>
          <w:lang w:eastAsia="en-AU"/>
        </w:rPr>
        <w:t>HG</w:t>
      </w:r>
      <w:r w:rsidRPr="00092F2F">
        <w:rPr>
          <w:szCs w:val="24"/>
          <w:lang w:eastAsia="en-AU"/>
        </w:rPr>
        <w:t xml:space="preserve"> was granted a Temporary Humanitarian Stay visa and a Bridging visa E. </w:t>
      </w:r>
    </w:p>
    <w:p w14:paraId="40063C04" w14:textId="77777777" w:rsidR="00AE50C0" w:rsidRPr="00092F2F" w:rsidRDefault="00AE50C0" w:rsidP="00685461">
      <w:pPr>
        <w:pStyle w:val="ListParagraph"/>
        <w:numPr>
          <w:ilvl w:val="0"/>
          <w:numId w:val="7"/>
        </w:numPr>
        <w:autoSpaceDE w:val="0"/>
        <w:autoSpaceDN w:val="0"/>
        <w:adjustRightInd w:val="0"/>
        <w:rPr>
          <w:szCs w:val="24"/>
          <w:u w:val="single"/>
          <w:lang w:eastAsia="en-AU"/>
        </w:rPr>
      </w:pPr>
      <w:r w:rsidRPr="00092F2F">
        <w:rPr>
          <w:szCs w:val="24"/>
          <w:lang w:eastAsia="en-AU"/>
        </w:rPr>
        <w:t xml:space="preserve">Mr </w:t>
      </w:r>
      <w:r w:rsidR="00C97686">
        <w:rPr>
          <w:szCs w:val="24"/>
          <w:lang w:eastAsia="en-AU"/>
        </w:rPr>
        <w:t>HG</w:t>
      </w:r>
      <w:r w:rsidRPr="00092F2F">
        <w:rPr>
          <w:szCs w:val="24"/>
          <w:lang w:eastAsia="en-AU"/>
        </w:rPr>
        <w:t xml:space="preserve"> claims that his detention during the period 26 June 2010 to 21 May 2012 by the Commonwealth was arbitrary within the meaning of article 9 of the ICCPR. </w:t>
      </w:r>
    </w:p>
    <w:p w14:paraId="4A393481" w14:textId="77777777" w:rsidR="00AE50C0" w:rsidRPr="001F5D80" w:rsidRDefault="00AE50C0" w:rsidP="00685461">
      <w:pPr>
        <w:pStyle w:val="Heading1"/>
        <w:spacing w:before="0"/>
      </w:pPr>
      <w:bookmarkStart w:id="9" w:name="_Toc419813766"/>
      <w:r w:rsidRPr="001F5D80">
        <w:t>Legislative framework</w:t>
      </w:r>
      <w:bookmarkEnd w:id="9"/>
    </w:p>
    <w:p w14:paraId="0FA0048B" w14:textId="77777777" w:rsidR="00AE50C0" w:rsidRPr="001F5D80" w:rsidRDefault="00AE50C0" w:rsidP="00685461">
      <w:pPr>
        <w:pStyle w:val="Heading2"/>
        <w:tabs>
          <w:tab w:val="clear" w:pos="284"/>
          <w:tab w:val="clear" w:pos="567"/>
        </w:tabs>
        <w:spacing w:before="0"/>
        <w:ind w:left="851"/>
        <w:rPr>
          <w:color w:val="auto"/>
        </w:rPr>
      </w:pPr>
      <w:bookmarkStart w:id="10" w:name="_Toc419813767"/>
      <w:r w:rsidRPr="001F5D80">
        <w:rPr>
          <w:color w:val="auto"/>
        </w:rPr>
        <w:t>Functions of the Commission</w:t>
      </w:r>
      <w:bookmarkEnd w:id="10"/>
    </w:p>
    <w:p w14:paraId="08DB0D82" w14:textId="77777777" w:rsidR="00AE50C0" w:rsidRPr="00BC0F18" w:rsidRDefault="00AE50C0" w:rsidP="00685461">
      <w:pPr>
        <w:numPr>
          <w:ilvl w:val="0"/>
          <w:numId w:val="7"/>
        </w:numPr>
        <w:rPr>
          <w:szCs w:val="24"/>
        </w:rPr>
      </w:pPr>
      <w:r>
        <w:rPr>
          <w:szCs w:val="24"/>
        </w:rPr>
        <w:t>Section</w:t>
      </w:r>
      <w:r w:rsidRPr="00BC0F18">
        <w:rPr>
          <w:szCs w:val="24"/>
        </w:rPr>
        <w:t xml:space="preserve"> 11(1)(f) of the </w:t>
      </w:r>
      <w:r>
        <w:rPr>
          <w:szCs w:val="24"/>
        </w:rPr>
        <w:t>AHRC Act</w:t>
      </w:r>
      <w:r w:rsidRPr="00BC0F18">
        <w:rPr>
          <w:szCs w:val="24"/>
        </w:rPr>
        <w:t xml:space="preserve"> provides that the Commission has a function to inquire into any act or practice that may be inconsistent with or contrary to any human right.</w:t>
      </w:r>
      <w:r>
        <w:rPr>
          <w:rStyle w:val="EndnoteReference"/>
          <w:szCs w:val="24"/>
        </w:rPr>
        <w:endnoteReference w:id="1"/>
      </w:r>
      <w:r w:rsidRPr="00BC0F18">
        <w:rPr>
          <w:szCs w:val="24"/>
        </w:rPr>
        <w:t xml:space="preserve"> </w:t>
      </w:r>
    </w:p>
    <w:p w14:paraId="56A1F2DE" w14:textId="77777777" w:rsidR="00AE50C0" w:rsidRPr="00BC0F18" w:rsidRDefault="00AE50C0" w:rsidP="00685461">
      <w:pPr>
        <w:numPr>
          <w:ilvl w:val="0"/>
          <w:numId w:val="7"/>
        </w:numPr>
        <w:rPr>
          <w:szCs w:val="24"/>
        </w:rPr>
      </w:pPr>
      <w:r w:rsidRPr="00BC0F18">
        <w:rPr>
          <w:szCs w:val="24"/>
        </w:rPr>
        <w:t>Section 3(1) of the AHRC Act defines ‘act’ to include an act done by or on behalf of the Commonwealth. Section 3(3) provides that the reference to, or the doing of, an act includes the reference to the refusal or failure to do an act.</w:t>
      </w:r>
    </w:p>
    <w:p w14:paraId="1DEF02CC" w14:textId="77777777" w:rsidR="00AE50C0" w:rsidRDefault="00AE50C0" w:rsidP="00685461">
      <w:pPr>
        <w:numPr>
          <w:ilvl w:val="0"/>
          <w:numId w:val="7"/>
        </w:numPr>
        <w:rPr>
          <w:szCs w:val="24"/>
        </w:rPr>
      </w:pPr>
      <w:r w:rsidRPr="00BC0F18">
        <w:rPr>
          <w:szCs w:val="24"/>
        </w:rPr>
        <w:t>The functions of the Commission identified in section 11(1)(f) of the AHRC Act are only engaged where an act complained of is not one required by law to be taken.</w:t>
      </w:r>
      <w:r>
        <w:rPr>
          <w:rStyle w:val="EndnoteReference"/>
          <w:szCs w:val="24"/>
        </w:rPr>
        <w:endnoteReference w:id="2"/>
      </w:r>
    </w:p>
    <w:p w14:paraId="754AFEE8" w14:textId="77777777" w:rsidR="00AE50C0" w:rsidRPr="00814D60" w:rsidRDefault="00AE50C0" w:rsidP="00685461">
      <w:pPr>
        <w:pStyle w:val="Heading1"/>
        <w:tabs>
          <w:tab w:val="clear" w:pos="851"/>
          <w:tab w:val="left" w:pos="0"/>
          <w:tab w:val="left" w:pos="993"/>
          <w:tab w:val="num" w:pos="1418"/>
        </w:tabs>
        <w:spacing w:before="0"/>
      </w:pPr>
      <w:bookmarkStart w:id="11" w:name="_Toc419813768"/>
      <w:r>
        <w:lastRenderedPageBreak/>
        <w:t>Assessment</w:t>
      </w:r>
      <w:bookmarkEnd w:id="11"/>
    </w:p>
    <w:p w14:paraId="59221054" w14:textId="77777777" w:rsidR="00AE50C0" w:rsidRPr="00814D60" w:rsidRDefault="00AE50C0" w:rsidP="00685461">
      <w:pPr>
        <w:pStyle w:val="Heading2"/>
        <w:tabs>
          <w:tab w:val="clear" w:pos="284"/>
          <w:tab w:val="clear" w:pos="567"/>
          <w:tab w:val="clear" w:pos="851"/>
          <w:tab w:val="left" w:pos="0"/>
          <w:tab w:val="left" w:pos="993"/>
          <w:tab w:val="num" w:pos="1091"/>
          <w:tab w:val="num" w:pos="1418"/>
        </w:tabs>
        <w:spacing w:before="0"/>
        <w:ind w:left="851"/>
        <w:rPr>
          <w:lang w:val="en"/>
        </w:rPr>
      </w:pPr>
      <w:bookmarkStart w:id="12" w:name="_Toc419813769"/>
      <w:r w:rsidRPr="009E4A87">
        <w:rPr>
          <w:lang w:val="en"/>
        </w:rPr>
        <w:t xml:space="preserve">Act or </w:t>
      </w:r>
      <w:r w:rsidR="00991E15">
        <w:rPr>
          <w:lang w:val="en"/>
        </w:rPr>
        <w:t>p</w:t>
      </w:r>
      <w:r w:rsidRPr="009E4A87">
        <w:rPr>
          <w:lang w:val="en"/>
        </w:rPr>
        <w:t>ractice of the Commonwealth</w:t>
      </w:r>
      <w:bookmarkEnd w:id="12"/>
    </w:p>
    <w:p w14:paraId="0AD93EB6" w14:textId="77777777" w:rsidR="00AE50C0" w:rsidRPr="00DE1A2E" w:rsidRDefault="00AE50C0" w:rsidP="00685461">
      <w:pPr>
        <w:numPr>
          <w:ilvl w:val="0"/>
          <w:numId w:val="7"/>
        </w:numPr>
        <w:rPr>
          <w:szCs w:val="24"/>
          <w:lang w:val="en"/>
        </w:rPr>
      </w:pPr>
      <w:r w:rsidRPr="00DE1A2E">
        <w:rPr>
          <w:szCs w:val="24"/>
          <w:lang w:val="en"/>
        </w:rPr>
        <w:t xml:space="preserve">I find that </w:t>
      </w:r>
      <w:r>
        <w:rPr>
          <w:szCs w:val="24"/>
          <w:lang w:val="en"/>
        </w:rPr>
        <w:t>the Commonwealth’s</w:t>
      </w:r>
      <w:r w:rsidRPr="00DE1A2E">
        <w:rPr>
          <w:szCs w:val="24"/>
        </w:rPr>
        <w:t xml:space="preserve"> failure to detain Mr </w:t>
      </w:r>
      <w:r w:rsidR="00C97686">
        <w:rPr>
          <w:szCs w:val="24"/>
        </w:rPr>
        <w:t>HG</w:t>
      </w:r>
      <w:r w:rsidRPr="00DE1A2E">
        <w:rPr>
          <w:szCs w:val="24"/>
        </w:rPr>
        <w:t xml:space="preserve"> in the least restrictive manner possible during the 23 months that he was detained in closed detention facilities in NWPIDC, PIDC and MIDC</w:t>
      </w:r>
      <w:r w:rsidRPr="00DE1A2E">
        <w:rPr>
          <w:szCs w:val="24"/>
          <w:lang w:val="en"/>
        </w:rPr>
        <w:t xml:space="preserve"> constitute</w:t>
      </w:r>
      <w:r>
        <w:rPr>
          <w:szCs w:val="24"/>
          <w:lang w:val="en"/>
        </w:rPr>
        <w:t>s</w:t>
      </w:r>
      <w:r w:rsidRPr="00DE1A2E">
        <w:rPr>
          <w:szCs w:val="24"/>
          <w:lang w:val="en"/>
        </w:rPr>
        <w:t xml:space="preserve"> an act under the AHRC Act.</w:t>
      </w:r>
    </w:p>
    <w:p w14:paraId="4B477793" w14:textId="77777777" w:rsidR="00AE50C0" w:rsidRPr="00B45FD6" w:rsidRDefault="00AE50C0" w:rsidP="00685461">
      <w:pPr>
        <w:numPr>
          <w:ilvl w:val="0"/>
          <w:numId w:val="7"/>
        </w:numPr>
        <w:rPr>
          <w:szCs w:val="24"/>
          <w:lang w:val="en"/>
        </w:rPr>
      </w:pPr>
      <w:r w:rsidRPr="00B45FD6">
        <w:rPr>
          <w:szCs w:val="24"/>
          <w:lang w:eastAsia="en-AU"/>
        </w:rPr>
        <w:t xml:space="preserve">Whilst on Christmas Island, Mr </w:t>
      </w:r>
      <w:r w:rsidR="00C97686">
        <w:rPr>
          <w:szCs w:val="24"/>
          <w:lang w:eastAsia="en-AU"/>
        </w:rPr>
        <w:t>HG</w:t>
      </w:r>
      <w:r w:rsidRPr="00B45FD6">
        <w:rPr>
          <w:szCs w:val="24"/>
          <w:lang w:eastAsia="en-AU"/>
        </w:rPr>
        <w:t xml:space="preserve"> was detained under s 189(3) of the </w:t>
      </w:r>
      <w:r w:rsidRPr="006F6AAB">
        <w:rPr>
          <w:szCs w:val="24"/>
          <w:lang w:eastAsia="en-AU"/>
        </w:rPr>
        <w:t>Migration Act</w:t>
      </w:r>
      <w:r w:rsidRPr="00B45FD6">
        <w:rPr>
          <w:szCs w:val="24"/>
          <w:lang w:eastAsia="en-AU"/>
        </w:rPr>
        <w:t xml:space="preserve">. At the time Mr </w:t>
      </w:r>
      <w:r w:rsidR="00C97686">
        <w:rPr>
          <w:szCs w:val="24"/>
          <w:lang w:eastAsia="en-AU"/>
        </w:rPr>
        <w:t>HG</w:t>
      </w:r>
      <w:r w:rsidRPr="00B45FD6">
        <w:rPr>
          <w:szCs w:val="24"/>
          <w:lang w:eastAsia="en-AU"/>
        </w:rPr>
        <w:t xml:space="preserve"> was detained, s 189(3) of the Migration Act stated that ‘i</w:t>
      </w:r>
      <w:r w:rsidR="005A110B">
        <w:rPr>
          <w:szCs w:val="24"/>
          <w:lang w:eastAsia="en-AU"/>
        </w:rPr>
        <w:t>f an officer knows or reasonably</w:t>
      </w:r>
      <w:r w:rsidRPr="00B45FD6">
        <w:rPr>
          <w:szCs w:val="24"/>
          <w:lang w:eastAsia="en-AU"/>
        </w:rPr>
        <w:t xml:space="preserve"> suspects that a person in an excised offshore place is an unlawful non-citizen, the officer may detain the person’. There was no requirement for the Commonwealth to detain Mr </w:t>
      </w:r>
      <w:r w:rsidR="00C97686">
        <w:rPr>
          <w:szCs w:val="24"/>
          <w:lang w:eastAsia="en-AU"/>
        </w:rPr>
        <w:t>HG</w:t>
      </w:r>
      <w:r w:rsidRPr="00B45FD6">
        <w:rPr>
          <w:szCs w:val="24"/>
          <w:lang w:eastAsia="en-AU"/>
        </w:rPr>
        <w:t xml:space="preserve"> while he was on Christmas Island.</w:t>
      </w:r>
    </w:p>
    <w:p w14:paraId="0FC329BB" w14:textId="77777777" w:rsidR="00AE50C0" w:rsidRPr="00B45FD6" w:rsidRDefault="00AE50C0" w:rsidP="00685461">
      <w:pPr>
        <w:numPr>
          <w:ilvl w:val="0"/>
          <w:numId w:val="7"/>
        </w:numPr>
        <w:rPr>
          <w:szCs w:val="24"/>
          <w:lang w:val="en"/>
        </w:rPr>
      </w:pPr>
      <w:r w:rsidRPr="00B45FD6">
        <w:rPr>
          <w:szCs w:val="24"/>
          <w:lang w:eastAsia="en-AU"/>
        </w:rPr>
        <w:t xml:space="preserve">When Mr </w:t>
      </w:r>
      <w:r w:rsidR="00C97686">
        <w:rPr>
          <w:szCs w:val="24"/>
          <w:lang w:eastAsia="en-AU"/>
        </w:rPr>
        <w:t>HG</w:t>
      </w:r>
      <w:r w:rsidRPr="00B45FD6">
        <w:rPr>
          <w:szCs w:val="24"/>
          <w:lang w:eastAsia="en-AU"/>
        </w:rPr>
        <w:t xml:space="preserve"> was transferred from Christmas Island to the mainland he was detained under s 189(1) of the Migration Act. While s 189(1) of the Migration Act requires the detention of unlawful non-citizens, it does not require that unlawful non-citizens are detained in an immigration detention facility.</w:t>
      </w:r>
    </w:p>
    <w:p w14:paraId="4D24B0EB" w14:textId="77777777" w:rsidR="00AE50C0" w:rsidRPr="00B45FD6" w:rsidRDefault="00AE50C0" w:rsidP="00685461">
      <w:pPr>
        <w:pStyle w:val="ListParagraph"/>
        <w:numPr>
          <w:ilvl w:val="0"/>
          <w:numId w:val="7"/>
        </w:numPr>
        <w:tabs>
          <w:tab w:val="num" w:pos="600"/>
        </w:tabs>
        <w:rPr>
          <w:szCs w:val="24"/>
          <w:lang w:eastAsia="en-AU"/>
        </w:rPr>
      </w:pPr>
      <w:r w:rsidRPr="00B45FD6">
        <w:rPr>
          <w:szCs w:val="24"/>
          <w:lang w:eastAsia="en-AU"/>
        </w:rPr>
        <w:t>Section 197AB of the Migration Act states:</w:t>
      </w:r>
    </w:p>
    <w:p w14:paraId="13A3F3E0" w14:textId="0BEE5A14" w:rsidR="00AE50C0" w:rsidRPr="006F6AAB" w:rsidRDefault="00AE50C0" w:rsidP="00991E15">
      <w:pPr>
        <w:tabs>
          <w:tab w:val="num" w:pos="600"/>
        </w:tabs>
        <w:ind w:left="1134"/>
        <w:rPr>
          <w:sz w:val="22"/>
          <w:szCs w:val="22"/>
          <w:lang w:eastAsia="en-AU"/>
        </w:rPr>
      </w:pPr>
      <w:r w:rsidRPr="006F6AAB">
        <w:rPr>
          <w:sz w:val="22"/>
          <w:szCs w:val="22"/>
          <w:lang w:eastAsia="en-AU"/>
        </w:rPr>
        <w:t xml:space="preserve">If the Minister thinks that it is in the public interest to do so, the Minister may make a </w:t>
      </w:r>
      <w:r w:rsidRPr="00764262">
        <w:rPr>
          <w:sz w:val="22"/>
          <w:szCs w:val="22"/>
          <w:lang w:eastAsia="en-AU"/>
        </w:rPr>
        <w:t>determination (a residence determination) to</w:t>
      </w:r>
      <w:r w:rsidRPr="006F6AAB">
        <w:rPr>
          <w:sz w:val="22"/>
          <w:szCs w:val="22"/>
          <w:lang w:eastAsia="en-AU"/>
        </w:rPr>
        <w:t xml:space="preserve"> the effect that one or more specified person</w:t>
      </w:r>
      <w:r w:rsidR="00B63007">
        <w:rPr>
          <w:sz w:val="22"/>
          <w:szCs w:val="22"/>
          <w:lang w:eastAsia="en-AU"/>
        </w:rPr>
        <w:t>s</w:t>
      </w:r>
      <w:r w:rsidRPr="006F6AAB">
        <w:rPr>
          <w:sz w:val="22"/>
          <w:szCs w:val="22"/>
          <w:lang w:eastAsia="en-AU"/>
        </w:rPr>
        <w:t xml:space="preserve"> to whom this subdivision applies are to reside at a specified place, instead of being detained at a place covered by the definition of immigration detention in subsection 5(1).</w:t>
      </w:r>
    </w:p>
    <w:p w14:paraId="13CF9D50" w14:textId="77777777" w:rsidR="00143230" w:rsidRPr="00991E15" w:rsidRDefault="00AE50C0" w:rsidP="00991E15">
      <w:pPr>
        <w:pStyle w:val="ListParagraph"/>
        <w:numPr>
          <w:ilvl w:val="0"/>
          <w:numId w:val="7"/>
        </w:numPr>
        <w:tabs>
          <w:tab w:val="clear" w:pos="720"/>
          <w:tab w:val="num" w:pos="567"/>
        </w:tabs>
        <w:ind w:left="567"/>
        <w:rPr>
          <w:szCs w:val="24"/>
          <w:lang w:eastAsia="en-AU"/>
        </w:rPr>
      </w:pPr>
      <w:r w:rsidRPr="00B45FD6">
        <w:rPr>
          <w:szCs w:val="24"/>
          <w:lang w:eastAsia="en-AU"/>
        </w:rPr>
        <w:t>Further, under s 5 of the Migration Act the definition of ‘immigration detention’ includes ‘being held by,</w:t>
      </w:r>
      <w:r>
        <w:rPr>
          <w:szCs w:val="24"/>
          <w:lang w:eastAsia="en-AU"/>
        </w:rPr>
        <w:t xml:space="preserve"> </w:t>
      </w:r>
      <w:r w:rsidRPr="00B45FD6">
        <w:rPr>
          <w:szCs w:val="24"/>
          <w:lang w:eastAsia="en-AU"/>
        </w:rPr>
        <w:t xml:space="preserve">or on behalf of, an officer in another place approved by the Minister in writing’. </w:t>
      </w:r>
    </w:p>
    <w:p w14:paraId="1ED2BDBD" w14:textId="77777777" w:rsidR="00AE50C0" w:rsidRPr="00BD5B9E" w:rsidRDefault="00AE50C0" w:rsidP="00685461">
      <w:pPr>
        <w:pStyle w:val="ListParagraph"/>
        <w:numPr>
          <w:ilvl w:val="0"/>
          <w:numId w:val="7"/>
        </w:numPr>
        <w:tabs>
          <w:tab w:val="clear" w:pos="720"/>
          <w:tab w:val="num" w:pos="567"/>
        </w:tabs>
        <w:ind w:left="567"/>
        <w:rPr>
          <w:szCs w:val="24"/>
          <w:lang w:eastAsia="en-AU"/>
        </w:rPr>
      </w:pPr>
      <w:r w:rsidRPr="00BD5B9E">
        <w:rPr>
          <w:szCs w:val="24"/>
          <w:lang w:eastAsia="en-AU"/>
        </w:rPr>
        <w:t xml:space="preserve">Accordingly, Mr </w:t>
      </w:r>
      <w:r w:rsidR="00C97686">
        <w:rPr>
          <w:szCs w:val="24"/>
          <w:lang w:eastAsia="en-AU"/>
        </w:rPr>
        <w:t>HG</w:t>
      </w:r>
      <w:r w:rsidRPr="00BD5B9E">
        <w:rPr>
          <w:szCs w:val="24"/>
          <w:lang w:eastAsia="en-AU"/>
        </w:rPr>
        <w:t xml:space="preserve"> could have been placed in community detention or the Minister could have approved a place in the community as a place of detention. </w:t>
      </w:r>
    </w:p>
    <w:p w14:paraId="15C5AD91" w14:textId="77777777" w:rsidR="00AE50C0" w:rsidRPr="00814D60" w:rsidRDefault="00AE50C0" w:rsidP="00685461">
      <w:pPr>
        <w:pStyle w:val="Heading2"/>
        <w:tabs>
          <w:tab w:val="clear" w:pos="284"/>
          <w:tab w:val="clear" w:pos="567"/>
          <w:tab w:val="clear" w:pos="851"/>
          <w:tab w:val="left" w:pos="0"/>
          <w:tab w:val="left" w:pos="993"/>
          <w:tab w:val="num" w:pos="1091"/>
          <w:tab w:val="num" w:pos="1418"/>
        </w:tabs>
        <w:spacing w:before="0"/>
        <w:ind w:left="851"/>
        <w:rPr>
          <w:lang w:val="en"/>
        </w:rPr>
      </w:pPr>
      <w:bookmarkStart w:id="13" w:name="_Toc419813770"/>
      <w:r w:rsidRPr="00CE548D">
        <w:rPr>
          <w:lang w:val="en"/>
        </w:rPr>
        <w:t>Inconsistent with or contrary to human rights</w:t>
      </w:r>
      <w:bookmarkEnd w:id="13"/>
    </w:p>
    <w:p w14:paraId="5BA0461A" w14:textId="77777777" w:rsidR="00AE50C0" w:rsidRPr="009C0C26" w:rsidRDefault="00AE50C0" w:rsidP="00685461">
      <w:pPr>
        <w:numPr>
          <w:ilvl w:val="0"/>
          <w:numId w:val="7"/>
        </w:numPr>
        <w:rPr>
          <w:szCs w:val="24"/>
          <w:lang w:val="en"/>
        </w:rPr>
      </w:pPr>
      <w:r w:rsidRPr="009C0C26">
        <w:rPr>
          <w:szCs w:val="24"/>
          <w:lang w:val="en"/>
        </w:rPr>
        <w:t xml:space="preserve">Mr </w:t>
      </w:r>
      <w:r w:rsidR="00C97686">
        <w:rPr>
          <w:szCs w:val="24"/>
          <w:lang w:val="en"/>
        </w:rPr>
        <w:t>HG</w:t>
      </w:r>
      <w:r w:rsidRPr="009C0C26">
        <w:rPr>
          <w:szCs w:val="24"/>
          <w:lang w:val="en"/>
        </w:rPr>
        <w:t xml:space="preserve"> was detained in immigration detention centres from 26 June 2010 until </w:t>
      </w:r>
      <w:r w:rsidRPr="009C0C26">
        <w:rPr>
          <w:szCs w:val="24"/>
          <w:lang w:eastAsia="en-AU"/>
        </w:rPr>
        <w:t>21 May 2012</w:t>
      </w:r>
      <w:r w:rsidRPr="009C0C26">
        <w:rPr>
          <w:szCs w:val="24"/>
          <w:lang w:val="en"/>
        </w:rPr>
        <w:t xml:space="preserve"> </w:t>
      </w:r>
      <w:r>
        <w:rPr>
          <w:szCs w:val="24"/>
          <w:lang w:val="en"/>
        </w:rPr>
        <w:t>when</w:t>
      </w:r>
      <w:r w:rsidRPr="009C0C26">
        <w:rPr>
          <w:szCs w:val="24"/>
          <w:lang w:val="en"/>
        </w:rPr>
        <w:t xml:space="preserve"> he was placed in community detention. </w:t>
      </w:r>
    </w:p>
    <w:p w14:paraId="2EAE36A7" w14:textId="77777777" w:rsidR="00AE50C0" w:rsidRPr="00991E15" w:rsidRDefault="00AE50C0" w:rsidP="00991E15">
      <w:pPr>
        <w:pStyle w:val="ListParagraph"/>
        <w:numPr>
          <w:ilvl w:val="0"/>
          <w:numId w:val="7"/>
        </w:numPr>
        <w:autoSpaceDE w:val="0"/>
        <w:autoSpaceDN w:val="0"/>
        <w:adjustRightInd w:val="0"/>
        <w:rPr>
          <w:szCs w:val="24"/>
        </w:rPr>
      </w:pPr>
      <w:r w:rsidRPr="009C0C26">
        <w:rPr>
          <w:szCs w:val="24"/>
          <w:lang w:eastAsia="en-AU"/>
        </w:rPr>
        <w:t>Under international law, to avoid being arbitrary, detention must be necessary and proportionate to a legitimate aim of the Commonwealth</w:t>
      </w:r>
      <w:r>
        <w:rPr>
          <w:szCs w:val="24"/>
          <w:lang w:eastAsia="en-AU"/>
        </w:rPr>
        <w:t>.</w:t>
      </w:r>
      <w:r w:rsidRPr="009C0C26">
        <w:rPr>
          <w:rStyle w:val="EndnoteReference"/>
          <w:sz w:val="24"/>
          <w:szCs w:val="24"/>
        </w:rPr>
        <w:endnoteReference w:id="3"/>
      </w:r>
    </w:p>
    <w:p w14:paraId="6C736B06" w14:textId="53498EA1" w:rsidR="00685461" w:rsidRPr="00991E15" w:rsidRDefault="00AE50C0" w:rsidP="00685461">
      <w:pPr>
        <w:pStyle w:val="ListParagraph"/>
        <w:numPr>
          <w:ilvl w:val="0"/>
          <w:numId w:val="7"/>
        </w:numPr>
        <w:rPr>
          <w:szCs w:val="24"/>
        </w:rPr>
      </w:pPr>
      <w:r w:rsidRPr="009C0C26">
        <w:rPr>
          <w:szCs w:val="24"/>
        </w:rPr>
        <w:t xml:space="preserve">A draft General Comment published by the United Nations Human Rights Committee on </w:t>
      </w:r>
      <w:r>
        <w:rPr>
          <w:szCs w:val="24"/>
        </w:rPr>
        <w:t>10 April 2014</w:t>
      </w:r>
      <w:r w:rsidRPr="009C0C26">
        <w:rPr>
          <w:szCs w:val="24"/>
        </w:rPr>
        <w:t xml:space="preserve"> in relation to article 9 makes the following comments about immigration detention based on previous decisions by the Committee:</w:t>
      </w:r>
    </w:p>
    <w:p w14:paraId="22DDB486" w14:textId="52D65BC6" w:rsidR="00AE50C0" w:rsidRPr="00FC3FE8" w:rsidRDefault="00AE50C0" w:rsidP="00991E15">
      <w:pPr>
        <w:pStyle w:val="ListParagraph"/>
        <w:ind w:left="1134"/>
        <w:rPr>
          <w:sz w:val="22"/>
          <w:szCs w:val="22"/>
        </w:rPr>
      </w:pPr>
      <w:r w:rsidRPr="009C0C26">
        <w:rPr>
          <w:sz w:val="22"/>
          <w:szCs w:val="22"/>
        </w:rPr>
        <w:lastRenderedPageBreak/>
        <w:t xml:space="preserve">Detention in the course of proceedings for the control of immigration is not </w:t>
      </w:r>
      <w:r w:rsidRPr="009C0C26">
        <w:rPr>
          <w:i/>
          <w:sz w:val="22"/>
          <w:szCs w:val="22"/>
        </w:rPr>
        <w:t>per se</w:t>
      </w:r>
      <w:r w:rsidRPr="009C0C26">
        <w:rPr>
          <w:sz w:val="22"/>
          <w:szCs w:val="22"/>
        </w:rPr>
        <w:t xml:space="preserve"> arbitrary, but the detention must be justified as reasonable, necessary and proportionate in light of the circumstances, and reassessed as it extends in time. Asylum-seekers who unlawfully enter a State party’s territory may be detained for a brief initial period in order to document their entry, record their claims, and determine their identity if it is in doubt. To detain them further while their claims are being resolved would be arbitrary absent particular reasons specific to the individual, such as an individualized likelihood of absconding, danger of crimes against others, or risk of acts against national security. The decision must consider relevant factors case-by-case, and not be based on a mandatory rule for a broad category; must take into account less invasive means of achieving the same ends, such as reporting obligations, sureties, or other conditions to prevent absconding; and must be subject to periodic re-evaluation and judicial review. </w:t>
      </w:r>
      <w:r>
        <w:rPr>
          <w:sz w:val="22"/>
          <w:szCs w:val="22"/>
        </w:rPr>
        <w:t>Children may be deprived of liberty only as a measure of last resort and for the shortest appropriate period of time, taking into account their best interest as a primary consideration with regard to the duration and conditions of detention</w:t>
      </w:r>
      <w:r w:rsidRPr="009C0C26">
        <w:rPr>
          <w:sz w:val="22"/>
          <w:szCs w:val="22"/>
        </w:rPr>
        <w:t>.</w:t>
      </w:r>
      <w:r>
        <w:rPr>
          <w:sz w:val="22"/>
          <w:szCs w:val="22"/>
        </w:rPr>
        <w:t xml:space="preserve"> Decisions of the detention of adult migrants must also take into account the effect of the detention on their mental health.</w:t>
      </w:r>
      <w:r w:rsidRPr="009C0C26">
        <w:rPr>
          <w:sz w:val="22"/>
          <w:szCs w:val="22"/>
        </w:rPr>
        <w:t xml:space="preserve"> </w:t>
      </w:r>
      <w:r>
        <w:rPr>
          <w:sz w:val="22"/>
          <w:szCs w:val="22"/>
        </w:rPr>
        <w:t>The inability of a State party to carry out the expulsion of an individual does not justify indefinite detention.</w:t>
      </w:r>
      <w:r w:rsidR="00B63007" w:rsidRPr="00B63007">
        <w:rPr>
          <w:rStyle w:val="EndnoteReference"/>
          <w:sz w:val="24"/>
          <w:szCs w:val="24"/>
        </w:rPr>
        <w:t xml:space="preserve"> </w:t>
      </w:r>
      <w:r w:rsidR="00B63007" w:rsidRPr="009C0C26">
        <w:rPr>
          <w:rStyle w:val="EndnoteReference"/>
          <w:sz w:val="24"/>
          <w:szCs w:val="24"/>
        </w:rPr>
        <w:endnoteReference w:id="4"/>
      </w:r>
    </w:p>
    <w:p w14:paraId="2E634F86" w14:textId="77777777" w:rsidR="00AE50C0" w:rsidRPr="00685461" w:rsidRDefault="00AE50C0" w:rsidP="00685461">
      <w:pPr>
        <w:pStyle w:val="ListParagraph"/>
        <w:numPr>
          <w:ilvl w:val="0"/>
          <w:numId w:val="7"/>
        </w:numPr>
        <w:rPr>
          <w:szCs w:val="24"/>
          <w:lang w:val="en"/>
        </w:rPr>
      </w:pPr>
      <w:r w:rsidRPr="000D4FCE">
        <w:rPr>
          <w:szCs w:val="24"/>
          <w:lang w:val="en"/>
        </w:rPr>
        <w:t xml:space="preserve">In Mr </w:t>
      </w:r>
      <w:r w:rsidR="00C97686">
        <w:rPr>
          <w:szCs w:val="24"/>
          <w:lang w:val="en"/>
        </w:rPr>
        <w:t>HG</w:t>
      </w:r>
      <w:r w:rsidRPr="000D4FCE">
        <w:rPr>
          <w:szCs w:val="24"/>
          <w:lang w:val="en"/>
        </w:rPr>
        <w:t xml:space="preserve">’s case, it is necessary to consider whether his prolonged detention in closed detention facilities could be </w:t>
      </w:r>
      <w:r w:rsidRPr="000D4FCE">
        <w:rPr>
          <w:szCs w:val="24"/>
        </w:rPr>
        <w:t>justified as reasonable, necessary and proportionate on the basis of particular reasons specific to him, and in light of the available alternatives to closed detention.</w:t>
      </w:r>
    </w:p>
    <w:p w14:paraId="32EE8F2A" w14:textId="77777777" w:rsidR="00AE50C0" w:rsidRPr="00685461" w:rsidRDefault="00AE50C0" w:rsidP="00685461">
      <w:pPr>
        <w:pStyle w:val="ListParagraph"/>
        <w:numPr>
          <w:ilvl w:val="0"/>
          <w:numId w:val="7"/>
        </w:numPr>
        <w:autoSpaceDE w:val="0"/>
        <w:autoSpaceDN w:val="0"/>
        <w:adjustRightInd w:val="0"/>
        <w:rPr>
          <w:szCs w:val="24"/>
          <w:lang w:eastAsia="en-AU"/>
        </w:rPr>
      </w:pPr>
      <w:r w:rsidRPr="000D4FCE">
        <w:rPr>
          <w:szCs w:val="24"/>
          <w:lang w:eastAsia="en-AU"/>
        </w:rPr>
        <w:t xml:space="preserve">The information before </w:t>
      </w:r>
      <w:r>
        <w:rPr>
          <w:szCs w:val="24"/>
          <w:lang w:eastAsia="en-AU"/>
        </w:rPr>
        <w:t>me</w:t>
      </w:r>
      <w:r w:rsidRPr="000D4FCE">
        <w:rPr>
          <w:szCs w:val="24"/>
          <w:lang w:eastAsia="en-AU"/>
        </w:rPr>
        <w:t xml:space="preserve"> suggests that the department first considered placing Mr </w:t>
      </w:r>
      <w:r w:rsidR="00C97686">
        <w:rPr>
          <w:szCs w:val="24"/>
          <w:lang w:eastAsia="en-AU"/>
        </w:rPr>
        <w:t>HG</w:t>
      </w:r>
      <w:r w:rsidRPr="000D4FCE">
        <w:rPr>
          <w:szCs w:val="24"/>
          <w:lang w:eastAsia="en-AU"/>
        </w:rPr>
        <w:t xml:space="preserve"> in a less restrictive form of detention when he was referred for consideration for a community detention placement on 12 September 2011, nearly 15 months after he was first detained. </w:t>
      </w:r>
    </w:p>
    <w:p w14:paraId="04F6FCAD" w14:textId="77777777" w:rsidR="00FC3FE8" w:rsidRPr="00685461" w:rsidRDefault="00AE50C0" w:rsidP="00685461">
      <w:pPr>
        <w:pStyle w:val="ListParagraph"/>
        <w:numPr>
          <w:ilvl w:val="0"/>
          <w:numId w:val="7"/>
        </w:numPr>
        <w:autoSpaceDE w:val="0"/>
        <w:autoSpaceDN w:val="0"/>
        <w:adjustRightInd w:val="0"/>
        <w:rPr>
          <w:szCs w:val="24"/>
        </w:rPr>
      </w:pPr>
      <w:r w:rsidRPr="00C670CB">
        <w:rPr>
          <w:szCs w:val="24"/>
          <w:lang w:eastAsia="en-AU"/>
        </w:rPr>
        <w:t xml:space="preserve">Departmental records during this time indicate that Mr </w:t>
      </w:r>
      <w:r w:rsidR="00C97686">
        <w:rPr>
          <w:szCs w:val="24"/>
          <w:lang w:eastAsia="en-AU"/>
        </w:rPr>
        <w:t>HG</w:t>
      </w:r>
      <w:r w:rsidRPr="00C670CB">
        <w:rPr>
          <w:szCs w:val="24"/>
          <w:lang w:eastAsia="en-AU"/>
        </w:rPr>
        <w:t xml:space="preserve"> claims to have a history of torture and trauma, was involved in six incidents of actual and threatened self-harm, was</w:t>
      </w:r>
      <w:r w:rsidRPr="00C670CB">
        <w:rPr>
          <w:szCs w:val="24"/>
        </w:rPr>
        <w:t xml:space="preserve"> transferred from Christmas Island to PIDC to obtain specialist medical treatment and was admitted as an in-patient at Graylands Psychiatric Hospital in Perth from 1 September 2011 to 7 September 2011. </w:t>
      </w:r>
    </w:p>
    <w:p w14:paraId="12483817" w14:textId="77777777" w:rsidR="00AE50C0" w:rsidRPr="00991E15" w:rsidRDefault="00AE50C0" w:rsidP="00991E15">
      <w:pPr>
        <w:pStyle w:val="ListParagraph"/>
        <w:numPr>
          <w:ilvl w:val="0"/>
          <w:numId w:val="7"/>
        </w:numPr>
        <w:autoSpaceDE w:val="0"/>
        <w:autoSpaceDN w:val="0"/>
        <w:adjustRightInd w:val="0"/>
        <w:rPr>
          <w:szCs w:val="24"/>
        </w:rPr>
      </w:pPr>
      <w:r w:rsidRPr="00C670CB">
        <w:rPr>
          <w:szCs w:val="24"/>
          <w:lang w:eastAsia="en-AU"/>
        </w:rPr>
        <w:t xml:space="preserve">On 8 December 2011, Mr </w:t>
      </w:r>
      <w:r w:rsidR="00C97686">
        <w:rPr>
          <w:szCs w:val="24"/>
          <w:lang w:eastAsia="en-AU"/>
        </w:rPr>
        <w:t>HG</w:t>
      </w:r>
      <w:r w:rsidRPr="00C670CB">
        <w:rPr>
          <w:szCs w:val="24"/>
          <w:lang w:eastAsia="en-AU"/>
        </w:rPr>
        <w:t xml:space="preserve">’s case manager noted that the </w:t>
      </w:r>
      <w:r w:rsidRPr="00C670CB">
        <w:rPr>
          <w:rFonts w:cs="Arial"/>
          <w:szCs w:val="24"/>
          <w:lang w:eastAsia="en-AU"/>
        </w:rPr>
        <w:t>International Health and Medical Services (IHMS)</w:t>
      </w:r>
      <w:r w:rsidRPr="00C670CB">
        <w:rPr>
          <w:szCs w:val="24"/>
          <w:lang w:eastAsia="en-AU"/>
        </w:rPr>
        <w:t xml:space="preserve"> mental health team requested that Mr </w:t>
      </w:r>
      <w:r w:rsidR="00C97686">
        <w:rPr>
          <w:szCs w:val="24"/>
          <w:lang w:eastAsia="en-AU"/>
        </w:rPr>
        <w:t>HG</w:t>
      </w:r>
      <w:r w:rsidRPr="00C670CB">
        <w:rPr>
          <w:szCs w:val="24"/>
          <w:lang w:eastAsia="en-AU"/>
        </w:rPr>
        <w:t xml:space="preserve"> be removed from an immigration detention centre environment and placed in a community environment. The department’s records also indicate that Mr </w:t>
      </w:r>
      <w:r w:rsidR="00C97686">
        <w:rPr>
          <w:szCs w:val="24"/>
          <w:lang w:eastAsia="en-AU"/>
        </w:rPr>
        <w:t>HG</w:t>
      </w:r>
      <w:r w:rsidRPr="00C670CB">
        <w:rPr>
          <w:szCs w:val="24"/>
          <w:lang w:eastAsia="en-AU"/>
        </w:rPr>
        <w:t xml:space="preserve"> made two further threats of self-harm and engaged in one act of self-harm on 2 February 2012. </w:t>
      </w:r>
    </w:p>
    <w:p w14:paraId="779C8984" w14:textId="77777777" w:rsidR="00AE50C0" w:rsidRPr="007877FE" w:rsidRDefault="00AE50C0" w:rsidP="00685461">
      <w:pPr>
        <w:pStyle w:val="ListParagraph"/>
        <w:numPr>
          <w:ilvl w:val="0"/>
          <w:numId w:val="7"/>
        </w:numPr>
        <w:autoSpaceDE w:val="0"/>
        <w:autoSpaceDN w:val="0"/>
        <w:adjustRightInd w:val="0"/>
        <w:rPr>
          <w:szCs w:val="24"/>
        </w:rPr>
      </w:pPr>
      <w:r w:rsidRPr="002B3A0F">
        <w:rPr>
          <w:szCs w:val="24"/>
          <w:lang w:eastAsia="en-AU"/>
        </w:rPr>
        <w:t xml:space="preserve">Despite this history, it took the department a further six months after the initial community detention referral and 21 months after Mr </w:t>
      </w:r>
      <w:r w:rsidR="00C97686">
        <w:rPr>
          <w:szCs w:val="24"/>
          <w:lang w:eastAsia="en-AU"/>
        </w:rPr>
        <w:t>HG</w:t>
      </w:r>
      <w:r w:rsidRPr="002B3A0F">
        <w:rPr>
          <w:szCs w:val="24"/>
          <w:lang w:eastAsia="en-AU"/>
        </w:rPr>
        <w:t xml:space="preserve"> was first detained, to refer his case to the Minister to consider a community detention placement on 23 March 2012. The department’s submission to the Minister indicates the reason for the referral was on the basis of Mr </w:t>
      </w:r>
      <w:r w:rsidR="00C97686">
        <w:rPr>
          <w:szCs w:val="24"/>
          <w:lang w:eastAsia="en-AU"/>
        </w:rPr>
        <w:t>HG</w:t>
      </w:r>
      <w:r w:rsidRPr="002B3A0F">
        <w:rPr>
          <w:szCs w:val="24"/>
          <w:lang w:eastAsia="en-AU"/>
        </w:rPr>
        <w:t>’s mental health and noted:</w:t>
      </w:r>
    </w:p>
    <w:p w14:paraId="4B5491E0" w14:textId="77777777" w:rsidR="00AE50C0" w:rsidRPr="00685461" w:rsidRDefault="00AE50C0" w:rsidP="00685461">
      <w:pPr>
        <w:pStyle w:val="ListParagraph"/>
        <w:autoSpaceDE w:val="0"/>
        <w:autoSpaceDN w:val="0"/>
        <w:adjustRightInd w:val="0"/>
        <w:ind w:left="1440"/>
        <w:rPr>
          <w:sz w:val="22"/>
          <w:szCs w:val="22"/>
          <w:lang w:eastAsia="en-AU"/>
        </w:rPr>
      </w:pPr>
      <w:r w:rsidRPr="00B4220C">
        <w:rPr>
          <w:rFonts w:cs="Arial"/>
          <w:sz w:val="22"/>
          <w:szCs w:val="22"/>
          <w:lang w:eastAsia="en-AU"/>
        </w:rPr>
        <w:t xml:space="preserve">Clinical evidence suggests there has been deterioration in Mr </w:t>
      </w:r>
      <w:r w:rsidR="00C97686">
        <w:rPr>
          <w:rFonts w:cs="Arial"/>
          <w:sz w:val="22"/>
          <w:szCs w:val="22"/>
          <w:lang w:eastAsia="en-AU"/>
        </w:rPr>
        <w:t>HG</w:t>
      </w:r>
      <w:r w:rsidRPr="00B4220C">
        <w:rPr>
          <w:rFonts w:cs="Arial"/>
          <w:sz w:val="22"/>
          <w:szCs w:val="22"/>
          <w:lang w:eastAsia="en-AU"/>
        </w:rPr>
        <w:t xml:space="preserve">’s mental health since being in detention. It also supports the assumption that these </w:t>
      </w:r>
      <w:r w:rsidRPr="00B4220C">
        <w:rPr>
          <w:rFonts w:cs="Arial"/>
          <w:sz w:val="22"/>
          <w:szCs w:val="22"/>
          <w:lang w:eastAsia="en-AU"/>
        </w:rPr>
        <w:lastRenderedPageBreak/>
        <w:t xml:space="preserve">symptoms will persist if his detention in a restrictive environment continues. The International Health and Medical Services recommend Mr </w:t>
      </w:r>
      <w:r w:rsidR="00C97686">
        <w:rPr>
          <w:rFonts w:cs="Arial"/>
          <w:sz w:val="22"/>
          <w:szCs w:val="22"/>
          <w:lang w:eastAsia="en-AU"/>
        </w:rPr>
        <w:t>HG</w:t>
      </w:r>
      <w:r w:rsidRPr="00B4220C">
        <w:rPr>
          <w:rFonts w:cs="Arial"/>
          <w:sz w:val="22"/>
          <w:szCs w:val="22"/>
          <w:lang w:eastAsia="en-AU"/>
        </w:rPr>
        <w:t xml:space="preserve"> be transferred from his current place of detention to a less restrictive environment with appropriate services as soon as possible.</w:t>
      </w:r>
    </w:p>
    <w:p w14:paraId="066D2136" w14:textId="77777777" w:rsidR="00AE50C0" w:rsidRPr="00685461" w:rsidRDefault="00AE50C0" w:rsidP="00685461">
      <w:pPr>
        <w:pStyle w:val="ListParagraph"/>
        <w:numPr>
          <w:ilvl w:val="0"/>
          <w:numId w:val="7"/>
        </w:numPr>
        <w:autoSpaceDE w:val="0"/>
        <w:autoSpaceDN w:val="0"/>
        <w:adjustRightInd w:val="0"/>
        <w:rPr>
          <w:szCs w:val="24"/>
          <w:lang w:eastAsia="en-AU"/>
        </w:rPr>
      </w:pPr>
      <w:r>
        <w:rPr>
          <w:szCs w:val="24"/>
          <w:lang w:eastAsia="en-AU"/>
        </w:rPr>
        <w:t>T</w:t>
      </w:r>
      <w:r w:rsidRPr="00A020D7">
        <w:rPr>
          <w:szCs w:val="24"/>
        </w:rPr>
        <w:t>he department’s submission to the Minister in March 201</w:t>
      </w:r>
      <w:r>
        <w:rPr>
          <w:szCs w:val="24"/>
        </w:rPr>
        <w:t>2</w:t>
      </w:r>
      <w:r w:rsidRPr="00A020D7">
        <w:rPr>
          <w:szCs w:val="24"/>
        </w:rPr>
        <w:t xml:space="preserve"> </w:t>
      </w:r>
      <w:r>
        <w:rPr>
          <w:szCs w:val="24"/>
        </w:rPr>
        <w:t xml:space="preserve">also </w:t>
      </w:r>
      <w:r w:rsidRPr="00A020D7">
        <w:rPr>
          <w:szCs w:val="24"/>
        </w:rPr>
        <w:t>state</w:t>
      </w:r>
      <w:r>
        <w:rPr>
          <w:szCs w:val="24"/>
        </w:rPr>
        <w:t>s</w:t>
      </w:r>
      <w:r w:rsidRPr="00A020D7">
        <w:rPr>
          <w:szCs w:val="24"/>
        </w:rPr>
        <w:t xml:space="preserve"> that ‘there is no information before the department that suggests this client would pose a threat to the Australian community if placed in community detention’.</w:t>
      </w:r>
    </w:p>
    <w:p w14:paraId="239FB823" w14:textId="77777777" w:rsidR="00AE50C0" w:rsidRPr="00685461" w:rsidRDefault="00AE50C0" w:rsidP="00685461">
      <w:pPr>
        <w:pStyle w:val="ListParagraph"/>
        <w:numPr>
          <w:ilvl w:val="0"/>
          <w:numId w:val="7"/>
        </w:numPr>
        <w:autoSpaceDE w:val="0"/>
        <w:autoSpaceDN w:val="0"/>
        <w:adjustRightInd w:val="0"/>
        <w:rPr>
          <w:szCs w:val="24"/>
          <w:lang w:eastAsia="en-AU"/>
        </w:rPr>
      </w:pPr>
      <w:r w:rsidRPr="000D4FCE">
        <w:rPr>
          <w:szCs w:val="24"/>
          <w:lang w:eastAsia="en-AU"/>
        </w:rPr>
        <w:t xml:space="preserve">On 8 May 2012 the Minister agreed to exercise his public interest powers under section 197AB and made a residence determination for Mr </w:t>
      </w:r>
      <w:r w:rsidR="00C97686">
        <w:rPr>
          <w:szCs w:val="24"/>
          <w:lang w:eastAsia="en-AU"/>
        </w:rPr>
        <w:t>HG</w:t>
      </w:r>
      <w:r w:rsidRPr="000D4FCE">
        <w:rPr>
          <w:szCs w:val="24"/>
          <w:lang w:eastAsia="en-AU"/>
        </w:rPr>
        <w:t xml:space="preserve"> to reside in community detention and he was placed in community detention on 21 May 2012.</w:t>
      </w:r>
    </w:p>
    <w:p w14:paraId="4167CDF0" w14:textId="77777777" w:rsidR="00AE50C0" w:rsidRPr="00685461" w:rsidRDefault="00AE50C0" w:rsidP="00685461">
      <w:pPr>
        <w:pStyle w:val="ListParagraph"/>
        <w:numPr>
          <w:ilvl w:val="0"/>
          <w:numId w:val="7"/>
        </w:numPr>
        <w:autoSpaceDE w:val="0"/>
        <w:autoSpaceDN w:val="0"/>
        <w:adjustRightInd w:val="0"/>
        <w:rPr>
          <w:szCs w:val="24"/>
          <w:lang w:val="en"/>
        </w:rPr>
      </w:pPr>
      <w:r w:rsidRPr="00B63229">
        <w:rPr>
          <w:szCs w:val="24"/>
        </w:rPr>
        <w:t xml:space="preserve">By 21 May 2012, Mr </w:t>
      </w:r>
      <w:r w:rsidR="00C97686">
        <w:rPr>
          <w:szCs w:val="24"/>
        </w:rPr>
        <w:t>HG</w:t>
      </w:r>
      <w:r w:rsidRPr="00B63229">
        <w:rPr>
          <w:szCs w:val="24"/>
        </w:rPr>
        <w:t xml:space="preserve"> had spent 23 months in closed immigration detention during which time he exhibited negative mental health outcomes. </w:t>
      </w:r>
      <w:r w:rsidRPr="00E7129A">
        <w:rPr>
          <w:szCs w:val="24"/>
        </w:rPr>
        <w:t xml:space="preserve">The department has not sufficiently explained why it was necessary to detain Mr </w:t>
      </w:r>
      <w:r w:rsidR="00C97686">
        <w:rPr>
          <w:szCs w:val="24"/>
        </w:rPr>
        <w:t>HG</w:t>
      </w:r>
      <w:r w:rsidRPr="00E7129A">
        <w:rPr>
          <w:szCs w:val="24"/>
        </w:rPr>
        <w:t xml:space="preserve"> in closed immigration detention facilities during this time</w:t>
      </w:r>
      <w:r>
        <w:rPr>
          <w:szCs w:val="24"/>
        </w:rPr>
        <w:t xml:space="preserve"> and its delay in considering less restrictive detention options for Mr </w:t>
      </w:r>
      <w:r w:rsidR="00C97686">
        <w:rPr>
          <w:szCs w:val="24"/>
        </w:rPr>
        <w:t>HG</w:t>
      </w:r>
      <w:r w:rsidRPr="00E7129A">
        <w:rPr>
          <w:szCs w:val="24"/>
        </w:rPr>
        <w:t xml:space="preserve">. </w:t>
      </w:r>
    </w:p>
    <w:p w14:paraId="46544502" w14:textId="72443D35" w:rsidR="00AE50C0" w:rsidRPr="00685461" w:rsidRDefault="00AE50C0" w:rsidP="00685461">
      <w:pPr>
        <w:pStyle w:val="ListParagraph"/>
        <w:numPr>
          <w:ilvl w:val="0"/>
          <w:numId w:val="7"/>
        </w:numPr>
        <w:rPr>
          <w:szCs w:val="24"/>
          <w:lang w:val="en-US" w:eastAsia="en-AU"/>
        </w:rPr>
      </w:pPr>
      <w:r>
        <w:rPr>
          <w:szCs w:val="24"/>
          <w:lang w:val="en-US" w:eastAsia="en-AU"/>
        </w:rPr>
        <w:t>I</w:t>
      </w:r>
      <w:r w:rsidRPr="006D6B5C">
        <w:rPr>
          <w:szCs w:val="24"/>
          <w:lang w:val="en-US" w:eastAsia="en-AU"/>
        </w:rPr>
        <w:t>n response to my</w:t>
      </w:r>
      <w:r w:rsidRPr="00A545F9">
        <w:rPr>
          <w:szCs w:val="24"/>
          <w:lang w:val="en-US" w:eastAsia="en-AU"/>
        </w:rPr>
        <w:t xml:space="preserve"> preliminary view, the </w:t>
      </w:r>
      <w:r>
        <w:rPr>
          <w:szCs w:val="24"/>
          <w:lang w:val="en-US" w:eastAsia="en-AU"/>
        </w:rPr>
        <w:t xml:space="preserve">department </w:t>
      </w:r>
      <w:r w:rsidRPr="00A545F9">
        <w:rPr>
          <w:szCs w:val="24"/>
          <w:lang w:val="en-US" w:eastAsia="en-AU"/>
        </w:rPr>
        <w:t xml:space="preserve">advised that its </w:t>
      </w:r>
      <w:r w:rsidRPr="003561FB">
        <w:rPr>
          <w:szCs w:val="24"/>
          <w:lang w:val="en-US" w:eastAsia="en-AU"/>
        </w:rPr>
        <w:t>community detention program was expanded in October 2010 for the purpose of</w:t>
      </w:r>
      <w:r w:rsidRPr="00A545F9">
        <w:rPr>
          <w:szCs w:val="24"/>
          <w:lang w:val="en-US" w:eastAsia="en-AU"/>
        </w:rPr>
        <w:t xml:space="preserve"> prioritising the transfer of children into the comm</w:t>
      </w:r>
      <w:r>
        <w:rPr>
          <w:szCs w:val="24"/>
          <w:lang w:val="en-US" w:eastAsia="en-AU"/>
        </w:rPr>
        <w:t xml:space="preserve">unity and that single adult men, such as Mr </w:t>
      </w:r>
      <w:r w:rsidR="00C97686">
        <w:rPr>
          <w:szCs w:val="24"/>
          <w:lang w:val="en-US" w:eastAsia="en-AU"/>
        </w:rPr>
        <w:t>HG</w:t>
      </w:r>
      <w:r w:rsidR="00951DBC">
        <w:rPr>
          <w:szCs w:val="24"/>
          <w:lang w:val="en-US" w:eastAsia="en-AU"/>
        </w:rPr>
        <w:t>,</w:t>
      </w:r>
      <w:r>
        <w:rPr>
          <w:szCs w:val="24"/>
          <w:lang w:val="en-US" w:eastAsia="en-AU"/>
        </w:rPr>
        <w:t xml:space="preserve"> </w:t>
      </w:r>
      <w:r w:rsidRPr="00A545F9">
        <w:rPr>
          <w:szCs w:val="24"/>
          <w:lang w:val="en-US" w:eastAsia="en-AU"/>
        </w:rPr>
        <w:t xml:space="preserve">were not eligible to be placed in the community unless they were assessed as particularly vulnerable. </w:t>
      </w:r>
    </w:p>
    <w:p w14:paraId="29E828E2" w14:textId="77777777" w:rsidR="00AE50C0" w:rsidRPr="00685461" w:rsidRDefault="00AE50C0" w:rsidP="00685461">
      <w:pPr>
        <w:pStyle w:val="ListParagraph"/>
        <w:numPr>
          <w:ilvl w:val="0"/>
          <w:numId w:val="7"/>
        </w:numPr>
        <w:rPr>
          <w:szCs w:val="24"/>
          <w:lang w:val="en-US" w:eastAsia="en-AU"/>
        </w:rPr>
      </w:pPr>
      <w:r>
        <w:rPr>
          <w:szCs w:val="24"/>
          <w:lang w:val="en-US" w:eastAsia="en-AU"/>
        </w:rPr>
        <w:t xml:space="preserve">This submission from the department does not address the reasons Mr </w:t>
      </w:r>
      <w:r w:rsidR="00C97686">
        <w:rPr>
          <w:szCs w:val="24"/>
          <w:lang w:val="en-US" w:eastAsia="en-AU"/>
        </w:rPr>
        <w:t>HG</w:t>
      </w:r>
      <w:r>
        <w:rPr>
          <w:szCs w:val="24"/>
          <w:lang w:val="en-US" w:eastAsia="en-AU"/>
        </w:rPr>
        <w:t xml:space="preserve"> was not assessed against the community detention guidelines until September 2011, some 15 months after he was first detained.  Additionally, the submission does not address the reason it took the department a further 6 months after the initial community detention referral to refer Mr </w:t>
      </w:r>
      <w:r w:rsidR="00C97686">
        <w:rPr>
          <w:szCs w:val="24"/>
          <w:lang w:val="en-US" w:eastAsia="en-AU"/>
        </w:rPr>
        <w:t>HG</w:t>
      </w:r>
      <w:r>
        <w:rPr>
          <w:szCs w:val="24"/>
          <w:lang w:val="en-US" w:eastAsia="en-AU"/>
        </w:rPr>
        <w:t xml:space="preserve">’s case to the Minister in circumstances where there was clear evidence of Mr </w:t>
      </w:r>
      <w:r w:rsidR="00C97686">
        <w:rPr>
          <w:szCs w:val="24"/>
          <w:lang w:val="en-US" w:eastAsia="en-AU"/>
        </w:rPr>
        <w:t>HG</w:t>
      </w:r>
      <w:r>
        <w:rPr>
          <w:szCs w:val="24"/>
          <w:lang w:val="en-US" w:eastAsia="en-AU"/>
        </w:rPr>
        <w:t>’s vulnerabilities.</w:t>
      </w:r>
    </w:p>
    <w:p w14:paraId="4A7520B2" w14:textId="77777777" w:rsidR="00AE50C0" w:rsidRPr="00685461" w:rsidRDefault="00AE50C0" w:rsidP="00685461">
      <w:pPr>
        <w:pStyle w:val="ListParagraph"/>
        <w:numPr>
          <w:ilvl w:val="0"/>
          <w:numId w:val="7"/>
        </w:numPr>
        <w:autoSpaceDE w:val="0"/>
        <w:autoSpaceDN w:val="0"/>
        <w:adjustRightInd w:val="0"/>
        <w:rPr>
          <w:szCs w:val="24"/>
          <w:lang w:eastAsia="en-AU"/>
        </w:rPr>
      </w:pPr>
      <w:r w:rsidRPr="00F3389C">
        <w:rPr>
          <w:szCs w:val="24"/>
        </w:rPr>
        <w:t xml:space="preserve">The department </w:t>
      </w:r>
      <w:r>
        <w:rPr>
          <w:szCs w:val="24"/>
        </w:rPr>
        <w:t>also</w:t>
      </w:r>
      <w:r w:rsidRPr="00F3389C">
        <w:rPr>
          <w:szCs w:val="24"/>
        </w:rPr>
        <w:t xml:space="preserve"> state</w:t>
      </w:r>
      <w:r>
        <w:rPr>
          <w:szCs w:val="24"/>
        </w:rPr>
        <w:t>d in its response to my preliminary view</w:t>
      </w:r>
      <w:r w:rsidRPr="00F3389C">
        <w:rPr>
          <w:szCs w:val="24"/>
        </w:rPr>
        <w:t xml:space="preserve"> that due to the number of referrals for community detention at this time, the time taken to finalise Mr </w:t>
      </w:r>
      <w:r w:rsidR="00C97686">
        <w:rPr>
          <w:szCs w:val="24"/>
        </w:rPr>
        <w:t>HG</w:t>
      </w:r>
      <w:r w:rsidRPr="00F3389C">
        <w:rPr>
          <w:szCs w:val="24"/>
        </w:rPr>
        <w:t xml:space="preserve">’s release into community detention was not unusual. </w:t>
      </w:r>
    </w:p>
    <w:p w14:paraId="0A742828" w14:textId="77777777" w:rsidR="00AE50C0" w:rsidRPr="00685461" w:rsidRDefault="00AE50C0" w:rsidP="00685461">
      <w:pPr>
        <w:pStyle w:val="ListParagraph"/>
        <w:numPr>
          <w:ilvl w:val="0"/>
          <w:numId w:val="7"/>
        </w:numPr>
        <w:autoSpaceDE w:val="0"/>
        <w:autoSpaceDN w:val="0"/>
        <w:adjustRightInd w:val="0"/>
        <w:rPr>
          <w:szCs w:val="24"/>
          <w:lang w:eastAsia="en-AU"/>
        </w:rPr>
      </w:pPr>
      <w:r w:rsidRPr="00F3389C">
        <w:rPr>
          <w:szCs w:val="24"/>
        </w:rPr>
        <w:t xml:space="preserve">I do not consider that this </w:t>
      </w:r>
      <w:r>
        <w:rPr>
          <w:szCs w:val="24"/>
        </w:rPr>
        <w:t xml:space="preserve">submission </w:t>
      </w:r>
      <w:r w:rsidRPr="00F3389C">
        <w:rPr>
          <w:szCs w:val="24"/>
        </w:rPr>
        <w:t xml:space="preserve">justifies the </w:t>
      </w:r>
      <w:r>
        <w:rPr>
          <w:szCs w:val="24"/>
        </w:rPr>
        <w:t xml:space="preserve">ongoing and prolonged detention of Mr </w:t>
      </w:r>
      <w:r w:rsidR="00C97686">
        <w:rPr>
          <w:szCs w:val="24"/>
        </w:rPr>
        <w:t>HG</w:t>
      </w:r>
      <w:r>
        <w:rPr>
          <w:szCs w:val="24"/>
        </w:rPr>
        <w:t xml:space="preserve"> in circumstances where evidence of Mr </w:t>
      </w:r>
      <w:r w:rsidR="00C97686">
        <w:rPr>
          <w:szCs w:val="24"/>
        </w:rPr>
        <w:t>HG</w:t>
      </w:r>
      <w:r>
        <w:rPr>
          <w:szCs w:val="24"/>
        </w:rPr>
        <w:t xml:space="preserve">’s mental health vulnerabilities was before the department from at least September 2011. </w:t>
      </w:r>
    </w:p>
    <w:p w14:paraId="253531B1" w14:textId="77777777" w:rsidR="00AE50C0" w:rsidRPr="00685461" w:rsidRDefault="00AE50C0" w:rsidP="00685461">
      <w:pPr>
        <w:pStyle w:val="ListParagraph"/>
        <w:numPr>
          <w:ilvl w:val="0"/>
          <w:numId w:val="7"/>
        </w:numPr>
        <w:autoSpaceDE w:val="0"/>
        <w:autoSpaceDN w:val="0"/>
        <w:adjustRightInd w:val="0"/>
        <w:rPr>
          <w:szCs w:val="24"/>
          <w:lang w:val="en"/>
        </w:rPr>
      </w:pPr>
      <w:r>
        <w:rPr>
          <w:szCs w:val="24"/>
          <w:lang w:val="en"/>
        </w:rPr>
        <w:t xml:space="preserve">It is my view that Mr </w:t>
      </w:r>
      <w:r w:rsidR="00C97686">
        <w:rPr>
          <w:szCs w:val="24"/>
          <w:lang w:val="en"/>
        </w:rPr>
        <w:t>HG</w:t>
      </w:r>
      <w:r>
        <w:rPr>
          <w:szCs w:val="24"/>
          <w:lang w:val="en"/>
        </w:rPr>
        <w:t>’s detention in closed immigration detention facilities has not been justified as either necessary in the circumstances or proportionate to the Commonwealth’s legitimate aim of managing its migration system.</w:t>
      </w:r>
    </w:p>
    <w:p w14:paraId="04C01EC2" w14:textId="77777777" w:rsidR="00AE50C0" w:rsidRPr="00F14AFA" w:rsidRDefault="00AE50C0" w:rsidP="00685461">
      <w:pPr>
        <w:pStyle w:val="ListParagraph"/>
        <w:numPr>
          <w:ilvl w:val="0"/>
          <w:numId w:val="7"/>
        </w:numPr>
        <w:autoSpaceDE w:val="0"/>
        <w:autoSpaceDN w:val="0"/>
        <w:adjustRightInd w:val="0"/>
        <w:rPr>
          <w:szCs w:val="24"/>
          <w:lang w:val="en"/>
        </w:rPr>
      </w:pPr>
      <w:r w:rsidRPr="00F14AFA">
        <w:rPr>
          <w:szCs w:val="24"/>
          <w:lang w:val="en"/>
        </w:rPr>
        <w:t xml:space="preserve">Based on the information before me, I find that the failure to place </w:t>
      </w:r>
      <w:r>
        <w:rPr>
          <w:szCs w:val="24"/>
          <w:lang w:val="en"/>
        </w:rPr>
        <w:t xml:space="preserve">Mr </w:t>
      </w:r>
      <w:r w:rsidR="00C97686">
        <w:rPr>
          <w:szCs w:val="24"/>
          <w:lang w:val="en"/>
        </w:rPr>
        <w:t>HG</w:t>
      </w:r>
      <w:r w:rsidRPr="00F14AFA">
        <w:rPr>
          <w:szCs w:val="24"/>
          <w:lang w:val="en"/>
        </w:rPr>
        <w:t xml:space="preserve"> in </w:t>
      </w:r>
      <w:r>
        <w:rPr>
          <w:szCs w:val="24"/>
          <w:lang w:val="en"/>
        </w:rPr>
        <w:t xml:space="preserve">community detention or </w:t>
      </w:r>
      <w:r w:rsidRPr="00F14AFA">
        <w:rPr>
          <w:szCs w:val="24"/>
          <w:lang w:val="en"/>
        </w:rPr>
        <w:t xml:space="preserve">a less restrictive form of detention than in an </w:t>
      </w:r>
      <w:r w:rsidRPr="00F14AFA">
        <w:rPr>
          <w:szCs w:val="24"/>
          <w:lang w:val="en"/>
        </w:rPr>
        <w:lastRenderedPageBreak/>
        <w:t>immigration detention centre during the 23 months that he was detained was arbitrary and inconsistent with his right to liberty under article 9(1) of the ICCPR.</w:t>
      </w:r>
    </w:p>
    <w:p w14:paraId="5968A894" w14:textId="77777777" w:rsidR="00AE50C0" w:rsidRPr="000114D3" w:rsidRDefault="00AE50C0" w:rsidP="00685461">
      <w:pPr>
        <w:pStyle w:val="Heading1"/>
        <w:spacing w:before="0"/>
      </w:pPr>
      <w:bookmarkStart w:id="14" w:name="_Toc419813771"/>
      <w:r w:rsidRPr="000114D3">
        <w:t>Recommendations</w:t>
      </w:r>
      <w:bookmarkEnd w:id="14"/>
    </w:p>
    <w:p w14:paraId="1F182722" w14:textId="77777777" w:rsidR="00AE50C0" w:rsidRPr="006B320B" w:rsidRDefault="00AE50C0" w:rsidP="00685461">
      <w:pPr>
        <w:pStyle w:val="Heading2"/>
        <w:tabs>
          <w:tab w:val="clear" w:pos="284"/>
          <w:tab w:val="clear" w:pos="567"/>
          <w:tab w:val="clear" w:pos="851"/>
          <w:tab w:val="left" w:pos="0"/>
          <w:tab w:val="left" w:pos="993"/>
          <w:tab w:val="num" w:pos="1091"/>
          <w:tab w:val="num" w:pos="1418"/>
        </w:tabs>
        <w:spacing w:before="0"/>
        <w:ind w:left="851"/>
        <w:rPr>
          <w:lang w:val="en"/>
        </w:rPr>
      </w:pPr>
      <w:bookmarkStart w:id="15" w:name="_Toc419813772"/>
      <w:r w:rsidRPr="006B320B">
        <w:rPr>
          <w:lang w:val="en"/>
        </w:rPr>
        <w:t>Power to make recommendations</w:t>
      </w:r>
      <w:bookmarkEnd w:id="15"/>
    </w:p>
    <w:p w14:paraId="7CA2165E" w14:textId="77777777" w:rsidR="00AE50C0" w:rsidRPr="006D481D" w:rsidRDefault="00AE50C0" w:rsidP="00685461">
      <w:pPr>
        <w:numPr>
          <w:ilvl w:val="0"/>
          <w:numId w:val="7"/>
        </w:numPr>
        <w:spacing w:before="0"/>
        <w:rPr>
          <w:szCs w:val="24"/>
        </w:rPr>
      </w:pPr>
      <w:r w:rsidRPr="008F526C">
        <w:rPr>
          <w:szCs w:val="24"/>
        </w:rPr>
        <w:t>Where, after conducting an inquiry, the Commission finds that an act or practice engaged in by a respondent is inconsistent with or contrary to any human right, the Commission is required to serve notice on the respondent setting out its finding</w:t>
      </w:r>
      <w:r w:rsidRPr="006D481D">
        <w:rPr>
          <w:szCs w:val="24"/>
        </w:rPr>
        <w:t>s and reasons for those findings.</w:t>
      </w:r>
      <w:r w:rsidRPr="008F526C">
        <w:rPr>
          <w:rStyle w:val="EndnoteReference"/>
          <w:szCs w:val="24"/>
        </w:rPr>
        <w:endnoteReference w:id="5"/>
      </w:r>
      <w:r w:rsidRPr="006D481D">
        <w:rPr>
          <w:szCs w:val="24"/>
        </w:rPr>
        <w:t xml:space="preserve"> The Commission may include in the notice any recommendation for preventing a repetition of the act or a continuation of the practice.</w:t>
      </w:r>
      <w:r w:rsidRPr="008F526C">
        <w:rPr>
          <w:rStyle w:val="EndnoteReference"/>
          <w:szCs w:val="24"/>
        </w:rPr>
        <w:endnoteReference w:id="6"/>
      </w:r>
      <w:r w:rsidRPr="006D481D">
        <w:rPr>
          <w:szCs w:val="24"/>
        </w:rPr>
        <w:t xml:space="preserve"> </w:t>
      </w:r>
    </w:p>
    <w:p w14:paraId="71411E3D" w14:textId="77777777" w:rsidR="00AE50C0" w:rsidRPr="008F526C" w:rsidRDefault="00AE50C0" w:rsidP="00685461">
      <w:pPr>
        <w:numPr>
          <w:ilvl w:val="0"/>
          <w:numId w:val="7"/>
        </w:numPr>
        <w:spacing w:before="0"/>
        <w:rPr>
          <w:szCs w:val="24"/>
        </w:rPr>
      </w:pPr>
      <w:r w:rsidRPr="008F526C">
        <w:rPr>
          <w:szCs w:val="24"/>
        </w:rPr>
        <w:t>The Commission may also recommend:</w:t>
      </w:r>
    </w:p>
    <w:p w14:paraId="6A32015E" w14:textId="77777777" w:rsidR="00AE50C0" w:rsidRPr="008F526C" w:rsidRDefault="00AE50C0" w:rsidP="00685461">
      <w:pPr>
        <w:numPr>
          <w:ilvl w:val="1"/>
          <w:numId w:val="7"/>
        </w:numPr>
        <w:spacing w:before="0"/>
        <w:rPr>
          <w:szCs w:val="24"/>
        </w:rPr>
      </w:pPr>
      <w:r w:rsidRPr="008F526C">
        <w:rPr>
          <w:szCs w:val="24"/>
        </w:rPr>
        <w:t xml:space="preserve">the payment of compensation to, or in respect of, a person who has suffered loss or damage; and </w:t>
      </w:r>
    </w:p>
    <w:p w14:paraId="1B6B730E" w14:textId="77777777" w:rsidR="00AE50C0" w:rsidRPr="002F2EF3" w:rsidRDefault="00AE50C0" w:rsidP="00685461">
      <w:pPr>
        <w:numPr>
          <w:ilvl w:val="1"/>
          <w:numId w:val="7"/>
        </w:numPr>
        <w:spacing w:before="0"/>
        <w:rPr>
          <w:szCs w:val="24"/>
        </w:rPr>
      </w:pPr>
      <w:r w:rsidRPr="008F526C">
        <w:rPr>
          <w:szCs w:val="24"/>
        </w:rPr>
        <w:t>the taking of other action to remedy or reduce the loss or damage suffered by a person.</w:t>
      </w:r>
      <w:r w:rsidRPr="008F526C">
        <w:rPr>
          <w:rStyle w:val="EndnoteReference"/>
          <w:szCs w:val="24"/>
        </w:rPr>
        <w:endnoteReference w:id="7"/>
      </w:r>
      <w:r w:rsidRPr="008F526C">
        <w:rPr>
          <w:szCs w:val="24"/>
        </w:rPr>
        <w:t xml:space="preserve"> </w:t>
      </w:r>
    </w:p>
    <w:p w14:paraId="042995E3" w14:textId="77777777" w:rsidR="00AE50C0" w:rsidRPr="00E6160D" w:rsidRDefault="00AE50C0" w:rsidP="00685461">
      <w:pPr>
        <w:pStyle w:val="Heading2"/>
        <w:tabs>
          <w:tab w:val="clear" w:pos="284"/>
          <w:tab w:val="clear" w:pos="567"/>
          <w:tab w:val="clear" w:pos="851"/>
          <w:tab w:val="left" w:pos="0"/>
          <w:tab w:val="left" w:pos="993"/>
          <w:tab w:val="num" w:pos="1091"/>
          <w:tab w:val="num" w:pos="1418"/>
        </w:tabs>
        <w:spacing w:before="0"/>
        <w:ind w:left="851"/>
        <w:rPr>
          <w:color w:val="auto"/>
        </w:rPr>
      </w:pPr>
      <w:bookmarkStart w:id="16" w:name="_Toc419813773"/>
      <w:r w:rsidRPr="00E6160D">
        <w:rPr>
          <w:color w:val="auto"/>
        </w:rPr>
        <w:t xml:space="preserve">Mr </w:t>
      </w:r>
      <w:r w:rsidR="00C97686">
        <w:rPr>
          <w:color w:val="auto"/>
        </w:rPr>
        <w:t>HG</w:t>
      </w:r>
      <w:r w:rsidRPr="00E6160D">
        <w:rPr>
          <w:color w:val="auto"/>
        </w:rPr>
        <w:t>’s submissions</w:t>
      </w:r>
      <w:bookmarkEnd w:id="16"/>
    </w:p>
    <w:p w14:paraId="4A67E8FA" w14:textId="77777777" w:rsidR="00AE50C0" w:rsidRPr="00E6160D" w:rsidRDefault="00AE50C0" w:rsidP="00685461">
      <w:pPr>
        <w:numPr>
          <w:ilvl w:val="0"/>
          <w:numId w:val="7"/>
        </w:numPr>
        <w:spacing w:before="0"/>
        <w:rPr>
          <w:strike/>
          <w:szCs w:val="24"/>
        </w:rPr>
      </w:pPr>
      <w:r w:rsidRPr="00E6160D">
        <w:rPr>
          <w:szCs w:val="24"/>
        </w:rPr>
        <w:t xml:space="preserve">Mr </w:t>
      </w:r>
      <w:r w:rsidR="00C97686">
        <w:rPr>
          <w:szCs w:val="24"/>
        </w:rPr>
        <w:t>HG</w:t>
      </w:r>
      <w:r w:rsidRPr="00E6160D">
        <w:rPr>
          <w:szCs w:val="24"/>
        </w:rPr>
        <w:t xml:space="preserve"> submitted that his time in immigration detention has had ongoing adverse impacts on his physical and mental health. </w:t>
      </w:r>
      <w:r>
        <w:rPr>
          <w:szCs w:val="24"/>
        </w:rPr>
        <w:t xml:space="preserve">He is currently in Yongah Hill </w:t>
      </w:r>
      <w:r w:rsidRPr="00E6160D">
        <w:rPr>
          <w:szCs w:val="24"/>
        </w:rPr>
        <w:t xml:space="preserve">Immigration Detention Centre having been re-detained </w:t>
      </w:r>
      <w:r>
        <w:rPr>
          <w:szCs w:val="24"/>
        </w:rPr>
        <w:t>in August 2013.</w:t>
      </w:r>
    </w:p>
    <w:p w14:paraId="0F618B8D" w14:textId="77777777" w:rsidR="00AE50C0" w:rsidRPr="00E6160D" w:rsidRDefault="00AE50C0" w:rsidP="00685461">
      <w:pPr>
        <w:numPr>
          <w:ilvl w:val="0"/>
          <w:numId w:val="7"/>
        </w:numPr>
        <w:spacing w:before="0"/>
        <w:rPr>
          <w:szCs w:val="24"/>
        </w:rPr>
      </w:pPr>
      <w:r w:rsidRPr="00E6160D">
        <w:rPr>
          <w:szCs w:val="24"/>
        </w:rPr>
        <w:t xml:space="preserve">Mr </w:t>
      </w:r>
      <w:r w:rsidR="00C97686">
        <w:rPr>
          <w:szCs w:val="24"/>
        </w:rPr>
        <w:t>HG</w:t>
      </w:r>
      <w:r w:rsidRPr="00E6160D">
        <w:rPr>
          <w:szCs w:val="24"/>
        </w:rPr>
        <w:t xml:space="preserve"> has asked that the Commonwealth release him </w:t>
      </w:r>
      <w:r>
        <w:rPr>
          <w:szCs w:val="24"/>
        </w:rPr>
        <w:t xml:space="preserve">from </w:t>
      </w:r>
      <w:r w:rsidRPr="00E6160D">
        <w:rPr>
          <w:szCs w:val="24"/>
        </w:rPr>
        <w:t xml:space="preserve">closed detention and also compensate </w:t>
      </w:r>
      <w:r>
        <w:rPr>
          <w:szCs w:val="24"/>
        </w:rPr>
        <w:t xml:space="preserve">him </w:t>
      </w:r>
      <w:r w:rsidRPr="00E6160D">
        <w:rPr>
          <w:szCs w:val="24"/>
        </w:rPr>
        <w:t xml:space="preserve">for the pain and suffering of being detained in closed immigration detention. Mr </w:t>
      </w:r>
      <w:r w:rsidR="00C97686">
        <w:rPr>
          <w:szCs w:val="24"/>
        </w:rPr>
        <w:t>HG</w:t>
      </w:r>
      <w:r w:rsidRPr="00E6160D">
        <w:rPr>
          <w:szCs w:val="24"/>
        </w:rPr>
        <w:t xml:space="preserve"> did not specify the amount of financial compensation that he is seeking.</w:t>
      </w:r>
    </w:p>
    <w:p w14:paraId="2C3353B3" w14:textId="77777777" w:rsidR="00AE50C0" w:rsidRPr="00567476" w:rsidRDefault="00AE50C0" w:rsidP="00685461">
      <w:pPr>
        <w:pStyle w:val="Heading2"/>
        <w:tabs>
          <w:tab w:val="clear" w:pos="284"/>
          <w:tab w:val="clear" w:pos="567"/>
          <w:tab w:val="clear" w:pos="851"/>
          <w:tab w:val="left" w:pos="0"/>
          <w:tab w:val="left" w:pos="993"/>
          <w:tab w:val="num" w:pos="1091"/>
          <w:tab w:val="num" w:pos="1418"/>
        </w:tabs>
        <w:spacing w:before="0"/>
        <w:ind w:left="851"/>
        <w:rPr>
          <w:color w:val="auto"/>
        </w:rPr>
      </w:pPr>
      <w:bookmarkStart w:id="17" w:name="_Toc419813774"/>
      <w:r w:rsidRPr="00567476">
        <w:rPr>
          <w:color w:val="auto"/>
        </w:rPr>
        <w:t>Consideration of compensation</w:t>
      </w:r>
      <w:bookmarkEnd w:id="17"/>
    </w:p>
    <w:p w14:paraId="481ECBB3" w14:textId="77777777" w:rsidR="00AE50C0" w:rsidRPr="00567476" w:rsidRDefault="00AE50C0" w:rsidP="00685461">
      <w:pPr>
        <w:numPr>
          <w:ilvl w:val="0"/>
          <w:numId w:val="7"/>
        </w:numPr>
        <w:spacing w:before="0"/>
        <w:rPr>
          <w:szCs w:val="24"/>
        </w:rPr>
      </w:pPr>
      <w:r w:rsidRPr="00567476">
        <w:rPr>
          <w:szCs w:val="24"/>
        </w:rPr>
        <w:t>There is no judicial guidance dealing with the assessment of recommendations for financial compensation for breaches of human rights under the AHRC Act.</w:t>
      </w:r>
    </w:p>
    <w:p w14:paraId="60796B6A" w14:textId="77777777" w:rsidR="00AE50C0" w:rsidRPr="00567476" w:rsidRDefault="00AE50C0" w:rsidP="00685461">
      <w:pPr>
        <w:numPr>
          <w:ilvl w:val="0"/>
          <w:numId w:val="7"/>
        </w:numPr>
        <w:spacing w:before="0"/>
        <w:rPr>
          <w:szCs w:val="24"/>
        </w:rPr>
      </w:pPr>
      <w:r w:rsidRPr="00567476">
        <w:rPr>
          <w:szCs w:val="24"/>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r w:rsidRPr="00567476">
        <w:rPr>
          <w:rStyle w:val="EndnoteReference"/>
          <w:szCs w:val="24"/>
        </w:rPr>
        <w:endnoteReference w:id="8"/>
      </w:r>
      <w:r w:rsidRPr="00567476">
        <w:rPr>
          <w:szCs w:val="24"/>
        </w:rPr>
        <w:t xml:space="preserve"> </w:t>
      </w:r>
    </w:p>
    <w:p w14:paraId="2D1AB619" w14:textId="77777777" w:rsidR="00AE50C0" w:rsidRPr="00567476" w:rsidRDefault="00AE50C0" w:rsidP="00685461">
      <w:pPr>
        <w:numPr>
          <w:ilvl w:val="0"/>
          <w:numId w:val="7"/>
        </w:numPr>
        <w:spacing w:before="0"/>
        <w:rPr>
          <w:szCs w:val="24"/>
        </w:rPr>
      </w:pPr>
      <w:r w:rsidRPr="00567476">
        <w:rPr>
          <w:szCs w:val="24"/>
        </w:rPr>
        <w:t xml:space="preserve">I am of the view that this is the appropriate approach to take to the present matter. For this reason, so far as is possible in the case of a recommendation </w:t>
      </w:r>
      <w:r w:rsidRPr="00567476">
        <w:rPr>
          <w:szCs w:val="24"/>
        </w:rPr>
        <w:lastRenderedPageBreak/>
        <w:t>for compensation, the object should be to place the injured party in the same position as if the wrong had not occurred.</w:t>
      </w:r>
      <w:r w:rsidRPr="00567476">
        <w:rPr>
          <w:rStyle w:val="EndnoteReference"/>
          <w:szCs w:val="24"/>
        </w:rPr>
        <w:endnoteReference w:id="9"/>
      </w:r>
      <w:r w:rsidRPr="00567476">
        <w:rPr>
          <w:szCs w:val="24"/>
        </w:rPr>
        <w:t xml:space="preserve"> </w:t>
      </w:r>
    </w:p>
    <w:p w14:paraId="74C8A8D5" w14:textId="77777777" w:rsidR="00AE50C0" w:rsidRPr="00567476" w:rsidRDefault="00AE50C0" w:rsidP="00685461">
      <w:pPr>
        <w:numPr>
          <w:ilvl w:val="0"/>
          <w:numId w:val="7"/>
        </w:numPr>
        <w:spacing w:before="0"/>
        <w:rPr>
          <w:szCs w:val="24"/>
        </w:rPr>
      </w:pPr>
      <w:r w:rsidRPr="00567476">
        <w:rPr>
          <w:szCs w:val="24"/>
        </w:rPr>
        <w:t>The tort of false imprisonment is a more limited action than an action for breach of article 9(1). This is because an action for false imprisonment cannot succeed where there is lawful justification for the detention, whereas a breach of article 9(1) will be made out where it can be established that the detention was arbitrary, irrespective of legality.</w:t>
      </w:r>
    </w:p>
    <w:p w14:paraId="5101E5B8" w14:textId="77777777" w:rsidR="00AE50C0" w:rsidRPr="00567476" w:rsidRDefault="00AE50C0" w:rsidP="00685461">
      <w:pPr>
        <w:numPr>
          <w:ilvl w:val="0"/>
          <w:numId w:val="7"/>
        </w:numPr>
        <w:spacing w:before="0"/>
        <w:rPr>
          <w:szCs w:val="24"/>
        </w:rPr>
      </w:pPr>
      <w:r w:rsidRPr="00567476">
        <w:rPr>
          <w:szCs w:val="24"/>
        </w:rPr>
        <w:t>Notwithstanding this important distinction, the damages awarded in false imprisonment provide an appropriate guide for the award of compensation for a breach of art</w:t>
      </w:r>
      <w:r>
        <w:rPr>
          <w:szCs w:val="24"/>
        </w:rPr>
        <w:t>icle</w:t>
      </w:r>
      <w:r w:rsidRPr="00567476">
        <w:rPr>
          <w:szCs w:val="24"/>
        </w:rPr>
        <w:t xml:space="preserve"> 9(1). This is because the damages that are available in false imprisonment matters provide an indication of how the courts have considered it appropriate to compensate for loss of liberty.</w:t>
      </w:r>
    </w:p>
    <w:p w14:paraId="50D6A4E0" w14:textId="77777777" w:rsidR="00AE50C0" w:rsidRPr="00567476" w:rsidRDefault="00AE50C0" w:rsidP="00685461">
      <w:pPr>
        <w:numPr>
          <w:ilvl w:val="0"/>
          <w:numId w:val="7"/>
        </w:numPr>
        <w:spacing w:before="0"/>
        <w:rPr>
          <w:szCs w:val="24"/>
        </w:rPr>
      </w:pPr>
      <w:r w:rsidRPr="00567476">
        <w:rPr>
          <w:szCs w:val="24"/>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567476">
        <w:rPr>
          <w:rStyle w:val="EndnoteReference"/>
          <w:szCs w:val="24"/>
        </w:rPr>
        <w:endnoteReference w:id="10"/>
      </w:r>
      <w:r w:rsidRPr="00567476">
        <w:rPr>
          <w:szCs w:val="24"/>
        </w:rPr>
        <w:t xml:space="preserve"> </w:t>
      </w:r>
    </w:p>
    <w:p w14:paraId="558007D4" w14:textId="77777777" w:rsidR="00AE50C0" w:rsidRPr="00567476" w:rsidRDefault="00AE50C0" w:rsidP="00685461">
      <w:pPr>
        <w:numPr>
          <w:ilvl w:val="0"/>
          <w:numId w:val="7"/>
        </w:numPr>
        <w:tabs>
          <w:tab w:val="clear" w:pos="720"/>
          <w:tab w:val="num" w:pos="709"/>
          <w:tab w:val="num" w:pos="2880"/>
        </w:tabs>
        <w:spacing w:before="0"/>
        <w:ind w:left="709" w:hanging="709"/>
        <w:rPr>
          <w:szCs w:val="24"/>
          <w:lang w:val="en-US"/>
        </w:rPr>
      </w:pPr>
      <w:r>
        <w:rPr>
          <w:szCs w:val="24"/>
          <w:lang w:val="en-US"/>
        </w:rPr>
        <w:t xml:space="preserve">In the </w:t>
      </w:r>
      <w:r w:rsidRPr="00567476">
        <w:rPr>
          <w:szCs w:val="24"/>
          <w:lang w:val="en-US"/>
        </w:rPr>
        <w:t xml:space="preserve">case of </w:t>
      </w:r>
      <w:r w:rsidRPr="00567476">
        <w:rPr>
          <w:i/>
          <w:szCs w:val="24"/>
          <w:lang w:val="en-US"/>
        </w:rPr>
        <w:t>Fernando v Commonwealth of Australia (No 5)</w:t>
      </w:r>
      <w:r w:rsidRPr="00567476">
        <w:rPr>
          <w:szCs w:val="24"/>
          <w:lang w:val="en-US"/>
        </w:rPr>
        <w:t>,</w:t>
      </w:r>
      <w:r w:rsidRPr="00567476">
        <w:rPr>
          <w:szCs w:val="24"/>
          <w:vertAlign w:val="superscript"/>
          <w:lang w:val="en-US"/>
        </w:rPr>
        <w:endnoteReference w:id="11"/>
      </w:r>
      <w:r w:rsidRPr="00567476">
        <w:rPr>
          <w:szCs w:val="24"/>
          <w:lang w:val="en-US"/>
        </w:rPr>
        <w:t xml:space="preserve"> Siopis J considered the judicial guidance available on the quantum of damages for loss of liberty for a long period arising from wrongful imprisonment. Siopis J referred to the case of </w:t>
      </w:r>
      <w:r w:rsidRPr="00567476">
        <w:rPr>
          <w:i/>
          <w:szCs w:val="24"/>
          <w:lang w:val="en-US"/>
        </w:rPr>
        <w:t>Nye v State of New South Wales</w:t>
      </w:r>
      <w:r w:rsidRPr="00567476">
        <w:rPr>
          <w:szCs w:val="24"/>
          <w:lang w:val="en-US"/>
        </w:rPr>
        <w:t>:</w:t>
      </w:r>
      <w:r w:rsidRPr="00567476">
        <w:rPr>
          <w:szCs w:val="24"/>
          <w:vertAlign w:val="superscript"/>
          <w:lang w:val="en-US"/>
        </w:rPr>
        <w:endnoteReference w:id="12"/>
      </w:r>
    </w:p>
    <w:p w14:paraId="2BB943C8" w14:textId="77777777" w:rsidR="00AE50C0" w:rsidRPr="00567476" w:rsidRDefault="00AE50C0" w:rsidP="00991E15">
      <w:pPr>
        <w:ind w:left="1134"/>
        <w:rPr>
          <w:szCs w:val="24"/>
          <w:lang w:val="en-US"/>
        </w:rPr>
      </w:pPr>
      <w:r w:rsidRPr="00567476">
        <w:rPr>
          <w:sz w:val="22"/>
          <w:szCs w:val="24"/>
          <w:lang w:val="en-US"/>
        </w:rPr>
        <w:t xml:space="preserve">…the </w:t>
      </w:r>
      <w:r w:rsidRPr="00567476">
        <w:rPr>
          <w:i/>
          <w:sz w:val="22"/>
          <w:szCs w:val="24"/>
          <w:lang w:val="en-US"/>
        </w:rPr>
        <w:t xml:space="preserve">Nye </w:t>
      </w:r>
      <w:r w:rsidRPr="00567476">
        <w:rPr>
          <w:sz w:val="22"/>
          <w:szCs w:val="24"/>
          <w:lang w:val="en-US"/>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567476">
        <w:rPr>
          <w:i/>
          <w:sz w:val="22"/>
          <w:szCs w:val="24"/>
          <w:lang w:val="en-US"/>
        </w:rPr>
        <w:t xml:space="preserve">Ruddock </w:t>
      </w:r>
      <w:r w:rsidRPr="00567476">
        <w:rPr>
          <w:sz w:val="22"/>
          <w:szCs w:val="24"/>
          <w:lang w:val="en-US"/>
        </w:rPr>
        <w:t xml:space="preserve">(NSWCA), the Court did not assess damages by application of a daily rate, but awarded Mr Nye the sum of $100,000 in general damages. It is also relevant to observe that in </w:t>
      </w:r>
      <w:r w:rsidRPr="00567476">
        <w:rPr>
          <w:i/>
          <w:sz w:val="22"/>
          <w:szCs w:val="24"/>
          <w:lang w:val="en-US"/>
        </w:rPr>
        <w:t>Nye,</w:t>
      </w:r>
      <w:r w:rsidRPr="00567476">
        <w:rPr>
          <w:sz w:val="22"/>
          <w:szCs w:val="24"/>
          <w:lang w:val="en-US"/>
        </w:rPr>
        <w:t xml:space="preserve"> the court referred to the fact that for a period of time during his detention in Long Bay Gaol, Mr Nye feared for his life at the hands of other inmates of that gaol.</w:t>
      </w:r>
      <w:r w:rsidRPr="00567476">
        <w:rPr>
          <w:szCs w:val="24"/>
          <w:vertAlign w:val="superscript"/>
          <w:lang w:val="en-US"/>
        </w:rPr>
        <w:endnoteReference w:id="13"/>
      </w:r>
    </w:p>
    <w:p w14:paraId="7D6A1B7B" w14:textId="77777777" w:rsidR="00AE50C0" w:rsidRPr="00567476" w:rsidRDefault="00AE50C0" w:rsidP="00685461">
      <w:pPr>
        <w:numPr>
          <w:ilvl w:val="0"/>
          <w:numId w:val="7"/>
        </w:numPr>
        <w:tabs>
          <w:tab w:val="clear" w:pos="720"/>
          <w:tab w:val="num" w:pos="709"/>
        </w:tabs>
        <w:spacing w:before="0"/>
        <w:ind w:left="709"/>
        <w:rPr>
          <w:szCs w:val="24"/>
          <w:lang w:val="en-US"/>
        </w:rPr>
      </w:pPr>
      <w:r w:rsidRPr="00567476">
        <w:rPr>
          <w:szCs w:val="24"/>
          <w:lang w:val="en-US"/>
        </w:rPr>
        <w:t xml:space="preserve">Siopis J noted that further guidance on the quantum of damages for loss of liberty for a long period arising from wrongful imprisonment can be obtained from the case of </w:t>
      </w:r>
      <w:r w:rsidRPr="00567476">
        <w:rPr>
          <w:i/>
          <w:szCs w:val="24"/>
          <w:lang w:val="en-US"/>
        </w:rPr>
        <w:t xml:space="preserve">Ruddock </w:t>
      </w:r>
      <w:r w:rsidRPr="00567476">
        <w:rPr>
          <w:szCs w:val="24"/>
          <w:lang w:val="en-US"/>
        </w:rPr>
        <w:t>(NSWCA).</w:t>
      </w:r>
      <w:r w:rsidRPr="00567476">
        <w:rPr>
          <w:szCs w:val="24"/>
          <w:vertAlign w:val="superscript"/>
          <w:lang w:val="en-US"/>
        </w:rPr>
        <w:endnoteReference w:id="14"/>
      </w:r>
      <w:r w:rsidRPr="00567476">
        <w:rPr>
          <w:szCs w:val="24"/>
          <w:lang w:val="en-US"/>
        </w:rPr>
        <w:t xml:space="preserve"> In that case at first instance,</w:t>
      </w:r>
      <w:r w:rsidRPr="00567476">
        <w:rPr>
          <w:szCs w:val="24"/>
          <w:vertAlign w:val="superscript"/>
          <w:lang w:val="en-US"/>
        </w:rPr>
        <w:endnoteReference w:id="15"/>
      </w:r>
      <w:r w:rsidRPr="00567476">
        <w:rPr>
          <w:szCs w:val="24"/>
          <w:lang w:val="en-US"/>
        </w:rPr>
        <w:t xml:space="preserve"> the New South Wales District Court awarded the plaintiff, Mr Taylor, the sum of $116,000 in damages in respect of wrongful imprisonment, consequent upon his detention following the cancellation of his permanent residency visa on character grounds. </w:t>
      </w:r>
    </w:p>
    <w:p w14:paraId="6AAD36FD" w14:textId="77777777" w:rsidR="00AE50C0" w:rsidRPr="00567476" w:rsidRDefault="00AE50C0" w:rsidP="00685461">
      <w:pPr>
        <w:numPr>
          <w:ilvl w:val="0"/>
          <w:numId w:val="7"/>
        </w:numPr>
        <w:tabs>
          <w:tab w:val="clear" w:pos="720"/>
          <w:tab w:val="num" w:pos="709"/>
        </w:tabs>
        <w:spacing w:before="0"/>
        <w:ind w:left="709"/>
        <w:rPr>
          <w:szCs w:val="24"/>
          <w:lang w:val="en-US"/>
        </w:rPr>
      </w:pPr>
      <w:r w:rsidRPr="00567476">
        <w:rPr>
          <w:szCs w:val="24"/>
          <w:lang w:val="en-US"/>
        </w:rPr>
        <w:t xml:space="preserve">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 </w:t>
      </w:r>
    </w:p>
    <w:p w14:paraId="12238B1D" w14:textId="77777777" w:rsidR="00AE50C0" w:rsidRPr="00567476" w:rsidRDefault="00AE50C0" w:rsidP="00685461">
      <w:pPr>
        <w:numPr>
          <w:ilvl w:val="0"/>
          <w:numId w:val="7"/>
        </w:numPr>
        <w:tabs>
          <w:tab w:val="clear" w:pos="720"/>
          <w:tab w:val="num" w:pos="709"/>
        </w:tabs>
        <w:spacing w:before="0"/>
        <w:ind w:left="709"/>
        <w:rPr>
          <w:szCs w:val="24"/>
          <w:lang w:val="en-US"/>
        </w:rPr>
      </w:pPr>
      <w:r w:rsidRPr="00567476">
        <w:rPr>
          <w:szCs w:val="24"/>
          <w:lang w:val="en-US"/>
        </w:rPr>
        <w:lastRenderedPageBreak/>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567476">
        <w:rPr>
          <w:szCs w:val="24"/>
          <w:vertAlign w:val="superscript"/>
          <w:lang w:val="en-US"/>
        </w:rPr>
        <w:endnoteReference w:id="16"/>
      </w:r>
    </w:p>
    <w:p w14:paraId="789C8D08" w14:textId="77777777" w:rsidR="00AE50C0" w:rsidRPr="00567476" w:rsidRDefault="00AE50C0" w:rsidP="00685461">
      <w:pPr>
        <w:numPr>
          <w:ilvl w:val="0"/>
          <w:numId w:val="7"/>
        </w:numPr>
        <w:tabs>
          <w:tab w:val="clear" w:pos="720"/>
          <w:tab w:val="num" w:pos="709"/>
        </w:tabs>
        <w:spacing w:before="0"/>
        <w:ind w:left="709"/>
        <w:rPr>
          <w:szCs w:val="24"/>
          <w:lang w:val="en-US"/>
        </w:rPr>
      </w:pPr>
      <w:r w:rsidRPr="00567476">
        <w:rPr>
          <w:szCs w:val="24"/>
          <w:lang w:val="en-US"/>
        </w:rPr>
        <w:t>On appeal, in the New South Wales Court of Appeal, Spigelman CJ considered the adequacy of the damages awarded to Mr Taylor and observed that the quantum of damages was low, but not so low as to amount to appellable error.</w:t>
      </w:r>
      <w:r w:rsidRPr="00567476">
        <w:rPr>
          <w:szCs w:val="24"/>
          <w:vertAlign w:val="superscript"/>
          <w:lang w:val="en-US"/>
        </w:rPr>
        <w:endnoteReference w:id="17"/>
      </w:r>
      <w:r w:rsidRPr="00567476">
        <w:rPr>
          <w:szCs w:val="24"/>
          <w:lang w:val="en-US"/>
        </w:rPr>
        <w:t xml:space="preserve"> Spigelman CJ also observed that: </w:t>
      </w:r>
    </w:p>
    <w:p w14:paraId="28DB6046" w14:textId="77777777" w:rsidR="00AE50C0" w:rsidRPr="00567476" w:rsidRDefault="00AE50C0" w:rsidP="00991E15">
      <w:pPr>
        <w:ind w:left="1134"/>
        <w:rPr>
          <w:szCs w:val="24"/>
          <w:lang w:val="en-US"/>
        </w:rPr>
      </w:pPr>
      <w:r w:rsidRPr="00567476">
        <w:rPr>
          <w:sz w:val="22"/>
          <w:szCs w:val="24"/>
          <w:lang w:val="en-US"/>
        </w:rPr>
        <w:t>Damages for false imprisonment cannot be computed on the basis that there is some kind of applicable daily rate. A substantial proportion of the ultimate award must be given for what has been described as “the initial shock of being arrested”. (</w:t>
      </w:r>
      <w:r w:rsidRPr="00567476">
        <w:rPr>
          <w:i/>
          <w:sz w:val="22"/>
          <w:szCs w:val="24"/>
          <w:lang w:val="en-US"/>
        </w:rPr>
        <w:t xml:space="preserve">Thompson; Hsu v Commissioner of Police of the Metropolis </w:t>
      </w:r>
      <w:r w:rsidRPr="00567476">
        <w:rPr>
          <w:sz w:val="22"/>
          <w:szCs w:val="24"/>
          <w:lang w:val="en-US"/>
        </w:rPr>
        <w:t>[1998] QB 498 at 515.) As the term of imprisonment extends the effect upon the person falsely imprisoned does progressively diminish.</w:t>
      </w:r>
      <w:r w:rsidRPr="00567476">
        <w:rPr>
          <w:szCs w:val="24"/>
          <w:vertAlign w:val="superscript"/>
          <w:lang w:val="en-US"/>
        </w:rPr>
        <w:endnoteReference w:id="18"/>
      </w:r>
    </w:p>
    <w:p w14:paraId="0309145B" w14:textId="77777777" w:rsidR="00AE50C0" w:rsidRPr="00567476" w:rsidRDefault="00AE50C0" w:rsidP="00685461">
      <w:pPr>
        <w:numPr>
          <w:ilvl w:val="0"/>
          <w:numId w:val="7"/>
        </w:numPr>
        <w:tabs>
          <w:tab w:val="clear" w:pos="720"/>
          <w:tab w:val="num" w:pos="709"/>
        </w:tabs>
        <w:spacing w:before="0"/>
        <w:ind w:left="709"/>
        <w:rPr>
          <w:szCs w:val="24"/>
          <w:lang w:val="en-US"/>
        </w:rPr>
      </w:pPr>
      <w:r w:rsidRPr="00567476">
        <w:rPr>
          <w:szCs w:val="24"/>
          <w:lang w:val="en-US"/>
        </w:rPr>
        <w:t xml:space="preserve">Although in </w:t>
      </w:r>
      <w:r w:rsidRPr="00567476">
        <w:rPr>
          <w:i/>
          <w:szCs w:val="24"/>
          <w:lang w:val="en-US"/>
        </w:rPr>
        <w:t>Fernando v Commonwealth of Australia (No 5),</w:t>
      </w:r>
      <w:r w:rsidRPr="00567476">
        <w:rPr>
          <w:szCs w:val="24"/>
          <w:lang w:val="en-US"/>
        </w:rPr>
        <w:t xml:space="preserve"> Siopis J ultimately accepted the Commonwealth’s argument that Mr Fernando was only entitled to nominal damages,</w:t>
      </w:r>
      <w:r w:rsidRPr="00567476">
        <w:rPr>
          <w:szCs w:val="24"/>
          <w:vertAlign w:val="superscript"/>
          <w:lang w:val="en-US"/>
        </w:rPr>
        <w:endnoteReference w:id="19"/>
      </w:r>
      <w:r w:rsidRPr="00567476">
        <w:rPr>
          <w:szCs w:val="24"/>
          <w:lang w:val="en-US"/>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whilst he was detained at Long Bay Gaol. Taking all of these factors into account, Siopis J stated that he would have awarded Mr Fernando in respect of his 1,203 days in detention the sum of $265,000.</w:t>
      </w:r>
      <w:r w:rsidRPr="00567476">
        <w:rPr>
          <w:szCs w:val="24"/>
          <w:vertAlign w:val="superscript"/>
          <w:lang w:val="en-US"/>
        </w:rPr>
        <w:endnoteReference w:id="20"/>
      </w:r>
    </w:p>
    <w:p w14:paraId="0E5EA002" w14:textId="77777777" w:rsidR="00AE50C0" w:rsidRPr="008E5677" w:rsidRDefault="00AE50C0" w:rsidP="00685461">
      <w:pPr>
        <w:pStyle w:val="Heading2"/>
        <w:tabs>
          <w:tab w:val="clear" w:pos="284"/>
          <w:tab w:val="clear" w:pos="567"/>
          <w:tab w:val="clear" w:pos="851"/>
          <w:tab w:val="left" w:pos="0"/>
          <w:tab w:val="left" w:pos="993"/>
          <w:tab w:val="num" w:pos="1091"/>
          <w:tab w:val="num" w:pos="1418"/>
        </w:tabs>
        <w:spacing w:before="0"/>
        <w:ind w:left="851"/>
        <w:rPr>
          <w:color w:val="auto"/>
        </w:rPr>
      </w:pPr>
      <w:bookmarkStart w:id="18" w:name="_Toc419813775"/>
      <w:r w:rsidRPr="008E5677">
        <w:rPr>
          <w:color w:val="auto"/>
        </w:rPr>
        <w:t>Recommendation that compensation be paid</w:t>
      </w:r>
      <w:bookmarkEnd w:id="18"/>
    </w:p>
    <w:p w14:paraId="5F2D2200" w14:textId="77777777" w:rsidR="00AE50C0" w:rsidRPr="007A5EE2" w:rsidRDefault="00AE50C0" w:rsidP="00685461">
      <w:pPr>
        <w:numPr>
          <w:ilvl w:val="0"/>
          <w:numId w:val="7"/>
        </w:numPr>
        <w:spacing w:before="0"/>
        <w:rPr>
          <w:szCs w:val="24"/>
        </w:rPr>
      </w:pPr>
      <w:r w:rsidRPr="007A5EE2">
        <w:rPr>
          <w:szCs w:val="24"/>
        </w:rPr>
        <w:t xml:space="preserve">I have found that Mr </w:t>
      </w:r>
      <w:r w:rsidR="00C97686">
        <w:rPr>
          <w:szCs w:val="24"/>
        </w:rPr>
        <w:t>HG</w:t>
      </w:r>
      <w:r w:rsidRPr="007A5EE2">
        <w:rPr>
          <w:szCs w:val="24"/>
        </w:rPr>
        <w:t xml:space="preserve">’s detention in immigration detention facilities </w:t>
      </w:r>
      <w:r>
        <w:rPr>
          <w:szCs w:val="24"/>
        </w:rPr>
        <w:t xml:space="preserve">for a period of 23 months </w:t>
      </w:r>
      <w:r w:rsidRPr="007A5EE2">
        <w:rPr>
          <w:szCs w:val="24"/>
        </w:rPr>
        <w:t>was arbitrary for the purposes of article 9(1)</w:t>
      </w:r>
      <w:r>
        <w:rPr>
          <w:szCs w:val="24"/>
        </w:rPr>
        <w:t xml:space="preserve"> of the ICCPR</w:t>
      </w:r>
      <w:r w:rsidRPr="007A5EE2">
        <w:rPr>
          <w:szCs w:val="24"/>
        </w:rPr>
        <w:t xml:space="preserve">. </w:t>
      </w:r>
    </w:p>
    <w:p w14:paraId="617E5076" w14:textId="77777777" w:rsidR="00AE50C0" w:rsidRPr="007A5EE2" w:rsidRDefault="00AE50C0" w:rsidP="00685461">
      <w:pPr>
        <w:numPr>
          <w:ilvl w:val="0"/>
          <w:numId w:val="7"/>
        </w:numPr>
        <w:spacing w:before="0"/>
        <w:rPr>
          <w:szCs w:val="24"/>
        </w:rPr>
      </w:pPr>
      <w:r w:rsidRPr="007A5EE2">
        <w:rPr>
          <w:szCs w:val="24"/>
        </w:rPr>
        <w:t xml:space="preserve">I consider that the Commonwealth should pay to Mr </w:t>
      </w:r>
      <w:r w:rsidR="00C97686">
        <w:rPr>
          <w:szCs w:val="24"/>
        </w:rPr>
        <w:t>HG</w:t>
      </w:r>
      <w:r w:rsidRPr="007A5EE2">
        <w:rPr>
          <w:szCs w:val="24"/>
        </w:rPr>
        <w:t xml:space="preserve"> an </w:t>
      </w:r>
      <w:r>
        <w:rPr>
          <w:szCs w:val="24"/>
        </w:rPr>
        <w:t xml:space="preserve">appropriate </w:t>
      </w:r>
      <w:r w:rsidRPr="007A5EE2">
        <w:rPr>
          <w:szCs w:val="24"/>
        </w:rPr>
        <w:t>amount of compensation to reflect the loss of liberty caused by his detention</w:t>
      </w:r>
      <w:r>
        <w:rPr>
          <w:szCs w:val="24"/>
        </w:rPr>
        <w:t xml:space="preserve"> in line with the principles set out above</w:t>
      </w:r>
      <w:r w:rsidRPr="007A5EE2">
        <w:rPr>
          <w:szCs w:val="24"/>
        </w:rPr>
        <w:t xml:space="preserve">. </w:t>
      </w:r>
    </w:p>
    <w:p w14:paraId="45E19F60" w14:textId="77777777" w:rsidR="00AE50C0" w:rsidRPr="007A5EE2" w:rsidRDefault="00AE50C0" w:rsidP="00685461">
      <w:pPr>
        <w:pStyle w:val="ListParagraph"/>
        <w:numPr>
          <w:ilvl w:val="0"/>
          <w:numId w:val="7"/>
        </w:numPr>
        <w:spacing w:before="0"/>
        <w:rPr>
          <w:szCs w:val="24"/>
          <w:lang w:val="en-US" w:eastAsia="en-AU"/>
        </w:rPr>
      </w:pPr>
      <w:r w:rsidRPr="007A5EE2">
        <w:rPr>
          <w:szCs w:val="24"/>
          <w:lang w:val="en-US" w:eastAsia="en-AU"/>
        </w:rPr>
        <w:t xml:space="preserve">The information before me indicates that immigration detention had an adverse impact on the mental health of Mr </w:t>
      </w:r>
      <w:r w:rsidR="00C97686">
        <w:rPr>
          <w:szCs w:val="24"/>
          <w:lang w:val="en-US" w:eastAsia="en-AU"/>
        </w:rPr>
        <w:t>HG</w:t>
      </w:r>
      <w:r w:rsidRPr="007A5EE2">
        <w:rPr>
          <w:szCs w:val="24"/>
          <w:lang w:val="en-US" w:eastAsia="en-AU"/>
        </w:rPr>
        <w:t xml:space="preserve">. </w:t>
      </w:r>
      <w:r>
        <w:rPr>
          <w:szCs w:val="24"/>
          <w:lang w:val="en-US" w:eastAsia="en-AU"/>
        </w:rPr>
        <w:t>T</w:t>
      </w:r>
      <w:r w:rsidRPr="007A5EE2">
        <w:rPr>
          <w:szCs w:val="24"/>
          <w:lang w:val="en-US" w:eastAsia="en-AU"/>
        </w:rPr>
        <w:t>his factor</w:t>
      </w:r>
      <w:r>
        <w:rPr>
          <w:szCs w:val="24"/>
          <w:lang w:val="en-US" w:eastAsia="en-AU"/>
        </w:rPr>
        <w:t xml:space="preserve"> should be taken</w:t>
      </w:r>
      <w:r w:rsidRPr="007A5EE2">
        <w:rPr>
          <w:szCs w:val="24"/>
          <w:lang w:val="en-US" w:eastAsia="en-AU"/>
        </w:rPr>
        <w:t xml:space="preserve"> into account in the quantum of compensation</w:t>
      </w:r>
      <w:r>
        <w:rPr>
          <w:szCs w:val="24"/>
          <w:lang w:val="en-US" w:eastAsia="en-AU"/>
        </w:rPr>
        <w:t>.</w:t>
      </w:r>
    </w:p>
    <w:p w14:paraId="7BABFDEA" w14:textId="77777777" w:rsidR="00AE50C0" w:rsidRDefault="00AE50C0" w:rsidP="00685461">
      <w:pPr>
        <w:pStyle w:val="Heading2"/>
        <w:tabs>
          <w:tab w:val="clear" w:pos="284"/>
          <w:tab w:val="clear" w:pos="567"/>
          <w:tab w:val="clear" w:pos="851"/>
          <w:tab w:val="num" w:pos="1091"/>
        </w:tabs>
        <w:spacing w:before="0"/>
        <w:ind w:left="1091" w:hanging="1091"/>
        <w:rPr>
          <w:color w:val="auto"/>
        </w:rPr>
      </w:pPr>
      <w:bookmarkStart w:id="19" w:name="_Toc419813776"/>
      <w:r w:rsidRPr="00546E0E">
        <w:rPr>
          <w:color w:val="auto"/>
        </w:rPr>
        <w:lastRenderedPageBreak/>
        <w:t>Apology</w:t>
      </w:r>
      <w:bookmarkEnd w:id="19"/>
    </w:p>
    <w:p w14:paraId="1038E442" w14:textId="77777777" w:rsidR="00AE50C0" w:rsidRPr="00D5202A" w:rsidRDefault="00AE50C0" w:rsidP="00685461">
      <w:pPr>
        <w:numPr>
          <w:ilvl w:val="0"/>
          <w:numId w:val="7"/>
        </w:numPr>
        <w:spacing w:before="0"/>
        <w:rPr>
          <w:szCs w:val="24"/>
        </w:rPr>
      </w:pPr>
      <w:r w:rsidRPr="00546E0E">
        <w:rPr>
          <w:szCs w:val="24"/>
        </w:rPr>
        <w:t xml:space="preserve">In addition to compensation, I consider that it is appropriate that the Commonwealth provide a formal written apology to </w:t>
      </w:r>
      <w:r>
        <w:rPr>
          <w:szCs w:val="24"/>
        </w:rPr>
        <w:t xml:space="preserve">Mr </w:t>
      </w:r>
      <w:r w:rsidR="00C97686">
        <w:rPr>
          <w:szCs w:val="24"/>
        </w:rPr>
        <w:t>HG</w:t>
      </w:r>
      <w:r w:rsidRPr="00546E0E">
        <w:rPr>
          <w:szCs w:val="24"/>
        </w:rPr>
        <w:t xml:space="preserve"> for the breaches of his human rights. Apologies are important remedies for breaches of human rights. They, at least to some extent, alleviate the suffering of those who have been </w:t>
      </w:r>
      <w:r w:rsidRPr="00D5202A">
        <w:rPr>
          <w:szCs w:val="24"/>
        </w:rPr>
        <w:t>wronged.</w:t>
      </w:r>
      <w:r w:rsidRPr="00D5202A">
        <w:rPr>
          <w:rStyle w:val="EndnoteReference"/>
          <w:szCs w:val="24"/>
        </w:rPr>
        <w:endnoteReference w:id="21"/>
      </w:r>
      <w:r w:rsidRPr="00D5202A">
        <w:rPr>
          <w:szCs w:val="24"/>
        </w:rPr>
        <w:t xml:space="preserve"> </w:t>
      </w:r>
    </w:p>
    <w:p w14:paraId="71998154" w14:textId="77777777" w:rsidR="00AE50C0" w:rsidRPr="00D5202A" w:rsidRDefault="00991E15" w:rsidP="00685461">
      <w:pPr>
        <w:pStyle w:val="Heading2"/>
        <w:tabs>
          <w:tab w:val="clear" w:pos="284"/>
          <w:tab w:val="clear" w:pos="567"/>
          <w:tab w:val="clear" w:pos="851"/>
          <w:tab w:val="num" w:pos="1091"/>
        </w:tabs>
        <w:spacing w:before="0"/>
        <w:ind w:left="1091" w:hanging="1091"/>
      </w:pPr>
      <w:bookmarkStart w:id="20" w:name="_Toc419813777"/>
      <w:r>
        <w:t>Other c</w:t>
      </w:r>
      <w:r w:rsidR="00AE50C0" w:rsidRPr="00D5202A">
        <w:t>onsiderations</w:t>
      </w:r>
      <w:bookmarkEnd w:id="20"/>
    </w:p>
    <w:p w14:paraId="29036D0D" w14:textId="77777777" w:rsidR="00AE50C0" w:rsidRDefault="00AE50C0" w:rsidP="00685461">
      <w:pPr>
        <w:pStyle w:val="ListParagraph"/>
        <w:numPr>
          <w:ilvl w:val="0"/>
          <w:numId w:val="7"/>
        </w:numPr>
        <w:spacing w:before="0"/>
        <w:rPr>
          <w:szCs w:val="24"/>
        </w:rPr>
      </w:pPr>
      <w:r w:rsidRPr="00D5202A">
        <w:rPr>
          <w:szCs w:val="24"/>
        </w:rPr>
        <w:t xml:space="preserve">Mr </w:t>
      </w:r>
      <w:r w:rsidR="00C97686">
        <w:rPr>
          <w:szCs w:val="24"/>
        </w:rPr>
        <w:t>HG</w:t>
      </w:r>
      <w:r w:rsidRPr="00D5202A">
        <w:rPr>
          <w:szCs w:val="24"/>
        </w:rPr>
        <w:t xml:space="preserve"> has another complaint before the Commission in relation to</w:t>
      </w:r>
      <w:r>
        <w:rPr>
          <w:szCs w:val="24"/>
        </w:rPr>
        <w:t xml:space="preserve"> his detention in an </w:t>
      </w:r>
      <w:r w:rsidRPr="00D5202A">
        <w:rPr>
          <w:szCs w:val="24"/>
        </w:rPr>
        <w:t xml:space="preserve">immigration detention </w:t>
      </w:r>
      <w:r>
        <w:rPr>
          <w:szCs w:val="24"/>
        </w:rPr>
        <w:t xml:space="preserve">centre </w:t>
      </w:r>
      <w:r w:rsidRPr="00D5202A">
        <w:rPr>
          <w:szCs w:val="24"/>
        </w:rPr>
        <w:t>from August 2013</w:t>
      </w:r>
      <w:r>
        <w:rPr>
          <w:szCs w:val="24"/>
        </w:rPr>
        <w:t xml:space="preserve"> to date</w:t>
      </w:r>
      <w:r w:rsidRPr="00D5202A">
        <w:rPr>
          <w:szCs w:val="24"/>
        </w:rPr>
        <w:t>. I consider that it is more appropriate for me to consider his request regarding release from immigration detention as part of any findings</w:t>
      </w:r>
      <w:r>
        <w:rPr>
          <w:szCs w:val="24"/>
        </w:rPr>
        <w:t xml:space="preserve"> and recommendations</w:t>
      </w:r>
      <w:r w:rsidRPr="00D5202A">
        <w:rPr>
          <w:szCs w:val="24"/>
        </w:rPr>
        <w:t xml:space="preserve"> that I may make in relation to that complaint. </w:t>
      </w:r>
    </w:p>
    <w:p w14:paraId="037B572E" w14:textId="77777777" w:rsidR="0069240D" w:rsidRDefault="0069240D" w:rsidP="0069240D">
      <w:pPr>
        <w:pStyle w:val="Heading1"/>
      </w:pPr>
      <w:bookmarkStart w:id="21" w:name="_Toc419813778"/>
      <w:r>
        <w:t>Department’s response</w:t>
      </w:r>
      <w:bookmarkEnd w:id="21"/>
    </w:p>
    <w:p w14:paraId="2DCC2FD1" w14:textId="77777777" w:rsidR="0069240D" w:rsidRPr="003D2226" w:rsidRDefault="000254EE" w:rsidP="003D2226">
      <w:pPr>
        <w:pStyle w:val="ListParagraph"/>
        <w:numPr>
          <w:ilvl w:val="0"/>
          <w:numId w:val="7"/>
        </w:numPr>
        <w:spacing w:before="0"/>
        <w:rPr>
          <w:sz w:val="22"/>
          <w:szCs w:val="24"/>
        </w:rPr>
      </w:pPr>
      <w:r>
        <w:rPr>
          <w:szCs w:val="24"/>
        </w:rPr>
        <w:t xml:space="preserve">By letter dated </w:t>
      </w:r>
      <w:r w:rsidR="0019215E">
        <w:rPr>
          <w:szCs w:val="24"/>
        </w:rPr>
        <w:t>15 May 2015,</w:t>
      </w:r>
      <w:r>
        <w:rPr>
          <w:szCs w:val="24"/>
        </w:rPr>
        <w:t xml:space="preserve"> t</w:t>
      </w:r>
      <w:r w:rsidR="00C85BB3">
        <w:rPr>
          <w:szCs w:val="24"/>
        </w:rPr>
        <w:t xml:space="preserve">he Department provided a response to my </w:t>
      </w:r>
      <w:r>
        <w:rPr>
          <w:szCs w:val="24"/>
        </w:rPr>
        <w:t>findings and recommendations. I</w:t>
      </w:r>
      <w:r w:rsidR="00074E55" w:rsidRPr="003D2226">
        <w:rPr>
          <w:szCs w:val="24"/>
        </w:rPr>
        <w:t xml:space="preserve">n relation to my </w:t>
      </w:r>
      <w:r w:rsidR="00632BB8" w:rsidRPr="003D2226">
        <w:rPr>
          <w:szCs w:val="24"/>
        </w:rPr>
        <w:t xml:space="preserve">first </w:t>
      </w:r>
      <w:r w:rsidR="00074E55" w:rsidRPr="003D2226">
        <w:rPr>
          <w:szCs w:val="24"/>
        </w:rPr>
        <w:t xml:space="preserve">recommendation, the Department </w:t>
      </w:r>
      <w:r w:rsidR="00E556E3" w:rsidRPr="003D2226">
        <w:rPr>
          <w:szCs w:val="24"/>
        </w:rPr>
        <w:t>disagreed</w:t>
      </w:r>
      <w:r w:rsidR="00333972" w:rsidRPr="003D2226">
        <w:rPr>
          <w:szCs w:val="24"/>
        </w:rPr>
        <w:t xml:space="preserve"> that compensation</w:t>
      </w:r>
      <w:r w:rsidR="00E556E3" w:rsidRPr="003D2226">
        <w:rPr>
          <w:szCs w:val="24"/>
        </w:rPr>
        <w:t xml:space="preserve"> should</w:t>
      </w:r>
      <w:r w:rsidR="00333972" w:rsidRPr="003D2226">
        <w:rPr>
          <w:szCs w:val="24"/>
        </w:rPr>
        <w:t xml:space="preserve"> be paid to Mr </w:t>
      </w:r>
      <w:r w:rsidR="00C97686">
        <w:rPr>
          <w:szCs w:val="24"/>
        </w:rPr>
        <w:t>HG</w:t>
      </w:r>
      <w:r w:rsidR="00333972" w:rsidRPr="003D2226">
        <w:rPr>
          <w:szCs w:val="24"/>
        </w:rPr>
        <w:t>. The Department stated:</w:t>
      </w:r>
    </w:p>
    <w:p w14:paraId="0D532FEF" w14:textId="77777777" w:rsidR="00632BB8" w:rsidRDefault="00632BB8" w:rsidP="00632BB8">
      <w:pPr>
        <w:ind w:left="1134"/>
        <w:rPr>
          <w:color w:val="auto"/>
          <w:spacing w:val="-5"/>
          <w:sz w:val="22"/>
          <w:szCs w:val="24"/>
        </w:rPr>
      </w:pPr>
      <w:r w:rsidRPr="00632BB8">
        <w:rPr>
          <w:sz w:val="22"/>
          <w:szCs w:val="24"/>
        </w:rPr>
        <w:t xml:space="preserve">Any </w:t>
      </w:r>
      <w:r>
        <w:rPr>
          <w:sz w:val="22"/>
          <w:szCs w:val="24"/>
        </w:rPr>
        <w:t xml:space="preserve">monetary claim for compensation </w:t>
      </w:r>
      <w:r>
        <w:rPr>
          <w:color w:val="auto"/>
          <w:spacing w:val="-5"/>
          <w:sz w:val="22"/>
          <w:szCs w:val="24"/>
        </w:rPr>
        <w:t xml:space="preserve">against the Commonwealth can only be considered where it is consistent with the </w:t>
      </w:r>
      <w:r>
        <w:rPr>
          <w:i/>
          <w:color w:val="auto"/>
          <w:spacing w:val="-5"/>
          <w:sz w:val="22"/>
          <w:szCs w:val="24"/>
        </w:rPr>
        <w:t>Legal Services Directions 2005.</w:t>
      </w:r>
      <w:r>
        <w:rPr>
          <w:color w:val="auto"/>
          <w:spacing w:val="-5"/>
          <w:sz w:val="22"/>
          <w:szCs w:val="24"/>
        </w:rPr>
        <w:t xml:space="preserve"> The </w:t>
      </w:r>
      <w:r>
        <w:rPr>
          <w:i/>
          <w:color w:val="auto"/>
          <w:spacing w:val="-5"/>
          <w:sz w:val="22"/>
          <w:szCs w:val="24"/>
        </w:rPr>
        <w:t>Legal Services Directions 2005</w:t>
      </w:r>
      <w:r>
        <w:rPr>
          <w:color w:val="auto"/>
          <w:spacing w:val="-5"/>
          <w:sz w:val="22"/>
          <w:szCs w:val="24"/>
        </w:rPr>
        <w:t xml:space="preserve"> provide that a matter may only be settled where there is at least a meaningful prospect of liability being established against the Commonwealth. Furthermore, the amount of compensation that is offered must be in accordance with legal principle and practice.</w:t>
      </w:r>
    </w:p>
    <w:p w14:paraId="4B62907B" w14:textId="77777777" w:rsidR="00632BB8" w:rsidRDefault="00632BB8" w:rsidP="00632BB8">
      <w:pPr>
        <w:ind w:left="1134"/>
        <w:rPr>
          <w:color w:val="auto"/>
          <w:spacing w:val="-5"/>
          <w:sz w:val="22"/>
          <w:szCs w:val="24"/>
        </w:rPr>
      </w:pPr>
      <w:r>
        <w:rPr>
          <w:color w:val="auto"/>
          <w:spacing w:val="-5"/>
          <w:sz w:val="22"/>
          <w:szCs w:val="24"/>
        </w:rPr>
        <w:t xml:space="preserve">The Department considers that Mr </w:t>
      </w:r>
      <w:r w:rsidR="00C97686">
        <w:rPr>
          <w:color w:val="auto"/>
          <w:spacing w:val="-5"/>
          <w:sz w:val="22"/>
          <w:szCs w:val="24"/>
        </w:rPr>
        <w:t>HG</w:t>
      </w:r>
      <w:r w:rsidR="005766DB">
        <w:rPr>
          <w:color w:val="auto"/>
          <w:spacing w:val="-5"/>
          <w:sz w:val="22"/>
          <w:szCs w:val="24"/>
        </w:rPr>
        <w:t>’s</w:t>
      </w:r>
      <w:r>
        <w:rPr>
          <w:color w:val="auto"/>
          <w:spacing w:val="-5"/>
          <w:sz w:val="22"/>
          <w:szCs w:val="24"/>
        </w:rPr>
        <w:t xml:space="preserve"> detention </w:t>
      </w:r>
      <w:r w:rsidR="00343AAF">
        <w:rPr>
          <w:color w:val="auto"/>
          <w:spacing w:val="-5"/>
          <w:sz w:val="22"/>
          <w:szCs w:val="24"/>
        </w:rPr>
        <w:t xml:space="preserve">in closed immigration detention facilities for 23 months was </w:t>
      </w:r>
      <w:r>
        <w:rPr>
          <w:color w:val="auto"/>
          <w:spacing w:val="-5"/>
          <w:sz w:val="22"/>
          <w:szCs w:val="24"/>
        </w:rPr>
        <w:t xml:space="preserve">lawful and that the decisions and processes were appropriate having regard to the circumstances of his case. The Department therefore considers that there is no meaningful prospect of liability being established against the Commonwealth under Australian domestic law and as such no proper legal basis to consider a payment of compensation to Mr </w:t>
      </w:r>
      <w:r w:rsidR="00C97686">
        <w:rPr>
          <w:color w:val="auto"/>
          <w:spacing w:val="-5"/>
          <w:sz w:val="22"/>
          <w:szCs w:val="24"/>
        </w:rPr>
        <w:t>HG</w:t>
      </w:r>
      <w:r w:rsidR="00343AAF">
        <w:rPr>
          <w:color w:val="auto"/>
          <w:spacing w:val="-5"/>
          <w:sz w:val="22"/>
          <w:szCs w:val="24"/>
        </w:rPr>
        <w:t xml:space="preserve">. </w:t>
      </w:r>
      <w:r>
        <w:rPr>
          <w:color w:val="auto"/>
          <w:spacing w:val="-5"/>
          <w:sz w:val="22"/>
          <w:szCs w:val="24"/>
        </w:rPr>
        <w:t xml:space="preserve">The Department is therefore unable to pay compensation to Mr </w:t>
      </w:r>
      <w:r w:rsidR="00C97686">
        <w:rPr>
          <w:color w:val="auto"/>
          <w:spacing w:val="-5"/>
          <w:sz w:val="22"/>
          <w:szCs w:val="24"/>
        </w:rPr>
        <w:t>HG</w:t>
      </w:r>
      <w:r>
        <w:rPr>
          <w:color w:val="auto"/>
          <w:spacing w:val="-5"/>
          <w:sz w:val="22"/>
          <w:szCs w:val="24"/>
        </w:rPr>
        <w:t>.</w:t>
      </w:r>
    </w:p>
    <w:p w14:paraId="1F4DA26A" w14:textId="79260920" w:rsidR="00632BB8" w:rsidRDefault="00632BB8" w:rsidP="00632BB8">
      <w:pPr>
        <w:ind w:left="1134"/>
        <w:rPr>
          <w:color w:val="auto"/>
          <w:spacing w:val="-5"/>
          <w:sz w:val="22"/>
          <w:szCs w:val="24"/>
        </w:rPr>
      </w:pPr>
      <w:r>
        <w:rPr>
          <w:color w:val="auto"/>
          <w:spacing w:val="-5"/>
          <w:sz w:val="22"/>
          <w:szCs w:val="24"/>
        </w:rPr>
        <w:t xml:space="preserve">Although there are limited circumstances in which the Commonwealth may pay compensation on a discretionary basis, </w:t>
      </w:r>
      <w:r>
        <w:rPr>
          <w:i/>
          <w:color w:val="auto"/>
          <w:spacing w:val="-5"/>
          <w:sz w:val="22"/>
          <w:szCs w:val="24"/>
        </w:rPr>
        <w:t xml:space="preserve">Resource Management No. 409 </w:t>
      </w:r>
      <w:r>
        <w:rPr>
          <w:color w:val="auto"/>
          <w:spacing w:val="-5"/>
          <w:sz w:val="22"/>
          <w:szCs w:val="24"/>
        </w:rPr>
        <w:t xml:space="preserve">and </w:t>
      </w:r>
      <w:r>
        <w:rPr>
          <w:i/>
          <w:color w:val="auto"/>
          <w:spacing w:val="-5"/>
          <w:sz w:val="22"/>
          <w:szCs w:val="24"/>
        </w:rPr>
        <w:t>No. 401</w:t>
      </w:r>
      <w:r>
        <w:rPr>
          <w:color w:val="auto"/>
          <w:spacing w:val="-5"/>
          <w:sz w:val="22"/>
          <w:szCs w:val="24"/>
        </w:rPr>
        <w:t xml:space="preserve"> generally limit such payments to situations where a person has suffered some form of financial detriment or injury arising out of a defective administration on the part of the Commonwealth, or otherwise experienced an anomalous, inequitable or unintended outcome as a result of the application of Commonwealth legislation or policy. On the basis of the current information the Department is not satisfied that there is a proper basis </w:t>
      </w:r>
      <w:r w:rsidR="00285300">
        <w:rPr>
          <w:color w:val="auto"/>
          <w:spacing w:val="-5"/>
          <w:sz w:val="22"/>
          <w:szCs w:val="24"/>
        </w:rPr>
        <w:t xml:space="preserve">for payment </w:t>
      </w:r>
      <w:r>
        <w:rPr>
          <w:color w:val="auto"/>
          <w:spacing w:val="-5"/>
          <w:sz w:val="22"/>
          <w:szCs w:val="24"/>
        </w:rPr>
        <w:t>of discretionary compensation at this time.</w:t>
      </w:r>
    </w:p>
    <w:p w14:paraId="005C8D49" w14:textId="77777777" w:rsidR="00632BB8" w:rsidRPr="0016262C" w:rsidRDefault="00632BB8" w:rsidP="00632BB8">
      <w:pPr>
        <w:ind w:left="1134"/>
        <w:rPr>
          <w:color w:val="auto"/>
          <w:spacing w:val="-5"/>
          <w:sz w:val="22"/>
          <w:szCs w:val="24"/>
        </w:rPr>
      </w:pPr>
      <w:r>
        <w:rPr>
          <w:color w:val="auto"/>
          <w:spacing w:val="-5"/>
          <w:sz w:val="22"/>
          <w:szCs w:val="24"/>
        </w:rPr>
        <w:t xml:space="preserve">The Department therefore holds the view that there is no basis for payment of compensation to Mr </w:t>
      </w:r>
      <w:r w:rsidR="00C97686">
        <w:rPr>
          <w:color w:val="auto"/>
          <w:spacing w:val="-5"/>
          <w:sz w:val="22"/>
          <w:szCs w:val="24"/>
        </w:rPr>
        <w:t>HG</w:t>
      </w:r>
      <w:r>
        <w:rPr>
          <w:color w:val="auto"/>
          <w:spacing w:val="-5"/>
          <w:sz w:val="22"/>
          <w:szCs w:val="24"/>
        </w:rPr>
        <w:t xml:space="preserve"> and advises that it will not be taking any further action in relation to this recommendation.</w:t>
      </w:r>
    </w:p>
    <w:p w14:paraId="79A4D5A6" w14:textId="77777777" w:rsidR="005766DB" w:rsidRDefault="00D42844" w:rsidP="005766DB">
      <w:pPr>
        <w:pStyle w:val="ListParagraph"/>
        <w:numPr>
          <w:ilvl w:val="0"/>
          <w:numId w:val="7"/>
        </w:numPr>
        <w:spacing w:before="0"/>
        <w:rPr>
          <w:szCs w:val="24"/>
        </w:rPr>
      </w:pPr>
      <w:r>
        <w:rPr>
          <w:szCs w:val="24"/>
        </w:rPr>
        <w:lastRenderedPageBreak/>
        <w:t xml:space="preserve">In relation to my </w:t>
      </w:r>
      <w:r w:rsidR="008C098D">
        <w:rPr>
          <w:szCs w:val="24"/>
        </w:rPr>
        <w:t xml:space="preserve">second </w:t>
      </w:r>
      <w:r>
        <w:rPr>
          <w:szCs w:val="24"/>
        </w:rPr>
        <w:t xml:space="preserve">recommendation that the Department issue Mr </w:t>
      </w:r>
      <w:r w:rsidR="00C97686">
        <w:rPr>
          <w:szCs w:val="24"/>
        </w:rPr>
        <w:t>HG</w:t>
      </w:r>
      <w:r>
        <w:rPr>
          <w:szCs w:val="24"/>
        </w:rPr>
        <w:t xml:space="preserve"> with an apology, the Department disagreed, submitting:</w:t>
      </w:r>
    </w:p>
    <w:p w14:paraId="43A540FC" w14:textId="77777777" w:rsidR="00AE50C0" w:rsidRDefault="00D42844" w:rsidP="002E2A0F">
      <w:pPr>
        <w:pStyle w:val="ListParagraph"/>
        <w:spacing w:before="0"/>
        <w:ind w:left="1134"/>
        <w:rPr>
          <w:sz w:val="22"/>
          <w:szCs w:val="24"/>
        </w:rPr>
      </w:pPr>
      <w:r w:rsidRPr="00D42844">
        <w:rPr>
          <w:sz w:val="22"/>
          <w:szCs w:val="24"/>
        </w:rPr>
        <w:t xml:space="preserve">With respect to the view that the Commonwealth acted inconsistently with the prohibition of arbitrary detention in Article 9 of the ICCPR, the Department continues to rely on its previous submissions that Mr </w:t>
      </w:r>
      <w:r w:rsidR="00C97686">
        <w:rPr>
          <w:sz w:val="22"/>
          <w:szCs w:val="24"/>
        </w:rPr>
        <w:t>HG</w:t>
      </w:r>
      <w:r w:rsidRPr="00D42844">
        <w:rPr>
          <w:sz w:val="22"/>
          <w:szCs w:val="24"/>
        </w:rPr>
        <w:t xml:space="preserve">’s immigration </w:t>
      </w:r>
      <w:r w:rsidR="002E2A0F">
        <w:rPr>
          <w:sz w:val="22"/>
          <w:szCs w:val="24"/>
        </w:rPr>
        <w:t>detention was lawful and not arbitrary, that it was in accordance with the relevant provisions of the Act, to the legitimate goal of mitigating risk to the Australian community and maintaining the integrity of Australia’s immigration framework.</w:t>
      </w:r>
    </w:p>
    <w:p w14:paraId="35BAD931" w14:textId="77777777" w:rsidR="002E2A0F" w:rsidRDefault="002E2A0F" w:rsidP="002E2A0F">
      <w:pPr>
        <w:pStyle w:val="ListParagraph"/>
        <w:spacing w:before="0"/>
        <w:ind w:left="1134"/>
        <w:rPr>
          <w:sz w:val="22"/>
          <w:szCs w:val="24"/>
        </w:rPr>
      </w:pPr>
      <w:r>
        <w:rPr>
          <w:sz w:val="22"/>
          <w:szCs w:val="24"/>
        </w:rPr>
        <w:t>Therefore, the Department holds the view that there is no basis for a formal apology and advises that it will not be taking any further action in relation to this recommendation.</w:t>
      </w:r>
    </w:p>
    <w:p w14:paraId="5C2AF7E1" w14:textId="77777777" w:rsidR="002E2A0F" w:rsidRPr="002E2A0F" w:rsidRDefault="002E2A0F" w:rsidP="002E2A0F">
      <w:pPr>
        <w:pStyle w:val="ListParagraph"/>
        <w:spacing w:before="0"/>
        <w:ind w:left="1134"/>
        <w:rPr>
          <w:sz w:val="22"/>
          <w:szCs w:val="24"/>
        </w:rPr>
      </w:pPr>
    </w:p>
    <w:p w14:paraId="1C867C34" w14:textId="0CD18C9C" w:rsidR="00B63007" w:rsidRPr="00B63007" w:rsidRDefault="00B63007" w:rsidP="00685461">
      <w:pPr>
        <w:pStyle w:val="ListParagraph"/>
        <w:numPr>
          <w:ilvl w:val="0"/>
          <w:numId w:val="7"/>
        </w:numPr>
        <w:rPr>
          <w:rFonts w:cs="Arial"/>
          <w:szCs w:val="24"/>
        </w:rPr>
      </w:pPr>
      <w:r w:rsidRPr="00B63007">
        <w:rPr>
          <w:rFonts w:cs="Arial"/>
          <w:szCs w:val="24"/>
        </w:rPr>
        <w:t>I report accordingly to the Attorney-General.</w:t>
      </w:r>
    </w:p>
    <w:p w14:paraId="43B05B2E" w14:textId="77777777" w:rsidR="00991E15" w:rsidRDefault="00D87C23" w:rsidP="00685461">
      <w:pPr>
        <w:rPr>
          <w:szCs w:val="24"/>
        </w:rPr>
      </w:pPr>
      <w:r>
        <w:rPr>
          <w:rFonts w:cs="Arial"/>
          <w:b/>
          <w:bCs/>
          <w:noProof/>
          <w:lang w:eastAsia="en-AU"/>
        </w:rPr>
        <w:drawing>
          <wp:inline distT="0" distB="0" distL="0" distR="0" wp14:anchorId="047331E5" wp14:editId="524DE18D">
            <wp:extent cx="1828800" cy="1079863"/>
            <wp:effectExtent l="0" t="0" r="0" b="6350"/>
            <wp:docPr id="2" name="Picture 2" descr="cid:image001.png@01D03A46.C71F3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3A46.C71F3F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37496" cy="1084998"/>
                    </a:xfrm>
                    <a:prstGeom prst="rect">
                      <a:avLst/>
                    </a:prstGeom>
                    <a:noFill/>
                    <a:ln>
                      <a:noFill/>
                    </a:ln>
                  </pic:spPr>
                </pic:pic>
              </a:graphicData>
            </a:graphic>
          </wp:inline>
        </w:drawing>
      </w:r>
    </w:p>
    <w:p w14:paraId="5FA6C4DB" w14:textId="77777777" w:rsidR="00AE50C0" w:rsidRPr="007F547F" w:rsidRDefault="00AE50C0" w:rsidP="00991E15">
      <w:pPr>
        <w:spacing w:before="0" w:after="0"/>
        <w:rPr>
          <w:szCs w:val="24"/>
        </w:rPr>
      </w:pPr>
      <w:r w:rsidRPr="007F547F">
        <w:rPr>
          <w:szCs w:val="24"/>
        </w:rPr>
        <w:t>Gillian Triggs</w:t>
      </w:r>
    </w:p>
    <w:p w14:paraId="1BDAFAE6" w14:textId="77777777" w:rsidR="00AE50C0" w:rsidRPr="007F547F" w:rsidRDefault="00AE50C0" w:rsidP="00991E15">
      <w:pPr>
        <w:spacing w:before="0" w:after="0"/>
        <w:rPr>
          <w:szCs w:val="24"/>
        </w:rPr>
      </w:pPr>
      <w:r w:rsidRPr="007F547F">
        <w:rPr>
          <w:b/>
          <w:szCs w:val="24"/>
        </w:rPr>
        <w:t>President</w:t>
      </w:r>
      <w:r w:rsidRPr="007F547F">
        <w:rPr>
          <w:szCs w:val="24"/>
        </w:rPr>
        <w:t xml:space="preserve"> </w:t>
      </w:r>
    </w:p>
    <w:p w14:paraId="3AD80E44" w14:textId="77777777" w:rsidR="00991E15" w:rsidRPr="00B305BE" w:rsidRDefault="00AE50C0" w:rsidP="00B305BE">
      <w:pPr>
        <w:spacing w:before="0" w:after="0"/>
        <w:rPr>
          <w:szCs w:val="24"/>
        </w:rPr>
      </w:pPr>
      <w:r w:rsidRPr="007F547F">
        <w:rPr>
          <w:szCs w:val="24"/>
        </w:rPr>
        <w:t>Australian Human Rights Commission</w:t>
      </w:r>
    </w:p>
    <w:p w14:paraId="0DA80FD6" w14:textId="77777777" w:rsidR="00AE50C0" w:rsidRDefault="000254EE" w:rsidP="00991E15">
      <w:pPr>
        <w:spacing w:after="120"/>
        <w:rPr>
          <w:rFonts w:cs="Arial"/>
          <w:szCs w:val="24"/>
        </w:rPr>
      </w:pPr>
      <w:r>
        <w:rPr>
          <w:rFonts w:cs="Arial"/>
          <w:szCs w:val="24"/>
        </w:rPr>
        <w:t xml:space="preserve">June </w:t>
      </w:r>
      <w:r w:rsidR="00AE50C0">
        <w:rPr>
          <w:rFonts w:cs="Arial"/>
          <w:szCs w:val="24"/>
        </w:rPr>
        <w:t>2015</w:t>
      </w:r>
    </w:p>
    <w:p w14:paraId="03744303" w14:textId="77777777" w:rsidR="00FF78EA" w:rsidRDefault="00FF78EA" w:rsidP="00685461">
      <w:pPr>
        <w:spacing w:before="0" w:after="0"/>
        <w:rPr>
          <w:rFonts w:cs="Arial"/>
          <w:szCs w:val="24"/>
        </w:rPr>
      </w:pPr>
    </w:p>
    <w:sectPr w:rsidR="00FF78EA" w:rsidSect="0023527B">
      <w:headerReference w:type="default" r:id="rId18"/>
      <w:footerReference w:type="default" r:id="rId19"/>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A17F2" w14:textId="77777777" w:rsidR="000338BD" w:rsidRDefault="000338BD" w:rsidP="00F14C6D">
      <w:r>
        <w:separator/>
      </w:r>
    </w:p>
  </w:endnote>
  <w:endnote w:type="continuationSeparator" w:id="0">
    <w:p w14:paraId="6796A267" w14:textId="77777777" w:rsidR="000338BD" w:rsidRDefault="000338BD" w:rsidP="00F14C6D">
      <w:r>
        <w:continuationSeparator/>
      </w:r>
    </w:p>
  </w:endnote>
  <w:endnote w:id="1">
    <w:p w14:paraId="31BAD837"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Section 3(1) of the AHRC Act defines human rights to include the rights recognised by the ICCPR.</w:t>
      </w:r>
    </w:p>
  </w:endnote>
  <w:endnote w:id="2">
    <w:p w14:paraId="68058FD1"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See </w:t>
      </w:r>
      <w:r w:rsidRPr="00991E15">
        <w:rPr>
          <w:i/>
          <w:sz w:val="20"/>
        </w:rPr>
        <w:t>Secretary, Department of Defence v HREOC, Burgess &amp; Ors</w:t>
      </w:r>
      <w:r w:rsidRPr="00991E15">
        <w:rPr>
          <w:sz w:val="20"/>
        </w:rPr>
        <w:t xml:space="preserve"> (‘Burgess’) (1997) 78 FCR 208.</w:t>
      </w:r>
    </w:p>
  </w:endnote>
  <w:endnote w:id="3">
    <w:p w14:paraId="386B3CF6"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w:t>
      </w:r>
      <w:r w:rsidRPr="00991E15">
        <w:rPr>
          <w:i/>
          <w:sz w:val="20"/>
        </w:rPr>
        <w:t xml:space="preserve">Van Alphen v Netherlands </w:t>
      </w:r>
      <w:r w:rsidRPr="00991E15">
        <w:rPr>
          <w:sz w:val="20"/>
        </w:rPr>
        <w:t>Communication No 305/1988 UN Doc CCPR/C/39/D/305/1988</w:t>
      </w:r>
      <w:r w:rsidRPr="00991E15">
        <w:rPr>
          <w:i/>
          <w:sz w:val="20"/>
        </w:rPr>
        <w:t xml:space="preserve">, A v Australia </w:t>
      </w:r>
      <w:r w:rsidRPr="00991E15">
        <w:rPr>
          <w:sz w:val="20"/>
        </w:rPr>
        <w:t>Communication No 560/1993 UN Doc CCPR/C/59/D/560/1993</w:t>
      </w:r>
      <w:r w:rsidRPr="00991E15">
        <w:rPr>
          <w:i/>
          <w:sz w:val="20"/>
        </w:rPr>
        <w:t>, C v Australia</w:t>
      </w:r>
      <w:r w:rsidRPr="00991E15">
        <w:rPr>
          <w:sz w:val="20"/>
        </w:rPr>
        <w:t xml:space="preserve"> No 900/1999 UN Doc CCPR/C/76/D/900/1999.</w:t>
      </w:r>
    </w:p>
  </w:endnote>
  <w:endnote w:id="4">
    <w:p w14:paraId="1C6B1376" w14:textId="24A75867" w:rsidR="00B63007" w:rsidRPr="00991E15" w:rsidRDefault="00B63007" w:rsidP="00B63007">
      <w:pPr>
        <w:pStyle w:val="EndnoteText"/>
        <w:spacing w:before="0" w:after="120"/>
        <w:rPr>
          <w:sz w:val="20"/>
        </w:rPr>
      </w:pPr>
      <w:r w:rsidRPr="00991E15">
        <w:rPr>
          <w:rStyle w:val="EndnoteReference"/>
        </w:rPr>
        <w:endnoteRef/>
      </w:r>
      <w:r w:rsidRPr="00991E15">
        <w:rPr>
          <w:sz w:val="20"/>
        </w:rPr>
        <w:t xml:space="preserve"> </w:t>
      </w:r>
      <w:r w:rsidR="000C4DCD" w:rsidRPr="00FD325B">
        <w:rPr>
          <w:rFonts w:cs="Arial"/>
          <w:sz w:val="20"/>
        </w:rPr>
        <w:t>United Nations Human Rights Committee,</w:t>
      </w:r>
      <w:r w:rsidR="000C4DCD" w:rsidRPr="008C0E4E">
        <w:rPr>
          <w:rFonts w:cs="Arial"/>
          <w:sz w:val="20"/>
        </w:rPr>
        <w:t xml:space="preserve"> </w:t>
      </w:r>
      <w:r w:rsidRPr="00991E15">
        <w:rPr>
          <w:sz w:val="20"/>
        </w:rPr>
        <w:t xml:space="preserve">Draft General Comment 35 (2014) </w:t>
      </w:r>
      <w:r w:rsidRPr="00991E15">
        <w:rPr>
          <w:i/>
          <w:sz w:val="20"/>
        </w:rPr>
        <w:t>Article 9: Liberty and security of person</w:t>
      </w:r>
      <w:r w:rsidR="00207EF7">
        <w:rPr>
          <w:sz w:val="20"/>
        </w:rPr>
        <w:t>, UN Doc CCPR/C/GC/R.35/Rev.3,</w:t>
      </w:r>
      <w:r w:rsidRPr="00991E15">
        <w:rPr>
          <w:sz w:val="20"/>
        </w:rPr>
        <w:t xml:space="preserve"> [18].</w:t>
      </w:r>
    </w:p>
  </w:endnote>
  <w:endnote w:id="5">
    <w:p w14:paraId="18BB1AB4"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AHRC Act s 29(2)(a).</w:t>
      </w:r>
    </w:p>
  </w:endnote>
  <w:endnote w:id="6">
    <w:p w14:paraId="5CFC3724"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AHRC Act s 29(2)(b).</w:t>
      </w:r>
    </w:p>
  </w:endnote>
  <w:endnote w:id="7">
    <w:p w14:paraId="52DC526B"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AHRC Act s 29(2)(c).</w:t>
      </w:r>
    </w:p>
  </w:endnote>
  <w:endnote w:id="8">
    <w:p w14:paraId="6952B3C0"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w:t>
      </w:r>
      <w:r w:rsidRPr="00991E15">
        <w:rPr>
          <w:i/>
          <w:iCs/>
          <w:sz w:val="20"/>
        </w:rPr>
        <w:t>Peacock v The Commonwealth</w:t>
      </w:r>
      <w:r w:rsidRPr="00991E15">
        <w:rPr>
          <w:sz w:val="20"/>
        </w:rPr>
        <w:t xml:space="preserve"> (2000) 104 FCR 464, 483 (Wilcox J).</w:t>
      </w:r>
    </w:p>
  </w:endnote>
  <w:endnote w:id="9">
    <w:p w14:paraId="24C6C7A2"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See </w:t>
      </w:r>
      <w:r w:rsidRPr="00991E15">
        <w:rPr>
          <w:i/>
          <w:iCs/>
          <w:sz w:val="20"/>
        </w:rPr>
        <w:t xml:space="preserve">Hall v A &amp; A Sheiban Pty Limited </w:t>
      </w:r>
      <w:r w:rsidRPr="00991E15">
        <w:rPr>
          <w:sz w:val="20"/>
        </w:rPr>
        <w:t>(1989) 20 FCR 217, 239 (Lockhart J).</w:t>
      </w:r>
    </w:p>
  </w:endnote>
  <w:endnote w:id="10">
    <w:p w14:paraId="78E5677E"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w:t>
      </w:r>
      <w:r w:rsidRPr="00991E15">
        <w:rPr>
          <w:i/>
          <w:iCs/>
          <w:sz w:val="20"/>
        </w:rPr>
        <w:t>Cassell &amp; Co Ltd v Broome</w:t>
      </w:r>
      <w:r w:rsidRPr="00991E15">
        <w:rPr>
          <w:sz w:val="20"/>
        </w:rPr>
        <w:t xml:space="preserve"> (1972) AC 1027, 1124; </w:t>
      </w:r>
      <w:r w:rsidRPr="00991E15">
        <w:rPr>
          <w:i/>
          <w:iCs/>
          <w:sz w:val="20"/>
        </w:rPr>
        <w:t xml:space="preserve">Spautz v Butterworth &amp; Anor </w:t>
      </w:r>
      <w:r w:rsidRPr="00991E15">
        <w:rPr>
          <w:sz w:val="20"/>
        </w:rPr>
        <w:t xml:space="preserve">(1996) 41 NSWLR 1 (Clarke JA); </w:t>
      </w:r>
      <w:r w:rsidRPr="00991E15">
        <w:rPr>
          <w:i/>
          <w:iCs/>
          <w:sz w:val="20"/>
        </w:rPr>
        <w:t xml:space="preserve">VignolI v Sydney Harbour Casino </w:t>
      </w:r>
      <w:r w:rsidRPr="00991E15">
        <w:rPr>
          <w:sz w:val="20"/>
        </w:rPr>
        <w:t>[1999] NSWSC 1113 (22 November 1999), [87].</w:t>
      </w:r>
    </w:p>
  </w:endnote>
  <w:endnote w:id="11">
    <w:p w14:paraId="13C03E38"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[2013] FCA 901.</w:t>
      </w:r>
    </w:p>
  </w:endnote>
  <w:endnote w:id="12">
    <w:p w14:paraId="511F9E1E"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[2003] NSWSC 1212.</w:t>
      </w:r>
    </w:p>
  </w:endnote>
  <w:endnote w:id="13">
    <w:p w14:paraId="4501D272"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[2013] FCA 901</w:t>
      </w:r>
      <w:r w:rsidR="00595A81">
        <w:rPr>
          <w:sz w:val="20"/>
        </w:rPr>
        <w:t>,</w:t>
      </w:r>
      <w:r w:rsidRPr="00991E15">
        <w:rPr>
          <w:sz w:val="20"/>
        </w:rPr>
        <w:t xml:space="preserve"> [121].</w:t>
      </w:r>
    </w:p>
  </w:endnote>
  <w:endnote w:id="14">
    <w:p w14:paraId="71F32851" w14:textId="77777777" w:rsidR="00AE50C0" w:rsidRPr="00991E15" w:rsidRDefault="00AE50C0" w:rsidP="00991E15">
      <w:pPr>
        <w:pStyle w:val="EndnoteText"/>
        <w:spacing w:before="0" w:after="120"/>
        <w:rPr>
          <w:i/>
          <w:sz w:val="20"/>
        </w:rPr>
      </w:pPr>
      <w:r w:rsidRPr="00991E15">
        <w:rPr>
          <w:rStyle w:val="EndnoteReference"/>
        </w:rPr>
        <w:endnoteRef/>
      </w:r>
      <w:r w:rsidRPr="00991E15">
        <w:rPr>
          <w:sz w:val="20"/>
        </w:rPr>
        <w:t xml:space="preserve"> </w:t>
      </w:r>
      <w:r w:rsidRPr="00991E15">
        <w:rPr>
          <w:i/>
          <w:sz w:val="20"/>
        </w:rPr>
        <w:t xml:space="preserve">Ruddock v Taylor </w:t>
      </w:r>
      <w:r w:rsidRPr="00991E15">
        <w:rPr>
          <w:sz w:val="20"/>
        </w:rPr>
        <w:t>(2003) 58 NSWLR 269.</w:t>
      </w:r>
    </w:p>
  </w:endnote>
  <w:endnote w:id="15">
    <w:p w14:paraId="185EA184"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w:t>
      </w:r>
      <w:r w:rsidRPr="00991E15">
        <w:rPr>
          <w:i/>
          <w:sz w:val="20"/>
        </w:rPr>
        <w:t>Taylor v Ruddock</w:t>
      </w:r>
      <w:r w:rsidRPr="00991E15">
        <w:rPr>
          <w:sz w:val="20"/>
        </w:rPr>
        <w:t xml:space="preserve"> (unreported, 18 December 2002, NSW District Court (Murrell DCJ)).</w:t>
      </w:r>
    </w:p>
  </w:endnote>
  <w:endnote w:id="16">
    <w:p w14:paraId="016702A0"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w:t>
      </w:r>
      <w:r w:rsidRPr="00991E15">
        <w:rPr>
          <w:i/>
          <w:sz w:val="20"/>
        </w:rPr>
        <w:t>Taylor v Ruddock</w:t>
      </w:r>
      <w:r w:rsidRPr="00991E15">
        <w:rPr>
          <w:sz w:val="20"/>
        </w:rPr>
        <w:t xml:space="preserve"> (unreported, 18 December 2002, NSW District Court (Murrell DCJ))</w:t>
      </w:r>
      <w:r w:rsidR="00595A81">
        <w:rPr>
          <w:sz w:val="20"/>
        </w:rPr>
        <w:t>,</w:t>
      </w:r>
      <w:r w:rsidRPr="00991E15">
        <w:rPr>
          <w:sz w:val="20"/>
        </w:rPr>
        <w:t xml:space="preserve"> [140].</w:t>
      </w:r>
    </w:p>
  </w:endnote>
  <w:endnote w:id="17">
    <w:p w14:paraId="67DC540B"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w:t>
      </w:r>
      <w:r w:rsidRPr="00991E15">
        <w:rPr>
          <w:i/>
          <w:sz w:val="20"/>
        </w:rPr>
        <w:t>Ruddock v Taylor</w:t>
      </w:r>
      <w:r w:rsidRPr="00991E15">
        <w:rPr>
          <w:sz w:val="20"/>
        </w:rPr>
        <w:t xml:space="preserve"> [2003] 58 NSWLR 269, 279.</w:t>
      </w:r>
    </w:p>
  </w:endnote>
  <w:endnote w:id="18">
    <w:p w14:paraId="0A911260"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w:t>
      </w:r>
      <w:r w:rsidRPr="00991E15">
        <w:rPr>
          <w:i/>
          <w:sz w:val="20"/>
        </w:rPr>
        <w:t>Ruddock v Taylor</w:t>
      </w:r>
      <w:r w:rsidRPr="00991E15">
        <w:rPr>
          <w:sz w:val="20"/>
        </w:rPr>
        <w:t xml:space="preserve"> [2003] 58 NSWLR 269, 279.</w:t>
      </w:r>
    </w:p>
  </w:endnote>
  <w:endnote w:id="19">
    <w:p w14:paraId="7A7AACC9"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w:t>
      </w:r>
      <w:r w:rsidRPr="00991E15">
        <w:rPr>
          <w:sz w:val="20"/>
          <w:lang w:val="en-US"/>
        </w:rPr>
        <w:t xml:space="preserve">The court awarded nominal damages of one dollar for the unlawful detention of Mr Fernando because as a non-citizen, once he committed a serious crime, he was always liable to have his visa cancelled: </w:t>
      </w:r>
      <w:r w:rsidRPr="00991E15">
        <w:rPr>
          <w:i/>
          <w:sz w:val="20"/>
          <w:lang w:val="en-US"/>
        </w:rPr>
        <w:t>Fernando v Commonwealth of Australia</w:t>
      </w:r>
      <w:r w:rsidRPr="00991E15">
        <w:rPr>
          <w:sz w:val="20"/>
          <w:lang w:val="en-US"/>
        </w:rPr>
        <w:t xml:space="preserve"> (No 5)</w:t>
      </w:r>
      <w:r w:rsidRPr="00991E15">
        <w:rPr>
          <w:sz w:val="20"/>
        </w:rPr>
        <w:t xml:space="preserve"> [2013] FCA 901</w:t>
      </w:r>
      <w:r w:rsidR="00595A81">
        <w:rPr>
          <w:sz w:val="20"/>
        </w:rPr>
        <w:t>,</w:t>
      </w:r>
      <w:r w:rsidRPr="00991E15">
        <w:rPr>
          <w:sz w:val="20"/>
        </w:rPr>
        <w:t xml:space="preserve"> [98]-[99].</w:t>
      </w:r>
    </w:p>
  </w:endnote>
  <w:endnote w:id="20">
    <w:p w14:paraId="4F4398E6"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w:t>
      </w:r>
      <w:r w:rsidRPr="00991E15">
        <w:rPr>
          <w:i/>
          <w:sz w:val="20"/>
          <w:lang w:val="en-US"/>
        </w:rPr>
        <w:t>Fernando v Commonwealth of Australia</w:t>
      </w:r>
      <w:r w:rsidRPr="00991E15">
        <w:rPr>
          <w:sz w:val="20"/>
          <w:lang w:val="en-US"/>
        </w:rPr>
        <w:t xml:space="preserve"> (No 5)</w:t>
      </w:r>
      <w:r w:rsidRPr="00991E15">
        <w:rPr>
          <w:sz w:val="20"/>
        </w:rPr>
        <w:t xml:space="preserve"> [2013] FCA 901</w:t>
      </w:r>
      <w:r w:rsidR="00595A81">
        <w:rPr>
          <w:sz w:val="20"/>
        </w:rPr>
        <w:t>,</w:t>
      </w:r>
      <w:r w:rsidRPr="00991E15">
        <w:rPr>
          <w:sz w:val="20"/>
        </w:rPr>
        <w:t xml:space="preserve"> [139].</w:t>
      </w:r>
    </w:p>
  </w:endnote>
  <w:endnote w:id="21">
    <w:p w14:paraId="6F4D8F63" w14:textId="77777777" w:rsidR="00AE50C0" w:rsidRPr="00991E15" w:rsidRDefault="00AE50C0" w:rsidP="00991E15">
      <w:pPr>
        <w:pStyle w:val="EndnoteText"/>
        <w:spacing w:before="0" w:after="120"/>
        <w:rPr>
          <w:sz w:val="20"/>
        </w:rPr>
      </w:pPr>
      <w:r w:rsidRPr="00991E15">
        <w:rPr>
          <w:rStyle w:val="EndnoteReference"/>
        </w:rPr>
        <w:endnoteRef/>
      </w:r>
      <w:r w:rsidRPr="00991E15">
        <w:rPr>
          <w:sz w:val="20"/>
        </w:rPr>
        <w:t xml:space="preserve"> D Shelton, </w:t>
      </w:r>
      <w:r w:rsidRPr="00991E15">
        <w:rPr>
          <w:i/>
          <w:sz w:val="20"/>
        </w:rPr>
        <w:t>Remedies in International Human Rights Law</w:t>
      </w:r>
      <w:r w:rsidRPr="00991E15">
        <w:rPr>
          <w:sz w:val="20"/>
        </w:rPr>
        <w:t xml:space="preserve"> (2000)</w:t>
      </w:r>
      <w:r w:rsidR="00595A81">
        <w:rPr>
          <w:sz w:val="20"/>
        </w:rPr>
        <w:t>,</w:t>
      </w:r>
      <w:r w:rsidRPr="00991E15">
        <w:rPr>
          <w:sz w:val="20"/>
        </w:rPr>
        <w:t xml:space="preserve"> 151.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CYPlain">
    <w:altName w:val="Helvetica CY"/>
    <w:panose1 w:val="00000000000000000000"/>
    <w:charset w:val="CD"/>
    <w:family w:val="auto"/>
    <w:notTrueType/>
    <w:pitch w:val="default"/>
    <w:sig w:usb0="00000001" w:usb1="00000000" w:usb2="00000000" w:usb3="00000000" w:csb0="00000000"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496B" w14:textId="77777777" w:rsidR="00AE50C0" w:rsidRDefault="00AE50C0">
    <w:pPr>
      <w:pStyle w:val="Footer"/>
    </w:pPr>
  </w:p>
  <w:p w14:paraId="72BF4CF5" w14:textId="77777777" w:rsidR="00AE50C0" w:rsidRDefault="00AE50C0" w:rsidP="00087C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06323"/>
      <w:docPartObj>
        <w:docPartGallery w:val="Page Numbers (Bottom of Page)"/>
        <w:docPartUnique/>
      </w:docPartObj>
    </w:sdtPr>
    <w:sdtEndPr>
      <w:rPr>
        <w:noProof/>
      </w:rPr>
    </w:sdtEndPr>
    <w:sdtContent>
      <w:p w14:paraId="630C4771" w14:textId="77777777" w:rsidR="00821329" w:rsidRDefault="00821329">
        <w:pPr>
          <w:pStyle w:val="Footer"/>
        </w:pPr>
        <w:r>
          <w:fldChar w:fldCharType="begin"/>
        </w:r>
        <w:r>
          <w:instrText xml:space="preserve"> PAGE   \* MERGEFORMAT </w:instrText>
        </w:r>
        <w:r>
          <w:fldChar w:fldCharType="separate"/>
        </w:r>
        <w:r w:rsidR="000A4358">
          <w:rPr>
            <w:noProof/>
          </w:rPr>
          <w:t>1</w:t>
        </w:r>
        <w:r>
          <w:rPr>
            <w:noProof/>
          </w:rPr>
          <w:fldChar w:fldCharType="end"/>
        </w:r>
      </w:p>
    </w:sdtContent>
  </w:sdt>
  <w:p w14:paraId="691DA319" w14:textId="77777777" w:rsidR="00630A49" w:rsidRDefault="00630A49" w:rsidP="00087C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2C361" w14:textId="77777777" w:rsidR="000338BD" w:rsidRDefault="000338BD" w:rsidP="00F14C6D">
      <w:r>
        <w:separator/>
      </w:r>
    </w:p>
  </w:footnote>
  <w:footnote w:type="continuationSeparator" w:id="0">
    <w:p w14:paraId="4CA356ED" w14:textId="77777777" w:rsidR="000338BD" w:rsidRDefault="000338BD"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6ADE1" w14:textId="77777777" w:rsidR="00821329" w:rsidRDefault="00821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C009348"/>
    <w:lvl w:ilvl="0">
      <w:numFmt w:val="decimal"/>
      <w:pStyle w:val="Dash"/>
      <w:lvlText w:val="*"/>
      <w:lvlJc w:val="left"/>
    </w:lvl>
  </w:abstractNum>
  <w:abstractNum w:abstractNumId="1"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 w15:restartNumberingAfterBreak="0">
    <w:nsid w:val="02CE3BA9"/>
    <w:multiLevelType w:val="hybridMultilevel"/>
    <w:tmpl w:val="0F523E4A"/>
    <w:lvl w:ilvl="0" w:tplc="1278F81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056520E0"/>
    <w:multiLevelType w:val="hybridMultilevel"/>
    <w:tmpl w:val="C2A60352"/>
    <w:lvl w:ilvl="0" w:tplc="1278F81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59F55DC"/>
    <w:multiLevelType w:val="hybridMultilevel"/>
    <w:tmpl w:val="1CF663B0"/>
    <w:lvl w:ilvl="0" w:tplc="0C090001">
      <w:start w:val="1"/>
      <w:numFmt w:val="decimal"/>
      <w:lvlText w:val="%1."/>
      <w:lvlJc w:val="left"/>
      <w:pPr>
        <w:tabs>
          <w:tab w:val="num" w:pos="720"/>
        </w:tabs>
        <w:ind w:left="720" w:hanging="720"/>
      </w:pPr>
      <w:rPr>
        <w:rFonts w:cs="Times New Roman" w:hint="default"/>
        <w:b w:val="0"/>
        <w:i w:val="0"/>
      </w:rPr>
    </w:lvl>
    <w:lvl w:ilvl="1" w:tplc="0C090019">
      <w:start w:val="1"/>
      <w:numFmt w:val="lowerLetter"/>
      <w:lvlText w:val="%2."/>
      <w:lvlJc w:val="left"/>
      <w:pPr>
        <w:tabs>
          <w:tab w:val="num" w:pos="1440"/>
        </w:tabs>
        <w:ind w:left="1440" w:hanging="360"/>
      </w:pPr>
      <w:rPr>
        <w:rFonts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214CCF"/>
    <w:multiLevelType w:val="hybridMultilevel"/>
    <w:tmpl w:val="B1FED7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E02074F"/>
    <w:multiLevelType w:val="hybridMultilevel"/>
    <w:tmpl w:val="36FA8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A412F1"/>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104069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E36AA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B01F1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297817C3"/>
    <w:multiLevelType w:val="multilevel"/>
    <w:tmpl w:val="95986B3E"/>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091"/>
        </w:tabs>
        <w:ind w:left="1091" w:hanging="851"/>
      </w:pPr>
      <w:rPr>
        <w:rFonts w:cs="Times New Roman"/>
      </w:rPr>
    </w:lvl>
    <w:lvl w:ilvl="2">
      <w:start w:val="1"/>
      <w:numFmt w:val="lowerLetter"/>
      <w:lvlText w:val="(%3)"/>
      <w:lvlJc w:val="left"/>
      <w:pPr>
        <w:tabs>
          <w:tab w:val="num" w:pos="851"/>
        </w:tabs>
        <w:ind w:left="851" w:hanging="851"/>
      </w:pPr>
      <w:rPr>
        <w:rFonts w:ascii="Arial" w:hAnsi="Arial" w:cs="Times New Roman" w:hint="default"/>
        <w:b w:val="0"/>
        <w:i w:val="0"/>
        <w:sz w:val="22"/>
        <w:szCs w:val="22"/>
      </w:rPr>
    </w:lvl>
    <w:lvl w:ilvl="3">
      <w:start w:val="1"/>
      <w:numFmt w:val="lowerRoman"/>
      <w:lvlText w:val="(%4)"/>
      <w:lvlJc w:val="left"/>
      <w:pPr>
        <w:tabs>
          <w:tab w:val="num" w:pos="851"/>
        </w:tabs>
        <w:ind w:left="851" w:hanging="851"/>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2D2B7C8C"/>
    <w:multiLevelType w:val="hybridMultilevel"/>
    <w:tmpl w:val="5A223304"/>
    <w:lvl w:ilvl="0" w:tplc="1278F81A">
      <w:start w:val="1"/>
      <w:numFmt w:val="lowerLetter"/>
      <w:lvlText w:val="%1)"/>
      <w:lvlJc w:val="left"/>
      <w:pPr>
        <w:ind w:left="3240" w:hanging="360"/>
      </w:pPr>
      <w:rPr>
        <w:rFonts w:hint="default"/>
      </w:rPr>
    </w:lvl>
    <w:lvl w:ilvl="1" w:tplc="0C090019" w:tentative="1">
      <w:start w:val="1"/>
      <w:numFmt w:val="lowerLetter"/>
      <w:lvlText w:val="%2."/>
      <w:lvlJc w:val="left"/>
      <w:pPr>
        <w:ind w:left="2880" w:hanging="360"/>
      </w:pPr>
    </w:lvl>
    <w:lvl w:ilvl="2" w:tplc="0C090017">
      <w:start w:val="1"/>
      <w:numFmt w:val="lowerLetter"/>
      <w:lvlText w:val="%3)"/>
      <w:lvlJc w:val="lef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32D55DE8"/>
    <w:multiLevelType w:val="hybridMultilevel"/>
    <w:tmpl w:val="B10A73B0"/>
    <w:lvl w:ilvl="0" w:tplc="AB3E12F0">
      <w:start w:val="1"/>
      <w:numFmt w:val="decimal"/>
      <w:pStyle w:val="Normal12pt"/>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6EF40A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622EAA"/>
    <w:multiLevelType w:val="hybridMultilevel"/>
    <w:tmpl w:val="C27208B4"/>
    <w:lvl w:ilvl="0" w:tplc="FFFFFFFF">
      <w:start w:val="1"/>
      <w:numFmt w:val="bullet"/>
      <w:lvlText w:val=""/>
      <w:lvlJc w:val="left"/>
      <w:pPr>
        <w:tabs>
          <w:tab w:val="num" w:pos="1560"/>
        </w:tabs>
        <w:ind w:left="1560" w:hanging="360"/>
      </w:pPr>
      <w:rPr>
        <w:rFonts w:ascii="Symbol" w:hAnsi="Symbol" w:hint="default"/>
      </w:rPr>
    </w:lvl>
    <w:lvl w:ilvl="1" w:tplc="FFFFFFFF" w:tentative="1">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3A080D16"/>
    <w:multiLevelType w:val="hybridMultilevel"/>
    <w:tmpl w:val="1E028DEE"/>
    <w:lvl w:ilvl="0" w:tplc="410CD2B6">
      <w:start w:val="1"/>
      <w:numFmt w:val="lowerLetter"/>
      <w:lvlText w:val="%1)"/>
      <w:lvlJc w:val="left"/>
      <w:pPr>
        <w:ind w:left="1778" w:hanging="360"/>
      </w:pPr>
      <w:rPr>
        <w:rFonts w:hint="default"/>
        <w:i/>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3C0846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35303D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F96599"/>
    <w:multiLevelType w:val="hybridMultilevel"/>
    <w:tmpl w:val="ED6AA4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49FF7A73"/>
    <w:multiLevelType w:val="multilevel"/>
    <w:tmpl w:val="E59ADEB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4A060E2D"/>
    <w:multiLevelType w:val="multilevel"/>
    <w:tmpl w:val="5B7AD06C"/>
    <w:lvl w:ilvl="0">
      <w:start w:val="1"/>
      <w:numFmt w:val="decimal"/>
      <w:lvlText w:val="%1)"/>
      <w:lvlJc w:val="left"/>
      <w:pPr>
        <w:ind w:left="360" w:hanging="360"/>
      </w:p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4F9C47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2D6A6C"/>
    <w:multiLevelType w:val="multilevel"/>
    <w:tmpl w:val="D85E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0E4C5F"/>
    <w:multiLevelType w:val="hybridMultilevel"/>
    <w:tmpl w:val="3EFCDAC0"/>
    <w:lvl w:ilvl="0" w:tplc="04090001">
      <w:start w:val="1"/>
      <w:numFmt w:val="bullet"/>
      <w:lvlText w:val=""/>
      <w:lvlJc w:val="left"/>
      <w:pPr>
        <w:tabs>
          <w:tab w:val="num" w:pos="1080"/>
        </w:tabs>
        <w:ind w:left="1080" w:hanging="360"/>
      </w:pPr>
      <w:rPr>
        <w:rFonts w:ascii="Symbol" w:hAnsi="Symbol" w:hint="default"/>
        <w:b w:val="0"/>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57A34847"/>
    <w:multiLevelType w:val="hybridMultilevel"/>
    <w:tmpl w:val="F12EFC4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15:restartNumberingAfterBreak="0">
    <w:nsid w:val="57A63896"/>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BC6057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E11E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91034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C962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12F0909"/>
    <w:multiLevelType w:val="hybridMultilevel"/>
    <w:tmpl w:val="B4361988"/>
    <w:lvl w:ilvl="0" w:tplc="2D100A2A">
      <w:start w:val="1"/>
      <w:numFmt w:val="lowerLetter"/>
      <w:lvlText w:val="(%1)"/>
      <w:lvlJc w:val="left"/>
      <w:pPr>
        <w:ind w:left="720" w:hanging="360"/>
      </w:pPr>
      <w:rPr>
        <w:rFonts w:ascii="Arial" w:eastAsia="Times New Roman" w:hAnsi="Arial" w:cs="Times New Roman"/>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127822"/>
    <w:multiLevelType w:val="hybridMultilevel"/>
    <w:tmpl w:val="9A7ADA3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975E7FA4">
      <w:start w:val="1"/>
      <w:numFmt w:val="decimal"/>
      <w:lvlText w:val="%4."/>
      <w:lvlJc w:val="left"/>
      <w:pPr>
        <w:tabs>
          <w:tab w:val="num" w:pos="360"/>
        </w:tabs>
        <w:ind w:left="360" w:hanging="360"/>
      </w:pPr>
      <w:rPr>
        <w:sz w:val="24"/>
        <w:szCs w:val="24"/>
      </w:rPr>
    </w:lvl>
    <w:lvl w:ilvl="4" w:tplc="92682ED2">
      <w:start w:val="2"/>
      <w:numFmt w:val="lowerLetter"/>
      <w:lvlText w:val="(%5)"/>
      <w:lvlJc w:val="left"/>
      <w:pPr>
        <w:tabs>
          <w:tab w:val="num" w:pos="3900"/>
        </w:tabs>
        <w:ind w:left="3900" w:hanging="660"/>
      </w:pPr>
      <w:rPr>
        <w:sz w:val="22"/>
        <w:szCs w:val="22"/>
      </w:rPr>
    </w:lvl>
    <w:lvl w:ilvl="5" w:tplc="0C09001B">
      <w:start w:val="1"/>
      <w:numFmt w:val="lowerRoman"/>
      <w:lvlText w:val="%6."/>
      <w:lvlJc w:val="right"/>
      <w:pPr>
        <w:tabs>
          <w:tab w:val="num" w:pos="4320"/>
        </w:tabs>
        <w:ind w:left="4320" w:hanging="180"/>
      </w:pPr>
      <w:rPr>
        <w:rFonts w:cs="Times New Roman"/>
      </w:rPr>
    </w:lvl>
    <w:lvl w:ilvl="6" w:tplc="9326C71A">
      <w:start w:val="1"/>
      <w:numFmt w:val="lowerLetter"/>
      <w:lvlText w:val="%7)"/>
      <w:lvlJc w:val="left"/>
      <w:pPr>
        <w:ind w:left="5040" w:hanging="360"/>
      </w:pPr>
      <w:rPr>
        <w:rFonts w:cs="Arial"/>
        <w:sz w:val="24"/>
      </w:rPr>
    </w:lvl>
    <w:lvl w:ilvl="7" w:tplc="AF0CDA88">
      <w:start w:val="1"/>
      <w:numFmt w:val="decimal"/>
      <w:lvlText w:val="(%8)"/>
      <w:lvlJc w:val="left"/>
      <w:pPr>
        <w:ind w:left="5760" w:hanging="360"/>
      </w:pPr>
    </w:lvl>
    <w:lvl w:ilvl="8" w:tplc="0C09001B">
      <w:start w:val="1"/>
      <w:numFmt w:val="lowerRoman"/>
      <w:lvlText w:val="%9."/>
      <w:lvlJc w:val="right"/>
      <w:pPr>
        <w:tabs>
          <w:tab w:val="num" w:pos="6480"/>
        </w:tabs>
        <w:ind w:left="6480" w:hanging="180"/>
      </w:pPr>
      <w:rPr>
        <w:rFonts w:cs="Times New Roman"/>
      </w:rPr>
    </w:lvl>
  </w:abstractNum>
  <w:abstractNum w:abstractNumId="39" w15:restartNumberingAfterBreak="0">
    <w:nsid w:val="652E535C"/>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6EB1AE6"/>
    <w:multiLevelType w:val="hybridMultilevel"/>
    <w:tmpl w:val="273ED4D8"/>
    <w:lvl w:ilvl="0" w:tplc="0C090017">
      <w:start w:val="1"/>
      <w:numFmt w:val="lowerLetter"/>
      <w:lvlText w:val="%1)"/>
      <w:lvlJc w:val="left"/>
      <w:pPr>
        <w:tabs>
          <w:tab w:val="num" w:pos="1440"/>
        </w:tabs>
        <w:ind w:left="1440" w:hanging="720"/>
      </w:pPr>
      <w:rPr>
        <w:rFonts w:hint="default"/>
        <w:b w:val="0"/>
        <w:i w:val="0"/>
      </w:rPr>
    </w:lvl>
    <w:lvl w:ilvl="1" w:tplc="0C09001B">
      <w:start w:val="1"/>
      <w:numFmt w:val="lowerRoman"/>
      <w:lvlText w:val="%2."/>
      <w:lvlJc w:val="right"/>
      <w:pPr>
        <w:tabs>
          <w:tab w:val="num" w:pos="2160"/>
        </w:tabs>
        <w:ind w:left="2160" w:hanging="360"/>
      </w:pPr>
      <w:rPr>
        <w:rFonts w:hint="default"/>
        <w:b w:val="0"/>
        <w:sz w:val="22"/>
        <w:szCs w:val="22"/>
      </w:rPr>
    </w:lvl>
    <w:lvl w:ilvl="2" w:tplc="0C09001B">
      <w:start w:val="1"/>
      <w:numFmt w:val="lowerRoman"/>
      <w:lvlText w:val="%3."/>
      <w:lvlJc w:val="right"/>
      <w:pPr>
        <w:tabs>
          <w:tab w:val="num" w:pos="2880"/>
        </w:tabs>
        <w:ind w:left="2880" w:hanging="180"/>
      </w:pPr>
      <w:rPr>
        <w:rFonts w:cs="Times New Roman"/>
      </w:rPr>
    </w:lvl>
    <w:lvl w:ilvl="3" w:tplc="0C09000F">
      <w:start w:val="1"/>
      <w:numFmt w:val="bullet"/>
      <w:lvlText w:val=""/>
      <w:lvlJc w:val="left"/>
      <w:pPr>
        <w:tabs>
          <w:tab w:val="num" w:pos="3600"/>
        </w:tabs>
        <w:ind w:left="3600" w:hanging="360"/>
      </w:pPr>
      <w:rPr>
        <w:rFonts w:ascii="Symbol" w:hAnsi="Symbol" w:hint="default"/>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41" w15:restartNumberingAfterBreak="0">
    <w:nsid w:val="68E32B0F"/>
    <w:multiLevelType w:val="hybridMultilevel"/>
    <w:tmpl w:val="EF5AF6D0"/>
    <w:lvl w:ilvl="0" w:tplc="3954D824">
      <w:start w:val="1"/>
      <w:numFmt w:val="bullet"/>
      <w:lvlText w:val=""/>
      <w:lvlJc w:val="left"/>
      <w:pPr>
        <w:ind w:left="1080" w:hanging="360"/>
      </w:pPr>
      <w:rPr>
        <w:rFonts w:ascii="Symbol" w:hAnsi="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15:restartNumberingAfterBreak="0">
    <w:nsid w:val="6FE5640E"/>
    <w:multiLevelType w:val="hybridMultilevel"/>
    <w:tmpl w:val="BDC6E40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3" w15:restartNumberingAfterBreak="0">
    <w:nsid w:val="72A9009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4C74663"/>
    <w:multiLevelType w:val="hybridMultilevel"/>
    <w:tmpl w:val="27289A32"/>
    <w:lvl w:ilvl="0" w:tplc="E012A8A6">
      <w:start w:val="1"/>
      <w:numFmt w:val="decimal"/>
      <w:lvlText w:val="%1."/>
      <w:lvlJc w:val="left"/>
      <w:pPr>
        <w:tabs>
          <w:tab w:val="num" w:pos="720"/>
        </w:tabs>
        <w:ind w:left="720" w:hanging="720"/>
      </w:pPr>
      <w:rPr>
        <w:rFonts w:cs="Times New Roman" w:hint="default"/>
        <w:b w:val="0"/>
        <w:i w:val="0"/>
        <w:strike w:val="0"/>
        <w:sz w:val="24"/>
        <w:szCs w:val="24"/>
      </w:rPr>
    </w:lvl>
    <w:lvl w:ilvl="1" w:tplc="2D100A2A">
      <w:start w:val="1"/>
      <w:numFmt w:val="lowerLetter"/>
      <w:lvlText w:val="(%2)"/>
      <w:lvlJc w:val="left"/>
      <w:pPr>
        <w:tabs>
          <w:tab w:val="num" w:pos="1440"/>
        </w:tabs>
        <w:ind w:left="1440" w:hanging="360"/>
      </w:pPr>
      <w:rPr>
        <w:rFonts w:ascii="Arial" w:eastAsia="Times New Roman" w:hAnsi="Arial" w:cs="Times New Roman"/>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5FF0362"/>
    <w:multiLevelType w:val="hybridMultilevel"/>
    <w:tmpl w:val="C2A60352"/>
    <w:lvl w:ilvl="0" w:tplc="1278F81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79563054"/>
    <w:multiLevelType w:val="hybridMultilevel"/>
    <w:tmpl w:val="9B62A40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7"/>
  </w:num>
  <w:num w:numId="2">
    <w:abstractNumId w:val="21"/>
  </w:num>
  <w:num w:numId="3">
    <w:abstractNumId w:val="13"/>
  </w:num>
  <w:num w:numId="4">
    <w:abstractNumId w:val="26"/>
  </w:num>
  <w:num w:numId="5">
    <w:abstractNumId w:val="18"/>
  </w:num>
  <w:num w:numId="6">
    <w:abstractNumId w:val="11"/>
  </w:num>
  <w:num w:numId="7">
    <w:abstractNumId w:val="44"/>
  </w:num>
  <w:num w:numId="8">
    <w:abstractNumId w:val="12"/>
  </w:num>
  <w:num w:numId="9">
    <w:abstractNumId w:val="40"/>
  </w:num>
  <w:num w:numId="10">
    <w:abstractNumId w:val="22"/>
  </w:num>
  <w:num w:numId="11">
    <w:abstractNumId w:val="24"/>
  </w:num>
  <w:num w:numId="12">
    <w:abstractNumId w:val="36"/>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1"/>
  </w:num>
  <w:num w:numId="17">
    <w:abstractNumId w:val="11"/>
  </w:num>
  <w:num w:numId="18">
    <w:abstractNumId w:val="32"/>
  </w:num>
  <w:num w:numId="19">
    <w:abstractNumId w:val="11"/>
  </w:num>
  <w:num w:numId="20">
    <w:abstractNumId w:val="11"/>
  </w:num>
  <w:num w:numId="21">
    <w:abstractNumId w:val="11"/>
  </w:num>
  <w:num w:numId="22">
    <w:abstractNumId w:val="8"/>
  </w:num>
  <w:num w:numId="23">
    <w:abstractNumId w:val="9"/>
  </w:num>
  <w:num w:numId="24">
    <w:abstractNumId w:val="25"/>
  </w:num>
  <w:num w:numId="25">
    <w:abstractNumId w:val="33"/>
  </w:num>
  <w:num w:numId="26">
    <w:abstractNumId w:val="11"/>
  </w:num>
  <w:num w:numId="27">
    <w:abstractNumId w:val="28"/>
  </w:num>
  <w:num w:numId="28">
    <w:abstractNumId w:val="11"/>
  </w:num>
  <w:num w:numId="29">
    <w:abstractNumId w:val="11"/>
  </w:num>
  <w:num w:numId="30">
    <w:abstractNumId w:val="7"/>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34"/>
  </w:num>
  <w:num w:numId="40">
    <w:abstractNumId w:val="31"/>
  </w:num>
  <w:num w:numId="41">
    <w:abstractNumId w:val="20"/>
  </w:num>
  <w:num w:numId="42">
    <w:abstractNumId w:val="43"/>
  </w:num>
  <w:num w:numId="43">
    <w:abstractNumId w:val="35"/>
  </w:num>
  <w:num w:numId="44">
    <w:abstractNumId w:val="10"/>
  </w:num>
  <w:num w:numId="45">
    <w:abstractNumId w:val="17"/>
  </w:num>
  <w:num w:numId="46">
    <w:abstractNumId w:val="19"/>
  </w:num>
  <w:num w:numId="47">
    <w:abstractNumId w:val="4"/>
  </w:num>
  <w:num w:numId="48">
    <w:abstractNumId w:val="11"/>
  </w:num>
  <w:num w:numId="49">
    <w:abstractNumId w:val="46"/>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1"/>
  </w:num>
  <w:num w:numId="68">
    <w:abstractNumId w:val="11"/>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3"/>
  </w:num>
  <w:num w:numId="73">
    <w:abstractNumId w:val="39"/>
  </w:num>
  <w:num w:numId="74">
    <w:abstractNumId w:val="15"/>
  </w:num>
  <w:num w:numId="75">
    <w:abstractNumId w:val="2"/>
  </w:num>
  <w:num w:numId="76">
    <w:abstractNumId w:val="45"/>
  </w:num>
  <w:num w:numId="77">
    <w:abstractNumId w:val="42"/>
  </w:num>
  <w:num w:numId="78">
    <w:abstractNumId w:val="23"/>
  </w:num>
  <w:num w:numId="79">
    <w:abstractNumId w:val="29"/>
  </w:num>
  <w:num w:numId="80">
    <w:abstractNumId w:val="14"/>
  </w:num>
  <w:num w:numId="81">
    <w:abstractNumId w:val="6"/>
  </w:num>
  <w:num w:numId="82">
    <w:abstractNumId w:val="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83">
    <w:abstractNumId w:val="5"/>
  </w:num>
  <w:num w:numId="84">
    <w:abstractNumId w:val="16"/>
  </w:num>
  <w:num w:numId="85">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79"/>
    <w:rsid w:val="00000995"/>
    <w:rsid w:val="0000108E"/>
    <w:rsid w:val="000012E7"/>
    <w:rsid w:val="000014F4"/>
    <w:rsid w:val="000019E3"/>
    <w:rsid w:val="00002CA2"/>
    <w:rsid w:val="0000304D"/>
    <w:rsid w:val="00003D6C"/>
    <w:rsid w:val="0000460A"/>
    <w:rsid w:val="00004636"/>
    <w:rsid w:val="00004DFA"/>
    <w:rsid w:val="0000659B"/>
    <w:rsid w:val="000071FD"/>
    <w:rsid w:val="00007B76"/>
    <w:rsid w:val="00007C94"/>
    <w:rsid w:val="00007DB9"/>
    <w:rsid w:val="00007EE5"/>
    <w:rsid w:val="000100E4"/>
    <w:rsid w:val="00010A3D"/>
    <w:rsid w:val="00010ACB"/>
    <w:rsid w:val="0001212F"/>
    <w:rsid w:val="00012322"/>
    <w:rsid w:val="0001254B"/>
    <w:rsid w:val="0001268D"/>
    <w:rsid w:val="000129D3"/>
    <w:rsid w:val="00012CC8"/>
    <w:rsid w:val="00013272"/>
    <w:rsid w:val="00014936"/>
    <w:rsid w:val="00014BD9"/>
    <w:rsid w:val="00014E26"/>
    <w:rsid w:val="00014FD9"/>
    <w:rsid w:val="00014FFF"/>
    <w:rsid w:val="000158A7"/>
    <w:rsid w:val="00015E3E"/>
    <w:rsid w:val="00015F8D"/>
    <w:rsid w:val="00017101"/>
    <w:rsid w:val="00017768"/>
    <w:rsid w:val="00017A43"/>
    <w:rsid w:val="00017C98"/>
    <w:rsid w:val="000201D7"/>
    <w:rsid w:val="000201E9"/>
    <w:rsid w:val="00020435"/>
    <w:rsid w:val="00021134"/>
    <w:rsid w:val="000218F1"/>
    <w:rsid w:val="00022991"/>
    <w:rsid w:val="00023241"/>
    <w:rsid w:val="0002376F"/>
    <w:rsid w:val="00023D69"/>
    <w:rsid w:val="00024359"/>
    <w:rsid w:val="000243DA"/>
    <w:rsid w:val="000244B8"/>
    <w:rsid w:val="00025002"/>
    <w:rsid w:val="000254EE"/>
    <w:rsid w:val="000263C1"/>
    <w:rsid w:val="00026FFF"/>
    <w:rsid w:val="000302BF"/>
    <w:rsid w:val="0003096F"/>
    <w:rsid w:val="00031403"/>
    <w:rsid w:val="00032305"/>
    <w:rsid w:val="000323E3"/>
    <w:rsid w:val="00032A8D"/>
    <w:rsid w:val="00033207"/>
    <w:rsid w:val="00033583"/>
    <w:rsid w:val="000338BD"/>
    <w:rsid w:val="0003442A"/>
    <w:rsid w:val="00034EA2"/>
    <w:rsid w:val="00035849"/>
    <w:rsid w:val="00035FC9"/>
    <w:rsid w:val="000364D1"/>
    <w:rsid w:val="00037BD6"/>
    <w:rsid w:val="0004095C"/>
    <w:rsid w:val="00041417"/>
    <w:rsid w:val="000415C5"/>
    <w:rsid w:val="00042085"/>
    <w:rsid w:val="00043143"/>
    <w:rsid w:val="0004397C"/>
    <w:rsid w:val="00043C23"/>
    <w:rsid w:val="0004638B"/>
    <w:rsid w:val="00047076"/>
    <w:rsid w:val="000479A7"/>
    <w:rsid w:val="00051579"/>
    <w:rsid w:val="00051875"/>
    <w:rsid w:val="00051CE0"/>
    <w:rsid w:val="0005202A"/>
    <w:rsid w:val="0005222E"/>
    <w:rsid w:val="000523CB"/>
    <w:rsid w:val="000523EF"/>
    <w:rsid w:val="000531C1"/>
    <w:rsid w:val="00053523"/>
    <w:rsid w:val="00054076"/>
    <w:rsid w:val="000540A0"/>
    <w:rsid w:val="0005426C"/>
    <w:rsid w:val="000542C7"/>
    <w:rsid w:val="0005446F"/>
    <w:rsid w:val="000544EE"/>
    <w:rsid w:val="00055868"/>
    <w:rsid w:val="00055A9A"/>
    <w:rsid w:val="00055CCA"/>
    <w:rsid w:val="00056436"/>
    <w:rsid w:val="000579B1"/>
    <w:rsid w:val="00057D3C"/>
    <w:rsid w:val="00060CBD"/>
    <w:rsid w:val="00060D9F"/>
    <w:rsid w:val="00061800"/>
    <w:rsid w:val="000618E7"/>
    <w:rsid w:val="00061F6B"/>
    <w:rsid w:val="000625D0"/>
    <w:rsid w:val="00063614"/>
    <w:rsid w:val="00063F02"/>
    <w:rsid w:val="00064538"/>
    <w:rsid w:val="00064EDF"/>
    <w:rsid w:val="000651EE"/>
    <w:rsid w:val="00065F71"/>
    <w:rsid w:val="00066F0A"/>
    <w:rsid w:val="00067265"/>
    <w:rsid w:val="00067D3A"/>
    <w:rsid w:val="00070624"/>
    <w:rsid w:val="00070D7F"/>
    <w:rsid w:val="00070E05"/>
    <w:rsid w:val="000718CB"/>
    <w:rsid w:val="00071CC3"/>
    <w:rsid w:val="00071E4E"/>
    <w:rsid w:val="00072183"/>
    <w:rsid w:val="000729A3"/>
    <w:rsid w:val="000745FB"/>
    <w:rsid w:val="00074CD6"/>
    <w:rsid w:val="00074D0C"/>
    <w:rsid w:val="00074E55"/>
    <w:rsid w:val="00076C71"/>
    <w:rsid w:val="0007732B"/>
    <w:rsid w:val="00081BD7"/>
    <w:rsid w:val="00081C4F"/>
    <w:rsid w:val="000830EB"/>
    <w:rsid w:val="00083126"/>
    <w:rsid w:val="000833D2"/>
    <w:rsid w:val="00083884"/>
    <w:rsid w:val="00083F01"/>
    <w:rsid w:val="00084A54"/>
    <w:rsid w:val="00085074"/>
    <w:rsid w:val="00085562"/>
    <w:rsid w:val="00086206"/>
    <w:rsid w:val="00086500"/>
    <w:rsid w:val="00086627"/>
    <w:rsid w:val="000867ED"/>
    <w:rsid w:val="00086816"/>
    <w:rsid w:val="00087CAD"/>
    <w:rsid w:val="00087E2D"/>
    <w:rsid w:val="000927D3"/>
    <w:rsid w:val="0009352B"/>
    <w:rsid w:val="00094A51"/>
    <w:rsid w:val="00095F37"/>
    <w:rsid w:val="0009623D"/>
    <w:rsid w:val="00096295"/>
    <w:rsid w:val="00096772"/>
    <w:rsid w:val="00096AA9"/>
    <w:rsid w:val="00096DF5"/>
    <w:rsid w:val="00096E8E"/>
    <w:rsid w:val="000976EB"/>
    <w:rsid w:val="00097A56"/>
    <w:rsid w:val="00097CDD"/>
    <w:rsid w:val="000A0820"/>
    <w:rsid w:val="000A1F43"/>
    <w:rsid w:val="000A2092"/>
    <w:rsid w:val="000A27B2"/>
    <w:rsid w:val="000A2C78"/>
    <w:rsid w:val="000A2E89"/>
    <w:rsid w:val="000A3BC5"/>
    <w:rsid w:val="000A3D33"/>
    <w:rsid w:val="000A3DB6"/>
    <w:rsid w:val="000A4358"/>
    <w:rsid w:val="000A53B7"/>
    <w:rsid w:val="000A6A08"/>
    <w:rsid w:val="000A7748"/>
    <w:rsid w:val="000A7E5F"/>
    <w:rsid w:val="000B03B0"/>
    <w:rsid w:val="000B0A5D"/>
    <w:rsid w:val="000B11EB"/>
    <w:rsid w:val="000B192C"/>
    <w:rsid w:val="000B21AB"/>
    <w:rsid w:val="000B2E40"/>
    <w:rsid w:val="000B362B"/>
    <w:rsid w:val="000B5515"/>
    <w:rsid w:val="000B65E5"/>
    <w:rsid w:val="000B68E8"/>
    <w:rsid w:val="000B6C6C"/>
    <w:rsid w:val="000B6EC6"/>
    <w:rsid w:val="000B7141"/>
    <w:rsid w:val="000B7364"/>
    <w:rsid w:val="000B73D3"/>
    <w:rsid w:val="000B79D6"/>
    <w:rsid w:val="000C1022"/>
    <w:rsid w:val="000C136D"/>
    <w:rsid w:val="000C1B29"/>
    <w:rsid w:val="000C1DDF"/>
    <w:rsid w:val="000C2EEC"/>
    <w:rsid w:val="000C47A5"/>
    <w:rsid w:val="000C4CAC"/>
    <w:rsid w:val="000C4DCD"/>
    <w:rsid w:val="000C64E9"/>
    <w:rsid w:val="000C75C5"/>
    <w:rsid w:val="000C7DC5"/>
    <w:rsid w:val="000D02B1"/>
    <w:rsid w:val="000D070F"/>
    <w:rsid w:val="000D086C"/>
    <w:rsid w:val="000D1F2C"/>
    <w:rsid w:val="000D2BBC"/>
    <w:rsid w:val="000D32A5"/>
    <w:rsid w:val="000D33FB"/>
    <w:rsid w:val="000D3467"/>
    <w:rsid w:val="000D404B"/>
    <w:rsid w:val="000D4D69"/>
    <w:rsid w:val="000D5836"/>
    <w:rsid w:val="000D62F2"/>
    <w:rsid w:val="000D72A1"/>
    <w:rsid w:val="000E0208"/>
    <w:rsid w:val="000E056B"/>
    <w:rsid w:val="000E1924"/>
    <w:rsid w:val="000E1A58"/>
    <w:rsid w:val="000E1AAD"/>
    <w:rsid w:val="000E22DA"/>
    <w:rsid w:val="000E2CA6"/>
    <w:rsid w:val="000E3740"/>
    <w:rsid w:val="000E39F7"/>
    <w:rsid w:val="000E4A8D"/>
    <w:rsid w:val="000E4B22"/>
    <w:rsid w:val="000E6265"/>
    <w:rsid w:val="000E6CC2"/>
    <w:rsid w:val="000E6F1F"/>
    <w:rsid w:val="000E6FB1"/>
    <w:rsid w:val="000E7B19"/>
    <w:rsid w:val="000F30E7"/>
    <w:rsid w:val="000F3550"/>
    <w:rsid w:val="000F52B4"/>
    <w:rsid w:val="000F550E"/>
    <w:rsid w:val="000F5A27"/>
    <w:rsid w:val="000F62C4"/>
    <w:rsid w:val="000F64D3"/>
    <w:rsid w:val="000F66E1"/>
    <w:rsid w:val="000F6F88"/>
    <w:rsid w:val="000F71FC"/>
    <w:rsid w:val="000F79DF"/>
    <w:rsid w:val="00100794"/>
    <w:rsid w:val="00100E7D"/>
    <w:rsid w:val="0010114A"/>
    <w:rsid w:val="001011C8"/>
    <w:rsid w:val="001019D6"/>
    <w:rsid w:val="00102EA2"/>
    <w:rsid w:val="00103481"/>
    <w:rsid w:val="00103C48"/>
    <w:rsid w:val="00103CBD"/>
    <w:rsid w:val="00104A89"/>
    <w:rsid w:val="00104B8E"/>
    <w:rsid w:val="00104BA4"/>
    <w:rsid w:val="00104E64"/>
    <w:rsid w:val="00105A30"/>
    <w:rsid w:val="00105FC4"/>
    <w:rsid w:val="00106777"/>
    <w:rsid w:val="00106B4D"/>
    <w:rsid w:val="00106C58"/>
    <w:rsid w:val="00107065"/>
    <w:rsid w:val="001103CD"/>
    <w:rsid w:val="00110ADC"/>
    <w:rsid w:val="00110AEB"/>
    <w:rsid w:val="0011137E"/>
    <w:rsid w:val="001114B8"/>
    <w:rsid w:val="0011180E"/>
    <w:rsid w:val="00112106"/>
    <w:rsid w:val="001122A5"/>
    <w:rsid w:val="001126EA"/>
    <w:rsid w:val="001130DC"/>
    <w:rsid w:val="00113317"/>
    <w:rsid w:val="00113850"/>
    <w:rsid w:val="00113A4C"/>
    <w:rsid w:val="00114092"/>
    <w:rsid w:val="0011413A"/>
    <w:rsid w:val="00114DE0"/>
    <w:rsid w:val="00115A53"/>
    <w:rsid w:val="00116153"/>
    <w:rsid w:val="00116666"/>
    <w:rsid w:val="001167E0"/>
    <w:rsid w:val="00117769"/>
    <w:rsid w:val="00117CE1"/>
    <w:rsid w:val="00120077"/>
    <w:rsid w:val="00120F05"/>
    <w:rsid w:val="001217D6"/>
    <w:rsid w:val="0012233F"/>
    <w:rsid w:val="001224D7"/>
    <w:rsid w:val="00123196"/>
    <w:rsid w:val="00123219"/>
    <w:rsid w:val="0012337E"/>
    <w:rsid w:val="001241B0"/>
    <w:rsid w:val="001243F0"/>
    <w:rsid w:val="0012584C"/>
    <w:rsid w:val="00125D1B"/>
    <w:rsid w:val="001260C3"/>
    <w:rsid w:val="00126308"/>
    <w:rsid w:val="00126326"/>
    <w:rsid w:val="00126866"/>
    <w:rsid w:val="00126A02"/>
    <w:rsid w:val="00126B4B"/>
    <w:rsid w:val="00126E57"/>
    <w:rsid w:val="001303B3"/>
    <w:rsid w:val="001303FF"/>
    <w:rsid w:val="00130627"/>
    <w:rsid w:val="00131768"/>
    <w:rsid w:val="001322D4"/>
    <w:rsid w:val="00132462"/>
    <w:rsid w:val="00132D3F"/>
    <w:rsid w:val="00133A2E"/>
    <w:rsid w:val="00133A43"/>
    <w:rsid w:val="00133CD9"/>
    <w:rsid w:val="00133D62"/>
    <w:rsid w:val="00134BAF"/>
    <w:rsid w:val="001355AD"/>
    <w:rsid w:val="00136216"/>
    <w:rsid w:val="00136B0C"/>
    <w:rsid w:val="00136D41"/>
    <w:rsid w:val="00136E8A"/>
    <w:rsid w:val="00137EBB"/>
    <w:rsid w:val="00140077"/>
    <w:rsid w:val="0014061D"/>
    <w:rsid w:val="00140681"/>
    <w:rsid w:val="00140B64"/>
    <w:rsid w:val="00140DCF"/>
    <w:rsid w:val="00140DF2"/>
    <w:rsid w:val="00140F70"/>
    <w:rsid w:val="0014206D"/>
    <w:rsid w:val="001425C1"/>
    <w:rsid w:val="00143230"/>
    <w:rsid w:val="00143677"/>
    <w:rsid w:val="00143A1B"/>
    <w:rsid w:val="00143D21"/>
    <w:rsid w:val="00144303"/>
    <w:rsid w:val="0014439B"/>
    <w:rsid w:val="0014472A"/>
    <w:rsid w:val="00144EAD"/>
    <w:rsid w:val="001465BA"/>
    <w:rsid w:val="00147115"/>
    <w:rsid w:val="001471BC"/>
    <w:rsid w:val="001501E1"/>
    <w:rsid w:val="0015062E"/>
    <w:rsid w:val="00151A18"/>
    <w:rsid w:val="00151BC9"/>
    <w:rsid w:val="00151DA3"/>
    <w:rsid w:val="001523D8"/>
    <w:rsid w:val="001528FF"/>
    <w:rsid w:val="00152C9C"/>
    <w:rsid w:val="00152EF4"/>
    <w:rsid w:val="001531F9"/>
    <w:rsid w:val="001533E4"/>
    <w:rsid w:val="00153507"/>
    <w:rsid w:val="001541F5"/>
    <w:rsid w:val="00154510"/>
    <w:rsid w:val="001548B7"/>
    <w:rsid w:val="001552AC"/>
    <w:rsid w:val="00155880"/>
    <w:rsid w:val="00155CF7"/>
    <w:rsid w:val="0015645F"/>
    <w:rsid w:val="001566D4"/>
    <w:rsid w:val="0015674C"/>
    <w:rsid w:val="001570F9"/>
    <w:rsid w:val="0015737C"/>
    <w:rsid w:val="0015746F"/>
    <w:rsid w:val="00157658"/>
    <w:rsid w:val="0015774C"/>
    <w:rsid w:val="0016262C"/>
    <w:rsid w:val="00162A8D"/>
    <w:rsid w:val="00163113"/>
    <w:rsid w:val="00163C2C"/>
    <w:rsid w:val="00164191"/>
    <w:rsid w:val="00164764"/>
    <w:rsid w:val="001651CD"/>
    <w:rsid w:val="001659F9"/>
    <w:rsid w:val="00166546"/>
    <w:rsid w:val="001665C0"/>
    <w:rsid w:val="00166C0D"/>
    <w:rsid w:val="00166F9B"/>
    <w:rsid w:val="00167050"/>
    <w:rsid w:val="00167CD8"/>
    <w:rsid w:val="001703F1"/>
    <w:rsid w:val="00170CAE"/>
    <w:rsid w:val="00170E1D"/>
    <w:rsid w:val="00170F39"/>
    <w:rsid w:val="00170F93"/>
    <w:rsid w:val="0017118A"/>
    <w:rsid w:val="001711CD"/>
    <w:rsid w:val="0017162F"/>
    <w:rsid w:val="00171D76"/>
    <w:rsid w:val="00171FD4"/>
    <w:rsid w:val="00172773"/>
    <w:rsid w:val="001727C4"/>
    <w:rsid w:val="00172ABA"/>
    <w:rsid w:val="00172D15"/>
    <w:rsid w:val="00172DB3"/>
    <w:rsid w:val="00173156"/>
    <w:rsid w:val="00173EEB"/>
    <w:rsid w:val="00174C4D"/>
    <w:rsid w:val="001756BF"/>
    <w:rsid w:val="00175742"/>
    <w:rsid w:val="00175E81"/>
    <w:rsid w:val="001763E5"/>
    <w:rsid w:val="0017647E"/>
    <w:rsid w:val="001766CD"/>
    <w:rsid w:val="00176941"/>
    <w:rsid w:val="00176AB0"/>
    <w:rsid w:val="001775D2"/>
    <w:rsid w:val="0017792A"/>
    <w:rsid w:val="0018017D"/>
    <w:rsid w:val="00180A40"/>
    <w:rsid w:val="00180AFB"/>
    <w:rsid w:val="001810F7"/>
    <w:rsid w:val="001817D2"/>
    <w:rsid w:val="00182778"/>
    <w:rsid w:val="00183306"/>
    <w:rsid w:val="00184098"/>
    <w:rsid w:val="001840CE"/>
    <w:rsid w:val="0018599B"/>
    <w:rsid w:val="001867A2"/>
    <w:rsid w:val="00186BDE"/>
    <w:rsid w:val="0018736F"/>
    <w:rsid w:val="001874AB"/>
    <w:rsid w:val="00187AF6"/>
    <w:rsid w:val="001904E1"/>
    <w:rsid w:val="00190C71"/>
    <w:rsid w:val="00190F05"/>
    <w:rsid w:val="0019119F"/>
    <w:rsid w:val="00191512"/>
    <w:rsid w:val="0019215E"/>
    <w:rsid w:val="0019303E"/>
    <w:rsid w:val="00193422"/>
    <w:rsid w:val="00193785"/>
    <w:rsid w:val="00193AA0"/>
    <w:rsid w:val="00193DC4"/>
    <w:rsid w:val="0019492B"/>
    <w:rsid w:val="00194C03"/>
    <w:rsid w:val="00195017"/>
    <w:rsid w:val="0019552F"/>
    <w:rsid w:val="00195EE6"/>
    <w:rsid w:val="00196243"/>
    <w:rsid w:val="00196843"/>
    <w:rsid w:val="00196AAF"/>
    <w:rsid w:val="0019752C"/>
    <w:rsid w:val="001977D7"/>
    <w:rsid w:val="001A037F"/>
    <w:rsid w:val="001A05EC"/>
    <w:rsid w:val="001A0954"/>
    <w:rsid w:val="001A0B69"/>
    <w:rsid w:val="001A0B76"/>
    <w:rsid w:val="001A1B39"/>
    <w:rsid w:val="001A1FE2"/>
    <w:rsid w:val="001A2930"/>
    <w:rsid w:val="001A414B"/>
    <w:rsid w:val="001A425D"/>
    <w:rsid w:val="001A5890"/>
    <w:rsid w:val="001A5985"/>
    <w:rsid w:val="001A5D46"/>
    <w:rsid w:val="001A6F70"/>
    <w:rsid w:val="001B0353"/>
    <w:rsid w:val="001B0444"/>
    <w:rsid w:val="001B18F2"/>
    <w:rsid w:val="001B1ACD"/>
    <w:rsid w:val="001B1D8C"/>
    <w:rsid w:val="001B2DD3"/>
    <w:rsid w:val="001B397B"/>
    <w:rsid w:val="001B3B40"/>
    <w:rsid w:val="001B3F32"/>
    <w:rsid w:val="001B414F"/>
    <w:rsid w:val="001B42E9"/>
    <w:rsid w:val="001B4D30"/>
    <w:rsid w:val="001B4FC3"/>
    <w:rsid w:val="001B512A"/>
    <w:rsid w:val="001B5960"/>
    <w:rsid w:val="001B7487"/>
    <w:rsid w:val="001C0852"/>
    <w:rsid w:val="001C0E24"/>
    <w:rsid w:val="001C139C"/>
    <w:rsid w:val="001C148C"/>
    <w:rsid w:val="001C19FB"/>
    <w:rsid w:val="001C1A91"/>
    <w:rsid w:val="001C1B21"/>
    <w:rsid w:val="001C27E3"/>
    <w:rsid w:val="001C29DB"/>
    <w:rsid w:val="001C3272"/>
    <w:rsid w:val="001C435D"/>
    <w:rsid w:val="001C451B"/>
    <w:rsid w:val="001C47A0"/>
    <w:rsid w:val="001C4B5E"/>
    <w:rsid w:val="001C546A"/>
    <w:rsid w:val="001C65FA"/>
    <w:rsid w:val="001C67A1"/>
    <w:rsid w:val="001C72BE"/>
    <w:rsid w:val="001C7524"/>
    <w:rsid w:val="001C79BC"/>
    <w:rsid w:val="001D08A5"/>
    <w:rsid w:val="001D1C4E"/>
    <w:rsid w:val="001D234B"/>
    <w:rsid w:val="001D2529"/>
    <w:rsid w:val="001D2901"/>
    <w:rsid w:val="001D2C42"/>
    <w:rsid w:val="001D43FF"/>
    <w:rsid w:val="001D4E3C"/>
    <w:rsid w:val="001D56B6"/>
    <w:rsid w:val="001D5E4A"/>
    <w:rsid w:val="001D5F3D"/>
    <w:rsid w:val="001D69A8"/>
    <w:rsid w:val="001D747C"/>
    <w:rsid w:val="001D7675"/>
    <w:rsid w:val="001E01A4"/>
    <w:rsid w:val="001E0268"/>
    <w:rsid w:val="001E028B"/>
    <w:rsid w:val="001E0C59"/>
    <w:rsid w:val="001E0F4C"/>
    <w:rsid w:val="001E15E3"/>
    <w:rsid w:val="001E17AD"/>
    <w:rsid w:val="001E18A5"/>
    <w:rsid w:val="001E2396"/>
    <w:rsid w:val="001E30F0"/>
    <w:rsid w:val="001E3F7A"/>
    <w:rsid w:val="001E5295"/>
    <w:rsid w:val="001E563E"/>
    <w:rsid w:val="001E674A"/>
    <w:rsid w:val="001E71FA"/>
    <w:rsid w:val="001E730A"/>
    <w:rsid w:val="001F138B"/>
    <w:rsid w:val="001F184A"/>
    <w:rsid w:val="001F18B3"/>
    <w:rsid w:val="001F2326"/>
    <w:rsid w:val="001F2368"/>
    <w:rsid w:val="001F2A3E"/>
    <w:rsid w:val="001F2BBB"/>
    <w:rsid w:val="001F2BD2"/>
    <w:rsid w:val="001F2E02"/>
    <w:rsid w:val="001F2F8B"/>
    <w:rsid w:val="001F3546"/>
    <w:rsid w:val="001F4015"/>
    <w:rsid w:val="001F44AF"/>
    <w:rsid w:val="001F55AE"/>
    <w:rsid w:val="001F5B68"/>
    <w:rsid w:val="001F688E"/>
    <w:rsid w:val="001F6F72"/>
    <w:rsid w:val="001F713B"/>
    <w:rsid w:val="001F7410"/>
    <w:rsid w:val="001F7914"/>
    <w:rsid w:val="001F7AFB"/>
    <w:rsid w:val="001F7E9E"/>
    <w:rsid w:val="00200B07"/>
    <w:rsid w:val="00200CD0"/>
    <w:rsid w:val="00201004"/>
    <w:rsid w:val="00201212"/>
    <w:rsid w:val="0020198D"/>
    <w:rsid w:val="00202434"/>
    <w:rsid w:val="002035FC"/>
    <w:rsid w:val="002037C9"/>
    <w:rsid w:val="002039AF"/>
    <w:rsid w:val="00203EFD"/>
    <w:rsid w:val="00204198"/>
    <w:rsid w:val="0020638E"/>
    <w:rsid w:val="002064BE"/>
    <w:rsid w:val="0020759E"/>
    <w:rsid w:val="002078F8"/>
    <w:rsid w:val="00207EF7"/>
    <w:rsid w:val="00207F4A"/>
    <w:rsid w:val="002111EA"/>
    <w:rsid w:val="00211515"/>
    <w:rsid w:val="00212505"/>
    <w:rsid w:val="002128CB"/>
    <w:rsid w:val="002141B3"/>
    <w:rsid w:val="00214972"/>
    <w:rsid w:val="0021570F"/>
    <w:rsid w:val="00215710"/>
    <w:rsid w:val="0021586A"/>
    <w:rsid w:val="00215A35"/>
    <w:rsid w:val="00215EF4"/>
    <w:rsid w:val="0021668B"/>
    <w:rsid w:val="00216D68"/>
    <w:rsid w:val="00216F73"/>
    <w:rsid w:val="002174B2"/>
    <w:rsid w:val="00217FB1"/>
    <w:rsid w:val="002201F7"/>
    <w:rsid w:val="002206C7"/>
    <w:rsid w:val="00220CAE"/>
    <w:rsid w:val="00220D84"/>
    <w:rsid w:val="00220E9C"/>
    <w:rsid w:val="002220B7"/>
    <w:rsid w:val="002226FD"/>
    <w:rsid w:val="002235DC"/>
    <w:rsid w:val="00223A37"/>
    <w:rsid w:val="00223A99"/>
    <w:rsid w:val="0022441A"/>
    <w:rsid w:val="00224F90"/>
    <w:rsid w:val="00225A3D"/>
    <w:rsid w:val="002260BD"/>
    <w:rsid w:val="00227940"/>
    <w:rsid w:val="00230A84"/>
    <w:rsid w:val="00230E13"/>
    <w:rsid w:val="00230FF9"/>
    <w:rsid w:val="002314FC"/>
    <w:rsid w:val="0023159E"/>
    <w:rsid w:val="00231760"/>
    <w:rsid w:val="00231ED1"/>
    <w:rsid w:val="00232A95"/>
    <w:rsid w:val="0023303F"/>
    <w:rsid w:val="002332EE"/>
    <w:rsid w:val="002339D8"/>
    <w:rsid w:val="00233A20"/>
    <w:rsid w:val="00233B71"/>
    <w:rsid w:val="00234ED2"/>
    <w:rsid w:val="0023527B"/>
    <w:rsid w:val="00236B29"/>
    <w:rsid w:val="00236BFA"/>
    <w:rsid w:val="00236FAA"/>
    <w:rsid w:val="00237AC3"/>
    <w:rsid w:val="00241A02"/>
    <w:rsid w:val="00241CA8"/>
    <w:rsid w:val="00241D75"/>
    <w:rsid w:val="00242D34"/>
    <w:rsid w:val="00242F59"/>
    <w:rsid w:val="0024300C"/>
    <w:rsid w:val="00243C26"/>
    <w:rsid w:val="00244506"/>
    <w:rsid w:val="00244B76"/>
    <w:rsid w:val="0024525A"/>
    <w:rsid w:val="0024557E"/>
    <w:rsid w:val="00245918"/>
    <w:rsid w:val="00245FD9"/>
    <w:rsid w:val="0024610C"/>
    <w:rsid w:val="00246B06"/>
    <w:rsid w:val="00246DAE"/>
    <w:rsid w:val="002475D4"/>
    <w:rsid w:val="002475EA"/>
    <w:rsid w:val="00250212"/>
    <w:rsid w:val="0025029D"/>
    <w:rsid w:val="00250787"/>
    <w:rsid w:val="0025127B"/>
    <w:rsid w:val="002520A8"/>
    <w:rsid w:val="00252758"/>
    <w:rsid w:val="00252D57"/>
    <w:rsid w:val="00252D78"/>
    <w:rsid w:val="002531B4"/>
    <w:rsid w:val="002532F5"/>
    <w:rsid w:val="00253D73"/>
    <w:rsid w:val="002540D1"/>
    <w:rsid w:val="0025566E"/>
    <w:rsid w:val="00256AD9"/>
    <w:rsid w:val="00257231"/>
    <w:rsid w:val="00257EE8"/>
    <w:rsid w:val="002616E0"/>
    <w:rsid w:val="00261C42"/>
    <w:rsid w:val="002621DE"/>
    <w:rsid w:val="00262898"/>
    <w:rsid w:val="0026292B"/>
    <w:rsid w:val="00264105"/>
    <w:rsid w:val="00264483"/>
    <w:rsid w:val="00264568"/>
    <w:rsid w:val="00264C28"/>
    <w:rsid w:val="002657C0"/>
    <w:rsid w:val="0026625B"/>
    <w:rsid w:val="00266E6B"/>
    <w:rsid w:val="00266FE6"/>
    <w:rsid w:val="00267D0F"/>
    <w:rsid w:val="002702D9"/>
    <w:rsid w:val="002702E0"/>
    <w:rsid w:val="00270A43"/>
    <w:rsid w:val="00270EE6"/>
    <w:rsid w:val="0027135E"/>
    <w:rsid w:val="002719C0"/>
    <w:rsid w:val="00271BD5"/>
    <w:rsid w:val="0027271F"/>
    <w:rsid w:val="00272733"/>
    <w:rsid w:val="002737EF"/>
    <w:rsid w:val="00274049"/>
    <w:rsid w:val="00274E15"/>
    <w:rsid w:val="002755F9"/>
    <w:rsid w:val="0027569E"/>
    <w:rsid w:val="00275F81"/>
    <w:rsid w:val="0027631F"/>
    <w:rsid w:val="00277019"/>
    <w:rsid w:val="002777D4"/>
    <w:rsid w:val="00277973"/>
    <w:rsid w:val="00277D6C"/>
    <w:rsid w:val="00280355"/>
    <w:rsid w:val="0028038E"/>
    <w:rsid w:val="00281536"/>
    <w:rsid w:val="002829BD"/>
    <w:rsid w:val="00283258"/>
    <w:rsid w:val="002844F9"/>
    <w:rsid w:val="00284763"/>
    <w:rsid w:val="00284C56"/>
    <w:rsid w:val="00285300"/>
    <w:rsid w:val="00285A63"/>
    <w:rsid w:val="0028634B"/>
    <w:rsid w:val="00286538"/>
    <w:rsid w:val="0028663D"/>
    <w:rsid w:val="002866D3"/>
    <w:rsid w:val="00286B69"/>
    <w:rsid w:val="002903E3"/>
    <w:rsid w:val="002904F8"/>
    <w:rsid w:val="0029172B"/>
    <w:rsid w:val="00292F38"/>
    <w:rsid w:val="002931D9"/>
    <w:rsid w:val="0029433A"/>
    <w:rsid w:val="0029537A"/>
    <w:rsid w:val="002966C5"/>
    <w:rsid w:val="00297ADF"/>
    <w:rsid w:val="00297C50"/>
    <w:rsid w:val="00297E7E"/>
    <w:rsid w:val="00297F22"/>
    <w:rsid w:val="00297F5F"/>
    <w:rsid w:val="002A00FD"/>
    <w:rsid w:val="002A035B"/>
    <w:rsid w:val="002A0778"/>
    <w:rsid w:val="002A0EF6"/>
    <w:rsid w:val="002A12A3"/>
    <w:rsid w:val="002A18F2"/>
    <w:rsid w:val="002A32CD"/>
    <w:rsid w:val="002A377D"/>
    <w:rsid w:val="002A37A7"/>
    <w:rsid w:val="002A4613"/>
    <w:rsid w:val="002A49A3"/>
    <w:rsid w:val="002A4CBC"/>
    <w:rsid w:val="002A5169"/>
    <w:rsid w:val="002A54D1"/>
    <w:rsid w:val="002A5672"/>
    <w:rsid w:val="002A6137"/>
    <w:rsid w:val="002A6528"/>
    <w:rsid w:val="002A6772"/>
    <w:rsid w:val="002A6837"/>
    <w:rsid w:val="002A70A5"/>
    <w:rsid w:val="002A786A"/>
    <w:rsid w:val="002A7A13"/>
    <w:rsid w:val="002A7AC5"/>
    <w:rsid w:val="002B0B92"/>
    <w:rsid w:val="002B0DF8"/>
    <w:rsid w:val="002B0F4A"/>
    <w:rsid w:val="002B2A87"/>
    <w:rsid w:val="002B2FDC"/>
    <w:rsid w:val="002B48E4"/>
    <w:rsid w:val="002B64C0"/>
    <w:rsid w:val="002B7759"/>
    <w:rsid w:val="002C0A3E"/>
    <w:rsid w:val="002C0F49"/>
    <w:rsid w:val="002C1DDB"/>
    <w:rsid w:val="002C266B"/>
    <w:rsid w:val="002C27C1"/>
    <w:rsid w:val="002C2ACE"/>
    <w:rsid w:val="002C2BD4"/>
    <w:rsid w:val="002C2FD9"/>
    <w:rsid w:val="002C3119"/>
    <w:rsid w:val="002C3F6E"/>
    <w:rsid w:val="002C448D"/>
    <w:rsid w:val="002C48FA"/>
    <w:rsid w:val="002C52B4"/>
    <w:rsid w:val="002C6560"/>
    <w:rsid w:val="002C657A"/>
    <w:rsid w:val="002C6AD9"/>
    <w:rsid w:val="002C7B40"/>
    <w:rsid w:val="002C7C9F"/>
    <w:rsid w:val="002C7E77"/>
    <w:rsid w:val="002C7F1C"/>
    <w:rsid w:val="002C7FEA"/>
    <w:rsid w:val="002D07AB"/>
    <w:rsid w:val="002D0E97"/>
    <w:rsid w:val="002D2B13"/>
    <w:rsid w:val="002D2B9D"/>
    <w:rsid w:val="002D6795"/>
    <w:rsid w:val="002D78DB"/>
    <w:rsid w:val="002D7FD9"/>
    <w:rsid w:val="002E13AB"/>
    <w:rsid w:val="002E1A29"/>
    <w:rsid w:val="002E1ACD"/>
    <w:rsid w:val="002E1C5A"/>
    <w:rsid w:val="002E2A0F"/>
    <w:rsid w:val="002E2A4D"/>
    <w:rsid w:val="002E3968"/>
    <w:rsid w:val="002E39F7"/>
    <w:rsid w:val="002E43DA"/>
    <w:rsid w:val="002E4BC5"/>
    <w:rsid w:val="002E4D62"/>
    <w:rsid w:val="002E6440"/>
    <w:rsid w:val="002E64D5"/>
    <w:rsid w:val="002E64E6"/>
    <w:rsid w:val="002E6EA1"/>
    <w:rsid w:val="002E73E3"/>
    <w:rsid w:val="002E79F8"/>
    <w:rsid w:val="002F0D0C"/>
    <w:rsid w:val="002F0E08"/>
    <w:rsid w:val="002F117C"/>
    <w:rsid w:val="002F2174"/>
    <w:rsid w:val="002F23BF"/>
    <w:rsid w:val="002F24D9"/>
    <w:rsid w:val="002F24FF"/>
    <w:rsid w:val="002F2BB7"/>
    <w:rsid w:val="002F3178"/>
    <w:rsid w:val="002F33E3"/>
    <w:rsid w:val="002F3816"/>
    <w:rsid w:val="002F39AA"/>
    <w:rsid w:val="002F39DE"/>
    <w:rsid w:val="002F3E16"/>
    <w:rsid w:val="002F4F30"/>
    <w:rsid w:val="002F511E"/>
    <w:rsid w:val="002F5682"/>
    <w:rsid w:val="002F5777"/>
    <w:rsid w:val="002F587E"/>
    <w:rsid w:val="002F5E99"/>
    <w:rsid w:val="002F6B41"/>
    <w:rsid w:val="002F6D3F"/>
    <w:rsid w:val="002F6E56"/>
    <w:rsid w:val="002F70F7"/>
    <w:rsid w:val="002F7933"/>
    <w:rsid w:val="002F799C"/>
    <w:rsid w:val="002F7A2F"/>
    <w:rsid w:val="00300073"/>
    <w:rsid w:val="00300990"/>
    <w:rsid w:val="00300C6F"/>
    <w:rsid w:val="0030179B"/>
    <w:rsid w:val="00302688"/>
    <w:rsid w:val="0030361A"/>
    <w:rsid w:val="00303CED"/>
    <w:rsid w:val="003040CA"/>
    <w:rsid w:val="00304781"/>
    <w:rsid w:val="003050D4"/>
    <w:rsid w:val="00305DAE"/>
    <w:rsid w:val="00306B97"/>
    <w:rsid w:val="00306EBC"/>
    <w:rsid w:val="00307723"/>
    <w:rsid w:val="00307DED"/>
    <w:rsid w:val="00307E98"/>
    <w:rsid w:val="00310ED4"/>
    <w:rsid w:val="00310FC0"/>
    <w:rsid w:val="00311252"/>
    <w:rsid w:val="00311AF6"/>
    <w:rsid w:val="00311B64"/>
    <w:rsid w:val="00311D53"/>
    <w:rsid w:val="00312778"/>
    <w:rsid w:val="00312CBF"/>
    <w:rsid w:val="00313708"/>
    <w:rsid w:val="0031380B"/>
    <w:rsid w:val="00313FD8"/>
    <w:rsid w:val="0031492A"/>
    <w:rsid w:val="00314A56"/>
    <w:rsid w:val="0031536A"/>
    <w:rsid w:val="003159A0"/>
    <w:rsid w:val="00315AB6"/>
    <w:rsid w:val="00316254"/>
    <w:rsid w:val="00316504"/>
    <w:rsid w:val="00316C1A"/>
    <w:rsid w:val="00317403"/>
    <w:rsid w:val="003200B6"/>
    <w:rsid w:val="00320222"/>
    <w:rsid w:val="003203E2"/>
    <w:rsid w:val="00320551"/>
    <w:rsid w:val="00320854"/>
    <w:rsid w:val="00320A68"/>
    <w:rsid w:val="00320BB5"/>
    <w:rsid w:val="003215DE"/>
    <w:rsid w:val="00321930"/>
    <w:rsid w:val="00321AF0"/>
    <w:rsid w:val="00321E81"/>
    <w:rsid w:val="00321F15"/>
    <w:rsid w:val="00322B0A"/>
    <w:rsid w:val="00322BC9"/>
    <w:rsid w:val="00322E52"/>
    <w:rsid w:val="00323245"/>
    <w:rsid w:val="003232E2"/>
    <w:rsid w:val="00324062"/>
    <w:rsid w:val="003242A8"/>
    <w:rsid w:val="003246EC"/>
    <w:rsid w:val="003269D0"/>
    <w:rsid w:val="003269EC"/>
    <w:rsid w:val="003270BD"/>
    <w:rsid w:val="0032717D"/>
    <w:rsid w:val="0032787E"/>
    <w:rsid w:val="00327EC1"/>
    <w:rsid w:val="00330581"/>
    <w:rsid w:val="003308F5"/>
    <w:rsid w:val="003310F8"/>
    <w:rsid w:val="00331970"/>
    <w:rsid w:val="00331CDA"/>
    <w:rsid w:val="00332964"/>
    <w:rsid w:val="00332B14"/>
    <w:rsid w:val="00332FEF"/>
    <w:rsid w:val="00333691"/>
    <w:rsid w:val="00333972"/>
    <w:rsid w:val="00333BE0"/>
    <w:rsid w:val="00333D7E"/>
    <w:rsid w:val="00334193"/>
    <w:rsid w:val="00334703"/>
    <w:rsid w:val="003358DB"/>
    <w:rsid w:val="00335A96"/>
    <w:rsid w:val="00336485"/>
    <w:rsid w:val="00337EA3"/>
    <w:rsid w:val="003400D0"/>
    <w:rsid w:val="003408E7"/>
    <w:rsid w:val="00341CF5"/>
    <w:rsid w:val="003427FD"/>
    <w:rsid w:val="00343AAF"/>
    <w:rsid w:val="00343C66"/>
    <w:rsid w:val="00344AAE"/>
    <w:rsid w:val="0034514E"/>
    <w:rsid w:val="003459DA"/>
    <w:rsid w:val="00345AFE"/>
    <w:rsid w:val="003466DC"/>
    <w:rsid w:val="0034726E"/>
    <w:rsid w:val="0034772A"/>
    <w:rsid w:val="003478BA"/>
    <w:rsid w:val="0035137F"/>
    <w:rsid w:val="00352412"/>
    <w:rsid w:val="003524E7"/>
    <w:rsid w:val="003527E7"/>
    <w:rsid w:val="0035281F"/>
    <w:rsid w:val="00352AC0"/>
    <w:rsid w:val="00352C2B"/>
    <w:rsid w:val="00353D45"/>
    <w:rsid w:val="00353F00"/>
    <w:rsid w:val="00354335"/>
    <w:rsid w:val="00354B3F"/>
    <w:rsid w:val="003574AF"/>
    <w:rsid w:val="00357B30"/>
    <w:rsid w:val="00357C86"/>
    <w:rsid w:val="00357E52"/>
    <w:rsid w:val="00360021"/>
    <w:rsid w:val="003602BF"/>
    <w:rsid w:val="0036083B"/>
    <w:rsid w:val="003613D3"/>
    <w:rsid w:val="00362A3B"/>
    <w:rsid w:val="00362C9D"/>
    <w:rsid w:val="00362E0C"/>
    <w:rsid w:val="003631D0"/>
    <w:rsid w:val="00363352"/>
    <w:rsid w:val="00364CE7"/>
    <w:rsid w:val="00365AF0"/>
    <w:rsid w:val="00365B19"/>
    <w:rsid w:val="00365DC6"/>
    <w:rsid w:val="003662F5"/>
    <w:rsid w:val="0036678E"/>
    <w:rsid w:val="00367089"/>
    <w:rsid w:val="00367C3A"/>
    <w:rsid w:val="00370B00"/>
    <w:rsid w:val="00370B95"/>
    <w:rsid w:val="00370C52"/>
    <w:rsid w:val="00370CC1"/>
    <w:rsid w:val="00370DF9"/>
    <w:rsid w:val="00370F74"/>
    <w:rsid w:val="0037245A"/>
    <w:rsid w:val="003728B3"/>
    <w:rsid w:val="00372DEF"/>
    <w:rsid w:val="00373C49"/>
    <w:rsid w:val="00374633"/>
    <w:rsid w:val="003753F6"/>
    <w:rsid w:val="00375863"/>
    <w:rsid w:val="00375FD5"/>
    <w:rsid w:val="003763C2"/>
    <w:rsid w:val="00377199"/>
    <w:rsid w:val="00377658"/>
    <w:rsid w:val="003777CF"/>
    <w:rsid w:val="00377C8F"/>
    <w:rsid w:val="00380715"/>
    <w:rsid w:val="00381B10"/>
    <w:rsid w:val="003827B7"/>
    <w:rsid w:val="00382D8F"/>
    <w:rsid w:val="00383F0C"/>
    <w:rsid w:val="003842FB"/>
    <w:rsid w:val="003847DB"/>
    <w:rsid w:val="00384C81"/>
    <w:rsid w:val="003850F5"/>
    <w:rsid w:val="00385493"/>
    <w:rsid w:val="003854A0"/>
    <w:rsid w:val="00385996"/>
    <w:rsid w:val="00386023"/>
    <w:rsid w:val="003860A9"/>
    <w:rsid w:val="003865A4"/>
    <w:rsid w:val="0038670B"/>
    <w:rsid w:val="0039091B"/>
    <w:rsid w:val="003910E8"/>
    <w:rsid w:val="003914FC"/>
    <w:rsid w:val="00391AF4"/>
    <w:rsid w:val="003924F0"/>
    <w:rsid w:val="00392702"/>
    <w:rsid w:val="003927A5"/>
    <w:rsid w:val="003931C7"/>
    <w:rsid w:val="00393256"/>
    <w:rsid w:val="00393373"/>
    <w:rsid w:val="00393EE0"/>
    <w:rsid w:val="00393F7C"/>
    <w:rsid w:val="00394789"/>
    <w:rsid w:val="00394816"/>
    <w:rsid w:val="00394DC3"/>
    <w:rsid w:val="003955AE"/>
    <w:rsid w:val="00395B25"/>
    <w:rsid w:val="00395C83"/>
    <w:rsid w:val="00395F10"/>
    <w:rsid w:val="003963C2"/>
    <w:rsid w:val="003963CC"/>
    <w:rsid w:val="00396654"/>
    <w:rsid w:val="003972AD"/>
    <w:rsid w:val="003A0109"/>
    <w:rsid w:val="003A04D7"/>
    <w:rsid w:val="003A15A9"/>
    <w:rsid w:val="003A1A2C"/>
    <w:rsid w:val="003A460B"/>
    <w:rsid w:val="003A4BDF"/>
    <w:rsid w:val="003A4E20"/>
    <w:rsid w:val="003A4EB0"/>
    <w:rsid w:val="003A533F"/>
    <w:rsid w:val="003A6056"/>
    <w:rsid w:val="003A6917"/>
    <w:rsid w:val="003A6B8A"/>
    <w:rsid w:val="003A7157"/>
    <w:rsid w:val="003A78BB"/>
    <w:rsid w:val="003A7B08"/>
    <w:rsid w:val="003B08C0"/>
    <w:rsid w:val="003B08C9"/>
    <w:rsid w:val="003B18A7"/>
    <w:rsid w:val="003B1A0A"/>
    <w:rsid w:val="003B1B47"/>
    <w:rsid w:val="003B24C9"/>
    <w:rsid w:val="003B2CB3"/>
    <w:rsid w:val="003B442C"/>
    <w:rsid w:val="003B4EAD"/>
    <w:rsid w:val="003B50D0"/>
    <w:rsid w:val="003B573D"/>
    <w:rsid w:val="003B6048"/>
    <w:rsid w:val="003B7173"/>
    <w:rsid w:val="003B7C97"/>
    <w:rsid w:val="003C0EE0"/>
    <w:rsid w:val="003C2882"/>
    <w:rsid w:val="003C33DD"/>
    <w:rsid w:val="003C34F1"/>
    <w:rsid w:val="003C3A07"/>
    <w:rsid w:val="003C3F07"/>
    <w:rsid w:val="003C459B"/>
    <w:rsid w:val="003C5304"/>
    <w:rsid w:val="003C54F6"/>
    <w:rsid w:val="003C5551"/>
    <w:rsid w:val="003C561E"/>
    <w:rsid w:val="003C5676"/>
    <w:rsid w:val="003C5A29"/>
    <w:rsid w:val="003C6384"/>
    <w:rsid w:val="003C6938"/>
    <w:rsid w:val="003C6FF4"/>
    <w:rsid w:val="003C7741"/>
    <w:rsid w:val="003C791E"/>
    <w:rsid w:val="003D1544"/>
    <w:rsid w:val="003D1589"/>
    <w:rsid w:val="003D1F7C"/>
    <w:rsid w:val="003D2226"/>
    <w:rsid w:val="003D30AE"/>
    <w:rsid w:val="003D375C"/>
    <w:rsid w:val="003D3D5B"/>
    <w:rsid w:val="003D4038"/>
    <w:rsid w:val="003D4A35"/>
    <w:rsid w:val="003D4DDC"/>
    <w:rsid w:val="003D5B1C"/>
    <w:rsid w:val="003D5E0D"/>
    <w:rsid w:val="003D5E82"/>
    <w:rsid w:val="003D65AD"/>
    <w:rsid w:val="003D6783"/>
    <w:rsid w:val="003D6E60"/>
    <w:rsid w:val="003D7E2C"/>
    <w:rsid w:val="003E0113"/>
    <w:rsid w:val="003E08BE"/>
    <w:rsid w:val="003E0AC5"/>
    <w:rsid w:val="003E0B10"/>
    <w:rsid w:val="003E0D36"/>
    <w:rsid w:val="003E0DCE"/>
    <w:rsid w:val="003E0E7A"/>
    <w:rsid w:val="003E2355"/>
    <w:rsid w:val="003E2AE2"/>
    <w:rsid w:val="003E2C27"/>
    <w:rsid w:val="003E32AF"/>
    <w:rsid w:val="003E5279"/>
    <w:rsid w:val="003E5465"/>
    <w:rsid w:val="003E5EAB"/>
    <w:rsid w:val="003E5F28"/>
    <w:rsid w:val="003E6495"/>
    <w:rsid w:val="003E6808"/>
    <w:rsid w:val="003E6C4A"/>
    <w:rsid w:val="003E72A9"/>
    <w:rsid w:val="003E72B4"/>
    <w:rsid w:val="003E74FC"/>
    <w:rsid w:val="003E76C6"/>
    <w:rsid w:val="003E7E28"/>
    <w:rsid w:val="003F0044"/>
    <w:rsid w:val="003F0213"/>
    <w:rsid w:val="003F0296"/>
    <w:rsid w:val="003F03BE"/>
    <w:rsid w:val="003F05FC"/>
    <w:rsid w:val="003F0CEE"/>
    <w:rsid w:val="003F0F0E"/>
    <w:rsid w:val="003F153B"/>
    <w:rsid w:val="003F16F8"/>
    <w:rsid w:val="003F251B"/>
    <w:rsid w:val="003F25CE"/>
    <w:rsid w:val="003F34EB"/>
    <w:rsid w:val="003F3D62"/>
    <w:rsid w:val="003F3ECD"/>
    <w:rsid w:val="003F3FFB"/>
    <w:rsid w:val="003F43C4"/>
    <w:rsid w:val="003F465C"/>
    <w:rsid w:val="003F4697"/>
    <w:rsid w:val="003F491A"/>
    <w:rsid w:val="003F6136"/>
    <w:rsid w:val="003F64D8"/>
    <w:rsid w:val="003F65FA"/>
    <w:rsid w:val="003F6AFF"/>
    <w:rsid w:val="003F6D6F"/>
    <w:rsid w:val="0040002C"/>
    <w:rsid w:val="004003DD"/>
    <w:rsid w:val="00400426"/>
    <w:rsid w:val="00400C7E"/>
    <w:rsid w:val="0040109F"/>
    <w:rsid w:val="00401BEB"/>
    <w:rsid w:val="004028DE"/>
    <w:rsid w:val="004029E6"/>
    <w:rsid w:val="00402E08"/>
    <w:rsid w:val="0040304F"/>
    <w:rsid w:val="00403225"/>
    <w:rsid w:val="004035E8"/>
    <w:rsid w:val="004037DF"/>
    <w:rsid w:val="00403BAB"/>
    <w:rsid w:val="00403FD3"/>
    <w:rsid w:val="00404570"/>
    <w:rsid w:val="004051E1"/>
    <w:rsid w:val="0040565F"/>
    <w:rsid w:val="00406A38"/>
    <w:rsid w:val="0040778D"/>
    <w:rsid w:val="00407802"/>
    <w:rsid w:val="004078EE"/>
    <w:rsid w:val="004106B6"/>
    <w:rsid w:val="0041117C"/>
    <w:rsid w:val="00411278"/>
    <w:rsid w:val="004114D0"/>
    <w:rsid w:val="00411A9E"/>
    <w:rsid w:val="00412F33"/>
    <w:rsid w:val="00412FE3"/>
    <w:rsid w:val="00413344"/>
    <w:rsid w:val="00414F9D"/>
    <w:rsid w:val="004150D6"/>
    <w:rsid w:val="00415586"/>
    <w:rsid w:val="0041573B"/>
    <w:rsid w:val="00415C9D"/>
    <w:rsid w:val="00415E66"/>
    <w:rsid w:val="00415EB3"/>
    <w:rsid w:val="00417A7E"/>
    <w:rsid w:val="00417B45"/>
    <w:rsid w:val="00420299"/>
    <w:rsid w:val="00420481"/>
    <w:rsid w:val="004208BA"/>
    <w:rsid w:val="004215B3"/>
    <w:rsid w:val="00421638"/>
    <w:rsid w:val="0042322A"/>
    <w:rsid w:val="004235C7"/>
    <w:rsid w:val="00424B40"/>
    <w:rsid w:val="004250D2"/>
    <w:rsid w:val="004255D7"/>
    <w:rsid w:val="00425726"/>
    <w:rsid w:val="004258B5"/>
    <w:rsid w:val="00425A31"/>
    <w:rsid w:val="00425F27"/>
    <w:rsid w:val="00426180"/>
    <w:rsid w:val="004269C0"/>
    <w:rsid w:val="0042725B"/>
    <w:rsid w:val="00430AAD"/>
    <w:rsid w:val="00430F93"/>
    <w:rsid w:val="00431AF7"/>
    <w:rsid w:val="0043202E"/>
    <w:rsid w:val="0043217A"/>
    <w:rsid w:val="004327CC"/>
    <w:rsid w:val="00432E25"/>
    <w:rsid w:val="00433B14"/>
    <w:rsid w:val="00434EF2"/>
    <w:rsid w:val="00435274"/>
    <w:rsid w:val="00435C6A"/>
    <w:rsid w:val="0043672A"/>
    <w:rsid w:val="00436845"/>
    <w:rsid w:val="004371BD"/>
    <w:rsid w:val="0043783C"/>
    <w:rsid w:val="00437BA3"/>
    <w:rsid w:val="0044078C"/>
    <w:rsid w:val="00440A6D"/>
    <w:rsid w:val="00440DB2"/>
    <w:rsid w:val="00443807"/>
    <w:rsid w:val="00443D58"/>
    <w:rsid w:val="00444303"/>
    <w:rsid w:val="00445281"/>
    <w:rsid w:val="00446482"/>
    <w:rsid w:val="004468A1"/>
    <w:rsid w:val="004471A1"/>
    <w:rsid w:val="004508EC"/>
    <w:rsid w:val="00450D03"/>
    <w:rsid w:val="00450DA7"/>
    <w:rsid w:val="00451E17"/>
    <w:rsid w:val="00451E44"/>
    <w:rsid w:val="004529D6"/>
    <w:rsid w:val="00452EAD"/>
    <w:rsid w:val="00453133"/>
    <w:rsid w:val="0045445C"/>
    <w:rsid w:val="00454DC5"/>
    <w:rsid w:val="00455C7E"/>
    <w:rsid w:val="00455DCB"/>
    <w:rsid w:val="004561BE"/>
    <w:rsid w:val="00457037"/>
    <w:rsid w:val="0045710E"/>
    <w:rsid w:val="00457464"/>
    <w:rsid w:val="00457E52"/>
    <w:rsid w:val="00461685"/>
    <w:rsid w:val="00462312"/>
    <w:rsid w:val="00462717"/>
    <w:rsid w:val="00462D4C"/>
    <w:rsid w:val="00463414"/>
    <w:rsid w:val="004634A8"/>
    <w:rsid w:val="0046360C"/>
    <w:rsid w:val="004643E8"/>
    <w:rsid w:val="00465183"/>
    <w:rsid w:val="004651DF"/>
    <w:rsid w:val="00465A3B"/>
    <w:rsid w:val="00465CA8"/>
    <w:rsid w:val="00466460"/>
    <w:rsid w:val="00466B54"/>
    <w:rsid w:val="004712E9"/>
    <w:rsid w:val="00471A51"/>
    <w:rsid w:val="00471CBB"/>
    <w:rsid w:val="00471DED"/>
    <w:rsid w:val="0047213F"/>
    <w:rsid w:val="0047242F"/>
    <w:rsid w:val="00472B66"/>
    <w:rsid w:val="00473138"/>
    <w:rsid w:val="0047369A"/>
    <w:rsid w:val="00473916"/>
    <w:rsid w:val="00473DB9"/>
    <w:rsid w:val="00474063"/>
    <w:rsid w:val="00475028"/>
    <w:rsid w:val="004757E2"/>
    <w:rsid w:val="00475E09"/>
    <w:rsid w:val="004769A5"/>
    <w:rsid w:val="00476EEA"/>
    <w:rsid w:val="00477192"/>
    <w:rsid w:val="00477426"/>
    <w:rsid w:val="004803C2"/>
    <w:rsid w:val="004807B0"/>
    <w:rsid w:val="0048161F"/>
    <w:rsid w:val="00482283"/>
    <w:rsid w:val="004825A4"/>
    <w:rsid w:val="00482D40"/>
    <w:rsid w:val="00483177"/>
    <w:rsid w:val="00484438"/>
    <w:rsid w:val="00484549"/>
    <w:rsid w:val="004848D1"/>
    <w:rsid w:val="004850FE"/>
    <w:rsid w:val="00485721"/>
    <w:rsid w:val="0048637F"/>
    <w:rsid w:val="00486643"/>
    <w:rsid w:val="004868CC"/>
    <w:rsid w:val="00487975"/>
    <w:rsid w:val="004879D7"/>
    <w:rsid w:val="00490476"/>
    <w:rsid w:val="004905B7"/>
    <w:rsid w:val="00490A85"/>
    <w:rsid w:val="0049134C"/>
    <w:rsid w:val="004921F4"/>
    <w:rsid w:val="0049367A"/>
    <w:rsid w:val="004938C9"/>
    <w:rsid w:val="004944F4"/>
    <w:rsid w:val="00494AF8"/>
    <w:rsid w:val="00494D4B"/>
    <w:rsid w:val="004959F9"/>
    <w:rsid w:val="00496BCF"/>
    <w:rsid w:val="00497B30"/>
    <w:rsid w:val="00497D05"/>
    <w:rsid w:val="004A00FB"/>
    <w:rsid w:val="004A0708"/>
    <w:rsid w:val="004A088F"/>
    <w:rsid w:val="004A0C08"/>
    <w:rsid w:val="004A147F"/>
    <w:rsid w:val="004A1AEF"/>
    <w:rsid w:val="004A22A3"/>
    <w:rsid w:val="004A22B0"/>
    <w:rsid w:val="004A281C"/>
    <w:rsid w:val="004A315D"/>
    <w:rsid w:val="004A3A69"/>
    <w:rsid w:val="004A42E3"/>
    <w:rsid w:val="004A572C"/>
    <w:rsid w:val="004A722D"/>
    <w:rsid w:val="004B06FA"/>
    <w:rsid w:val="004B07D5"/>
    <w:rsid w:val="004B0B94"/>
    <w:rsid w:val="004B2699"/>
    <w:rsid w:val="004B2C13"/>
    <w:rsid w:val="004B44FC"/>
    <w:rsid w:val="004B46D3"/>
    <w:rsid w:val="004B4E89"/>
    <w:rsid w:val="004B5FD8"/>
    <w:rsid w:val="004B6453"/>
    <w:rsid w:val="004B6996"/>
    <w:rsid w:val="004C038F"/>
    <w:rsid w:val="004C0706"/>
    <w:rsid w:val="004C11BD"/>
    <w:rsid w:val="004C1337"/>
    <w:rsid w:val="004C2E7E"/>
    <w:rsid w:val="004C2ECA"/>
    <w:rsid w:val="004C3A99"/>
    <w:rsid w:val="004C42CA"/>
    <w:rsid w:val="004C465F"/>
    <w:rsid w:val="004C4999"/>
    <w:rsid w:val="004C4BCB"/>
    <w:rsid w:val="004C599A"/>
    <w:rsid w:val="004C6C92"/>
    <w:rsid w:val="004C7624"/>
    <w:rsid w:val="004C7B45"/>
    <w:rsid w:val="004D0DA3"/>
    <w:rsid w:val="004D1231"/>
    <w:rsid w:val="004D22FB"/>
    <w:rsid w:val="004D252C"/>
    <w:rsid w:val="004D25D5"/>
    <w:rsid w:val="004D2769"/>
    <w:rsid w:val="004D2958"/>
    <w:rsid w:val="004D3561"/>
    <w:rsid w:val="004D391D"/>
    <w:rsid w:val="004D4317"/>
    <w:rsid w:val="004D5C14"/>
    <w:rsid w:val="004D5EE6"/>
    <w:rsid w:val="004D62BB"/>
    <w:rsid w:val="004D6506"/>
    <w:rsid w:val="004D6DC4"/>
    <w:rsid w:val="004D73A5"/>
    <w:rsid w:val="004D7768"/>
    <w:rsid w:val="004E0341"/>
    <w:rsid w:val="004E0649"/>
    <w:rsid w:val="004E0D0C"/>
    <w:rsid w:val="004E20E6"/>
    <w:rsid w:val="004E2267"/>
    <w:rsid w:val="004E2891"/>
    <w:rsid w:val="004E2D17"/>
    <w:rsid w:val="004E3D12"/>
    <w:rsid w:val="004E47F5"/>
    <w:rsid w:val="004E4998"/>
    <w:rsid w:val="004E4A62"/>
    <w:rsid w:val="004E4FA4"/>
    <w:rsid w:val="004E5579"/>
    <w:rsid w:val="004E575F"/>
    <w:rsid w:val="004E5DB7"/>
    <w:rsid w:val="004E5FD1"/>
    <w:rsid w:val="004E641F"/>
    <w:rsid w:val="004E6F42"/>
    <w:rsid w:val="004E7B6D"/>
    <w:rsid w:val="004F0824"/>
    <w:rsid w:val="004F0845"/>
    <w:rsid w:val="004F1034"/>
    <w:rsid w:val="004F19D5"/>
    <w:rsid w:val="004F1E6D"/>
    <w:rsid w:val="004F30AA"/>
    <w:rsid w:val="004F315F"/>
    <w:rsid w:val="004F4684"/>
    <w:rsid w:val="004F4F8D"/>
    <w:rsid w:val="004F534A"/>
    <w:rsid w:val="004F53EF"/>
    <w:rsid w:val="004F574A"/>
    <w:rsid w:val="004F582F"/>
    <w:rsid w:val="004F5BB8"/>
    <w:rsid w:val="004F5CF3"/>
    <w:rsid w:val="004F5D84"/>
    <w:rsid w:val="004F62D7"/>
    <w:rsid w:val="004F64EF"/>
    <w:rsid w:val="004F7649"/>
    <w:rsid w:val="004F7ADA"/>
    <w:rsid w:val="004F7B30"/>
    <w:rsid w:val="004F7DB6"/>
    <w:rsid w:val="004F7EE2"/>
    <w:rsid w:val="0050000F"/>
    <w:rsid w:val="0050022F"/>
    <w:rsid w:val="00500F82"/>
    <w:rsid w:val="005014DB"/>
    <w:rsid w:val="00501AE8"/>
    <w:rsid w:val="00501BE6"/>
    <w:rsid w:val="00501F8D"/>
    <w:rsid w:val="00502EE8"/>
    <w:rsid w:val="00502F8E"/>
    <w:rsid w:val="00503E04"/>
    <w:rsid w:val="005041F5"/>
    <w:rsid w:val="0050450C"/>
    <w:rsid w:val="00504539"/>
    <w:rsid w:val="0050499B"/>
    <w:rsid w:val="00504B28"/>
    <w:rsid w:val="0050670B"/>
    <w:rsid w:val="00510706"/>
    <w:rsid w:val="00510A12"/>
    <w:rsid w:val="00511D0B"/>
    <w:rsid w:val="00511D4A"/>
    <w:rsid w:val="00512015"/>
    <w:rsid w:val="00513540"/>
    <w:rsid w:val="0051381B"/>
    <w:rsid w:val="00513BB0"/>
    <w:rsid w:val="00514642"/>
    <w:rsid w:val="00514BCA"/>
    <w:rsid w:val="00514FF3"/>
    <w:rsid w:val="00515329"/>
    <w:rsid w:val="0051577C"/>
    <w:rsid w:val="005166E5"/>
    <w:rsid w:val="00516842"/>
    <w:rsid w:val="005173D2"/>
    <w:rsid w:val="00517E0E"/>
    <w:rsid w:val="00517ED0"/>
    <w:rsid w:val="005202ED"/>
    <w:rsid w:val="00520399"/>
    <w:rsid w:val="00521BC8"/>
    <w:rsid w:val="00521D31"/>
    <w:rsid w:val="00522CED"/>
    <w:rsid w:val="00523857"/>
    <w:rsid w:val="00524446"/>
    <w:rsid w:val="005245FC"/>
    <w:rsid w:val="0052484B"/>
    <w:rsid w:val="005260A1"/>
    <w:rsid w:val="0052655E"/>
    <w:rsid w:val="005265C0"/>
    <w:rsid w:val="00526AFA"/>
    <w:rsid w:val="005272F8"/>
    <w:rsid w:val="00527A2D"/>
    <w:rsid w:val="00527AF2"/>
    <w:rsid w:val="00531066"/>
    <w:rsid w:val="005314DE"/>
    <w:rsid w:val="00531F27"/>
    <w:rsid w:val="00532948"/>
    <w:rsid w:val="005329C3"/>
    <w:rsid w:val="005345DD"/>
    <w:rsid w:val="00534B8C"/>
    <w:rsid w:val="00534C56"/>
    <w:rsid w:val="0053556E"/>
    <w:rsid w:val="00535BD2"/>
    <w:rsid w:val="00535FDB"/>
    <w:rsid w:val="005368F5"/>
    <w:rsid w:val="00537571"/>
    <w:rsid w:val="005377C2"/>
    <w:rsid w:val="0054074D"/>
    <w:rsid w:val="005408CB"/>
    <w:rsid w:val="00540B00"/>
    <w:rsid w:val="00541480"/>
    <w:rsid w:val="00541617"/>
    <w:rsid w:val="005439AD"/>
    <w:rsid w:val="00543C47"/>
    <w:rsid w:val="00543DF1"/>
    <w:rsid w:val="00544001"/>
    <w:rsid w:val="00544447"/>
    <w:rsid w:val="00544D22"/>
    <w:rsid w:val="005458D2"/>
    <w:rsid w:val="00545D82"/>
    <w:rsid w:val="00546638"/>
    <w:rsid w:val="005472A8"/>
    <w:rsid w:val="00547CD8"/>
    <w:rsid w:val="0055073F"/>
    <w:rsid w:val="00550C04"/>
    <w:rsid w:val="00550F36"/>
    <w:rsid w:val="005512AF"/>
    <w:rsid w:val="0055178A"/>
    <w:rsid w:val="00551DAE"/>
    <w:rsid w:val="00552624"/>
    <w:rsid w:val="005528F1"/>
    <w:rsid w:val="00552BE9"/>
    <w:rsid w:val="00552F25"/>
    <w:rsid w:val="00553921"/>
    <w:rsid w:val="00553BF7"/>
    <w:rsid w:val="00553D10"/>
    <w:rsid w:val="00553FB8"/>
    <w:rsid w:val="00554C04"/>
    <w:rsid w:val="0055580B"/>
    <w:rsid w:val="00555C5F"/>
    <w:rsid w:val="0055607B"/>
    <w:rsid w:val="005565E0"/>
    <w:rsid w:val="0055718C"/>
    <w:rsid w:val="00557528"/>
    <w:rsid w:val="005575F7"/>
    <w:rsid w:val="005576D1"/>
    <w:rsid w:val="0056038C"/>
    <w:rsid w:val="0056079D"/>
    <w:rsid w:val="005610C1"/>
    <w:rsid w:val="0056112C"/>
    <w:rsid w:val="0056259D"/>
    <w:rsid w:val="00562DF0"/>
    <w:rsid w:val="00563304"/>
    <w:rsid w:val="00563E07"/>
    <w:rsid w:val="00564036"/>
    <w:rsid w:val="00564A7C"/>
    <w:rsid w:val="005650FE"/>
    <w:rsid w:val="005652AB"/>
    <w:rsid w:val="00566B7F"/>
    <w:rsid w:val="00567CFE"/>
    <w:rsid w:val="0057118E"/>
    <w:rsid w:val="005728D6"/>
    <w:rsid w:val="005742EB"/>
    <w:rsid w:val="00574737"/>
    <w:rsid w:val="00574B7D"/>
    <w:rsid w:val="00576386"/>
    <w:rsid w:val="00576446"/>
    <w:rsid w:val="005766DB"/>
    <w:rsid w:val="00576FBC"/>
    <w:rsid w:val="00577B53"/>
    <w:rsid w:val="00580E49"/>
    <w:rsid w:val="00581392"/>
    <w:rsid w:val="0058151A"/>
    <w:rsid w:val="005815AF"/>
    <w:rsid w:val="005818CE"/>
    <w:rsid w:val="00581E53"/>
    <w:rsid w:val="00584316"/>
    <w:rsid w:val="0058461F"/>
    <w:rsid w:val="005858D1"/>
    <w:rsid w:val="00585B64"/>
    <w:rsid w:val="0058660A"/>
    <w:rsid w:val="005872FB"/>
    <w:rsid w:val="00587450"/>
    <w:rsid w:val="00587B42"/>
    <w:rsid w:val="005905FC"/>
    <w:rsid w:val="00591105"/>
    <w:rsid w:val="00591642"/>
    <w:rsid w:val="00591844"/>
    <w:rsid w:val="0059249F"/>
    <w:rsid w:val="005929EB"/>
    <w:rsid w:val="00592FFD"/>
    <w:rsid w:val="005934DC"/>
    <w:rsid w:val="00593BDB"/>
    <w:rsid w:val="00593E87"/>
    <w:rsid w:val="0059401C"/>
    <w:rsid w:val="00594E7C"/>
    <w:rsid w:val="00595A81"/>
    <w:rsid w:val="00596800"/>
    <w:rsid w:val="00596A80"/>
    <w:rsid w:val="00596AF6"/>
    <w:rsid w:val="00596E9C"/>
    <w:rsid w:val="005973A7"/>
    <w:rsid w:val="005A08D9"/>
    <w:rsid w:val="005A0BDD"/>
    <w:rsid w:val="005A110B"/>
    <w:rsid w:val="005A119F"/>
    <w:rsid w:val="005A11E7"/>
    <w:rsid w:val="005A14F7"/>
    <w:rsid w:val="005A39E1"/>
    <w:rsid w:val="005A40B5"/>
    <w:rsid w:val="005A40C3"/>
    <w:rsid w:val="005A6DFB"/>
    <w:rsid w:val="005B0992"/>
    <w:rsid w:val="005B1213"/>
    <w:rsid w:val="005B1513"/>
    <w:rsid w:val="005B155C"/>
    <w:rsid w:val="005B1AC4"/>
    <w:rsid w:val="005B1BA7"/>
    <w:rsid w:val="005B1F75"/>
    <w:rsid w:val="005B1FAA"/>
    <w:rsid w:val="005B20C5"/>
    <w:rsid w:val="005B2B4F"/>
    <w:rsid w:val="005B31AC"/>
    <w:rsid w:val="005B31F0"/>
    <w:rsid w:val="005B39E5"/>
    <w:rsid w:val="005B3F0E"/>
    <w:rsid w:val="005B45A2"/>
    <w:rsid w:val="005B46BE"/>
    <w:rsid w:val="005B48E1"/>
    <w:rsid w:val="005B4FDE"/>
    <w:rsid w:val="005B51E3"/>
    <w:rsid w:val="005B6128"/>
    <w:rsid w:val="005B612D"/>
    <w:rsid w:val="005C153E"/>
    <w:rsid w:val="005C1654"/>
    <w:rsid w:val="005C1A8E"/>
    <w:rsid w:val="005C1ACD"/>
    <w:rsid w:val="005C25D9"/>
    <w:rsid w:val="005C3880"/>
    <w:rsid w:val="005C48D8"/>
    <w:rsid w:val="005C4A91"/>
    <w:rsid w:val="005C4BDD"/>
    <w:rsid w:val="005C5773"/>
    <w:rsid w:val="005C5C77"/>
    <w:rsid w:val="005C5E6D"/>
    <w:rsid w:val="005C6187"/>
    <w:rsid w:val="005C64BA"/>
    <w:rsid w:val="005C6955"/>
    <w:rsid w:val="005C6F6E"/>
    <w:rsid w:val="005C72BA"/>
    <w:rsid w:val="005C7A42"/>
    <w:rsid w:val="005C7F38"/>
    <w:rsid w:val="005D04F4"/>
    <w:rsid w:val="005D095B"/>
    <w:rsid w:val="005D0E8A"/>
    <w:rsid w:val="005D1926"/>
    <w:rsid w:val="005D1F34"/>
    <w:rsid w:val="005D241D"/>
    <w:rsid w:val="005D2634"/>
    <w:rsid w:val="005D26CE"/>
    <w:rsid w:val="005D312F"/>
    <w:rsid w:val="005D3610"/>
    <w:rsid w:val="005D3A86"/>
    <w:rsid w:val="005D3C80"/>
    <w:rsid w:val="005D4B87"/>
    <w:rsid w:val="005D58CD"/>
    <w:rsid w:val="005D6781"/>
    <w:rsid w:val="005D7F2F"/>
    <w:rsid w:val="005E122B"/>
    <w:rsid w:val="005E2129"/>
    <w:rsid w:val="005E257A"/>
    <w:rsid w:val="005E2C35"/>
    <w:rsid w:val="005E414C"/>
    <w:rsid w:val="005E619C"/>
    <w:rsid w:val="005E69F7"/>
    <w:rsid w:val="005E79CB"/>
    <w:rsid w:val="005E7A63"/>
    <w:rsid w:val="005E7E51"/>
    <w:rsid w:val="005F0347"/>
    <w:rsid w:val="005F1044"/>
    <w:rsid w:val="005F113B"/>
    <w:rsid w:val="005F13F7"/>
    <w:rsid w:val="005F1F44"/>
    <w:rsid w:val="005F224C"/>
    <w:rsid w:val="005F2A99"/>
    <w:rsid w:val="005F3115"/>
    <w:rsid w:val="005F3B47"/>
    <w:rsid w:val="005F3D32"/>
    <w:rsid w:val="005F457F"/>
    <w:rsid w:val="005F4EA3"/>
    <w:rsid w:val="005F5F45"/>
    <w:rsid w:val="005F6720"/>
    <w:rsid w:val="005F6D91"/>
    <w:rsid w:val="005F6D9F"/>
    <w:rsid w:val="005F6DFE"/>
    <w:rsid w:val="005F6FD9"/>
    <w:rsid w:val="005F71E2"/>
    <w:rsid w:val="005F737A"/>
    <w:rsid w:val="005F74B2"/>
    <w:rsid w:val="005F788B"/>
    <w:rsid w:val="005F78DA"/>
    <w:rsid w:val="006001FD"/>
    <w:rsid w:val="00601292"/>
    <w:rsid w:val="00601364"/>
    <w:rsid w:val="00601ACA"/>
    <w:rsid w:val="00601F22"/>
    <w:rsid w:val="00602790"/>
    <w:rsid w:val="00602C33"/>
    <w:rsid w:val="0060341A"/>
    <w:rsid w:val="00604003"/>
    <w:rsid w:val="00604349"/>
    <w:rsid w:val="00606045"/>
    <w:rsid w:val="006060A1"/>
    <w:rsid w:val="00606152"/>
    <w:rsid w:val="0060619D"/>
    <w:rsid w:val="0060663F"/>
    <w:rsid w:val="0060683C"/>
    <w:rsid w:val="00607147"/>
    <w:rsid w:val="00607577"/>
    <w:rsid w:val="00607F29"/>
    <w:rsid w:val="0061001F"/>
    <w:rsid w:val="0061051A"/>
    <w:rsid w:val="00610B63"/>
    <w:rsid w:val="00611CF2"/>
    <w:rsid w:val="00611D37"/>
    <w:rsid w:val="00611EC6"/>
    <w:rsid w:val="006122CD"/>
    <w:rsid w:val="006124C8"/>
    <w:rsid w:val="0061281A"/>
    <w:rsid w:val="00612F50"/>
    <w:rsid w:val="006132C7"/>
    <w:rsid w:val="00613BB8"/>
    <w:rsid w:val="00614619"/>
    <w:rsid w:val="00614755"/>
    <w:rsid w:val="00615744"/>
    <w:rsid w:val="006158EC"/>
    <w:rsid w:val="00616158"/>
    <w:rsid w:val="006165B0"/>
    <w:rsid w:val="00617BDF"/>
    <w:rsid w:val="00620D68"/>
    <w:rsid w:val="00620DAC"/>
    <w:rsid w:val="00621210"/>
    <w:rsid w:val="006219F2"/>
    <w:rsid w:val="00621A4F"/>
    <w:rsid w:val="00621BDF"/>
    <w:rsid w:val="00621CC5"/>
    <w:rsid w:val="00621F47"/>
    <w:rsid w:val="00622F1C"/>
    <w:rsid w:val="00623131"/>
    <w:rsid w:val="00623480"/>
    <w:rsid w:val="00623764"/>
    <w:rsid w:val="00625A3C"/>
    <w:rsid w:val="006266CB"/>
    <w:rsid w:val="00627224"/>
    <w:rsid w:val="0062723A"/>
    <w:rsid w:val="00627AFA"/>
    <w:rsid w:val="006307C0"/>
    <w:rsid w:val="00630A49"/>
    <w:rsid w:val="00630D5D"/>
    <w:rsid w:val="00631B48"/>
    <w:rsid w:val="00631BFE"/>
    <w:rsid w:val="00631FDA"/>
    <w:rsid w:val="0063201A"/>
    <w:rsid w:val="00632B5D"/>
    <w:rsid w:val="00632BB8"/>
    <w:rsid w:val="00632CEE"/>
    <w:rsid w:val="00632D7C"/>
    <w:rsid w:val="00633516"/>
    <w:rsid w:val="006344EA"/>
    <w:rsid w:val="00634FD1"/>
    <w:rsid w:val="006352B4"/>
    <w:rsid w:val="00635993"/>
    <w:rsid w:val="006359C6"/>
    <w:rsid w:val="00635E5F"/>
    <w:rsid w:val="006361F4"/>
    <w:rsid w:val="00636C0B"/>
    <w:rsid w:val="006371BD"/>
    <w:rsid w:val="00637377"/>
    <w:rsid w:val="006403BA"/>
    <w:rsid w:val="00640492"/>
    <w:rsid w:val="006415FD"/>
    <w:rsid w:val="00641715"/>
    <w:rsid w:val="00642801"/>
    <w:rsid w:val="00642A6D"/>
    <w:rsid w:val="00642C04"/>
    <w:rsid w:val="00642C94"/>
    <w:rsid w:val="0064366E"/>
    <w:rsid w:val="00644627"/>
    <w:rsid w:val="00644948"/>
    <w:rsid w:val="00644A6D"/>
    <w:rsid w:val="00645B1A"/>
    <w:rsid w:val="00645F08"/>
    <w:rsid w:val="00645FAB"/>
    <w:rsid w:val="006461E4"/>
    <w:rsid w:val="006470EF"/>
    <w:rsid w:val="00647EEE"/>
    <w:rsid w:val="00650860"/>
    <w:rsid w:val="00650913"/>
    <w:rsid w:val="00650C85"/>
    <w:rsid w:val="00653214"/>
    <w:rsid w:val="0065335B"/>
    <w:rsid w:val="006536D9"/>
    <w:rsid w:val="00654079"/>
    <w:rsid w:val="006542A4"/>
    <w:rsid w:val="006551D3"/>
    <w:rsid w:val="006552CD"/>
    <w:rsid w:val="006566B5"/>
    <w:rsid w:val="00656969"/>
    <w:rsid w:val="00656FBC"/>
    <w:rsid w:val="00657261"/>
    <w:rsid w:val="00657CE7"/>
    <w:rsid w:val="00657E36"/>
    <w:rsid w:val="006607A6"/>
    <w:rsid w:val="006613D1"/>
    <w:rsid w:val="0066140D"/>
    <w:rsid w:val="006614A8"/>
    <w:rsid w:val="00661EB9"/>
    <w:rsid w:val="0066249F"/>
    <w:rsid w:val="006635B2"/>
    <w:rsid w:val="0066394D"/>
    <w:rsid w:val="00664889"/>
    <w:rsid w:val="00664A70"/>
    <w:rsid w:val="00664BD4"/>
    <w:rsid w:val="0066555D"/>
    <w:rsid w:val="00665AF7"/>
    <w:rsid w:val="00665D3E"/>
    <w:rsid w:val="006671BA"/>
    <w:rsid w:val="00667DB1"/>
    <w:rsid w:val="006702EF"/>
    <w:rsid w:val="006703C2"/>
    <w:rsid w:val="006706C8"/>
    <w:rsid w:val="00670E83"/>
    <w:rsid w:val="00670F05"/>
    <w:rsid w:val="0067184C"/>
    <w:rsid w:val="00671D46"/>
    <w:rsid w:val="0067274B"/>
    <w:rsid w:val="00672B37"/>
    <w:rsid w:val="006746AC"/>
    <w:rsid w:val="00674B28"/>
    <w:rsid w:val="0067516B"/>
    <w:rsid w:val="00676973"/>
    <w:rsid w:val="006777E3"/>
    <w:rsid w:val="00680005"/>
    <w:rsid w:val="00680B22"/>
    <w:rsid w:val="00680BB6"/>
    <w:rsid w:val="00680CF2"/>
    <w:rsid w:val="00681490"/>
    <w:rsid w:val="00681601"/>
    <w:rsid w:val="006819D0"/>
    <w:rsid w:val="006819FD"/>
    <w:rsid w:val="00681DF8"/>
    <w:rsid w:val="00682918"/>
    <w:rsid w:val="00684224"/>
    <w:rsid w:val="00684431"/>
    <w:rsid w:val="00684BAD"/>
    <w:rsid w:val="00685461"/>
    <w:rsid w:val="0068630E"/>
    <w:rsid w:val="00686682"/>
    <w:rsid w:val="00686CAC"/>
    <w:rsid w:val="00690056"/>
    <w:rsid w:val="00690313"/>
    <w:rsid w:val="006917DA"/>
    <w:rsid w:val="00691ABD"/>
    <w:rsid w:val="00692156"/>
    <w:rsid w:val="0069240D"/>
    <w:rsid w:val="00692654"/>
    <w:rsid w:val="0069290A"/>
    <w:rsid w:val="00693191"/>
    <w:rsid w:val="006935F1"/>
    <w:rsid w:val="00693BCC"/>
    <w:rsid w:val="006942F5"/>
    <w:rsid w:val="00694446"/>
    <w:rsid w:val="00694A54"/>
    <w:rsid w:val="0069532D"/>
    <w:rsid w:val="0069538A"/>
    <w:rsid w:val="006954C0"/>
    <w:rsid w:val="00695DF1"/>
    <w:rsid w:val="00696390"/>
    <w:rsid w:val="00696D45"/>
    <w:rsid w:val="00697204"/>
    <w:rsid w:val="006972CE"/>
    <w:rsid w:val="00697795"/>
    <w:rsid w:val="006A09DE"/>
    <w:rsid w:val="006A110C"/>
    <w:rsid w:val="006A17F5"/>
    <w:rsid w:val="006A1905"/>
    <w:rsid w:val="006A1B9E"/>
    <w:rsid w:val="006A2816"/>
    <w:rsid w:val="006A4C4A"/>
    <w:rsid w:val="006A514B"/>
    <w:rsid w:val="006A539A"/>
    <w:rsid w:val="006A661D"/>
    <w:rsid w:val="006A6BB3"/>
    <w:rsid w:val="006A6E2B"/>
    <w:rsid w:val="006A7D82"/>
    <w:rsid w:val="006B03F9"/>
    <w:rsid w:val="006B250C"/>
    <w:rsid w:val="006B3680"/>
    <w:rsid w:val="006B3689"/>
    <w:rsid w:val="006B460B"/>
    <w:rsid w:val="006B4C0D"/>
    <w:rsid w:val="006B7047"/>
    <w:rsid w:val="006B7482"/>
    <w:rsid w:val="006B7B85"/>
    <w:rsid w:val="006B7F37"/>
    <w:rsid w:val="006B7F98"/>
    <w:rsid w:val="006C0D44"/>
    <w:rsid w:val="006C0D88"/>
    <w:rsid w:val="006C14D9"/>
    <w:rsid w:val="006C1AF3"/>
    <w:rsid w:val="006C1B57"/>
    <w:rsid w:val="006C23E2"/>
    <w:rsid w:val="006C2ADC"/>
    <w:rsid w:val="006C362D"/>
    <w:rsid w:val="006C3BC7"/>
    <w:rsid w:val="006C4649"/>
    <w:rsid w:val="006C4CCD"/>
    <w:rsid w:val="006C4CE8"/>
    <w:rsid w:val="006C5262"/>
    <w:rsid w:val="006C52B3"/>
    <w:rsid w:val="006C588E"/>
    <w:rsid w:val="006C5F37"/>
    <w:rsid w:val="006C725D"/>
    <w:rsid w:val="006C737C"/>
    <w:rsid w:val="006C741B"/>
    <w:rsid w:val="006C7718"/>
    <w:rsid w:val="006C7BA0"/>
    <w:rsid w:val="006D1CF7"/>
    <w:rsid w:val="006D2202"/>
    <w:rsid w:val="006D2E44"/>
    <w:rsid w:val="006D3702"/>
    <w:rsid w:val="006D4059"/>
    <w:rsid w:val="006D438A"/>
    <w:rsid w:val="006D44E6"/>
    <w:rsid w:val="006D4D1C"/>
    <w:rsid w:val="006D5165"/>
    <w:rsid w:val="006D5EE5"/>
    <w:rsid w:val="006D6486"/>
    <w:rsid w:val="006D68CE"/>
    <w:rsid w:val="006D6A24"/>
    <w:rsid w:val="006D6F59"/>
    <w:rsid w:val="006E05AE"/>
    <w:rsid w:val="006E06ED"/>
    <w:rsid w:val="006E06F5"/>
    <w:rsid w:val="006E08D7"/>
    <w:rsid w:val="006E0C55"/>
    <w:rsid w:val="006E111D"/>
    <w:rsid w:val="006E196B"/>
    <w:rsid w:val="006E2776"/>
    <w:rsid w:val="006E27FD"/>
    <w:rsid w:val="006E2FAD"/>
    <w:rsid w:val="006E37D2"/>
    <w:rsid w:val="006E3808"/>
    <w:rsid w:val="006E58B9"/>
    <w:rsid w:val="006E6702"/>
    <w:rsid w:val="006E745B"/>
    <w:rsid w:val="006E7EDB"/>
    <w:rsid w:val="006F0085"/>
    <w:rsid w:val="006F07AE"/>
    <w:rsid w:val="006F0946"/>
    <w:rsid w:val="006F0CBC"/>
    <w:rsid w:val="006F0EEA"/>
    <w:rsid w:val="006F1167"/>
    <w:rsid w:val="006F11BF"/>
    <w:rsid w:val="006F1356"/>
    <w:rsid w:val="006F1B24"/>
    <w:rsid w:val="006F1BD9"/>
    <w:rsid w:val="006F1EC6"/>
    <w:rsid w:val="006F1EE3"/>
    <w:rsid w:val="006F2E6F"/>
    <w:rsid w:val="006F43ED"/>
    <w:rsid w:val="006F4402"/>
    <w:rsid w:val="006F4560"/>
    <w:rsid w:val="006F4AF1"/>
    <w:rsid w:val="006F4CA0"/>
    <w:rsid w:val="006F5B77"/>
    <w:rsid w:val="006F60D2"/>
    <w:rsid w:val="006F63A2"/>
    <w:rsid w:val="006F74D9"/>
    <w:rsid w:val="00700C30"/>
    <w:rsid w:val="00702336"/>
    <w:rsid w:val="00703477"/>
    <w:rsid w:val="0070368F"/>
    <w:rsid w:val="007039FC"/>
    <w:rsid w:val="00704A6B"/>
    <w:rsid w:val="00704B48"/>
    <w:rsid w:val="00704B80"/>
    <w:rsid w:val="00704DAA"/>
    <w:rsid w:val="007050FF"/>
    <w:rsid w:val="007066CA"/>
    <w:rsid w:val="00706D54"/>
    <w:rsid w:val="00706FAB"/>
    <w:rsid w:val="00707793"/>
    <w:rsid w:val="007100FB"/>
    <w:rsid w:val="007102B3"/>
    <w:rsid w:val="00710973"/>
    <w:rsid w:val="0071261A"/>
    <w:rsid w:val="00712989"/>
    <w:rsid w:val="00712C29"/>
    <w:rsid w:val="007135E5"/>
    <w:rsid w:val="0071417A"/>
    <w:rsid w:val="007144BD"/>
    <w:rsid w:val="0071476B"/>
    <w:rsid w:val="0071497D"/>
    <w:rsid w:val="00714A29"/>
    <w:rsid w:val="00715184"/>
    <w:rsid w:val="00715C59"/>
    <w:rsid w:val="00716579"/>
    <w:rsid w:val="00716871"/>
    <w:rsid w:val="007169BB"/>
    <w:rsid w:val="00716F43"/>
    <w:rsid w:val="007175D2"/>
    <w:rsid w:val="007205C2"/>
    <w:rsid w:val="007207AF"/>
    <w:rsid w:val="00720ABC"/>
    <w:rsid w:val="00721875"/>
    <w:rsid w:val="007220ED"/>
    <w:rsid w:val="00722111"/>
    <w:rsid w:val="00723233"/>
    <w:rsid w:val="0072334A"/>
    <w:rsid w:val="00723F36"/>
    <w:rsid w:val="007243C5"/>
    <w:rsid w:val="00725003"/>
    <w:rsid w:val="007253A1"/>
    <w:rsid w:val="0072559A"/>
    <w:rsid w:val="00725D5E"/>
    <w:rsid w:val="00725D93"/>
    <w:rsid w:val="00726F2F"/>
    <w:rsid w:val="0072720A"/>
    <w:rsid w:val="00727A95"/>
    <w:rsid w:val="00730CE1"/>
    <w:rsid w:val="0073114B"/>
    <w:rsid w:val="00731B4D"/>
    <w:rsid w:val="00731F4F"/>
    <w:rsid w:val="00732084"/>
    <w:rsid w:val="00732947"/>
    <w:rsid w:val="00732F19"/>
    <w:rsid w:val="00733316"/>
    <w:rsid w:val="00733ED4"/>
    <w:rsid w:val="0073487C"/>
    <w:rsid w:val="00735122"/>
    <w:rsid w:val="0073593B"/>
    <w:rsid w:val="00735FD6"/>
    <w:rsid w:val="007366A4"/>
    <w:rsid w:val="007366F0"/>
    <w:rsid w:val="00736CBF"/>
    <w:rsid w:val="00737151"/>
    <w:rsid w:val="007374B7"/>
    <w:rsid w:val="0073777B"/>
    <w:rsid w:val="007400B8"/>
    <w:rsid w:val="0074048D"/>
    <w:rsid w:val="00740B7E"/>
    <w:rsid w:val="00740E4D"/>
    <w:rsid w:val="00741591"/>
    <w:rsid w:val="00741B12"/>
    <w:rsid w:val="00741F87"/>
    <w:rsid w:val="00742519"/>
    <w:rsid w:val="00743EC7"/>
    <w:rsid w:val="007453BA"/>
    <w:rsid w:val="00745E2F"/>
    <w:rsid w:val="00746271"/>
    <w:rsid w:val="00746474"/>
    <w:rsid w:val="00746849"/>
    <w:rsid w:val="00747070"/>
    <w:rsid w:val="007470B3"/>
    <w:rsid w:val="00747549"/>
    <w:rsid w:val="007502CC"/>
    <w:rsid w:val="007503C6"/>
    <w:rsid w:val="00750E30"/>
    <w:rsid w:val="00751B0A"/>
    <w:rsid w:val="00751D09"/>
    <w:rsid w:val="00751F39"/>
    <w:rsid w:val="00752300"/>
    <w:rsid w:val="0075275D"/>
    <w:rsid w:val="00752C79"/>
    <w:rsid w:val="00754609"/>
    <w:rsid w:val="007548CA"/>
    <w:rsid w:val="00754BDF"/>
    <w:rsid w:val="00754FB0"/>
    <w:rsid w:val="00755A13"/>
    <w:rsid w:val="00755C9B"/>
    <w:rsid w:val="00756E80"/>
    <w:rsid w:val="00757B41"/>
    <w:rsid w:val="00757B8D"/>
    <w:rsid w:val="007600C0"/>
    <w:rsid w:val="007609F0"/>
    <w:rsid w:val="0076187E"/>
    <w:rsid w:val="00761FE4"/>
    <w:rsid w:val="0076229B"/>
    <w:rsid w:val="0076240E"/>
    <w:rsid w:val="007626E1"/>
    <w:rsid w:val="00764262"/>
    <w:rsid w:val="00764864"/>
    <w:rsid w:val="00764AAA"/>
    <w:rsid w:val="00765353"/>
    <w:rsid w:val="00765654"/>
    <w:rsid w:val="007658F1"/>
    <w:rsid w:val="00765E43"/>
    <w:rsid w:val="00766282"/>
    <w:rsid w:val="00766287"/>
    <w:rsid w:val="0076628E"/>
    <w:rsid w:val="00767335"/>
    <w:rsid w:val="007707D8"/>
    <w:rsid w:val="0077087C"/>
    <w:rsid w:val="00770DCB"/>
    <w:rsid w:val="0077401A"/>
    <w:rsid w:val="00774731"/>
    <w:rsid w:val="007748A0"/>
    <w:rsid w:val="00774A2A"/>
    <w:rsid w:val="00774F91"/>
    <w:rsid w:val="00775485"/>
    <w:rsid w:val="007757F1"/>
    <w:rsid w:val="00775AC2"/>
    <w:rsid w:val="00775D01"/>
    <w:rsid w:val="00776340"/>
    <w:rsid w:val="007765E0"/>
    <w:rsid w:val="007765EE"/>
    <w:rsid w:val="00776CE1"/>
    <w:rsid w:val="0077755F"/>
    <w:rsid w:val="00777B36"/>
    <w:rsid w:val="0078158B"/>
    <w:rsid w:val="00782BC9"/>
    <w:rsid w:val="007832D3"/>
    <w:rsid w:val="007833CE"/>
    <w:rsid w:val="007838D9"/>
    <w:rsid w:val="007841E1"/>
    <w:rsid w:val="00784549"/>
    <w:rsid w:val="007845AF"/>
    <w:rsid w:val="00785295"/>
    <w:rsid w:val="0078755C"/>
    <w:rsid w:val="007875B1"/>
    <w:rsid w:val="007875DE"/>
    <w:rsid w:val="007877FE"/>
    <w:rsid w:val="00787E29"/>
    <w:rsid w:val="00790AAA"/>
    <w:rsid w:val="007912BC"/>
    <w:rsid w:val="00791832"/>
    <w:rsid w:val="00791A98"/>
    <w:rsid w:val="00791DD8"/>
    <w:rsid w:val="00791EEC"/>
    <w:rsid w:val="0079285F"/>
    <w:rsid w:val="007929F8"/>
    <w:rsid w:val="00792AD3"/>
    <w:rsid w:val="00793272"/>
    <w:rsid w:val="007936BE"/>
    <w:rsid w:val="00793D41"/>
    <w:rsid w:val="00793EF6"/>
    <w:rsid w:val="00793F23"/>
    <w:rsid w:val="00795192"/>
    <w:rsid w:val="007952D7"/>
    <w:rsid w:val="00795A3F"/>
    <w:rsid w:val="00795E24"/>
    <w:rsid w:val="00795E2F"/>
    <w:rsid w:val="00796C41"/>
    <w:rsid w:val="007A0088"/>
    <w:rsid w:val="007A0597"/>
    <w:rsid w:val="007A1105"/>
    <w:rsid w:val="007A1277"/>
    <w:rsid w:val="007A147A"/>
    <w:rsid w:val="007A153A"/>
    <w:rsid w:val="007A1D94"/>
    <w:rsid w:val="007A23D2"/>
    <w:rsid w:val="007A2DA2"/>
    <w:rsid w:val="007A2F47"/>
    <w:rsid w:val="007A426C"/>
    <w:rsid w:val="007A5667"/>
    <w:rsid w:val="007A6272"/>
    <w:rsid w:val="007A6B87"/>
    <w:rsid w:val="007B0430"/>
    <w:rsid w:val="007B1259"/>
    <w:rsid w:val="007B14AA"/>
    <w:rsid w:val="007B1724"/>
    <w:rsid w:val="007B19D1"/>
    <w:rsid w:val="007B1C35"/>
    <w:rsid w:val="007B20B1"/>
    <w:rsid w:val="007B3924"/>
    <w:rsid w:val="007B3D53"/>
    <w:rsid w:val="007B40DE"/>
    <w:rsid w:val="007B51DD"/>
    <w:rsid w:val="007B5917"/>
    <w:rsid w:val="007B5C30"/>
    <w:rsid w:val="007B6C8C"/>
    <w:rsid w:val="007B7B6B"/>
    <w:rsid w:val="007B7D41"/>
    <w:rsid w:val="007B7F51"/>
    <w:rsid w:val="007C0165"/>
    <w:rsid w:val="007C048C"/>
    <w:rsid w:val="007C0CF6"/>
    <w:rsid w:val="007C1246"/>
    <w:rsid w:val="007C1CD3"/>
    <w:rsid w:val="007C2317"/>
    <w:rsid w:val="007C24F1"/>
    <w:rsid w:val="007C2C5F"/>
    <w:rsid w:val="007C3964"/>
    <w:rsid w:val="007C51FF"/>
    <w:rsid w:val="007C5489"/>
    <w:rsid w:val="007C5838"/>
    <w:rsid w:val="007C5B7F"/>
    <w:rsid w:val="007C61F2"/>
    <w:rsid w:val="007C7552"/>
    <w:rsid w:val="007C783A"/>
    <w:rsid w:val="007C7920"/>
    <w:rsid w:val="007D00FC"/>
    <w:rsid w:val="007D046B"/>
    <w:rsid w:val="007D29E5"/>
    <w:rsid w:val="007D403B"/>
    <w:rsid w:val="007D404B"/>
    <w:rsid w:val="007D40BD"/>
    <w:rsid w:val="007D4230"/>
    <w:rsid w:val="007D4F87"/>
    <w:rsid w:val="007D50A6"/>
    <w:rsid w:val="007D73C8"/>
    <w:rsid w:val="007D7734"/>
    <w:rsid w:val="007D7B53"/>
    <w:rsid w:val="007E0567"/>
    <w:rsid w:val="007E0F6E"/>
    <w:rsid w:val="007E1866"/>
    <w:rsid w:val="007E1A0A"/>
    <w:rsid w:val="007E1A96"/>
    <w:rsid w:val="007E217B"/>
    <w:rsid w:val="007E22DF"/>
    <w:rsid w:val="007E2773"/>
    <w:rsid w:val="007E28B5"/>
    <w:rsid w:val="007E353F"/>
    <w:rsid w:val="007E372A"/>
    <w:rsid w:val="007E3C23"/>
    <w:rsid w:val="007E3D27"/>
    <w:rsid w:val="007E3E39"/>
    <w:rsid w:val="007E4149"/>
    <w:rsid w:val="007E41AC"/>
    <w:rsid w:val="007E472E"/>
    <w:rsid w:val="007E4E2C"/>
    <w:rsid w:val="007E55A7"/>
    <w:rsid w:val="007E6147"/>
    <w:rsid w:val="007E6434"/>
    <w:rsid w:val="007E7002"/>
    <w:rsid w:val="007E76C5"/>
    <w:rsid w:val="007E7F1C"/>
    <w:rsid w:val="007F0325"/>
    <w:rsid w:val="007F0A8A"/>
    <w:rsid w:val="007F1DC3"/>
    <w:rsid w:val="007F2972"/>
    <w:rsid w:val="007F3554"/>
    <w:rsid w:val="007F3A27"/>
    <w:rsid w:val="007F5311"/>
    <w:rsid w:val="007F5380"/>
    <w:rsid w:val="007F5D43"/>
    <w:rsid w:val="007F62F3"/>
    <w:rsid w:val="007F6E98"/>
    <w:rsid w:val="007F7F86"/>
    <w:rsid w:val="008007D5"/>
    <w:rsid w:val="0080227D"/>
    <w:rsid w:val="008024A2"/>
    <w:rsid w:val="00803C60"/>
    <w:rsid w:val="0080470F"/>
    <w:rsid w:val="00804F5D"/>
    <w:rsid w:val="00805594"/>
    <w:rsid w:val="00805FE8"/>
    <w:rsid w:val="00806056"/>
    <w:rsid w:val="00806BF9"/>
    <w:rsid w:val="00810141"/>
    <w:rsid w:val="00810ABF"/>
    <w:rsid w:val="00810C4D"/>
    <w:rsid w:val="00810F24"/>
    <w:rsid w:val="00811820"/>
    <w:rsid w:val="00811B52"/>
    <w:rsid w:val="00811E9A"/>
    <w:rsid w:val="008125EE"/>
    <w:rsid w:val="00812B77"/>
    <w:rsid w:val="00812BC8"/>
    <w:rsid w:val="00813750"/>
    <w:rsid w:val="00813D6D"/>
    <w:rsid w:val="00813DCA"/>
    <w:rsid w:val="0081428D"/>
    <w:rsid w:val="00814890"/>
    <w:rsid w:val="00815873"/>
    <w:rsid w:val="0081601E"/>
    <w:rsid w:val="008166C3"/>
    <w:rsid w:val="008166FE"/>
    <w:rsid w:val="00816C80"/>
    <w:rsid w:val="00816D4F"/>
    <w:rsid w:val="0081716E"/>
    <w:rsid w:val="00817710"/>
    <w:rsid w:val="0081789F"/>
    <w:rsid w:val="00817F75"/>
    <w:rsid w:val="00821329"/>
    <w:rsid w:val="00822D08"/>
    <w:rsid w:val="00822E46"/>
    <w:rsid w:val="00823A87"/>
    <w:rsid w:val="00823DE5"/>
    <w:rsid w:val="00824612"/>
    <w:rsid w:val="00824E77"/>
    <w:rsid w:val="008261FC"/>
    <w:rsid w:val="00826414"/>
    <w:rsid w:val="008268A8"/>
    <w:rsid w:val="00826999"/>
    <w:rsid w:val="00827852"/>
    <w:rsid w:val="00827CDF"/>
    <w:rsid w:val="00827EA3"/>
    <w:rsid w:val="00827EB5"/>
    <w:rsid w:val="00830D8A"/>
    <w:rsid w:val="0083130D"/>
    <w:rsid w:val="0083162F"/>
    <w:rsid w:val="0083209A"/>
    <w:rsid w:val="00832120"/>
    <w:rsid w:val="0083366C"/>
    <w:rsid w:val="00834142"/>
    <w:rsid w:val="00834DF4"/>
    <w:rsid w:val="008350D7"/>
    <w:rsid w:val="0083594F"/>
    <w:rsid w:val="00835D67"/>
    <w:rsid w:val="008364BB"/>
    <w:rsid w:val="008364C4"/>
    <w:rsid w:val="0084048B"/>
    <w:rsid w:val="00840839"/>
    <w:rsid w:val="00840EF8"/>
    <w:rsid w:val="00841138"/>
    <w:rsid w:val="008417E2"/>
    <w:rsid w:val="0084213A"/>
    <w:rsid w:val="0084238C"/>
    <w:rsid w:val="00842697"/>
    <w:rsid w:val="0084298C"/>
    <w:rsid w:val="0084337D"/>
    <w:rsid w:val="008433C0"/>
    <w:rsid w:val="0084459F"/>
    <w:rsid w:val="00844740"/>
    <w:rsid w:val="00845134"/>
    <w:rsid w:val="0084521F"/>
    <w:rsid w:val="0084547B"/>
    <w:rsid w:val="00845C3E"/>
    <w:rsid w:val="00845F38"/>
    <w:rsid w:val="008460EC"/>
    <w:rsid w:val="00846885"/>
    <w:rsid w:val="00847321"/>
    <w:rsid w:val="008475E9"/>
    <w:rsid w:val="00850510"/>
    <w:rsid w:val="008513DD"/>
    <w:rsid w:val="00851414"/>
    <w:rsid w:val="00851967"/>
    <w:rsid w:val="00851E0A"/>
    <w:rsid w:val="0085365A"/>
    <w:rsid w:val="0085374D"/>
    <w:rsid w:val="00854244"/>
    <w:rsid w:val="008549D6"/>
    <w:rsid w:val="00854D0A"/>
    <w:rsid w:val="00855C39"/>
    <w:rsid w:val="0085618B"/>
    <w:rsid w:val="008567A4"/>
    <w:rsid w:val="00856B91"/>
    <w:rsid w:val="00857079"/>
    <w:rsid w:val="00857906"/>
    <w:rsid w:val="00857B37"/>
    <w:rsid w:val="00860634"/>
    <w:rsid w:val="00860843"/>
    <w:rsid w:val="00860EA8"/>
    <w:rsid w:val="008612D6"/>
    <w:rsid w:val="00861567"/>
    <w:rsid w:val="00861B44"/>
    <w:rsid w:val="008622EA"/>
    <w:rsid w:val="00862678"/>
    <w:rsid w:val="008627F6"/>
    <w:rsid w:val="00863856"/>
    <w:rsid w:val="00863BD7"/>
    <w:rsid w:val="0086446F"/>
    <w:rsid w:val="00866535"/>
    <w:rsid w:val="00867776"/>
    <w:rsid w:val="00870B44"/>
    <w:rsid w:val="00870D1A"/>
    <w:rsid w:val="00871194"/>
    <w:rsid w:val="008724DE"/>
    <w:rsid w:val="00872B2D"/>
    <w:rsid w:val="00872C31"/>
    <w:rsid w:val="008735D0"/>
    <w:rsid w:val="00874956"/>
    <w:rsid w:val="008751D6"/>
    <w:rsid w:val="008752FC"/>
    <w:rsid w:val="00875DF6"/>
    <w:rsid w:val="00877266"/>
    <w:rsid w:val="0087726B"/>
    <w:rsid w:val="00880A5B"/>
    <w:rsid w:val="00880F5C"/>
    <w:rsid w:val="0088120F"/>
    <w:rsid w:val="00881403"/>
    <w:rsid w:val="008814A5"/>
    <w:rsid w:val="008820A2"/>
    <w:rsid w:val="0088420D"/>
    <w:rsid w:val="00886128"/>
    <w:rsid w:val="00886207"/>
    <w:rsid w:val="008865C7"/>
    <w:rsid w:val="00886AEF"/>
    <w:rsid w:val="00886DE1"/>
    <w:rsid w:val="00887484"/>
    <w:rsid w:val="00887ADB"/>
    <w:rsid w:val="008900AB"/>
    <w:rsid w:val="00890AC2"/>
    <w:rsid w:val="00891372"/>
    <w:rsid w:val="00891770"/>
    <w:rsid w:val="00891980"/>
    <w:rsid w:val="00891BCE"/>
    <w:rsid w:val="008924AE"/>
    <w:rsid w:val="008929F9"/>
    <w:rsid w:val="00892DF8"/>
    <w:rsid w:val="0089315C"/>
    <w:rsid w:val="00893A77"/>
    <w:rsid w:val="00893B3B"/>
    <w:rsid w:val="008944E9"/>
    <w:rsid w:val="008950D0"/>
    <w:rsid w:val="00896165"/>
    <w:rsid w:val="0089621D"/>
    <w:rsid w:val="00896663"/>
    <w:rsid w:val="008969E0"/>
    <w:rsid w:val="00896DB2"/>
    <w:rsid w:val="00897B54"/>
    <w:rsid w:val="008A08CD"/>
    <w:rsid w:val="008A0A34"/>
    <w:rsid w:val="008A0EAB"/>
    <w:rsid w:val="008A11D7"/>
    <w:rsid w:val="008A1717"/>
    <w:rsid w:val="008A1931"/>
    <w:rsid w:val="008A295A"/>
    <w:rsid w:val="008A2AF7"/>
    <w:rsid w:val="008A3832"/>
    <w:rsid w:val="008A38E5"/>
    <w:rsid w:val="008A3D57"/>
    <w:rsid w:val="008A4095"/>
    <w:rsid w:val="008A4CEB"/>
    <w:rsid w:val="008A576C"/>
    <w:rsid w:val="008A67D4"/>
    <w:rsid w:val="008A75D5"/>
    <w:rsid w:val="008A767B"/>
    <w:rsid w:val="008A79A2"/>
    <w:rsid w:val="008A7AC3"/>
    <w:rsid w:val="008B0792"/>
    <w:rsid w:val="008B11E4"/>
    <w:rsid w:val="008B1997"/>
    <w:rsid w:val="008B1A30"/>
    <w:rsid w:val="008B1D8B"/>
    <w:rsid w:val="008B1DAF"/>
    <w:rsid w:val="008B2EA4"/>
    <w:rsid w:val="008B320D"/>
    <w:rsid w:val="008B3A98"/>
    <w:rsid w:val="008B4338"/>
    <w:rsid w:val="008B4787"/>
    <w:rsid w:val="008B5E23"/>
    <w:rsid w:val="008B5E75"/>
    <w:rsid w:val="008B63ED"/>
    <w:rsid w:val="008B6464"/>
    <w:rsid w:val="008B6825"/>
    <w:rsid w:val="008B6FE8"/>
    <w:rsid w:val="008C02CD"/>
    <w:rsid w:val="008C03A1"/>
    <w:rsid w:val="008C0664"/>
    <w:rsid w:val="008C098D"/>
    <w:rsid w:val="008C0E4E"/>
    <w:rsid w:val="008C13C8"/>
    <w:rsid w:val="008C1921"/>
    <w:rsid w:val="008C2C29"/>
    <w:rsid w:val="008C3658"/>
    <w:rsid w:val="008C3BF7"/>
    <w:rsid w:val="008C40EF"/>
    <w:rsid w:val="008C4EEC"/>
    <w:rsid w:val="008C57E7"/>
    <w:rsid w:val="008C635A"/>
    <w:rsid w:val="008C6407"/>
    <w:rsid w:val="008C7967"/>
    <w:rsid w:val="008D1495"/>
    <w:rsid w:val="008D22A3"/>
    <w:rsid w:val="008D294B"/>
    <w:rsid w:val="008D2B2D"/>
    <w:rsid w:val="008D3FC4"/>
    <w:rsid w:val="008D4129"/>
    <w:rsid w:val="008D50C5"/>
    <w:rsid w:val="008D696B"/>
    <w:rsid w:val="008D6D0E"/>
    <w:rsid w:val="008D7FDB"/>
    <w:rsid w:val="008E0050"/>
    <w:rsid w:val="008E077D"/>
    <w:rsid w:val="008E0FF5"/>
    <w:rsid w:val="008E195D"/>
    <w:rsid w:val="008E1B94"/>
    <w:rsid w:val="008E21C4"/>
    <w:rsid w:val="008E3469"/>
    <w:rsid w:val="008E3D60"/>
    <w:rsid w:val="008E450C"/>
    <w:rsid w:val="008E5089"/>
    <w:rsid w:val="008E6E61"/>
    <w:rsid w:val="008E7397"/>
    <w:rsid w:val="008E7DCA"/>
    <w:rsid w:val="008F0149"/>
    <w:rsid w:val="008F0C48"/>
    <w:rsid w:val="008F179A"/>
    <w:rsid w:val="008F266D"/>
    <w:rsid w:val="008F268D"/>
    <w:rsid w:val="008F2B75"/>
    <w:rsid w:val="008F2D95"/>
    <w:rsid w:val="008F3441"/>
    <w:rsid w:val="008F35AC"/>
    <w:rsid w:val="008F3AA8"/>
    <w:rsid w:val="008F3BC3"/>
    <w:rsid w:val="008F3C6B"/>
    <w:rsid w:val="008F3F50"/>
    <w:rsid w:val="008F418C"/>
    <w:rsid w:val="008F48B1"/>
    <w:rsid w:val="008F4E20"/>
    <w:rsid w:val="008F5016"/>
    <w:rsid w:val="008F5CC9"/>
    <w:rsid w:val="008F622F"/>
    <w:rsid w:val="008F6423"/>
    <w:rsid w:val="008F75E6"/>
    <w:rsid w:val="008F786C"/>
    <w:rsid w:val="008F7B8F"/>
    <w:rsid w:val="008F7D34"/>
    <w:rsid w:val="008F7D3B"/>
    <w:rsid w:val="00901556"/>
    <w:rsid w:val="0090165F"/>
    <w:rsid w:val="00901BE0"/>
    <w:rsid w:val="00901F5A"/>
    <w:rsid w:val="00903D4B"/>
    <w:rsid w:val="0090447D"/>
    <w:rsid w:val="009059A9"/>
    <w:rsid w:val="00905F4D"/>
    <w:rsid w:val="00906631"/>
    <w:rsid w:val="00906A82"/>
    <w:rsid w:val="00907708"/>
    <w:rsid w:val="00907999"/>
    <w:rsid w:val="0091177D"/>
    <w:rsid w:val="0091185F"/>
    <w:rsid w:val="00912504"/>
    <w:rsid w:val="0091261D"/>
    <w:rsid w:val="0091336D"/>
    <w:rsid w:val="0091376D"/>
    <w:rsid w:val="00913EBA"/>
    <w:rsid w:val="00914079"/>
    <w:rsid w:val="0091554B"/>
    <w:rsid w:val="00915572"/>
    <w:rsid w:val="00915696"/>
    <w:rsid w:val="00915DD1"/>
    <w:rsid w:val="00916E75"/>
    <w:rsid w:val="00917162"/>
    <w:rsid w:val="00917A94"/>
    <w:rsid w:val="00920A1A"/>
    <w:rsid w:val="00920E86"/>
    <w:rsid w:val="009216B5"/>
    <w:rsid w:val="00921CB7"/>
    <w:rsid w:val="00921D1D"/>
    <w:rsid w:val="0092228A"/>
    <w:rsid w:val="009224FF"/>
    <w:rsid w:val="00922B45"/>
    <w:rsid w:val="00922F9D"/>
    <w:rsid w:val="0092320A"/>
    <w:rsid w:val="00923988"/>
    <w:rsid w:val="00923A1F"/>
    <w:rsid w:val="00923BC5"/>
    <w:rsid w:val="00923C4F"/>
    <w:rsid w:val="00923FC4"/>
    <w:rsid w:val="00925158"/>
    <w:rsid w:val="00925B6B"/>
    <w:rsid w:val="00925C00"/>
    <w:rsid w:val="009266FD"/>
    <w:rsid w:val="0092677B"/>
    <w:rsid w:val="009276BE"/>
    <w:rsid w:val="00927A66"/>
    <w:rsid w:val="00927B50"/>
    <w:rsid w:val="00930A6D"/>
    <w:rsid w:val="00930C74"/>
    <w:rsid w:val="00930D3D"/>
    <w:rsid w:val="0093103B"/>
    <w:rsid w:val="009311FF"/>
    <w:rsid w:val="00931CEF"/>
    <w:rsid w:val="00932D59"/>
    <w:rsid w:val="00933434"/>
    <w:rsid w:val="009335A2"/>
    <w:rsid w:val="00933B1F"/>
    <w:rsid w:val="00933C22"/>
    <w:rsid w:val="00933C46"/>
    <w:rsid w:val="00933F1A"/>
    <w:rsid w:val="00935415"/>
    <w:rsid w:val="00935C46"/>
    <w:rsid w:val="00937C33"/>
    <w:rsid w:val="00941ADD"/>
    <w:rsid w:val="00941CD9"/>
    <w:rsid w:val="00941EE2"/>
    <w:rsid w:val="00942BB1"/>
    <w:rsid w:val="00942DCC"/>
    <w:rsid w:val="009436B2"/>
    <w:rsid w:val="009438BD"/>
    <w:rsid w:val="0094394F"/>
    <w:rsid w:val="00943C0D"/>
    <w:rsid w:val="00943DD2"/>
    <w:rsid w:val="009443EE"/>
    <w:rsid w:val="00944773"/>
    <w:rsid w:val="00944DDA"/>
    <w:rsid w:val="00944E13"/>
    <w:rsid w:val="0094546B"/>
    <w:rsid w:val="00946378"/>
    <w:rsid w:val="009469B8"/>
    <w:rsid w:val="00946B9B"/>
    <w:rsid w:val="009472C4"/>
    <w:rsid w:val="00947932"/>
    <w:rsid w:val="00950068"/>
    <w:rsid w:val="009503E1"/>
    <w:rsid w:val="0095093B"/>
    <w:rsid w:val="00950E88"/>
    <w:rsid w:val="00951A9A"/>
    <w:rsid w:val="00951DBC"/>
    <w:rsid w:val="009521FA"/>
    <w:rsid w:val="00952A30"/>
    <w:rsid w:val="00954026"/>
    <w:rsid w:val="00954287"/>
    <w:rsid w:val="00954C3C"/>
    <w:rsid w:val="00955297"/>
    <w:rsid w:val="009554E2"/>
    <w:rsid w:val="009556B8"/>
    <w:rsid w:val="009556E2"/>
    <w:rsid w:val="009556EE"/>
    <w:rsid w:val="0095710D"/>
    <w:rsid w:val="009602DB"/>
    <w:rsid w:val="00960998"/>
    <w:rsid w:val="00960E39"/>
    <w:rsid w:val="00961430"/>
    <w:rsid w:val="00961AED"/>
    <w:rsid w:val="00961B5C"/>
    <w:rsid w:val="009628D4"/>
    <w:rsid w:val="009629FC"/>
    <w:rsid w:val="00962A18"/>
    <w:rsid w:val="00962EF3"/>
    <w:rsid w:val="009633A1"/>
    <w:rsid w:val="00963CCA"/>
    <w:rsid w:val="00963E83"/>
    <w:rsid w:val="009648C3"/>
    <w:rsid w:val="00965F16"/>
    <w:rsid w:val="0096620F"/>
    <w:rsid w:val="00966324"/>
    <w:rsid w:val="009664B1"/>
    <w:rsid w:val="00966C2F"/>
    <w:rsid w:val="0096771D"/>
    <w:rsid w:val="0096793F"/>
    <w:rsid w:val="00967BE3"/>
    <w:rsid w:val="00967ED0"/>
    <w:rsid w:val="009705E6"/>
    <w:rsid w:val="00971337"/>
    <w:rsid w:val="00971A1A"/>
    <w:rsid w:val="00972093"/>
    <w:rsid w:val="00972891"/>
    <w:rsid w:val="009732AA"/>
    <w:rsid w:val="009734C5"/>
    <w:rsid w:val="00973607"/>
    <w:rsid w:val="00973A82"/>
    <w:rsid w:val="00974912"/>
    <w:rsid w:val="00975206"/>
    <w:rsid w:val="009755BE"/>
    <w:rsid w:val="00976780"/>
    <w:rsid w:val="0097685F"/>
    <w:rsid w:val="009769A7"/>
    <w:rsid w:val="00976F69"/>
    <w:rsid w:val="009802F3"/>
    <w:rsid w:val="0098072E"/>
    <w:rsid w:val="009813DE"/>
    <w:rsid w:val="009816E2"/>
    <w:rsid w:val="00981DC1"/>
    <w:rsid w:val="0098227D"/>
    <w:rsid w:val="009826DE"/>
    <w:rsid w:val="009829E6"/>
    <w:rsid w:val="00983C60"/>
    <w:rsid w:val="009847A2"/>
    <w:rsid w:val="00985A24"/>
    <w:rsid w:val="00986226"/>
    <w:rsid w:val="00986304"/>
    <w:rsid w:val="00986E08"/>
    <w:rsid w:val="00986E65"/>
    <w:rsid w:val="0098714E"/>
    <w:rsid w:val="00987D69"/>
    <w:rsid w:val="009906D5"/>
    <w:rsid w:val="00990A4E"/>
    <w:rsid w:val="00990E8B"/>
    <w:rsid w:val="00991538"/>
    <w:rsid w:val="009916ED"/>
    <w:rsid w:val="00991840"/>
    <w:rsid w:val="00991842"/>
    <w:rsid w:val="00991BFB"/>
    <w:rsid w:val="00991E15"/>
    <w:rsid w:val="0099214D"/>
    <w:rsid w:val="009923B7"/>
    <w:rsid w:val="00992689"/>
    <w:rsid w:val="00992BC3"/>
    <w:rsid w:val="009942CD"/>
    <w:rsid w:val="0099460A"/>
    <w:rsid w:val="009958DA"/>
    <w:rsid w:val="0099606E"/>
    <w:rsid w:val="009960CF"/>
    <w:rsid w:val="009962D5"/>
    <w:rsid w:val="009972A3"/>
    <w:rsid w:val="009A06D5"/>
    <w:rsid w:val="009A1674"/>
    <w:rsid w:val="009A1A35"/>
    <w:rsid w:val="009A1C90"/>
    <w:rsid w:val="009A2075"/>
    <w:rsid w:val="009A2596"/>
    <w:rsid w:val="009A2B22"/>
    <w:rsid w:val="009A31D9"/>
    <w:rsid w:val="009A3D07"/>
    <w:rsid w:val="009A3DD8"/>
    <w:rsid w:val="009A40F1"/>
    <w:rsid w:val="009A4289"/>
    <w:rsid w:val="009A51B1"/>
    <w:rsid w:val="009A55D3"/>
    <w:rsid w:val="009A5753"/>
    <w:rsid w:val="009A5B9C"/>
    <w:rsid w:val="009A5E87"/>
    <w:rsid w:val="009A6247"/>
    <w:rsid w:val="009A6D53"/>
    <w:rsid w:val="009A6E4C"/>
    <w:rsid w:val="009A717A"/>
    <w:rsid w:val="009A72CC"/>
    <w:rsid w:val="009A730E"/>
    <w:rsid w:val="009A74AD"/>
    <w:rsid w:val="009A75B5"/>
    <w:rsid w:val="009B0E53"/>
    <w:rsid w:val="009B1010"/>
    <w:rsid w:val="009B1A49"/>
    <w:rsid w:val="009B238A"/>
    <w:rsid w:val="009B26FB"/>
    <w:rsid w:val="009B2C22"/>
    <w:rsid w:val="009B3BD3"/>
    <w:rsid w:val="009B3D1D"/>
    <w:rsid w:val="009B3E64"/>
    <w:rsid w:val="009B3F58"/>
    <w:rsid w:val="009B5E82"/>
    <w:rsid w:val="009B6F8E"/>
    <w:rsid w:val="009C074A"/>
    <w:rsid w:val="009C17E7"/>
    <w:rsid w:val="009C17F5"/>
    <w:rsid w:val="009C183F"/>
    <w:rsid w:val="009C1DC5"/>
    <w:rsid w:val="009C2182"/>
    <w:rsid w:val="009C2C3B"/>
    <w:rsid w:val="009C2EEB"/>
    <w:rsid w:val="009C3403"/>
    <w:rsid w:val="009C3635"/>
    <w:rsid w:val="009C3953"/>
    <w:rsid w:val="009C3AB2"/>
    <w:rsid w:val="009C3ADC"/>
    <w:rsid w:val="009C485E"/>
    <w:rsid w:val="009C4E9C"/>
    <w:rsid w:val="009C586F"/>
    <w:rsid w:val="009C5CE7"/>
    <w:rsid w:val="009C5FB8"/>
    <w:rsid w:val="009C66AF"/>
    <w:rsid w:val="009C67F2"/>
    <w:rsid w:val="009C6A16"/>
    <w:rsid w:val="009C7A2E"/>
    <w:rsid w:val="009D02AD"/>
    <w:rsid w:val="009D0861"/>
    <w:rsid w:val="009D0E98"/>
    <w:rsid w:val="009D124E"/>
    <w:rsid w:val="009D144C"/>
    <w:rsid w:val="009D1974"/>
    <w:rsid w:val="009D1E46"/>
    <w:rsid w:val="009D1E6E"/>
    <w:rsid w:val="009D2543"/>
    <w:rsid w:val="009D25EA"/>
    <w:rsid w:val="009D27C5"/>
    <w:rsid w:val="009D2E68"/>
    <w:rsid w:val="009D3214"/>
    <w:rsid w:val="009D33BA"/>
    <w:rsid w:val="009D3822"/>
    <w:rsid w:val="009D3FED"/>
    <w:rsid w:val="009D44C2"/>
    <w:rsid w:val="009D5709"/>
    <w:rsid w:val="009D7E1D"/>
    <w:rsid w:val="009E00C2"/>
    <w:rsid w:val="009E0362"/>
    <w:rsid w:val="009E06FF"/>
    <w:rsid w:val="009E0D4C"/>
    <w:rsid w:val="009E1E6F"/>
    <w:rsid w:val="009E2236"/>
    <w:rsid w:val="009E445A"/>
    <w:rsid w:val="009E468A"/>
    <w:rsid w:val="009E4F45"/>
    <w:rsid w:val="009E537B"/>
    <w:rsid w:val="009E57E6"/>
    <w:rsid w:val="009E6243"/>
    <w:rsid w:val="009E64FE"/>
    <w:rsid w:val="009E7C5F"/>
    <w:rsid w:val="009E7E25"/>
    <w:rsid w:val="009E7FC4"/>
    <w:rsid w:val="009F0D73"/>
    <w:rsid w:val="009F1326"/>
    <w:rsid w:val="009F16D7"/>
    <w:rsid w:val="009F259D"/>
    <w:rsid w:val="009F27FF"/>
    <w:rsid w:val="009F3CCC"/>
    <w:rsid w:val="009F42E2"/>
    <w:rsid w:val="009F43B2"/>
    <w:rsid w:val="009F4FF8"/>
    <w:rsid w:val="009F51D9"/>
    <w:rsid w:val="009F568B"/>
    <w:rsid w:val="009F58DF"/>
    <w:rsid w:val="009F60C3"/>
    <w:rsid w:val="009F74EE"/>
    <w:rsid w:val="009F7AAC"/>
    <w:rsid w:val="009F7C91"/>
    <w:rsid w:val="009F7EA2"/>
    <w:rsid w:val="00A00C92"/>
    <w:rsid w:val="00A00E54"/>
    <w:rsid w:val="00A01B29"/>
    <w:rsid w:val="00A02094"/>
    <w:rsid w:val="00A0224A"/>
    <w:rsid w:val="00A025AE"/>
    <w:rsid w:val="00A025F5"/>
    <w:rsid w:val="00A02BEF"/>
    <w:rsid w:val="00A02C0D"/>
    <w:rsid w:val="00A02F56"/>
    <w:rsid w:val="00A02FAC"/>
    <w:rsid w:val="00A03B0B"/>
    <w:rsid w:val="00A0406E"/>
    <w:rsid w:val="00A043C2"/>
    <w:rsid w:val="00A046B5"/>
    <w:rsid w:val="00A04E8E"/>
    <w:rsid w:val="00A05214"/>
    <w:rsid w:val="00A053B5"/>
    <w:rsid w:val="00A05510"/>
    <w:rsid w:val="00A05B0E"/>
    <w:rsid w:val="00A061F1"/>
    <w:rsid w:val="00A074DE"/>
    <w:rsid w:val="00A07FCA"/>
    <w:rsid w:val="00A1012C"/>
    <w:rsid w:val="00A10424"/>
    <w:rsid w:val="00A10586"/>
    <w:rsid w:val="00A10B09"/>
    <w:rsid w:val="00A112C4"/>
    <w:rsid w:val="00A11463"/>
    <w:rsid w:val="00A1150B"/>
    <w:rsid w:val="00A11CC0"/>
    <w:rsid w:val="00A1251F"/>
    <w:rsid w:val="00A12C64"/>
    <w:rsid w:val="00A13573"/>
    <w:rsid w:val="00A13CF4"/>
    <w:rsid w:val="00A14084"/>
    <w:rsid w:val="00A14F0D"/>
    <w:rsid w:val="00A153E8"/>
    <w:rsid w:val="00A15ACC"/>
    <w:rsid w:val="00A15DC2"/>
    <w:rsid w:val="00A17B9C"/>
    <w:rsid w:val="00A20477"/>
    <w:rsid w:val="00A20C1F"/>
    <w:rsid w:val="00A21135"/>
    <w:rsid w:val="00A218B5"/>
    <w:rsid w:val="00A22603"/>
    <w:rsid w:val="00A22D6D"/>
    <w:rsid w:val="00A22E7D"/>
    <w:rsid w:val="00A23129"/>
    <w:rsid w:val="00A2344C"/>
    <w:rsid w:val="00A245F5"/>
    <w:rsid w:val="00A247AA"/>
    <w:rsid w:val="00A25044"/>
    <w:rsid w:val="00A254E6"/>
    <w:rsid w:val="00A257BF"/>
    <w:rsid w:val="00A259F6"/>
    <w:rsid w:val="00A2651E"/>
    <w:rsid w:val="00A268C6"/>
    <w:rsid w:val="00A26A62"/>
    <w:rsid w:val="00A26CDA"/>
    <w:rsid w:val="00A26D60"/>
    <w:rsid w:val="00A274D7"/>
    <w:rsid w:val="00A27AC2"/>
    <w:rsid w:val="00A27DD0"/>
    <w:rsid w:val="00A27E63"/>
    <w:rsid w:val="00A310EC"/>
    <w:rsid w:val="00A31D00"/>
    <w:rsid w:val="00A32672"/>
    <w:rsid w:val="00A33321"/>
    <w:rsid w:val="00A335F3"/>
    <w:rsid w:val="00A34719"/>
    <w:rsid w:val="00A351D6"/>
    <w:rsid w:val="00A354ED"/>
    <w:rsid w:val="00A35CB4"/>
    <w:rsid w:val="00A36A23"/>
    <w:rsid w:val="00A406E5"/>
    <w:rsid w:val="00A407A0"/>
    <w:rsid w:val="00A41107"/>
    <w:rsid w:val="00A4134A"/>
    <w:rsid w:val="00A41355"/>
    <w:rsid w:val="00A4173C"/>
    <w:rsid w:val="00A4261A"/>
    <w:rsid w:val="00A43241"/>
    <w:rsid w:val="00A43B92"/>
    <w:rsid w:val="00A43F14"/>
    <w:rsid w:val="00A44720"/>
    <w:rsid w:val="00A44F2A"/>
    <w:rsid w:val="00A46094"/>
    <w:rsid w:val="00A46506"/>
    <w:rsid w:val="00A46FEA"/>
    <w:rsid w:val="00A47015"/>
    <w:rsid w:val="00A4757E"/>
    <w:rsid w:val="00A475BB"/>
    <w:rsid w:val="00A47CB3"/>
    <w:rsid w:val="00A500B1"/>
    <w:rsid w:val="00A51920"/>
    <w:rsid w:val="00A5202F"/>
    <w:rsid w:val="00A52812"/>
    <w:rsid w:val="00A5292B"/>
    <w:rsid w:val="00A52E3B"/>
    <w:rsid w:val="00A53BF9"/>
    <w:rsid w:val="00A53F13"/>
    <w:rsid w:val="00A543FB"/>
    <w:rsid w:val="00A5460A"/>
    <w:rsid w:val="00A552A3"/>
    <w:rsid w:val="00A55AF5"/>
    <w:rsid w:val="00A55C7E"/>
    <w:rsid w:val="00A55DDB"/>
    <w:rsid w:val="00A55EB5"/>
    <w:rsid w:val="00A56167"/>
    <w:rsid w:val="00A56342"/>
    <w:rsid w:val="00A569BE"/>
    <w:rsid w:val="00A56ACF"/>
    <w:rsid w:val="00A56C9A"/>
    <w:rsid w:val="00A6014D"/>
    <w:rsid w:val="00A610CB"/>
    <w:rsid w:val="00A615CE"/>
    <w:rsid w:val="00A6179E"/>
    <w:rsid w:val="00A61B9E"/>
    <w:rsid w:val="00A61DAC"/>
    <w:rsid w:val="00A61DCB"/>
    <w:rsid w:val="00A6201B"/>
    <w:rsid w:val="00A63698"/>
    <w:rsid w:val="00A638E1"/>
    <w:rsid w:val="00A64B54"/>
    <w:rsid w:val="00A65425"/>
    <w:rsid w:val="00A65445"/>
    <w:rsid w:val="00A658AC"/>
    <w:rsid w:val="00A669EE"/>
    <w:rsid w:val="00A66F67"/>
    <w:rsid w:val="00A67055"/>
    <w:rsid w:val="00A675A7"/>
    <w:rsid w:val="00A675FA"/>
    <w:rsid w:val="00A70631"/>
    <w:rsid w:val="00A70FB5"/>
    <w:rsid w:val="00A710A5"/>
    <w:rsid w:val="00A717D1"/>
    <w:rsid w:val="00A71AF4"/>
    <w:rsid w:val="00A72F79"/>
    <w:rsid w:val="00A73A18"/>
    <w:rsid w:val="00A7490A"/>
    <w:rsid w:val="00A74D5C"/>
    <w:rsid w:val="00A75252"/>
    <w:rsid w:val="00A75B10"/>
    <w:rsid w:val="00A8174C"/>
    <w:rsid w:val="00A82327"/>
    <w:rsid w:val="00A828FB"/>
    <w:rsid w:val="00A830A0"/>
    <w:rsid w:val="00A83258"/>
    <w:rsid w:val="00A83448"/>
    <w:rsid w:val="00A83A50"/>
    <w:rsid w:val="00A84617"/>
    <w:rsid w:val="00A84DAC"/>
    <w:rsid w:val="00A85A8B"/>
    <w:rsid w:val="00A86411"/>
    <w:rsid w:val="00A86C32"/>
    <w:rsid w:val="00A8712C"/>
    <w:rsid w:val="00A876EB"/>
    <w:rsid w:val="00A87B1C"/>
    <w:rsid w:val="00A900A3"/>
    <w:rsid w:val="00A902A8"/>
    <w:rsid w:val="00A903E1"/>
    <w:rsid w:val="00A90709"/>
    <w:rsid w:val="00A91D0B"/>
    <w:rsid w:val="00A91E47"/>
    <w:rsid w:val="00A94531"/>
    <w:rsid w:val="00A94A37"/>
    <w:rsid w:val="00A95DE1"/>
    <w:rsid w:val="00A9608D"/>
    <w:rsid w:val="00A960C1"/>
    <w:rsid w:val="00A962FC"/>
    <w:rsid w:val="00A96536"/>
    <w:rsid w:val="00A96F9C"/>
    <w:rsid w:val="00A97369"/>
    <w:rsid w:val="00A976ED"/>
    <w:rsid w:val="00AA02A2"/>
    <w:rsid w:val="00AA0475"/>
    <w:rsid w:val="00AA1418"/>
    <w:rsid w:val="00AA1531"/>
    <w:rsid w:val="00AA22F3"/>
    <w:rsid w:val="00AA2392"/>
    <w:rsid w:val="00AA2A26"/>
    <w:rsid w:val="00AA2C29"/>
    <w:rsid w:val="00AA32B3"/>
    <w:rsid w:val="00AA3B94"/>
    <w:rsid w:val="00AA3D40"/>
    <w:rsid w:val="00AA45C6"/>
    <w:rsid w:val="00AA46FD"/>
    <w:rsid w:val="00AA4A1D"/>
    <w:rsid w:val="00AA510B"/>
    <w:rsid w:val="00AA606B"/>
    <w:rsid w:val="00AA64A9"/>
    <w:rsid w:val="00AA6AEB"/>
    <w:rsid w:val="00AA6D46"/>
    <w:rsid w:val="00AA7210"/>
    <w:rsid w:val="00AA74CF"/>
    <w:rsid w:val="00AA7BEF"/>
    <w:rsid w:val="00AA7CA2"/>
    <w:rsid w:val="00AB0B7E"/>
    <w:rsid w:val="00AB10AC"/>
    <w:rsid w:val="00AB1283"/>
    <w:rsid w:val="00AB1A36"/>
    <w:rsid w:val="00AB1A73"/>
    <w:rsid w:val="00AB218C"/>
    <w:rsid w:val="00AB2BF2"/>
    <w:rsid w:val="00AB3F7E"/>
    <w:rsid w:val="00AB4931"/>
    <w:rsid w:val="00AB4AED"/>
    <w:rsid w:val="00AB57AE"/>
    <w:rsid w:val="00AB5A8E"/>
    <w:rsid w:val="00AB604A"/>
    <w:rsid w:val="00AB628E"/>
    <w:rsid w:val="00AB6EFC"/>
    <w:rsid w:val="00AB7B33"/>
    <w:rsid w:val="00AC0974"/>
    <w:rsid w:val="00AC09DE"/>
    <w:rsid w:val="00AC18D2"/>
    <w:rsid w:val="00AC265F"/>
    <w:rsid w:val="00AC27AB"/>
    <w:rsid w:val="00AC2CF0"/>
    <w:rsid w:val="00AC4043"/>
    <w:rsid w:val="00AC49B1"/>
    <w:rsid w:val="00AC582C"/>
    <w:rsid w:val="00AC59A7"/>
    <w:rsid w:val="00AC5B21"/>
    <w:rsid w:val="00AC6167"/>
    <w:rsid w:val="00AC685C"/>
    <w:rsid w:val="00AC6A34"/>
    <w:rsid w:val="00AC6E25"/>
    <w:rsid w:val="00AD1FA6"/>
    <w:rsid w:val="00AD2153"/>
    <w:rsid w:val="00AD215E"/>
    <w:rsid w:val="00AD3062"/>
    <w:rsid w:val="00AD31DE"/>
    <w:rsid w:val="00AD3A3B"/>
    <w:rsid w:val="00AD3CE9"/>
    <w:rsid w:val="00AD41E3"/>
    <w:rsid w:val="00AD42D7"/>
    <w:rsid w:val="00AD4576"/>
    <w:rsid w:val="00AD503C"/>
    <w:rsid w:val="00AD5398"/>
    <w:rsid w:val="00AD5AF2"/>
    <w:rsid w:val="00AD5E23"/>
    <w:rsid w:val="00AD5FC2"/>
    <w:rsid w:val="00AD61D3"/>
    <w:rsid w:val="00AD630E"/>
    <w:rsid w:val="00AD70AD"/>
    <w:rsid w:val="00AD72F4"/>
    <w:rsid w:val="00AD7483"/>
    <w:rsid w:val="00AD7812"/>
    <w:rsid w:val="00AD7FE0"/>
    <w:rsid w:val="00AE0442"/>
    <w:rsid w:val="00AE0DDD"/>
    <w:rsid w:val="00AE1010"/>
    <w:rsid w:val="00AE1162"/>
    <w:rsid w:val="00AE171B"/>
    <w:rsid w:val="00AE1E1A"/>
    <w:rsid w:val="00AE2249"/>
    <w:rsid w:val="00AE2573"/>
    <w:rsid w:val="00AE2DF6"/>
    <w:rsid w:val="00AE402D"/>
    <w:rsid w:val="00AE44C8"/>
    <w:rsid w:val="00AE4619"/>
    <w:rsid w:val="00AE4D83"/>
    <w:rsid w:val="00AE50C0"/>
    <w:rsid w:val="00AE76D8"/>
    <w:rsid w:val="00AE76EB"/>
    <w:rsid w:val="00AF00AC"/>
    <w:rsid w:val="00AF0AB4"/>
    <w:rsid w:val="00AF14FC"/>
    <w:rsid w:val="00AF16E1"/>
    <w:rsid w:val="00AF1915"/>
    <w:rsid w:val="00AF27D6"/>
    <w:rsid w:val="00AF2E3A"/>
    <w:rsid w:val="00AF30BA"/>
    <w:rsid w:val="00AF3172"/>
    <w:rsid w:val="00AF499D"/>
    <w:rsid w:val="00AF51DE"/>
    <w:rsid w:val="00AF599E"/>
    <w:rsid w:val="00AF5CB5"/>
    <w:rsid w:val="00AF5CC3"/>
    <w:rsid w:val="00AF7D16"/>
    <w:rsid w:val="00B00B10"/>
    <w:rsid w:val="00B0261F"/>
    <w:rsid w:val="00B03215"/>
    <w:rsid w:val="00B03735"/>
    <w:rsid w:val="00B04E89"/>
    <w:rsid w:val="00B04F1E"/>
    <w:rsid w:val="00B05119"/>
    <w:rsid w:val="00B051DC"/>
    <w:rsid w:val="00B06168"/>
    <w:rsid w:val="00B064D0"/>
    <w:rsid w:val="00B0686C"/>
    <w:rsid w:val="00B06C93"/>
    <w:rsid w:val="00B076DD"/>
    <w:rsid w:val="00B104D5"/>
    <w:rsid w:val="00B10610"/>
    <w:rsid w:val="00B109A9"/>
    <w:rsid w:val="00B10D03"/>
    <w:rsid w:val="00B10F73"/>
    <w:rsid w:val="00B1149F"/>
    <w:rsid w:val="00B1154A"/>
    <w:rsid w:val="00B1280C"/>
    <w:rsid w:val="00B128A0"/>
    <w:rsid w:val="00B12C9F"/>
    <w:rsid w:val="00B12D10"/>
    <w:rsid w:val="00B12E2F"/>
    <w:rsid w:val="00B13067"/>
    <w:rsid w:val="00B138CD"/>
    <w:rsid w:val="00B13C38"/>
    <w:rsid w:val="00B13CF0"/>
    <w:rsid w:val="00B140E1"/>
    <w:rsid w:val="00B14A05"/>
    <w:rsid w:val="00B14E59"/>
    <w:rsid w:val="00B16BB9"/>
    <w:rsid w:val="00B17EF4"/>
    <w:rsid w:val="00B207E5"/>
    <w:rsid w:val="00B21EBE"/>
    <w:rsid w:val="00B22697"/>
    <w:rsid w:val="00B22EDF"/>
    <w:rsid w:val="00B235D4"/>
    <w:rsid w:val="00B23BDB"/>
    <w:rsid w:val="00B24235"/>
    <w:rsid w:val="00B24816"/>
    <w:rsid w:val="00B251C6"/>
    <w:rsid w:val="00B25640"/>
    <w:rsid w:val="00B25695"/>
    <w:rsid w:val="00B2581A"/>
    <w:rsid w:val="00B25C5A"/>
    <w:rsid w:val="00B25E2A"/>
    <w:rsid w:val="00B260C2"/>
    <w:rsid w:val="00B26683"/>
    <w:rsid w:val="00B26B4A"/>
    <w:rsid w:val="00B27202"/>
    <w:rsid w:val="00B272DB"/>
    <w:rsid w:val="00B277E0"/>
    <w:rsid w:val="00B305BE"/>
    <w:rsid w:val="00B30E1A"/>
    <w:rsid w:val="00B31099"/>
    <w:rsid w:val="00B3111D"/>
    <w:rsid w:val="00B323E1"/>
    <w:rsid w:val="00B326BC"/>
    <w:rsid w:val="00B328CF"/>
    <w:rsid w:val="00B3342C"/>
    <w:rsid w:val="00B33E0E"/>
    <w:rsid w:val="00B3492C"/>
    <w:rsid w:val="00B35207"/>
    <w:rsid w:val="00B36D72"/>
    <w:rsid w:val="00B40392"/>
    <w:rsid w:val="00B40441"/>
    <w:rsid w:val="00B40AE4"/>
    <w:rsid w:val="00B41335"/>
    <w:rsid w:val="00B41FB2"/>
    <w:rsid w:val="00B4238F"/>
    <w:rsid w:val="00B4248B"/>
    <w:rsid w:val="00B42BB7"/>
    <w:rsid w:val="00B42C6A"/>
    <w:rsid w:val="00B44BF7"/>
    <w:rsid w:val="00B45695"/>
    <w:rsid w:val="00B45EB1"/>
    <w:rsid w:val="00B474D4"/>
    <w:rsid w:val="00B474F4"/>
    <w:rsid w:val="00B50947"/>
    <w:rsid w:val="00B50ECD"/>
    <w:rsid w:val="00B51A44"/>
    <w:rsid w:val="00B52149"/>
    <w:rsid w:val="00B52640"/>
    <w:rsid w:val="00B52701"/>
    <w:rsid w:val="00B52854"/>
    <w:rsid w:val="00B52E2D"/>
    <w:rsid w:val="00B539B2"/>
    <w:rsid w:val="00B53CBF"/>
    <w:rsid w:val="00B53E2D"/>
    <w:rsid w:val="00B54974"/>
    <w:rsid w:val="00B54C20"/>
    <w:rsid w:val="00B55264"/>
    <w:rsid w:val="00B5553F"/>
    <w:rsid w:val="00B56ADC"/>
    <w:rsid w:val="00B5787A"/>
    <w:rsid w:val="00B57C5D"/>
    <w:rsid w:val="00B60B61"/>
    <w:rsid w:val="00B61F88"/>
    <w:rsid w:val="00B62F90"/>
    <w:rsid w:val="00B63007"/>
    <w:rsid w:val="00B631E8"/>
    <w:rsid w:val="00B64526"/>
    <w:rsid w:val="00B64770"/>
    <w:rsid w:val="00B64B17"/>
    <w:rsid w:val="00B653C9"/>
    <w:rsid w:val="00B65B86"/>
    <w:rsid w:val="00B65C02"/>
    <w:rsid w:val="00B65E69"/>
    <w:rsid w:val="00B6688E"/>
    <w:rsid w:val="00B66A5C"/>
    <w:rsid w:val="00B672C7"/>
    <w:rsid w:val="00B673A2"/>
    <w:rsid w:val="00B70484"/>
    <w:rsid w:val="00B70591"/>
    <w:rsid w:val="00B70F8C"/>
    <w:rsid w:val="00B719E0"/>
    <w:rsid w:val="00B719EE"/>
    <w:rsid w:val="00B71CF7"/>
    <w:rsid w:val="00B72302"/>
    <w:rsid w:val="00B72ED0"/>
    <w:rsid w:val="00B730B2"/>
    <w:rsid w:val="00B7340C"/>
    <w:rsid w:val="00B7403A"/>
    <w:rsid w:val="00B7516E"/>
    <w:rsid w:val="00B75196"/>
    <w:rsid w:val="00B75607"/>
    <w:rsid w:val="00B75B50"/>
    <w:rsid w:val="00B76653"/>
    <w:rsid w:val="00B77278"/>
    <w:rsid w:val="00B7764E"/>
    <w:rsid w:val="00B7773B"/>
    <w:rsid w:val="00B77771"/>
    <w:rsid w:val="00B8097D"/>
    <w:rsid w:val="00B810F5"/>
    <w:rsid w:val="00B8122B"/>
    <w:rsid w:val="00B81D73"/>
    <w:rsid w:val="00B81EC8"/>
    <w:rsid w:val="00B81FB2"/>
    <w:rsid w:val="00B8277D"/>
    <w:rsid w:val="00B836F1"/>
    <w:rsid w:val="00B84918"/>
    <w:rsid w:val="00B8614A"/>
    <w:rsid w:val="00B86626"/>
    <w:rsid w:val="00B866A1"/>
    <w:rsid w:val="00B8698D"/>
    <w:rsid w:val="00B86C8E"/>
    <w:rsid w:val="00B86E18"/>
    <w:rsid w:val="00B87404"/>
    <w:rsid w:val="00B87A3B"/>
    <w:rsid w:val="00B87CCC"/>
    <w:rsid w:val="00B900C8"/>
    <w:rsid w:val="00B9075B"/>
    <w:rsid w:val="00B90BDE"/>
    <w:rsid w:val="00B91216"/>
    <w:rsid w:val="00B91222"/>
    <w:rsid w:val="00B922B6"/>
    <w:rsid w:val="00B92489"/>
    <w:rsid w:val="00B927B3"/>
    <w:rsid w:val="00B92A3B"/>
    <w:rsid w:val="00B93429"/>
    <w:rsid w:val="00B9396B"/>
    <w:rsid w:val="00B93A00"/>
    <w:rsid w:val="00B9414D"/>
    <w:rsid w:val="00B9479D"/>
    <w:rsid w:val="00B965CC"/>
    <w:rsid w:val="00B967DD"/>
    <w:rsid w:val="00B96B9F"/>
    <w:rsid w:val="00B96F3C"/>
    <w:rsid w:val="00B96F40"/>
    <w:rsid w:val="00B97277"/>
    <w:rsid w:val="00B973D2"/>
    <w:rsid w:val="00BA0E71"/>
    <w:rsid w:val="00BA0F8A"/>
    <w:rsid w:val="00BA1B61"/>
    <w:rsid w:val="00BA25A5"/>
    <w:rsid w:val="00BA262D"/>
    <w:rsid w:val="00BA2AF2"/>
    <w:rsid w:val="00BA486F"/>
    <w:rsid w:val="00BA492D"/>
    <w:rsid w:val="00BA6CC6"/>
    <w:rsid w:val="00BA7826"/>
    <w:rsid w:val="00BA7910"/>
    <w:rsid w:val="00BB00E9"/>
    <w:rsid w:val="00BB026D"/>
    <w:rsid w:val="00BB07D5"/>
    <w:rsid w:val="00BB0DE8"/>
    <w:rsid w:val="00BB1A51"/>
    <w:rsid w:val="00BB1F80"/>
    <w:rsid w:val="00BB35EE"/>
    <w:rsid w:val="00BB40D7"/>
    <w:rsid w:val="00BB4F04"/>
    <w:rsid w:val="00BB5107"/>
    <w:rsid w:val="00BB5851"/>
    <w:rsid w:val="00BB6B5E"/>
    <w:rsid w:val="00BB792C"/>
    <w:rsid w:val="00BB7FB2"/>
    <w:rsid w:val="00BC038C"/>
    <w:rsid w:val="00BC1531"/>
    <w:rsid w:val="00BC19DF"/>
    <w:rsid w:val="00BC2613"/>
    <w:rsid w:val="00BC313B"/>
    <w:rsid w:val="00BC4197"/>
    <w:rsid w:val="00BC4ADE"/>
    <w:rsid w:val="00BC6494"/>
    <w:rsid w:val="00BC69EF"/>
    <w:rsid w:val="00BC7291"/>
    <w:rsid w:val="00BC73BE"/>
    <w:rsid w:val="00BC79EB"/>
    <w:rsid w:val="00BD0DC4"/>
    <w:rsid w:val="00BD0E85"/>
    <w:rsid w:val="00BD10D1"/>
    <w:rsid w:val="00BD1370"/>
    <w:rsid w:val="00BD1BE8"/>
    <w:rsid w:val="00BD28FD"/>
    <w:rsid w:val="00BD2B86"/>
    <w:rsid w:val="00BD38E0"/>
    <w:rsid w:val="00BD3F99"/>
    <w:rsid w:val="00BD469A"/>
    <w:rsid w:val="00BD53A8"/>
    <w:rsid w:val="00BD74F9"/>
    <w:rsid w:val="00BD78E6"/>
    <w:rsid w:val="00BE0BB3"/>
    <w:rsid w:val="00BE0CA4"/>
    <w:rsid w:val="00BE1369"/>
    <w:rsid w:val="00BE1D8B"/>
    <w:rsid w:val="00BE1FF1"/>
    <w:rsid w:val="00BE2007"/>
    <w:rsid w:val="00BE2BC6"/>
    <w:rsid w:val="00BE36C1"/>
    <w:rsid w:val="00BE3A23"/>
    <w:rsid w:val="00BE3E83"/>
    <w:rsid w:val="00BE4B02"/>
    <w:rsid w:val="00BE53F0"/>
    <w:rsid w:val="00BE6D63"/>
    <w:rsid w:val="00BE6ED5"/>
    <w:rsid w:val="00BE75AC"/>
    <w:rsid w:val="00BF0807"/>
    <w:rsid w:val="00BF0D80"/>
    <w:rsid w:val="00BF18AA"/>
    <w:rsid w:val="00BF2FAD"/>
    <w:rsid w:val="00BF3A3F"/>
    <w:rsid w:val="00BF3CDC"/>
    <w:rsid w:val="00BF3E64"/>
    <w:rsid w:val="00BF407B"/>
    <w:rsid w:val="00BF46D5"/>
    <w:rsid w:val="00BF48D9"/>
    <w:rsid w:val="00BF4C4F"/>
    <w:rsid w:val="00BF5D90"/>
    <w:rsid w:val="00BF6B82"/>
    <w:rsid w:val="00BF6E80"/>
    <w:rsid w:val="00BF70B6"/>
    <w:rsid w:val="00C0166F"/>
    <w:rsid w:val="00C01679"/>
    <w:rsid w:val="00C01A52"/>
    <w:rsid w:val="00C02604"/>
    <w:rsid w:val="00C029F9"/>
    <w:rsid w:val="00C02A43"/>
    <w:rsid w:val="00C0309A"/>
    <w:rsid w:val="00C03204"/>
    <w:rsid w:val="00C03EC5"/>
    <w:rsid w:val="00C04171"/>
    <w:rsid w:val="00C04507"/>
    <w:rsid w:val="00C04B29"/>
    <w:rsid w:val="00C04BE9"/>
    <w:rsid w:val="00C052C5"/>
    <w:rsid w:val="00C053F2"/>
    <w:rsid w:val="00C058D6"/>
    <w:rsid w:val="00C05A2A"/>
    <w:rsid w:val="00C062FF"/>
    <w:rsid w:val="00C06A17"/>
    <w:rsid w:val="00C06DC1"/>
    <w:rsid w:val="00C07332"/>
    <w:rsid w:val="00C076F2"/>
    <w:rsid w:val="00C078F4"/>
    <w:rsid w:val="00C07A5B"/>
    <w:rsid w:val="00C07BB8"/>
    <w:rsid w:val="00C100A8"/>
    <w:rsid w:val="00C10868"/>
    <w:rsid w:val="00C108AD"/>
    <w:rsid w:val="00C10B4E"/>
    <w:rsid w:val="00C1130D"/>
    <w:rsid w:val="00C11AC1"/>
    <w:rsid w:val="00C1218D"/>
    <w:rsid w:val="00C1294F"/>
    <w:rsid w:val="00C13085"/>
    <w:rsid w:val="00C13951"/>
    <w:rsid w:val="00C148CC"/>
    <w:rsid w:val="00C14B46"/>
    <w:rsid w:val="00C14C9A"/>
    <w:rsid w:val="00C172A5"/>
    <w:rsid w:val="00C17B78"/>
    <w:rsid w:val="00C204E5"/>
    <w:rsid w:val="00C20794"/>
    <w:rsid w:val="00C20A65"/>
    <w:rsid w:val="00C2130D"/>
    <w:rsid w:val="00C22038"/>
    <w:rsid w:val="00C220C8"/>
    <w:rsid w:val="00C22214"/>
    <w:rsid w:val="00C2224C"/>
    <w:rsid w:val="00C2304C"/>
    <w:rsid w:val="00C23410"/>
    <w:rsid w:val="00C23B52"/>
    <w:rsid w:val="00C24785"/>
    <w:rsid w:val="00C247EB"/>
    <w:rsid w:val="00C2487B"/>
    <w:rsid w:val="00C248F7"/>
    <w:rsid w:val="00C2515B"/>
    <w:rsid w:val="00C2529C"/>
    <w:rsid w:val="00C2556D"/>
    <w:rsid w:val="00C25B45"/>
    <w:rsid w:val="00C25B59"/>
    <w:rsid w:val="00C25BDA"/>
    <w:rsid w:val="00C2634E"/>
    <w:rsid w:val="00C26A60"/>
    <w:rsid w:val="00C27C28"/>
    <w:rsid w:val="00C304F2"/>
    <w:rsid w:val="00C30CE1"/>
    <w:rsid w:val="00C3141F"/>
    <w:rsid w:val="00C32400"/>
    <w:rsid w:val="00C324EE"/>
    <w:rsid w:val="00C3295C"/>
    <w:rsid w:val="00C32CE0"/>
    <w:rsid w:val="00C33064"/>
    <w:rsid w:val="00C34698"/>
    <w:rsid w:val="00C34B93"/>
    <w:rsid w:val="00C34CBA"/>
    <w:rsid w:val="00C34FB7"/>
    <w:rsid w:val="00C35A54"/>
    <w:rsid w:val="00C379F4"/>
    <w:rsid w:val="00C40091"/>
    <w:rsid w:val="00C40383"/>
    <w:rsid w:val="00C40685"/>
    <w:rsid w:val="00C40796"/>
    <w:rsid w:val="00C410AB"/>
    <w:rsid w:val="00C4149E"/>
    <w:rsid w:val="00C4151C"/>
    <w:rsid w:val="00C41869"/>
    <w:rsid w:val="00C4235B"/>
    <w:rsid w:val="00C424CB"/>
    <w:rsid w:val="00C425CC"/>
    <w:rsid w:val="00C4353C"/>
    <w:rsid w:val="00C43AB8"/>
    <w:rsid w:val="00C442EC"/>
    <w:rsid w:val="00C4482C"/>
    <w:rsid w:val="00C44BE4"/>
    <w:rsid w:val="00C45B45"/>
    <w:rsid w:val="00C45E28"/>
    <w:rsid w:val="00C46B70"/>
    <w:rsid w:val="00C46F2D"/>
    <w:rsid w:val="00C47034"/>
    <w:rsid w:val="00C50B4C"/>
    <w:rsid w:val="00C50D16"/>
    <w:rsid w:val="00C512E1"/>
    <w:rsid w:val="00C514E1"/>
    <w:rsid w:val="00C515FC"/>
    <w:rsid w:val="00C5204F"/>
    <w:rsid w:val="00C5209F"/>
    <w:rsid w:val="00C52260"/>
    <w:rsid w:val="00C525F3"/>
    <w:rsid w:val="00C52624"/>
    <w:rsid w:val="00C52FC4"/>
    <w:rsid w:val="00C5343C"/>
    <w:rsid w:val="00C53971"/>
    <w:rsid w:val="00C53B7A"/>
    <w:rsid w:val="00C53C2A"/>
    <w:rsid w:val="00C541C6"/>
    <w:rsid w:val="00C542A9"/>
    <w:rsid w:val="00C54B13"/>
    <w:rsid w:val="00C54C4B"/>
    <w:rsid w:val="00C54E8A"/>
    <w:rsid w:val="00C54FB1"/>
    <w:rsid w:val="00C557AC"/>
    <w:rsid w:val="00C55B2E"/>
    <w:rsid w:val="00C55D4D"/>
    <w:rsid w:val="00C562D4"/>
    <w:rsid w:val="00C56C09"/>
    <w:rsid w:val="00C56F53"/>
    <w:rsid w:val="00C57777"/>
    <w:rsid w:val="00C6021C"/>
    <w:rsid w:val="00C606F9"/>
    <w:rsid w:val="00C620A8"/>
    <w:rsid w:val="00C6286F"/>
    <w:rsid w:val="00C62DB8"/>
    <w:rsid w:val="00C6329C"/>
    <w:rsid w:val="00C63B80"/>
    <w:rsid w:val="00C64124"/>
    <w:rsid w:val="00C645FC"/>
    <w:rsid w:val="00C64E8E"/>
    <w:rsid w:val="00C65D1D"/>
    <w:rsid w:val="00C66045"/>
    <w:rsid w:val="00C666FB"/>
    <w:rsid w:val="00C666FE"/>
    <w:rsid w:val="00C667AF"/>
    <w:rsid w:val="00C67994"/>
    <w:rsid w:val="00C71DB5"/>
    <w:rsid w:val="00C725F5"/>
    <w:rsid w:val="00C7320B"/>
    <w:rsid w:val="00C7471F"/>
    <w:rsid w:val="00C74DEC"/>
    <w:rsid w:val="00C7517B"/>
    <w:rsid w:val="00C7518E"/>
    <w:rsid w:val="00C751C9"/>
    <w:rsid w:val="00C7524E"/>
    <w:rsid w:val="00C761D2"/>
    <w:rsid w:val="00C76689"/>
    <w:rsid w:val="00C767E8"/>
    <w:rsid w:val="00C77019"/>
    <w:rsid w:val="00C80A5F"/>
    <w:rsid w:val="00C80F9F"/>
    <w:rsid w:val="00C82601"/>
    <w:rsid w:val="00C82B18"/>
    <w:rsid w:val="00C8495A"/>
    <w:rsid w:val="00C85BB3"/>
    <w:rsid w:val="00C86421"/>
    <w:rsid w:val="00C8661A"/>
    <w:rsid w:val="00C90DD1"/>
    <w:rsid w:val="00C9120F"/>
    <w:rsid w:val="00C919EB"/>
    <w:rsid w:val="00C92A87"/>
    <w:rsid w:val="00C95A3C"/>
    <w:rsid w:val="00C95B1C"/>
    <w:rsid w:val="00C95EF0"/>
    <w:rsid w:val="00C96590"/>
    <w:rsid w:val="00C969FC"/>
    <w:rsid w:val="00C96F93"/>
    <w:rsid w:val="00C972B4"/>
    <w:rsid w:val="00C97686"/>
    <w:rsid w:val="00C97787"/>
    <w:rsid w:val="00C9786D"/>
    <w:rsid w:val="00CA0D78"/>
    <w:rsid w:val="00CA15F2"/>
    <w:rsid w:val="00CA289B"/>
    <w:rsid w:val="00CA2B51"/>
    <w:rsid w:val="00CA3CDF"/>
    <w:rsid w:val="00CA42A0"/>
    <w:rsid w:val="00CA532B"/>
    <w:rsid w:val="00CA5366"/>
    <w:rsid w:val="00CA5471"/>
    <w:rsid w:val="00CA5D38"/>
    <w:rsid w:val="00CA63BC"/>
    <w:rsid w:val="00CA7B9C"/>
    <w:rsid w:val="00CB0744"/>
    <w:rsid w:val="00CB0C81"/>
    <w:rsid w:val="00CB2570"/>
    <w:rsid w:val="00CB27A8"/>
    <w:rsid w:val="00CB3FBB"/>
    <w:rsid w:val="00CB4B4C"/>
    <w:rsid w:val="00CB4F0D"/>
    <w:rsid w:val="00CB5C0D"/>
    <w:rsid w:val="00CB5DA4"/>
    <w:rsid w:val="00CB694E"/>
    <w:rsid w:val="00CB6D12"/>
    <w:rsid w:val="00CB78E1"/>
    <w:rsid w:val="00CB7A27"/>
    <w:rsid w:val="00CC02E4"/>
    <w:rsid w:val="00CC03EA"/>
    <w:rsid w:val="00CC0D2B"/>
    <w:rsid w:val="00CC0D74"/>
    <w:rsid w:val="00CC195C"/>
    <w:rsid w:val="00CC1A85"/>
    <w:rsid w:val="00CC1D1A"/>
    <w:rsid w:val="00CC1FE2"/>
    <w:rsid w:val="00CC2049"/>
    <w:rsid w:val="00CC24D0"/>
    <w:rsid w:val="00CC2654"/>
    <w:rsid w:val="00CC579F"/>
    <w:rsid w:val="00CC69A9"/>
    <w:rsid w:val="00CC6C01"/>
    <w:rsid w:val="00CC70CC"/>
    <w:rsid w:val="00CC728C"/>
    <w:rsid w:val="00CC7717"/>
    <w:rsid w:val="00CD0074"/>
    <w:rsid w:val="00CD206F"/>
    <w:rsid w:val="00CD2E55"/>
    <w:rsid w:val="00CD4291"/>
    <w:rsid w:val="00CD532C"/>
    <w:rsid w:val="00CD7EA9"/>
    <w:rsid w:val="00CD7F80"/>
    <w:rsid w:val="00CE010B"/>
    <w:rsid w:val="00CE169E"/>
    <w:rsid w:val="00CE196C"/>
    <w:rsid w:val="00CE2365"/>
    <w:rsid w:val="00CE2A94"/>
    <w:rsid w:val="00CE3236"/>
    <w:rsid w:val="00CE39AE"/>
    <w:rsid w:val="00CE3CE3"/>
    <w:rsid w:val="00CE3E83"/>
    <w:rsid w:val="00CE5269"/>
    <w:rsid w:val="00CE56ED"/>
    <w:rsid w:val="00CE6005"/>
    <w:rsid w:val="00CE689A"/>
    <w:rsid w:val="00CE7133"/>
    <w:rsid w:val="00CE7182"/>
    <w:rsid w:val="00CE786D"/>
    <w:rsid w:val="00CF008F"/>
    <w:rsid w:val="00CF0D35"/>
    <w:rsid w:val="00CF1263"/>
    <w:rsid w:val="00CF14A5"/>
    <w:rsid w:val="00CF27D9"/>
    <w:rsid w:val="00CF2C1B"/>
    <w:rsid w:val="00CF2FE3"/>
    <w:rsid w:val="00CF3775"/>
    <w:rsid w:val="00CF3CF0"/>
    <w:rsid w:val="00CF5421"/>
    <w:rsid w:val="00CF71DB"/>
    <w:rsid w:val="00CF72CD"/>
    <w:rsid w:val="00CF7352"/>
    <w:rsid w:val="00CF74FC"/>
    <w:rsid w:val="00CF755F"/>
    <w:rsid w:val="00CF76E3"/>
    <w:rsid w:val="00CF7D02"/>
    <w:rsid w:val="00D00856"/>
    <w:rsid w:val="00D01B85"/>
    <w:rsid w:val="00D01E34"/>
    <w:rsid w:val="00D024E7"/>
    <w:rsid w:val="00D02751"/>
    <w:rsid w:val="00D033E3"/>
    <w:rsid w:val="00D035B6"/>
    <w:rsid w:val="00D039B0"/>
    <w:rsid w:val="00D041E4"/>
    <w:rsid w:val="00D04961"/>
    <w:rsid w:val="00D04BE1"/>
    <w:rsid w:val="00D05625"/>
    <w:rsid w:val="00D05788"/>
    <w:rsid w:val="00D06BE0"/>
    <w:rsid w:val="00D06CDB"/>
    <w:rsid w:val="00D078D7"/>
    <w:rsid w:val="00D07BAC"/>
    <w:rsid w:val="00D10549"/>
    <w:rsid w:val="00D10F84"/>
    <w:rsid w:val="00D119B4"/>
    <w:rsid w:val="00D11EA8"/>
    <w:rsid w:val="00D12F92"/>
    <w:rsid w:val="00D13CC1"/>
    <w:rsid w:val="00D15286"/>
    <w:rsid w:val="00D16BA2"/>
    <w:rsid w:val="00D20582"/>
    <w:rsid w:val="00D22937"/>
    <w:rsid w:val="00D22B2A"/>
    <w:rsid w:val="00D22F33"/>
    <w:rsid w:val="00D23134"/>
    <w:rsid w:val="00D24131"/>
    <w:rsid w:val="00D24DDB"/>
    <w:rsid w:val="00D25C25"/>
    <w:rsid w:val="00D25EC2"/>
    <w:rsid w:val="00D25ECA"/>
    <w:rsid w:val="00D270A8"/>
    <w:rsid w:val="00D27AE0"/>
    <w:rsid w:val="00D27DD6"/>
    <w:rsid w:val="00D27F76"/>
    <w:rsid w:val="00D309F6"/>
    <w:rsid w:val="00D315BA"/>
    <w:rsid w:val="00D315DD"/>
    <w:rsid w:val="00D31BB3"/>
    <w:rsid w:val="00D31F1A"/>
    <w:rsid w:val="00D33786"/>
    <w:rsid w:val="00D3444E"/>
    <w:rsid w:val="00D347EF"/>
    <w:rsid w:val="00D34820"/>
    <w:rsid w:val="00D34DFE"/>
    <w:rsid w:val="00D35380"/>
    <w:rsid w:val="00D3538A"/>
    <w:rsid w:val="00D35A50"/>
    <w:rsid w:val="00D366F9"/>
    <w:rsid w:val="00D36BC0"/>
    <w:rsid w:val="00D36D90"/>
    <w:rsid w:val="00D3750B"/>
    <w:rsid w:val="00D3796A"/>
    <w:rsid w:val="00D37EFA"/>
    <w:rsid w:val="00D4025B"/>
    <w:rsid w:val="00D408E2"/>
    <w:rsid w:val="00D41C55"/>
    <w:rsid w:val="00D421A2"/>
    <w:rsid w:val="00D4228E"/>
    <w:rsid w:val="00D4243C"/>
    <w:rsid w:val="00D42844"/>
    <w:rsid w:val="00D42F53"/>
    <w:rsid w:val="00D447E5"/>
    <w:rsid w:val="00D44D32"/>
    <w:rsid w:val="00D456FA"/>
    <w:rsid w:val="00D46B44"/>
    <w:rsid w:val="00D515AA"/>
    <w:rsid w:val="00D51744"/>
    <w:rsid w:val="00D51C98"/>
    <w:rsid w:val="00D523F1"/>
    <w:rsid w:val="00D53B52"/>
    <w:rsid w:val="00D53D2D"/>
    <w:rsid w:val="00D54154"/>
    <w:rsid w:val="00D548F8"/>
    <w:rsid w:val="00D54AB4"/>
    <w:rsid w:val="00D5535C"/>
    <w:rsid w:val="00D56773"/>
    <w:rsid w:val="00D56A8B"/>
    <w:rsid w:val="00D5776F"/>
    <w:rsid w:val="00D57778"/>
    <w:rsid w:val="00D60A68"/>
    <w:rsid w:val="00D6168F"/>
    <w:rsid w:val="00D616E7"/>
    <w:rsid w:val="00D61815"/>
    <w:rsid w:val="00D6269F"/>
    <w:rsid w:val="00D63074"/>
    <w:rsid w:val="00D637E0"/>
    <w:rsid w:val="00D64A67"/>
    <w:rsid w:val="00D64F4D"/>
    <w:rsid w:val="00D64F86"/>
    <w:rsid w:val="00D652A5"/>
    <w:rsid w:val="00D655B3"/>
    <w:rsid w:val="00D65BF6"/>
    <w:rsid w:val="00D65C76"/>
    <w:rsid w:val="00D6741E"/>
    <w:rsid w:val="00D675FE"/>
    <w:rsid w:val="00D67FB5"/>
    <w:rsid w:val="00D701CD"/>
    <w:rsid w:val="00D701FC"/>
    <w:rsid w:val="00D70915"/>
    <w:rsid w:val="00D70EE3"/>
    <w:rsid w:val="00D71428"/>
    <w:rsid w:val="00D716F7"/>
    <w:rsid w:val="00D717BC"/>
    <w:rsid w:val="00D71A2E"/>
    <w:rsid w:val="00D72259"/>
    <w:rsid w:val="00D7236F"/>
    <w:rsid w:val="00D72CFE"/>
    <w:rsid w:val="00D72FBD"/>
    <w:rsid w:val="00D73590"/>
    <w:rsid w:val="00D73A99"/>
    <w:rsid w:val="00D73E35"/>
    <w:rsid w:val="00D74606"/>
    <w:rsid w:val="00D74C4D"/>
    <w:rsid w:val="00D75B0C"/>
    <w:rsid w:val="00D76186"/>
    <w:rsid w:val="00D765E6"/>
    <w:rsid w:val="00D76746"/>
    <w:rsid w:val="00D7697F"/>
    <w:rsid w:val="00D77B24"/>
    <w:rsid w:val="00D802B2"/>
    <w:rsid w:val="00D805F9"/>
    <w:rsid w:val="00D813C1"/>
    <w:rsid w:val="00D8205C"/>
    <w:rsid w:val="00D84350"/>
    <w:rsid w:val="00D844EF"/>
    <w:rsid w:val="00D84965"/>
    <w:rsid w:val="00D84E26"/>
    <w:rsid w:val="00D84F3E"/>
    <w:rsid w:val="00D85BB6"/>
    <w:rsid w:val="00D85D4D"/>
    <w:rsid w:val="00D86671"/>
    <w:rsid w:val="00D86BAA"/>
    <w:rsid w:val="00D871A8"/>
    <w:rsid w:val="00D87946"/>
    <w:rsid w:val="00D87BC0"/>
    <w:rsid w:val="00D87C23"/>
    <w:rsid w:val="00D9090E"/>
    <w:rsid w:val="00D91271"/>
    <w:rsid w:val="00D9174C"/>
    <w:rsid w:val="00D9240E"/>
    <w:rsid w:val="00D924A5"/>
    <w:rsid w:val="00D93059"/>
    <w:rsid w:val="00D932F6"/>
    <w:rsid w:val="00D93531"/>
    <w:rsid w:val="00D95039"/>
    <w:rsid w:val="00D958EA"/>
    <w:rsid w:val="00D95967"/>
    <w:rsid w:val="00D96567"/>
    <w:rsid w:val="00D96AA7"/>
    <w:rsid w:val="00D96F87"/>
    <w:rsid w:val="00D97793"/>
    <w:rsid w:val="00DA011A"/>
    <w:rsid w:val="00DA063D"/>
    <w:rsid w:val="00DA1476"/>
    <w:rsid w:val="00DA1598"/>
    <w:rsid w:val="00DA15C4"/>
    <w:rsid w:val="00DA1C5A"/>
    <w:rsid w:val="00DA2169"/>
    <w:rsid w:val="00DA2B9C"/>
    <w:rsid w:val="00DA2EB4"/>
    <w:rsid w:val="00DA2F73"/>
    <w:rsid w:val="00DA4101"/>
    <w:rsid w:val="00DA42E8"/>
    <w:rsid w:val="00DA4A53"/>
    <w:rsid w:val="00DA5D46"/>
    <w:rsid w:val="00DA7AE6"/>
    <w:rsid w:val="00DA7BEB"/>
    <w:rsid w:val="00DB0760"/>
    <w:rsid w:val="00DB0DE2"/>
    <w:rsid w:val="00DB114A"/>
    <w:rsid w:val="00DB1392"/>
    <w:rsid w:val="00DB17B7"/>
    <w:rsid w:val="00DB17C5"/>
    <w:rsid w:val="00DB1D00"/>
    <w:rsid w:val="00DB1D26"/>
    <w:rsid w:val="00DB1D29"/>
    <w:rsid w:val="00DB270E"/>
    <w:rsid w:val="00DB2C2B"/>
    <w:rsid w:val="00DB2CEA"/>
    <w:rsid w:val="00DB2FDC"/>
    <w:rsid w:val="00DB3458"/>
    <w:rsid w:val="00DB37A0"/>
    <w:rsid w:val="00DB3BD9"/>
    <w:rsid w:val="00DB4A10"/>
    <w:rsid w:val="00DB4CD9"/>
    <w:rsid w:val="00DB54B1"/>
    <w:rsid w:val="00DB581C"/>
    <w:rsid w:val="00DB6312"/>
    <w:rsid w:val="00DB660D"/>
    <w:rsid w:val="00DB6E42"/>
    <w:rsid w:val="00DB71BC"/>
    <w:rsid w:val="00DB72CC"/>
    <w:rsid w:val="00DB748D"/>
    <w:rsid w:val="00DC0019"/>
    <w:rsid w:val="00DC018B"/>
    <w:rsid w:val="00DC05B9"/>
    <w:rsid w:val="00DC0795"/>
    <w:rsid w:val="00DC0F3D"/>
    <w:rsid w:val="00DC193F"/>
    <w:rsid w:val="00DC1A83"/>
    <w:rsid w:val="00DC21D9"/>
    <w:rsid w:val="00DC2321"/>
    <w:rsid w:val="00DC23F0"/>
    <w:rsid w:val="00DC23F4"/>
    <w:rsid w:val="00DC2893"/>
    <w:rsid w:val="00DC30CF"/>
    <w:rsid w:val="00DC36D5"/>
    <w:rsid w:val="00DC3C4F"/>
    <w:rsid w:val="00DC41CF"/>
    <w:rsid w:val="00DC462F"/>
    <w:rsid w:val="00DC4DBE"/>
    <w:rsid w:val="00DC5CDC"/>
    <w:rsid w:val="00DC600B"/>
    <w:rsid w:val="00DC7081"/>
    <w:rsid w:val="00DC7486"/>
    <w:rsid w:val="00DC782F"/>
    <w:rsid w:val="00DD02F3"/>
    <w:rsid w:val="00DD0398"/>
    <w:rsid w:val="00DD0453"/>
    <w:rsid w:val="00DD071D"/>
    <w:rsid w:val="00DD156F"/>
    <w:rsid w:val="00DD1805"/>
    <w:rsid w:val="00DD1C66"/>
    <w:rsid w:val="00DD1D64"/>
    <w:rsid w:val="00DD27B1"/>
    <w:rsid w:val="00DD33CE"/>
    <w:rsid w:val="00DD36E8"/>
    <w:rsid w:val="00DD37FF"/>
    <w:rsid w:val="00DD54FE"/>
    <w:rsid w:val="00DD5D07"/>
    <w:rsid w:val="00DD601F"/>
    <w:rsid w:val="00DD6325"/>
    <w:rsid w:val="00DD6767"/>
    <w:rsid w:val="00DD6D4E"/>
    <w:rsid w:val="00DD752D"/>
    <w:rsid w:val="00DD7BAA"/>
    <w:rsid w:val="00DE01BB"/>
    <w:rsid w:val="00DE074C"/>
    <w:rsid w:val="00DE1776"/>
    <w:rsid w:val="00DE1A27"/>
    <w:rsid w:val="00DE1E17"/>
    <w:rsid w:val="00DE1F9D"/>
    <w:rsid w:val="00DE25BE"/>
    <w:rsid w:val="00DE2677"/>
    <w:rsid w:val="00DE2C6F"/>
    <w:rsid w:val="00DE2F25"/>
    <w:rsid w:val="00DE2FC0"/>
    <w:rsid w:val="00DE3605"/>
    <w:rsid w:val="00DE373D"/>
    <w:rsid w:val="00DE3D9A"/>
    <w:rsid w:val="00DE6FCC"/>
    <w:rsid w:val="00DE74E9"/>
    <w:rsid w:val="00DE7848"/>
    <w:rsid w:val="00DE7BBE"/>
    <w:rsid w:val="00DF14E6"/>
    <w:rsid w:val="00DF164A"/>
    <w:rsid w:val="00DF176D"/>
    <w:rsid w:val="00DF264B"/>
    <w:rsid w:val="00DF2AD6"/>
    <w:rsid w:val="00DF2DCE"/>
    <w:rsid w:val="00DF36CD"/>
    <w:rsid w:val="00DF376F"/>
    <w:rsid w:val="00DF53B7"/>
    <w:rsid w:val="00DF54AF"/>
    <w:rsid w:val="00DF5DA7"/>
    <w:rsid w:val="00DF5FA4"/>
    <w:rsid w:val="00DF6150"/>
    <w:rsid w:val="00DF61B0"/>
    <w:rsid w:val="00DF632A"/>
    <w:rsid w:val="00DF63F3"/>
    <w:rsid w:val="00DF65BF"/>
    <w:rsid w:val="00DF6731"/>
    <w:rsid w:val="00DF6971"/>
    <w:rsid w:val="00DF74D7"/>
    <w:rsid w:val="00DF767C"/>
    <w:rsid w:val="00DF7A5D"/>
    <w:rsid w:val="00E00015"/>
    <w:rsid w:val="00E00279"/>
    <w:rsid w:val="00E003E7"/>
    <w:rsid w:val="00E0047C"/>
    <w:rsid w:val="00E006C0"/>
    <w:rsid w:val="00E00C93"/>
    <w:rsid w:val="00E014AF"/>
    <w:rsid w:val="00E01C54"/>
    <w:rsid w:val="00E02B6B"/>
    <w:rsid w:val="00E03013"/>
    <w:rsid w:val="00E0473E"/>
    <w:rsid w:val="00E0525D"/>
    <w:rsid w:val="00E06709"/>
    <w:rsid w:val="00E06C35"/>
    <w:rsid w:val="00E06FAD"/>
    <w:rsid w:val="00E07810"/>
    <w:rsid w:val="00E133B3"/>
    <w:rsid w:val="00E1415A"/>
    <w:rsid w:val="00E148AA"/>
    <w:rsid w:val="00E148DB"/>
    <w:rsid w:val="00E14CA2"/>
    <w:rsid w:val="00E15676"/>
    <w:rsid w:val="00E169C5"/>
    <w:rsid w:val="00E173F3"/>
    <w:rsid w:val="00E206EA"/>
    <w:rsid w:val="00E20759"/>
    <w:rsid w:val="00E21BF4"/>
    <w:rsid w:val="00E222E7"/>
    <w:rsid w:val="00E22395"/>
    <w:rsid w:val="00E227C2"/>
    <w:rsid w:val="00E22FC0"/>
    <w:rsid w:val="00E23427"/>
    <w:rsid w:val="00E234D8"/>
    <w:rsid w:val="00E23640"/>
    <w:rsid w:val="00E236A2"/>
    <w:rsid w:val="00E23806"/>
    <w:rsid w:val="00E23C31"/>
    <w:rsid w:val="00E243DF"/>
    <w:rsid w:val="00E24EBD"/>
    <w:rsid w:val="00E24FA3"/>
    <w:rsid w:val="00E25165"/>
    <w:rsid w:val="00E258C3"/>
    <w:rsid w:val="00E25EF1"/>
    <w:rsid w:val="00E266C0"/>
    <w:rsid w:val="00E2691F"/>
    <w:rsid w:val="00E27DB9"/>
    <w:rsid w:val="00E301BB"/>
    <w:rsid w:val="00E3020A"/>
    <w:rsid w:val="00E30C2D"/>
    <w:rsid w:val="00E30F1C"/>
    <w:rsid w:val="00E31F6E"/>
    <w:rsid w:val="00E3225E"/>
    <w:rsid w:val="00E322E6"/>
    <w:rsid w:val="00E323D1"/>
    <w:rsid w:val="00E325D6"/>
    <w:rsid w:val="00E326B1"/>
    <w:rsid w:val="00E328CD"/>
    <w:rsid w:val="00E32F57"/>
    <w:rsid w:val="00E33F03"/>
    <w:rsid w:val="00E3415A"/>
    <w:rsid w:val="00E353CC"/>
    <w:rsid w:val="00E357A5"/>
    <w:rsid w:val="00E35BC6"/>
    <w:rsid w:val="00E36171"/>
    <w:rsid w:val="00E36185"/>
    <w:rsid w:val="00E36468"/>
    <w:rsid w:val="00E37469"/>
    <w:rsid w:val="00E3766A"/>
    <w:rsid w:val="00E376E0"/>
    <w:rsid w:val="00E37E4A"/>
    <w:rsid w:val="00E40F94"/>
    <w:rsid w:val="00E41051"/>
    <w:rsid w:val="00E4198F"/>
    <w:rsid w:val="00E41A1B"/>
    <w:rsid w:val="00E42351"/>
    <w:rsid w:val="00E42CC5"/>
    <w:rsid w:val="00E43813"/>
    <w:rsid w:val="00E43F4A"/>
    <w:rsid w:val="00E44223"/>
    <w:rsid w:val="00E4579C"/>
    <w:rsid w:val="00E45954"/>
    <w:rsid w:val="00E45D6D"/>
    <w:rsid w:val="00E46008"/>
    <w:rsid w:val="00E463B0"/>
    <w:rsid w:val="00E46B34"/>
    <w:rsid w:val="00E46F4B"/>
    <w:rsid w:val="00E471BD"/>
    <w:rsid w:val="00E47FC0"/>
    <w:rsid w:val="00E51016"/>
    <w:rsid w:val="00E518B6"/>
    <w:rsid w:val="00E51F75"/>
    <w:rsid w:val="00E52425"/>
    <w:rsid w:val="00E52E57"/>
    <w:rsid w:val="00E53177"/>
    <w:rsid w:val="00E532C4"/>
    <w:rsid w:val="00E537E0"/>
    <w:rsid w:val="00E54439"/>
    <w:rsid w:val="00E55664"/>
    <w:rsid w:val="00E556E3"/>
    <w:rsid w:val="00E568A2"/>
    <w:rsid w:val="00E570BE"/>
    <w:rsid w:val="00E57705"/>
    <w:rsid w:val="00E601B8"/>
    <w:rsid w:val="00E60916"/>
    <w:rsid w:val="00E6099E"/>
    <w:rsid w:val="00E60D57"/>
    <w:rsid w:val="00E61CA3"/>
    <w:rsid w:val="00E629B0"/>
    <w:rsid w:val="00E634F3"/>
    <w:rsid w:val="00E63C8B"/>
    <w:rsid w:val="00E6418C"/>
    <w:rsid w:val="00E64361"/>
    <w:rsid w:val="00E644A0"/>
    <w:rsid w:val="00E64688"/>
    <w:rsid w:val="00E653B0"/>
    <w:rsid w:val="00E6689A"/>
    <w:rsid w:val="00E66B4D"/>
    <w:rsid w:val="00E6752F"/>
    <w:rsid w:val="00E67631"/>
    <w:rsid w:val="00E67AE7"/>
    <w:rsid w:val="00E70015"/>
    <w:rsid w:val="00E70C2F"/>
    <w:rsid w:val="00E70DAB"/>
    <w:rsid w:val="00E70FEF"/>
    <w:rsid w:val="00E719AB"/>
    <w:rsid w:val="00E719DD"/>
    <w:rsid w:val="00E71C65"/>
    <w:rsid w:val="00E725B2"/>
    <w:rsid w:val="00E72695"/>
    <w:rsid w:val="00E728FA"/>
    <w:rsid w:val="00E7464B"/>
    <w:rsid w:val="00E74B01"/>
    <w:rsid w:val="00E75B5F"/>
    <w:rsid w:val="00E75D90"/>
    <w:rsid w:val="00E77CE7"/>
    <w:rsid w:val="00E80867"/>
    <w:rsid w:val="00E80A0C"/>
    <w:rsid w:val="00E81170"/>
    <w:rsid w:val="00E814D5"/>
    <w:rsid w:val="00E82557"/>
    <w:rsid w:val="00E826AD"/>
    <w:rsid w:val="00E835AF"/>
    <w:rsid w:val="00E84964"/>
    <w:rsid w:val="00E84DA8"/>
    <w:rsid w:val="00E85132"/>
    <w:rsid w:val="00E8563A"/>
    <w:rsid w:val="00E856CC"/>
    <w:rsid w:val="00E8574C"/>
    <w:rsid w:val="00E85775"/>
    <w:rsid w:val="00E859E5"/>
    <w:rsid w:val="00E862F3"/>
    <w:rsid w:val="00E8679B"/>
    <w:rsid w:val="00E86B81"/>
    <w:rsid w:val="00E877F6"/>
    <w:rsid w:val="00E90383"/>
    <w:rsid w:val="00E9068A"/>
    <w:rsid w:val="00E9228E"/>
    <w:rsid w:val="00E9252B"/>
    <w:rsid w:val="00E92A17"/>
    <w:rsid w:val="00E9431E"/>
    <w:rsid w:val="00E94335"/>
    <w:rsid w:val="00E94923"/>
    <w:rsid w:val="00E94ADA"/>
    <w:rsid w:val="00E95409"/>
    <w:rsid w:val="00E95D79"/>
    <w:rsid w:val="00E9622E"/>
    <w:rsid w:val="00E96623"/>
    <w:rsid w:val="00E967A9"/>
    <w:rsid w:val="00E96EB3"/>
    <w:rsid w:val="00E972C2"/>
    <w:rsid w:val="00E97B41"/>
    <w:rsid w:val="00E97C26"/>
    <w:rsid w:val="00E97EF8"/>
    <w:rsid w:val="00EA0B26"/>
    <w:rsid w:val="00EA15C5"/>
    <w:rsid w:val="00EA1A51"/>
    <w:rsid w:val="00EA2C48"/>
    <w:rsid w:val="00EA2FC7"/>
    <w:rsid w:val="00EA3757"/>
    <w:rsid w:val="00EA3D37"/>
    <w:rsid w:val="00EA4489"/>
    <w:rsid w:val="00EA4560"/>
    <w:rsid w:val="00EA47E6"/>
    <w:rsid w:val="00EA59ED"/>
    <w:rsid w:val="00EA6059"/>
    <w:rsid w:val="00EB0785"/>
    <w:rsid w:val="00EB1020"/>
    <w:rsid w:val="00EB1396"/>
    <w:rsid w:val="00EB265A"/>
    <w:rsid w:val="00EB27C5"/>
    <w:rsid w:val="00EB33F1"/>
    <w:rsid w:val="00EB48D4"/>
    <w:rsid w:val="00EB4C5E"/>
    <w:rsid w:val="00EB4E44"/>
    <w:rsid w:val="00EB4FE5"/>
    <w:rsid w:val="00EB5140"/>
    <w:rsid w:val="00EB5475"/>
    <w:rsid w:val="00EB5880"/>
    <w:rsid w:val="00EB5BC8"/>
    <w:rsid w:val="00EB5DF3"/>
    <w:rsid w:val="00EB6261"/>
    <w:rsid w:val="00EB63EA"/>
    <w:rsid w:val="00EB6460"/>
    <w:rsid w:val="00EB64EB"/>
    <w:rsid w:val="00EB681F"/>
    <w:rsid w:val="00EB68E2"/>
    <w:rsid w:val="00EC030A"/>
    <w:rsid w:val="00EC04CC"/>
    <w:rsid w:val="00EC09FE"/>
    <w:rsid w:val="00EC0B42"/>
    <w:rsid w:val="00EC10F8"/>
    <w:rsid w:val="00EC25EA"/>
    <w:rsid w:val="00EC2957"/>
    <w:rsid w:val="00EC2BDB"/>
    <w:rsid w:val="00EC33FC"/>
    <w:rsid w:val="00EC351A"/>
    <w:rsid w:val="00EC353B"/>
    <w:rsid w:val="00EC4A06"/>
    <w:rsid w:val="00EC4E7C"/>
    <w:rsid w:val="00EC53DA"/>
    <w:rsid w:val="00EC54D5"/>
    <w:rsid w:val="00EC55C3"/>
    <w:rsid w:val="00EC575B"/>
    <w:rsid w:val="00EC585C"/>
    <w:rsid w:val="00EC5D42"/>
    <w:rsid w:val="00EC6073"/>
    <w:rsid w:val="00EC7A80"/>
    <w:rsid w:val="00EC7B44"/>
    <w:rsid w:val="00ED168A"/>
    <w:rsid w:val="00ED1760"/>
    <w:rsid w:val="00ED26F8"/>
    <w:rsid w:val="00ED2819"/>
    <w:rsid w:val="00ED29F9"/>
    <w:rsid w:val="00ED40BB"/>
    <w:rsid w:val="00ED4187"/>
    <w:rsid w:val="00ED6A82"/>
    <w:rsid w:val="00ED6BB7"/>
    <w:rsid w:val="00ED6FE7"/>
    <w:rsid w:val="00ED758E"/>
    <w:rsid w:val="00ED77EF"/>
    <w:rsid w:val="00ED7B01"/>
    <w:rsid w:val="00ED7E1C"/>
    <w:rsid w:val="00EE02EA"/>
    <w:rsid w:val="00EE09B7"/>
    <w:rsid w:val="00EE0D89"/>
    <w:rsid w:val="00EE1513"/>
    <w:rsid w:val="00EE174E"/>
    <w:rsid w:val="00EE1EFF"/>
    <w:rsid w:val="00EE2941"/>
    <w:rsid w:val="00EE3437"/>
    <w:rsid w:val="00EE3C5D"/>
    <w:rsid w:val="00EE3FA6"/>
    <w:rsid w:val="00EE44D7"/>
    <w:rsid w:val="00EE5F30"/>
    <w:rsid w:val="00EE664F"/>
    <w:rsid w:val="00EE6DE7"/>
    <w:rsid w:val="00EE7223"/>
    <w:rsid w:val="00EE75CB"/>
    <w:rsid w:val="00EE7736"/>
    <w:rsid w:val="00EE7AF4"/>
    <w:rsid w:val="00EE7D13"/>
    <w:rsid w:val="00EE7EFD"/>
    <w:rsid w:val="00EF0C28"/>
    <w:rsid w:val="00EF174C"/>
    <w:rsid w:val="00EF2187"/>
    <w:rsid w:val="00EF21C9"/>
    <w:rsid w:val="00EF360E"/>
    <w:rsid w:val="00EF47A2"/>
    <w:rsid w:val="00EF5DD8"/>
    <w:rsid w:val="00EF637B"/>
    <w:rsid w:val="00EF63F0"/>
    <w:rsid w:val="00EF6B22"/>
    <w:rsid w:val="00EF72DE"/>
    <w:rsid w:val="00EF730B"/>
    <w:rsid w:val="00EF75D5"/>
    <w:rsid w:val="00EF76AC"/>
    <w:rsid w:val="00EF799B"/>
    <w:rsid w:val="00EF7FA2"/>
    <w:rsid w:val="00F004C2"/>
    <w:rsid w:val="00F00535"/>
    <w:rsid w:val="00F00CFF"/>
    <w:rsid w:val="00F01382"/>
    <w:rsid w:val="00F02A58"/>
    <w:rsid w:val="00F02BE1"/>
    <w:rsid w:val="00F02C16"/>
    <w:rsid w:val="00F03541"/>
    <w:rsid w:val="00F047DD"/>
    <w:rsid w:val="00F0484A"/>
    <w:rsid w:val="00F04C23"/>
    <w:rsid w:val="00F06C44"/>
    <w:rsid w:val="00F06F3C"/>
    <w:rsid w:val="00F079BF"/>
    <w:rsid w:val="00F100DF"/>
    <w:rsid w:val="00F10490"/>
    <w:rsid w:val="00F11726"/>
    <w:rsid w:val="00F11F8C"/>
    <w:rsid w:val="00F12B33"/>
    <w:rsid w:val="00F135A8"/>
    <w:rsid w:val="00F13ED5"/>
    <w:rsid w:val="00F14188"/>
    <w:rsid w:val="00F14C6D"/>
    <w:rsid w:val="00F14D4C"/>
    <w:rsid w:val="00F14F86"/>
    <w:rsid w:val="00F158F7"/>
    <w:rsid w:val="00F15910"/>
    <w:rsid w:val="00F15AB3"/>
    <w:rsid w:val="00F15D00"/>
    <w:rsid w:val="00F1664B"/>
    <w:rsid w:val="00F167C5"/>
    <w:rsid w:val="00F16A79"/>
    <w:rsid w:val="00F17365"/>
    <w:rsid w:val="00F17380"/>
    <w:rsid w:val="00F205D5"/>
    <w:rsid w:val="00F20D3D"/>
    <w:rsid w:val="00F21F90"/>
    <w:rsid w:val="00F23639"/>
    <w:rsid w:val="00F238DA"/>
    <w:rsid w:val="00F239FE"/>
    <w:rsid w:val="00F23E11"/>
    <w:rsid w:val="00F23ED9"/>
    <w:rsid w:val="00F2423B"/>
    <w:rsid w:val="00F24317"/>
    <w:rsid w:val="00F247D7"/>
    <w:rsid w:val="00F24829"/>
    <w:rsid w:val="00F24A76"/>
    <w:rsid w:val="00F24BC7"/>
    <w:rsid w:val="00F24D56"/>
    <w:rsid w:val="00F25760"/>
    <w:rsid w:val="00F25878"/>
    <w:rsid w:val="00F25C9D"/>
    <w:rsid w:val="00F26F3E"/>
    <w:rsid w:val="00F27C55"/>
    <w:rsid w:val="00F303E8"/>
    <w:rsid w:val="00F3073F"/>
    <w:rsid w:val="00F30F1D"/>
    <w:rsid w:val="00F3100E"/>
    <w:rsid w:val="00F31150"/>
    <w:rsid w:val="00F31A91"/>
    <w:rsid w:val="00F32318"/>
    <w:rsid w:val="00F323DE"/>
    <w:rsid w:val="00F32E11"/>
    <w:rsid w:val="00F336E1"/>
    <w:rsid w:val="00F338F0"/>
    <w:rsid w:val="00F34112"/>
    <w:rsid w:val="00F3434D"/>
    <w:rsid w:val="00F34898"/>
    <w:rsid w:val="00F348B2"/>
    <w:rsid w:val="00F34F4F"/>
    <w:rsid w:val="00F35048"/>
    <w:rsid w:val="00F35990"/>
    <w:rsid w:val="00F359F6"/>
    <w:rsid w:val="00F35EFE"/>
    <w:rsid w:val="00F36193"/>
    <w:rsid w:val="00F363D5"/>
    <w:rsid w:val="00F36888"/>
    <w:rsid w:val="00F3726C"/>
    <w:rsid w:val="00F37A6A"/>
    <w:rsid w:val="00F4097E"/>
    <w:rsid w:val="00F40B4D"/>
    <w:rsid w:val="00F41182"/>
    <w:rsid w:val="00F4147B"/>
    <w:rsid w:val="00F42F27"/>
    <w:rsid w:val="00F4330E"/>
    <w:rsid w:val="00F4420C"/>
    <w:rsid w:val="00F44C7F"/>
    <w:rsid w:val="00F44CBD"/>
    <w:rsid w:val="00F456C7"/>
    <w:rsid w:val="00F465BA"/>
    <w:rsid w:val="00F471E7"/>
    <w:rsid w:val="00F47F7D"/>
    <w:rsid w:val="00F506AF"/>
    <w:rsid w:val="00F51A04"/>
    <w:rsid w:val="00F52642"/>
    <w:rsid w:val="00F52A37"/>
    <w:rsid w:val="00F52DE5"/>
    <w:rsid w:val="00F54158"/>
    <w:rsid w:val="00F54FA6"/>
    <w:rsid w:val="00F55591"/>
    <w:rsid w:val="00F5578B"/>
    <w:rsid w:val="00F55BDD"/>
    <w:rsid w:val="00F55C63"/>
    <w:rsid w:val="00F56B7C"/>
    <w:rsid w:val="00F57EED"/>
    <w:rsid w:val="00F602D4"/>
    <w:rsid w:val="00F610AB"/>
    <w:rsid w:val="00F616DA"/>
    <w:rsid w:val="00F61DFA"/>
    <w:rsid w:val="00F62BC2"/>
    <w:rsid w:val="00F6322C"/>
    <w:rsid w:val="00F636BE"/>
    <w:rsid w:val="00F65149"/>
    <w:rsid w:val="00F652B0"/>
    <w:rsid w:val="00F65793"/>
    <w:rsid w:val="00F65C7C"/>
    <w:rsid w:val="00F66AF8"/>
    <w:rsid w:val="00F677D5"/>
    <w:rsid w:val="00F67BD0"/>
    <w:rsid w:val="00F70DB9"/>
    <w:rsid w:val="00F70EE6"/>
    <w:rsid w:val="00F71A6E"/>
    <w:rsid w:val="00F727DF"/>
    <w:rsid w:val="00F72D79"/>
    <w:rsid w:val="00F7311E"/>
    <w:rsid w:val="00F731F8"/>
    <w:rsid w:val="00F73FD6"/>
    <w:rsid w:val="00F74423"/>
    <w:rsid w:val="00F751F7"/>
    <w:rsid w:val="00F75530"/>
    <w:rsid w:val="00F75FCD"/>
    <w:rsid w:val="00F7629A"/>
    <w:rsid w:val="00F76663"/>
    <w:rsid w:val="00F77276"/>
    <w:rsid w:val="00F77FB6"/>
    <w:rsid w:val="00F803C4"/>
    <w:rsid w:val="00F80EA5"/>
    <w:rsid w:val="00F81459"/>
    <w:rsid w:val="00F81B9B"/>
    <w:rsid w:val="00F82101"/>
    <w:rsid w:val="00F82A8C"/>
    <w:rsid w:val="00F83967"/>
    <w:rsid w:val="00F844BD"/>
    <w:rsid w:val="00F856DC"/>
    <w:rsid w:val="00F861C0"/>
    <w:rsid w:val="00F863A0"/>
    <w:rsid w:val="00F86568"/>
    <w:rsid w:val="00F9078E"/>
    <w:rsid w:val="00F90937"/>
    <w:rsid w:val="00F91923"/>
    <w:rsid w:val="00F931E4"/>
    <w:rsid w:val="00F933EF"/>
    <w:rsid w:val="00F9381F"/>
    <w:rsid w:val="00F93DD6"/>
    <w:rsid w:val="00F94359"/>
    <w:rsid w:val="00F945B1"/>
    <w:rsid w:val="00F952DA"/>
    <w:rsid w:val="00F957EA"/>
    <w:rsid w:val="00F95982"/>
    <w:rsid w:val="00F95C23"/>
    <w:rsid w:val="00F9694D"/>
    <w:rsid w:val="00F96A90"/>
    <w:rsid w:val="00F96F94"/>
    <w:rsid w:val="00F97342"/>
    <w:rsid w:val="00F9773B"/>
    <w:rsid w:val="00F97BEF"/>
    <w:rsid w:val="00F97CC7"/>
    <w:rsid w:val="00FA0393"/>
    <w:rsid w:val="00FA0CB8"/>
    <w:rsid w:val="00FA3026"/>
    <w:rsid w:val="00FA389D"/>
    <w:rsid w:val="00FA3A25"/>
    <w:rsid w:val="00FA3F28"/>
    <w:rsid w:val="00FA56B3"/>
    <w:rsid w:val="00FA57CA"/>
    <w:rsid w:val="00FA5C20"/>
    <w:rsid w:val="00FA5E0E"/>
    <w:rsid w:val="00FA6131"/>
    <w:rsid w:val="00FA62A5"/>
    <w:rsid w:val="00FA65AF"/>
    <w:rsid w:val="00FA6B97"/>
    <w:rsid w:val="00FA7874"/>
    <w:rsid w:val="00FA7C3B"/>
    <w:rsid w:val="00FA7F2D"/>
    <w:rsid w:val="00FB2008"/>
    <w:rsid w:val="00FB2A70"/>
    <w:rsid w:val="00FB2F56"/>
    <w:rsid w:val="00FB34DE"/>
    <w:rsid w:val="00FB3AF8"/>
    <w:rsid w:val="00FB3EFE"/>
    <w:rsid w:val="00FB42AA"/>
    <w:rsid w:val="00FB42FE"/>
    <w:rsid w:val="00FB53AD"/>
    <w:rsid w:val="00FB54D5"/>
    <w:rsid w:val="00FB5D3D"/>
    <w:rsid w:val="00FB6785"/>
    <w:rsid w:val="00FB6B96"/>
    <w:rsid w:val="00FB7CA2"/>
    <w:rsid w:val="00FB7D21"/>
    <w:rsid w:val="00FB7D2E"/>
    <w:rsid w:val="00FC00B7"/>
    <w:rsid w:val="00FC053E"/>
    <w:rsid w:val="00FC0A9E"/>
    <w:rsid w:val="00FC163A"/>
    <w:rsid w:val="00FC172E"/>
    <w:rsid w:val="00FC2B58"/>
    <w:rsid w:val="00FC33B1"/>
    <w:rsid w:val="00FC353E"/>
    <w:rsid w:val="00FC3623"/>
    <w:rsid w:val="00FC3CA9"/>
    <w:rsid w:val="00FC3FE8"/>
    <w:rsid w:val="00FC4ACF"/>
    <w:rsid w:val="00FC582E"/>
    <w:rsid w:val="00FC61B0"/>
    <w:rsid w:val="00FC6361"/>
    <w:rsid w:val="00FC6BD2"/>
    <w:rsid w:val="00FC7B62"/>
    <w:rsid w:val="00FD07FB"/>
    <w:rsid w:val="00FD0EFD"/>
    <w:rsid w:val="00FD179D"/>
    <w:rsid w:val="00FD1A26"/>
    <w:rsid w:val="00FD1A8D"/>
    <w:rsid w:val="00FD1B66"/>
    <w:rsid w:val="00FD29DC"/>
    <w:rsid w:val="00FD30B4"/>
    <w:rsid w:val="00FD384A"/>
    <w:rsid w:val="00FD5EE9"/>
    <w:rsid w:val="00FD6011"/>
    <w:rsid w:val="00FD655E"/>
    <w:rsid w:val="00FD6AAD"/>
    <w:rsid w:val="00FD7383"/>
    <w:rsid w:val="00FD7549"/>
    <w:rsid w:val="00FD754C"/>
    <w:rsid w:val="00FD7894"/>
    <w:rsid w:val="00FE045A"/>
    <w:rsid w:val="00FE078B"/>
    <w:rsid w:val="00FE0E55"/>
    <w:rsid w:val="00FE1307"/>
    <w:rsid w:val="00FE1C2F"/>
    <w:rsid w:val="00FE2C6E"/>
    <w:rsid w:val="00FE3B7B"/>
    <w:rsid w:val="00FE40A6"/>
    <w:rsid w:val="00FE4601"/>
    <w:rsid w:val="00FE5479"/>
    <w:rsid w:val="00FE5D73"/>
    <w:rsid w:val="00FE6F33"/>
    <w:rsid w:val="00FE741F"/>
    <w:rsid w:val="00FF0D99"/>
    <w:rsid w:val="00FF140B"/>
    <w:rsid w:val="00FF14E8"/>
    <w:rsid w:val="00FF18BD"/>
    <w:rsid w:val="00FF2015"/>
    <w:rsid w:val="00FF2E0C"/>
    <w:rsid w:val="00FF3E5B"/>
    <w:rsid w:val="00FF4CFE"/>
    <w:rsid w:val="00FF606F"/>
    <w:rsid w:val="00FF6366"/>
    <w:rsid w:val="00FF6747"/>
    <w:rsid w:val="00FF67E2"/>
    <w:rsid w:val="00FF67F4"/>
    <w:rsid w:val="00FF7794"/>
    <w:rsid w:val="00FF7884"/>
    <w:rsid w:val="00FF78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25A28A"/>
  <w15:docId w15:val="{0139A674-95E4-4AE0-A65C-58399715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138"/>
    <w:pPr>
      <w:spacing w:before="240" w:after="240"/>
    </w:pPr>
    <w:rPr>
      <w:rFonts w:ascii="Arial" w:hAnsi="Arial"/>
      <w:color w:val="000000"/>
      <w:sz w:val="24"/>
      <w:lang w:eastAsia="en-US"/>
    </w:rPr>
  </w:style>
  <w:style w:type="paragraph" w:styleId="Heading1">
    <w:name w:val="heading 1"/>
    <w:basedOn w:val="Normal"/>
    <w:next w:val="Normal"/>
    <w:link w:val="Heading1Char"/>
    <w:qFormat/>
    <w:rsid w:val="00F25760"/>
    <w:pPr>
      <w:keepNext/>
      <w:keepLines/>
      <w:numPr>
        <w:numId w:val="11"/>
      </w:numPr>
      <w:spacing w:before="360"/>
      <w:outlineLvl w:val="0"/>
    </w:pPr>
    <w:rPr>
      <w:b/>
      <w:bCs/>
      <w:sz w:val="28"/>
      <w:szCs w:val="28"/>
    </w:rPr>
  </w:style>
  <w:style w:type="paragraph" w:styleId="Heading2">
    <w:name w:val="heading 2"/>
    <w:basedOn w:val="Heading1"/>
    <w:next w:val="Normal"/>
    <w:link w:val="Heading2Char"/>
    <w:qFormat/>
    <w:rsid w:val="00012CC8"/>
    <w:pPr>
      <w:numPr>
        <w:ilvl w:val="1"/>
      </w:numPr>
      <w:tabs>
        <w:tab w:val="num" w:pos="284"/>
        <w:tab w:val="num" w:pos="567"/>
      </w:tabs>
      <w:ind w:left="1135"/>
      <w:outlineLvl w:val="1"/>
    </w:pPr>
    <w:rPr>
      <w:bCs w:val="0"/>
      <w:i/>
      <w:szCs w:val="26"/>
    </w:rPr>
  </w:style>
  <w:style w:type="paragraph" w:styleId="Heading3">
    <w:name w:val="heading 3"/>
    <w:basedOn w:val="Heading2"/>
    <w:next w:val="Normal"/>
    <w:link w:val="Heading3Char"/>
    <w:qFormat/>
    <w:rsid w:val="00F25760"/>
    <w:pPr>
      <w:numPr>
        <w:ilvl w:val="2"/>
      </w:numPr>
      <w:tabs>
        <w:tab w:val="num" w:pos="567"/>
      </w:tabs>
      <w:outlineLvl w:val="2"/>
    </w:pPr>
    <w:rPr>
      <w:b w:val="0"/>
      <w:bCs/>
      <w:color w:val="auto"/>
      <w:sz w:val="24"/>
    </w:rPr>
  </w:style>
  <w:style w:type="paragraph" w:styleId="Heading4">
    <w:name w:val="heading 4"/>
    <w:basedOn w:val="Heading3"/>
    <w:next w:val="Normal"/>
    <w:link w:val="Heading4Char"/>
    <w:qFormat/>
    <w:rsid w:val="00F25760"/>
    <w:pPr>
      <w:numPr>
        <w:ilvl w:val="3"/>
      </w:numPr>
      <w:outlineLvl w:val="3"/>
    </w:pPr>
    <w:rPr>
      <w:bCs w:val="0"/>
      <w:i w:val="0"/>
      <w:iCs/>
    </w:rPr>
  </w:style>
  <w:style w:type="paragraph" w:styleId="Heading5">
    <w:name w:val="heading 5"/>
    <w:basedOn w:val="Normal"/>
    <w:next w:val="Normal"/>
    <w:link w:val="Heading5Char"/>
    <w:qFormat/>
    <w:locked/>
    <w:rsid w:val="00F25760"/>
    <w:pPr>
      <w:keepNext/>
      <w:keepLines/>
      <w:numPr>
        <w:ilvl w:val="4"/>
        <w:numId w:val="11"/>
      </w:numPr>
      <w:spacing w:before="200"/>
      <w:outlineLvl w:val="4"/>
    </w:pPr>
    <w:rPr>
      <w:rFonts w:ascii="Cambria" w:hAnsi="Cambria"/>
      <w:color w:val="243F60"/>
    </w:rPr>
  </w:style>
  <w:style w:type="paragraph" w:styleId="Heading6">
    <w:name w:val="heading 6"/>
    <w:basedOn w:val="Normal"/>
    <w:next w:val="Normal"/>
    <w:link w:val="Heading6Char"/>
    <w:qFormat/>
    <w:locked/>
    <w:rsid w:val="00F25760"/>
    <w:pPr>
      <w:keepNext/>
      <w:keepLines/>
      <w:numPr>
        <w:ilvl w:val="5"/>
        <w:numId w:val="11"/>
      </w:numPr>
      <w:spacing w:before="200"/>
      <w:outlineLvl w:val="5"/>
    </w:pPr>
    <w:rPr>
      <w:rFonts w:ascii="Cambria" w:hAnsi="Cambria"/>
      <w:i/>
      <w:iCs/>
      <w:color w:val="243F60"/>
    </w:rPr>
  </w:style>
  <w:style w:type="paragraph" w:styleId="Heading7">
    <w:name w:val="heading 7"/>
    <w:basedOn w:val="Normal"/>
    <w:next w:val="Normal"/>
    <w:link w:val="Heading7Char"/>
    <w:qFormat/>
    <w:locked/>
    <w:rsid w:val="00F25760"/>
    <w:pPr>
      <w:keepNext/>
      <w:keepLines/>
      <w:numPr>
        <w:ilvl w:val="6"/>
        <w:numId w:val="11"/>
      </w:numPr>
      <w:spacing w:before="200"/>
      <w:outlineLvl w:val="6"/>
    </w:pPr>
    <w:rPr>
      <w:rFonts w:ascii="Cambria" w:hAnsi="Cambria"/>
      <w:i/>
      <w:iCs/>
      <w:color w:val="404040"/>
    </w:rPr>
  </w:style>
  <w:style w:type="paragraph" w:styleId="Heading8">
    <w:name w:val="heading 8"/>
    <w:basedOn w:val="Normal"/>
    <w:next w:val="Normal"/>
    <w:link w:val="Heading8Char"/>
    <w:qFormat/>
    <w:locked/>
    <w:rsid w:val="00F25760"/>
    <w:pPr>
      <w:keepNext/>
      <w:keepLines/>
      <w:tabs>
        <w:tab w:val="num" w:pos="0"/>
      </w:tabs>
      <w:spacing w:before="200"/>
      <w:ind w:left="1440" w:hanging="1440"/>
      <w:outlineLvl w:val="7"/>
    </w:pPr>
    <w:rPr>
      <w:rFonts w:ascii="Cambria" w:hAnsi="Cambria"/>
      <w:color w:val="404040"/>
      <w:sz w:val="20"/>
    </w:rPr>
  </w:style>
  <w:style w:type="paragraph" w:styleId="Heading9">
    <w:name w:val="heading 9"/>
    <w:basedOn w:val="Normal"/>
    <w:next w:val="Normal"/>
    <w:link w:val="Heading9Char"/>
    <w:qFormat/>
    <w:locked/>
    <w:rsid w:val="00F25760"/>
    <w:pPr>
      <w:keepNext/>
      <w:keepLines/>
      <w:tabs>
        <w:tab w:val="num" w:pos="0"/>
      </w:tab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25760"/>
    <w:rPr>
      <w:rFonts w:ascii="Arial" w:hAnsi="Arial"/>
      <w:b/>
      <w:bCs/>
      <w:color w:val="000000"/>
      <w:sz w:val="28"/>
      <w:szCs w:val="28"/>
      <w:lang w:eastAsia="en-US"/>
    </w:rPr>
  </w:style>
  <w:style w:type="character" w:customStyle="1" w:styleId="Heading2Char">
    <w:name w:val="Heading 2 Char"/>
    <w:link w:val="Heading2"/>
    <w:locked/>
    <w:rsid w:val="00012CC8"/>
    <w:rPr>
      <w:rFonts w:ascii="Arial" w:hAnsi="Arial"/>
      <w:b/>
      <w:i/>
      <w:color w:val="000000"/>
      <w:sz w:val="28"/>
      <w:szCs w:val="26"/>
      <w:lang w:eastAsia="en-US"/>
    </w:rPr>
  </w:style>
  <w:style w:type="character" w:customStyle="1" w:styleId="Heading3Char">
    <w:name w:val="Heading 3 Char"/>
    <w:link w:val="Heading3"/>
    <w:locked/>
    <w:rsid w:val="00F25760"/>
    <w:rPr>
      <w:rFonts w:ascii="Arial" w:hAnsi="Arial"/>
      <w:bCs/>
      <w:i/>
      <w:sz w:val="24"/>
      <w:szCs w:val="26"/>
      <w:lang w:eastAsia="en-US"/>
    </w:rPr>
  </w:style>
  <w:style w:type="character" w:customStyle="1" w:styleId="Heading4Char">
    <w:name w:val="Heading 4 Char"/>
    <w:link w:val="Heading4"/>
    <w:locked/>
    <w:rsid w:val="00F25760"/>
    <w:rPr>
      <w:rFonts w:ascii="Arial" w:hAnsi="Arial"/>
      <w:iCs/>
      <w:sz w:val="24"/>
      <w:szCs w:val="26"/>
      <w:lang w:eastAsia="en-US"/>
    </w:rPr>
  </w:style>
  <w:style w:type="character" w:customStyle="1" w:styleId="Heading5Char">
    <w:name w:val="Heading 5 Char"/>
    <w:link w:val="Heading5"/>
    <w:locked/>
    <w:rsid w:val="00F25760"/>
    <w:rPr>
      <w:rFonts w:ascii="Cambria" w:hAnsi="Cambria"/>
      <w:color w:val="243F60"/>
      <w:sz w:val="24"/>
      <w:lang w:eastAsia="en-US"/>
    </w:rPr>
  </w:style>
  <w:style w:type="character" w:customStyle="1" w:styleId="Heading6Char">
    <w:name w:val="Heading 6 Char"/>
    <w:link w:val="Heading6"/>
    <w:locked/>
    <w:rsid w:val="00F25760"/>
    <w:rPr>
      <w:rFonts w:ascii="Cambria" w:hAnsi="Cambria"/>
      <w:i/>
      <w:iCs/>
      <w:color w:val="243F60"/>
      <w:sz w:val="24"/>
      <w:lang w:eastAsia="en-US"/>
    </w:rPr>
  </w:style>
  <w:style w:type="character" w:customStyle="1" w:styleId="Heading7Char">
    <w:name w:val="Heading 7 Char"/>
    <w:link w:val="Heading7"/>
    <w:locked/>
    <w:rsid w:val="00F25760"/>
    <w:rPr>
      <w:rFonts w:ascii="Cambria" w:hAnsi="Cambria"/>
      <w:i/>
      <w:iCs/>
      <w:color w:val="404040"/>
      <w:sz w:val="24"/>
      <w:lang w:eastAsia="en-US"/>
    </w:rPr>
  </w:style>
  <w:style w:type="character" w:customStyle="1" w:styleId="Heading8Char">
    <w:name w:val="Heading 8 Char"/>
    <w:link w:val="Heading8"/>
    <w:locked/>
    <w:rsid w:val="00F25760"/>
    <w:rPr>
      <w:rFonts w:ascii="Cambria" w:hAnsi="Cambria"/>
      <w:color w:val="404040"/>
      <w:lang w:eastAsia="en-US"/>
    </w:rPr>
  </w:style>
  <w:style w:type="character" w:customStyle="1" w:styleId="Heading9Char">
    <w:name w:val="Heading 9 Char"/>
    <w:link w:val="Heading9"/>
    <w:locked/>
    <w:rsid w:val="00F25760"/>
    <w:rPr>
      <w:rFonts w:ascii="Cambria" w:hAnsi="Cambria"/>
      <w:i/>
      <w:iCs/>
      <w:color w:val="404040"/>
      <w:lang w:eastAsia="en-US"/>
    </w:rPr>
  </w:style>
  <w:style w:type="character" w:styleId="Strong">
    <w:name w:val="Strong"/>
    <w:qFormat/>
    <w:locked/>
    <w:rsid w:val="00F25760"/>
    <w:rPr>
      <w:b/>
      <w:bCs/>
    </w:rPr>
  </w:style>
  <w:style w:type="paragraph" w:styleId="Header">
    <w:name w:val="header"/>
    <w:basedOn w:val="Normal"/>
    <w:link w:val="HeaderChar"/>
    <w:uiPriority w:val="99"/>
    <w:semiHidden/>
    <w:rsid w:val="00E75D90"/>
    <w:pPr>
      <w:tabs>
        <w:tab w:val="center" w:pos="4513"/>
        <w:tab w:val="right" w:pos="9026"/>
      </w:tabs>
      <w:jc w:val="right"/>
    </w:pPr>
    <w:rPr>
      <w:sz w:val="22"/>
    </w:rPr>
  </w:style>
  <w:style w:type="character" w:customStyle="1" w:styleId="HeaderChar">
    <w:name w:val="Header Char"/>
    <w:basedOn w:val="DefaultParagraphFont"/>
    <w:link w:val="Header"/>
    <w:uiPriority w:val="99"/>
    <w:semiHidden/>
    <w:locked/>
    <w:rsid w:val="00E75D90"/>
    <w:rPr>
      <w:rFonts w:ascii="Arial" w:hAnsi="Arial" w:cs="Times New Roman"/>
      <w:sz w:val="24"/>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locked/>
    <w:rsid w:val="00E75D90"/>
    <w:rPr>
      <w:rFonts w:ascii="Arial" w:hAnsi="Arial" w:cs="Times New Roman"/>
      <w:sz w:val="24"/>
      <w:szCs w:val="24"/>
    </w:rPr>
  </w:style>
  <w:style w:type="paragraph" w:styleId="TOC3">
    <w:name w:val="toc 3"/>
    <w:basedOn w:val="Normal"/>
    <w:next w:val="Normal"/>
    <w:autoRedefine/>
    <w:uiPriority w:val="39"/>
    <w:qFormat/>
    <w:locked/>
    <w:rsid w:val="00F25760"/>
    <w:pPr>
      <w:tabs>
        <w:tab w:val="right" w:leader="dot" w:pos="9060"/>
      </w:tabs>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39"/>
    <w:qFormat/>
    <w:locked/>
    <w:rsid w:val="00F25760"/>
    <w:pPr>
      <w:tabs>
        <w:tab w:val="right" w:leader="dot" w:pos="9060"/>
      </w:tabs>
      <w:spacing w:after="0"/>
      <w:ind w:left="720" w:hanging="720"/>
    </w:pPr>
    <w:rPr>
      <w:b/>
      <w:noProof/>
    </w:rPr>
  </w:style>
  <w:style w:type="paragraph" w:styleId="TOC2">
    <w:name w:val="toc 2"/>
    <w:basedOn w:val="Normal"/>
    <w:next w:val="Normal"/>
    <w:autoRedefine/>
    <w:uiPriority w:val="39"/>
    <w:qFormat/>
    <w:locked/>
    <w:rsid w:val="00F25760"/>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Heading1"/>
    <w:next w:val="Normal"/>
    <w:uiPriority w:val="39"/>
    <w:qFormat/>
    <w:locked/>
    <w:rsid w:val="00F25760"/>
    <w:pPr>
      <w:numPr>
        <w:numId w:val="0"/>
      </w:numPr>
      <w:spacing w:before="480" w:after="0" w:line="276" w:lineRule="auto"/>
      <w:outlineLvl w:val="9"/>
    </w:pPr>
    <w:rPr>
      <w:rFonts w:ascii="Cambria" w:hAnsi="Cambria"/>
      <w:color w:val="365F91"/>
      <w:lang w:val="en-US"/>
    </w:rPr>
  </w:style>
  <w:style w:type="paragraph" w:styleId="EndnoteText">
    <w:name w:val="endnote text"/>
    <w:basedOn w:val="Normal"/>
    <w:link w:val="EndnoteTextChar"/>
    <w:rsid w:val="00706FAB"/>
  </w:style>
  <w:style w:type="character" w:customStyle="1" w:styleId="EndnoteTextChar">
    <w:name w:val="Endnote Text Char"/>
    <w:basedOn w:val="DefaultParagraphFont"/>
    <w:link w:val="EndnoteText"/>
    <w:locked/>
    <w:rsid w:val="00706FAB"/>
    <w:rPr>
      <w:rFonts w:ascii="Arial" w:hAnsi="Arial" w:cs="Times New Roman"/>
      <w:lang w:val="en-AU" w:eastAsia="en-AU" w:bidi="ar-SA"/>
    </w:rPr>
  </w:style>
  <w:style w:type="character" w:styleId="EndnoteReference">
    <w:name w:val="endnote reference"/>
    <w:basedOn w:val="DefaultParagraphFont"/>
    <w:rsid w:val="00074CD6"/>
    <w:rPr>
      <w:rFonts w:ascii="Arial" w:hAnsi="Arial" w:cs="Times New Roman"/>
      <w:sz w:val="20"/>
      <w:vertAlign w:val="superscript"/>
    </w:r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character" w:customStyle="1" w:styleId="BodyTextChar">
    <w:name w:val="Body Text Char"/>
    <w:basedOn w:val="DefaultParagraphFont"/>
    <w:link w:val="BodyText"/>
    <w:uiPriority w:val="99"/>
    <w:semiHidden/>
    <w:locked/>
    <w:rsid w:val="00DE2F25"/>
    <w:rPr>
      <w:rFonts w:ascii="Arial" w:hAnsi="Arial" w:cs="Times New Roman"/>
      <w:spacing w:val="-5"/>
      <w:sz w:val="20"/>
      <w:szCs w:val="20"/>
      <w:lang w:eastAsia="en-US"/>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locked/>
    <w:rsid w:val="00DE2F25"/>
    <w:rPr>
      <w:rFonts w:ascii="Arial" w:hAnsi="Arial" w:cs="Times New Roman"/>
      <w:spacing w:val="-5"/>
      <w:sz w:val="20"/>
      <w:szCs w:val="20"/>
      <w:lang w:eastAsia="en-US"/>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E2F25"/>
    <w:rPr>
      <w:rFonts w:ascii="Arial" w:hAnsi="Arial" w:cs="Times New Roman"/>
      <w:spacing w:val="-5"/>
      <w:sz w:val="16"/>
      <w:szCs w:val="16"/>
      <w:lang w:eastAsia="en-US"/>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locked/>
    <w:rsid w:val="00DE2F25"/>
    <w:rPr>
      <w:rFonts w:ascii="Arial" w:hAnsi="Arial" w:cs="Times New Roman"/>
      <w:spacing w:val="-5"/>
      <w:sz w:val="20"/>
      <w:szCs w:val="20"/>
      <w:lang w:eastAsia="en-US"/>
    </w:rPr>
  </w:style>
  <w:style w:type="paragraph" w:styleId="Date">
    <w:name w:val="Date"/>
    <w:basedOn w:val="Normal"/>
    <w:next w:val="Normal"/>
    <w:link w:val="DateChar"/>
    <w:uiPriority w:val="99"/>
    <w:semiHidden/>
    <w:locked/>
    <w:rsid w:val="00E45954"/>
  </w:style>
  <w:style w:type="character" w:customStyle="1" w:styleId="DateChar">
    <w:name w:val="Date Char"/>
    <w:basedOn w:val="DefaultParagraphFont"/>
    <w:link w:val="Date"/>
    <w:uiPriority w:val="99"/>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locked/>
    <w:rsid w:val="00DE2F25"/>
    <w:rPr>
      <w:rFonts w:ascii="Arial" w:hAnsi="Arial" w:cs="Times New Roman"/>
      <w:spacing w:val="-5"/>
      <w:sz w:val="20"/>
      <w:szCs w:val="20"/>
      <w:lang w:eastAsia="en-US"/>
    </w:rPr>
  </w:style>
  <w:style w:type="character" w:styleId="Emphasis">
    <w:name w:val="Emphasis"/>
    <w:qFormat/>
    <w:locked/>
    <w:rsid w:val="00F25760"/>
    <w:rPr>
      <w:i/>
      <w:iCs/>
    </w:rPr>
  </w:style>
  <w:style w:type="paragraph" w:styleId="EnvelopeAddress">
    <w:name w:val="envelope address"/>
    <w:basedOn w:val="Normal"/>
    <w:uiPriority w:val="99"/>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locked/>
    <w:rsid w:val="00E45954"/>
    <w:rPr>
      <w:rFonts w:cs="Arial"/>
    </w:rPr>
  </w:style>
  <w:style w:type="character" w:styleId="FootnoteReference">
    <w:name w:val="footnote reference"/>
    <w:basedOn w:val="DefaultParagraphFont"/>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
    <w:basedOn w:val="Normal"/>
    <w:link w:val="FootnoteTextChar"/>
    <w:semiHidden/>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semiHidden/>
    <w:locked/>
    <w:rsid w:val="00706FAB"/>
    <w:rPr>
      <w:rFonts w:ascii="Arial" w:hAnsi="Arial" w:cs="Times New Roman"/>
      <w:lang w:val="en-AU" w:eastAsia="en-AU" w:bidi="ar-SA"/>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locked/>
    <w:rsid w:val="00DE2F25"/>
    <w:rPr>
      <w:rFonts w:ascii="Arial" w:hAnsi="Arial" w:cs="Times New Roman"/>
      <w:i/>
      <w:iCs/>
      <w:spacing w:val="-5"/>
      <w:sz w:val="20"/>
      <w:szCs w:val="20"/>
      <w:lang w:eastAsia="en-US"/>
    </w:rPr>
  </w:style>
  <w:style w:type="character" w:styleId="HTMLCite">
    <w:name w:val="HTML Cite"/>
    <w:basedOn w:val="DefaultParagraphFont"/>
    <w:uiPriority w:val="99"/>
    <w:semiHidden/>
    <w:locked/>
    <w:rsid w:val="00E45954"/>
    <w:rPr>
      <w:rFonts w:cs="Times New Roman"/>
      <w:i/>
      <w:iCs/>
    </w:rPr>
  </w:style>
  <w:style w:type="character" w:styleId="HTMLCode">
    <w:name w:val="HTML Code"/>
    <w:basedOn w:val="DefaultParagraphFont"/>
    <w:uiPriority w:val="99"/>
    <w:semiHidden/>
    <w:locked/>
    <w:rsid w:val="00E45954"/>
    <w:rPr>
      <w:rFonts w:ascii="Courier New" w:hAnsi="Courier New" w:cs="Courier New"/>
      <w:sz w:val="20"/>
      <w:szCs w:val="20"/>
    </w:rPr>
  </w:style>
  <w:style w:type="character" w:styleId="HTMLDefinition">
    <w:name w:val="HTML Definition"/>
    <w:basedOn w:val="DefaultParagraphFont"/>
    <w:uiPriority w:val="99"/>
    <w:semiHidden/>
    <w:locked/>
    <w:rsid w:val="00E45954"/>
    <w:rPr>
      <w:rFonts w:cs="Times New Roman"/>
      <w:i/>
      <w:iCs/>
    </w:rPr>
  </w:style>
  <w:style w:type="character" w:styleId="HTMLKeyboard">
    <w:name w:val="HTML Keyboard"/>
    <w:basedOn w:val="DefaultParagraphFont"/>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E2F25"/>
    <w:rPr>
      <w:rFonts w:ascii="Courier New" w:hAnsi="Courier New" w:cs="Courier New"/>
      <w:spacing w:val="-5"/>
      <w:sz w:val="20"/>
      <w:szCs w:val="20"/>
      <w:lang w:eastAsia="en-US"/>
    </w:rPr>
  </w:style>
  <w:style w:type="character" w:styleId="HTMLSample">
    <w:name w:val="HTML Sample"/>
    <w:basedOn w:val="DefaultParagraphFont"/>
    <w:uiPriority w:val="99"/>
    <w:semiHidden/>
    <w:locked/>
    <w:rsid w:val="00E45954"/>
    <w:rPr>
      <w:rFonts w:ascii="Courier New" w:hAnsi="Courier New" w:cs="Courier New"/>
    </w:rPr>
  </w:style>
  <w:style w:type="character" w:styleId="HTMLTypewriter">
    <w:name w:val="HTML Typewriter"/>
    <w:basedOn w:val="DefaultParagraphFont"/>
    <w:uiPriority w:val="99"/>
    <w:semiHidden/>
    <w:locked/>
    <w:rsid w:val="00E45954"/>
    <w:rPr>
      <w:rFonts w:ascii="Courier New" w:hAnsi="Courier New" w:cs="Courier New"/>
      <w:sz w:val="20"/>
      <w:szCs w:val="20"/>
    </w:rPr>
  </w:style>
  <w:style w:type="character" w:styleId="HTMLVariable">
    <w:name w:val="HTML Variable"/>
    <w:basedOn w:val="DefaultParagraphFont"/>
    <w:uiPriority w:val="99"/>
    <w:semiHidden/>
    <w:locked/>
    <w:rsid w:val="00E45954"/>
    <w:rPr>
      <w:rFonts w:cs="Times New Roman"/>
      <w:i/>
      <w:iCs/>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2">
    <w:name w:val="List Bullet 2"/>
    <w:basedOn w:val="Normal"/>
    <w:uiPriority w:val="99"/>
    <w:semiHidden/>
    <w:locked/>
    <w:rsid w:val="00E45954"/>
    <w:pPr>
      <w:tabs>
        <w:tab w:val="num" w:pos="643"/>
      </w:tabs>
      <w:ind w:left="643" w:hanging="360"/>
    </w:pPr>
  </w:style>
  <w:style w:type="paragraph" w:styleId="ListBullet3">
    <w:name w:val="List Bullet 3"/>
    <w:basedOn w:val="Normal"/>
    <w:uiPriority w:val="99"/>
    <w:semiHidden/>
    <w:locked/>
    <w:rsid w:val="00E45954"/>
    <w:pPr>
      <w:tabs>
        <w:tab w:val="num" w:pos="926"/>
      </w:tabs>
      <w:ind w:left="926" w:hanging="360"/>
    </w:pPr>
  </w:style>
  <w:style w:type="paragraph" w:styleId="ListBullet4">
    <w:name w:val="List Bullet 4"/>
    <w:basedOn w:val="Normal"/>
    <w:uiPriority w:val="99"/>
    <w:semiHidden/>
    <w:locked/>
    <w:rsid w:val="00E45954"/>
    <w:pPr>
      <w:tabs>
        <w:tab w:val="num" w:pos="1209"/>
      </w:tabs>
      <w:ind w:left="1209" w:hanging="360"/>
    </w:pPr>
  </w:style>
  <w:style w:type="paragraph" w:styleId="ListBullet5">
    <w:name w:val="List Bullet 5"/>
    <w:basedOn w:val="Normal"/>
    <w:uiPriority w:val="99"/>
    <w:semiHidden/>
    <w:locked/>
    <w:rsid w:val="00E45954"/>
    <w:pPr>
      <w:tabs>
        <w:tab w:val="num" w:pos="1492"/>
      </w:tabs>
      <w:ind w:left="1492" w:hanging="360"/>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tabs>
        <w:tab w:val="num" w:pos="360"/>
      </w:tabs>
      <w:ind w:left="360" w:hanging="360"/>
    </w:pPr>
  </w:style>
  <w:style w:type="paragraph" w:styleId="ListNumber2">
    <w:name w:val="List Number 2"/>
    <w:basedOn w:val="Normal"/>
    <w:uiPriority w:val="99"/>
    <w:semiHidden/>
    <w:locked/>
    <w:rsid w:val="00E45954"/>
    <w:pPr>
      <w:tabs>
        <w:tab w:val="num" w:pos="643"/>
      </w:tabs>
      <w:ind w:left="643" w:hanging="360"/>
    </w:pPr>
  </w:style>
  <w:style w:type="paragraph" w:styleId="ListNumber3">
    <w:name w:val="List Number 3"/>
    <w:basedOn w:val="Normal"/>
    <w:uiPriority w:val="99"/>
    <w:semiHidden/>
    <w:locked/>
    <w:rsid w:val="00E45954"/>
    <w:pPr>
      <w:tabs>
        <w:tab w:val="num" w:pos="926"/>
      </w:tabs>
      <w:ind w:left="926" w:hanging="360"/>
    </w:pPr>
  </w:style>
  <w:style w:type="paragraph" w:styleId="ListNumber4">
    <w:name w:val="List Number 4"/>
    <w:basedOn w:val="Normal"/>
    <w:uiPriority w:val="99"/>
    <w:semiHidden/>
    <w:locked/>
    <w:rsid w:val="00E45954"/>
    <w:pPr>
      <w:tabs>
        <w:tab w:val="num" w:pos="1209"/>
      </w:tabs>
      <w:ind w:left="1209" w:hanging="360"/>
    </w:pPr>
  </w:style>
  <w:style w:type="paragraph" w:styleId="ListNumber5">
    <w:name w:val="List Number 5"/>
    <w:basedOn w:val="Normal"/>
    <w:uiPriority w:val="99"/>
    <w:semiHidden/>
    <w:locked/>
    <w:rsid w:val="00E45954"/>
    <w:pPr>
      <w:tabs>
        <w:tab w:val="num" w:pos="1492"/>
      </w:tabs>
      <w:ind w:left="1492" w:hanging="360"/>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customStyle="1" w:styleId="NoteHeadingChar">
    <w:name w:val="Note Heading Char"/>
    <w:basedOn w:val="DefaultParagraphFont"/>
    <w:link w:val="NoteHeading"/>
    <w:uiPriority w:val="99"/>
    <w:semiHidden/>
    <w:locked/>
    <w:rsid w:val="00DE2F25"/>
    <w:rPr>
      <w:rFonts w:ascii="Arial" w:hAnsi="Arial" w:cs="Times New Roman"/>
      <w:spacing w:val="-5"/>
      <w:sz w:val="20"/>
      <w:szCs w:val="20"/>
      <w:lang w:eastAsia="en-US"/>
    </w:rPr>
  </w:style>
  <w:style w:type="character" w:styleId="PageNumber">
    <w:name w:val="page number"/>
    <w:basedOn w:val="DefaultParagraphFont"/>
    <w:uiPriority w:val="99"/>
    <w:semiHidden/>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rPr>
  </w:style>
  <w:style w:type="character" w:customStyle="1" w:styleId="PlainTextChar">
    <w:name w:val="Plain Text Char"/>
    <w:basedOn w:val="DefaultParagraphFont"/>
    <w:link w:val="PlainText"/>
    <w:uiPriority w:val="99"/>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locked/>
    <w:rsid w:val="00DE2F25"/>
    <w:rPr>
      <w:rFonts w:ascii="Arial" w:hAnsi="Arial" w:cs="Times New Roman"/>
      <w:spacing w:val="-5"/>
      <w:sz w:val="20"/>
      <w:szCs w:val="20"/>
      <w:lang w:eastAsia="en-US"/>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locked/>
    <w:rsid w:val="00DE2F25"/>
    <w:rPr>
      <w:rFonts w:ascii="Arial" w:hAnsi="Arial" w:cs="Times New Roman"/>
      <w:spacing w:val="-5"/>
      <w:sz w:val="20"/>
      <w:szCs w:val="20"/>
      <w:lang w:eastAsia="en-US"/>
    </w:rPr>
  </w:style>
  <w:style w:type="paragraph" w:styleId="Subtitle">
    <w:name w:val="Subtitle"/>
    <w:basedOn w:val="Normal"/>
    <w:link w:val="SubtitleChar"/>
    <w:qFormat/>
    <w:locked/>
    <w:rsid w:val="00F25760"/>
    <w:pPr>
      <w:spacing w:after="60"/>
      <w:jc w:val="center"/>
      <w:outlineLvl w:val="1"/>
    </w:pPr>
    <w:rPr>
      <w:rFonts w:cs="Arial"/>
    </w:rPr>
  </w:style>
  <w:style w:type="character" w:customStyle="1" w:styleId="SubtitleChar">
    <w:name w:val="Subtitle Char"/>
    <w:basedOn w:val="DefaultParagraphFont"/>
    <w:link w:val="Subtitle"/>
    <w:locked/>
    <w:rsid w:val="00DE2F25"/>
    <w:rPr>
      <w:rFonts w:ascii="Arial" w:hAnsi="Arial" w:cs="Arial"/>
      <w:color w:val="000000"/>
      <w:sz w:val="24"/>
      <w:lang w:eastAsia="en-US"/>
    </w:rPr>
  </w:style>
  <w:style w:type="table" w:styleId="Table3Deffects1">
    <w:name w:val="Table 3D effects 1"/>
    <w:basedOn w:val="TableNormal"/>
    <w:uiPriority w:val="99"/>
    <w:semiHidden/>
    <w:locked/>
    <w:rsid w:val="00E45954"/>
    <w:pPr>
      <w:spacing w:after="24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25760"/>
    <w:pPr>
      <w:spacing w:after="60"/>
      <w:jc w:val="center"/>
      <w:outlineLvl w:val="0"/>
    </w:pPr>
    <w:rPr>
      <w:rFonts w:cs="Arial"/>
      <w:b/>
      <w:bCs/>
      <w:kern w:val="28"/>
      <w:sz w:val="32"/>
      <w:szCs w:val="32"/>
    </w:rPr>
  </w:style>
  <w:style w:type="character" w:customStyle="1" w:styleId="TitleChar">
    <w:name w:val="Title Char"/>
    <w:basedOn w:val="DefaultParagraphFont"/>
    <w:link w:val="Title"/>
    <w:locked/>
    <w:rsid w:val="00DE2F25"/>
    <w:rPr>
      <w:rFonts w:ascii="Arial" w:hAnsi="Arial" w:cs="Arial"/>
      <w:b/>
      <w:bCs/>
      <w:color w:val="000000"/>
      <w:kern w:val="28"/>
      <w:sz w:val="32"/>
      <w:szCs w:val="32"/>
      <w:lang w:eastAsia="en-US"/>
    </w:rPr>
  </w:style>
  <w:style w:type="character" w:styleId="FollowedHyperlink">
    <w:name w:val="FollowedHyperlink"/>
    <w:basedOn w:val="DefaultParagraphFont"/>
    <w:uiPriority w:val="99"/>
    <w:semiHidden/>
    <w:locked/>
    <w:rsid w:val="00E45954"/>
    <w:rPr>
      <w:rFonts w:cs="Times New Roman"/>
      <w:color w:val="800080"/>
      <w:u w:val="single"/>
    </w:rPr>
  </w:style>
  <w:style w:type="paragraph" w:styleId="ListBullet">
    <w:name w:val="List Bullet"/>
    <w:basedOn w:val="Normal"/>
    <w:uiPriority w:val="99"/>
    <w:semiHidden/>
    <w:locked/>
    <w:rsid w:val="00950E88"/>
    <w:pPr>
      <w:tabs>
        <w:tab w:val="num" w:pos="360"/>
      </w:tabs>
      <w:ind w:left="360" w:hanging="360"/>
    </w:pPr>
  </w:style>
  <w:style w:type="paragraph" w:customStyle="1" w:styleId="Contactdetails">
    <w:name w:val="Contact details"/>
    <w:basedOn w:val="Normal"/>
    <w:uiPriority w:val="99"/>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uiPriority w:val="99"/>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uiPriority w:val="99"/>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uiPriority w:val="99"/>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keepLines/>
      <w:spacing w:before="400" w:after="120" w:line="240" w:lineRule="atLeast"/>
      <w:ind w:left="-840"/>
    </w:pPr>
    <w:rPr>
      <w:rFonts w:ascii="Arial Black" w:hAnsi="Arial Black"/>
      <w:kern w:val="28"/>
      <w:sz w:val="96"/>
    </w:rPr>
  </w:style>
  <w:style w:type="character" w:styleId="CommentReference">
    <w:name w:val="annotation reference"/>
    <w:basedOn w:val="DefaultParagraphFont"/>
    <w:uiPriority w:val="99"/>
    <w:semiHidden/>
    <w:locked/>
    <w:rsid w:val="00C27C28"/>
    <w:rPr>
      <w:rFonts w:cs="Times New Roman"/>
      <w:sz w:val="16"/>
      <w:szCs w:val="16"/>
    </w:rPr>
  </w:style>
  <w:style w:type="paragraph" w:styleId="CommentText">
    <w:name w:val="annotation text"/>
    <w:basedOn w:val="Normal"/>
    <w:link w:val="CommentTextChar"/>
    <w:uiPriority w:val="99"/>
    <w:semiHidden/>
    <w:locked/>
    <w:rsid w:val="00C27C28"/>
  </w:style>
  <w:style w:type="character" w:customStyle="1" w:styleId="CommentTextChar">
    <w:name w:val="Comment Text Char"/>
    <w:basedOn w:val="DefaultParagraphFont"/>
    <w:link w:val="CommentText"/>
    <w:uiPriority w:val="99"/>
    <w:semiHidden/>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uiPriority w:val="99"/>
    <w:semiHidden/>
    <w:locked/>
    <w:rsid w:val="00C27C28"/>
    <w:rPr>
      <w:b/>
      <w:bCs/>
    </w:rPr>
  </w:style>
  <w:style w:type="character" w:customStyle="1" w:styleId="CommentSubjectChar">
    <w:name w:val="Comment Subject Char"/>
    <w:basedOn w:val="CommentTextChar"/>
    <w:link w:val="CommentSubject"/>
    <w:uiPriority w:val="99"/>
    <w:semiHidden/>
    <w:locked/>
    <w:rsid w:val="00DE2F25"/>
    <w:rPr>
      <w:rFonts w:ascii="Arial" w:hAnsi="Arial" w:cs="Times New Roman"/>
      <w:b/>
      <w:bCs/>
      <w:spacing w:val="-5"/>
      <w:sz w:val="20"/>
      <w:szCs w:val="20"/>
      <w:lang w:eastAsia="en-US"/>
    </w:rPr>
  </w:style>
  <w:style w:type="paragraph" w:styleId="BalloonText">
    <w:name w:val="Balloon Text"/>
    <w:basedOn w:val="Normal"/>
    <w:link w:val="BalloonTextChar"/>
    <w:uiPriority w:val="99"/>
    <w:semiHidden/>
    <w:locked/>
    <w:rsid w:val="00C27C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z w:val="22"/>
      <w:szCs w:val="22"/>
      <w:lang w:eastAsia="en-AU"/>
    </w:rPr>
  </w:style>
  <w:style w:type="paragraph" w:customStyle="1" w:styleId="indentii">
    <w:name w:val="indent(ii)"/>
    <w:aliases w:val="aa,paragraph(sub)"/>
    <w:basedOn w:val="indenta"/>
    <w:uiPriority w:val="99"/>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No Spacing11"/>
    <w:basedOn w:val="Normal"/>
    <w:link w:val="SubmissionNormalChar"/>
    <w:rsid w:val="00306EBC"/>
    <w:pPr>
      <w:numPr>
        <w:numId w:val="6"/>
      </w:numPr>
    </w:pPr>
    <w:rPr>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color w:val="000000"/>
      <w:sz w:val="24"/>
      <w:szCs w:val="24"/>
    </w:rPr>
  </w:style>
  <w:style w:type="paragraph" w:customStyle="1" w:styleId="msolistparagraph0">
    <w:name w:val="msolistparagraph"/>
    <w:basedOn w:val="Normal"/>
    <w:uiPriority w:val="99"/>
    <w:rsid w:val="00D35380"/>
    <w:pPr>
      <w:ind w:left="720"/>
    </w:pPr>
    <w:rPr>
      <w:rFonts w:ascii="Calibri" w:hAnsi="Calibri"/>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uiPriority w:val="99"/>
    <w:semiHidden/>
    <w:unhideWhenUsed/>
    <w:locked/>
    <w:rsid w:val="00F04B47"/>
    <w:pPr>
      <w:numPr>
        <w:numId w:val="3"/>
      </w:numPr>
    </w:pPr>
  </w:style>
  <w:style w:type="numbering" w:styleId="1ai">
    <w:name w:val="Outline List 1"/>
    <w:basedOn w:val="NoList"/>
    <w:uiPriority w:val="99"/>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semiHidden/>
    <w:unhideWhenUsed/>
    <w:locked/>
    <w:rsid w:val="00F04B47"/>
    <w:pPr>
      <w:numPr>
        <w:numId w:val="1"/>
      </w:numPr>
    </w:pPr>
  </w:style>
  <w:style w:type="paragraph" w:styleId="ListParagraph">
    <w:name w:val="List Paragraph"/>
    <w:basedOn w:val="Normal"/>
    <w:uiPriority w:val="34"/>
    <w:qFormat/>
    <w:rsid w:val="006935F1"/>
    <w:pPr>
      <w:ind w:left="720"/>
    </w:pPr>
  </w:style>
  <w:style w:type="paragraph" w:customStyle="1" w:styleId="paragraphsub">
    <w:name w:val="paragraphsub"/>
    <w:basedOn w:val="Normal"/>
    <w:rsid w:val="006A539A"/>
    <w:pPr>
      <w:spacing w:before="100" w:beforeAutospacing="1" w:after="100" w:afterAutospacing="1"/>
    </w:pPr>
    <w:rPr>
      <w:rFonts w:ascii="Times New Roman" w:hAnsi="Times New Roman"/>
      <w:szCs w:val="24"/>
      <w:lang w:eastAsia="en-AU"/>
    </w:rPr>
  </w:style>
  <w:style w:type="paragraph" w:customStyle="1" w:styleId="NameInsert">
    <w:name w:val="Name Insert"/>
    <w:basedOn w:val="BodyText"/>
    <w:rsid w:val="00846885"/>
    <w:pPr>
      <w:jc w:val="both"/>
    </w:pPr>
    <w:rPr>
      <w:lang w:val="en-US" w:bidi="en-US"/>
    </w:rPr>
  </w:style>
  <w:style w:type="paragraph" w:customStyle="1" w:styleId="Bullet">
    <w:name w:val="Bullet"/>
    <w:basedOn w:val="Normal"/>
    <w:rsid w:val="00BC6494"/>
    <w:pPr>
      <w:numPr>
        <w:numId w:val="8"/>
      </w:numPr>
      <w:spacing w:before="60" w:after="60" w:line="360" w:lineRule="exact"/>
      <w:jc w:val="both"/>
    </w:pPr>
  </w:style>
  <w:style w:type="paragraph" w:styleId="Quote">
    <w:name w:val="Quote"/>
    <w:basedOn w:val="Normal"/>
    <w:link w:val="QuoteChar"/>
    <w:uiPriority w:val="29"/>
    <w:qFormat/>
    <w:rsid w:val="002128CB"/>
    <w:rPr>
      <w:i/>
      <w:iCs/>
      <w:szCs w:val="24"/>
      <w:lang w:eastAsia="en-AU"/>
    </w:rPr>
  </w:style>
  <w:style w:type="character" w:customStyle="1" w:styleId="QuoteChar">
    <w:name w:val="Quote Char"/>
    <w:basedOn w:val="DefaultParagraphFont"/>
    <w:link w:val="Quote"/>
    <w:uiPriority w:val="29"/>
    <w:rsid w:val="002128CB"/>
    <w:rPr>
      <w:rFonts w:ascii="Arial" w:hAnsi="Arial"/>
      <w:i/>
      <w:iCs/>
      <w:color w:val="000000"/>
      <w:sz w:val="24"/>
      <w:szCs w:val="24"/>
    </w:rPr>
  </w:style>
  <w:style w:type="paragraph" w:customStyle="1" w:styleId="Dash">
    <w:name w:val="Dash"/>
    <w:basedOn w:val="Normal"/>
    <w:rsid w:val="0023527B"/>
    <w:pPr>
      <w:numPr>
        <w:numId w:val="82"/>
      </w:numPr>
      <w:tabs>
        <w:tab w:val="num" w:pos="360"/>
      </w:tabs>
      <w:spacing w:before="20" w:after="20" w:line="360" w:lineRule="exact"/>
      <w:ind w:left="0" w:firstLine="0"/>
      <w:jc w:val="both"/>
    </w:pPr>
  </w:style>
  <w:style w:type="paragraph" w:customStyle="1" w:styleId="Normal12pt">
    <w:name w:val="Normal + 12 pt"/>
    <w:basedOn w:val="Heading1"/>
    <w:rsid w:val="00AE50C0"/>
    <w:pPr>
      <w:numPr>
        <w:numId w:val="84"/>
      </w:numPr>
      <w:spacing w:after="0"/>
    </w:pPr>
    <w:rPr>
      <w:b w:val="0"/>
      <w:color w:val="auto"/>
      <w:spacing w:val="-5"/>
      <w:sz w:val="24"/>
      <w:szCs w:val="24"/>
    </w:rPr>
  </w:style>
  <w:style w:type="paragraph" w:customStyle="1" w:styleId="InternalTitleBold">
    <w:name w:val="Internal Title Bold"/>
    <w:basedOn w:val="Normal"/>
    <w:uiPriority w:val="99"/>
    <w:rsid w:val="00377199"/>
    <w:pPr>
      <w:keepNext/>
      <w:widowControl w:val="0"/>
      <w:tabs>
        <w:tab w:val="left" w:pos="567"/>
      </w:tabs>
      <w:suppressAutoHyphens/>
      <w:autoSpaceDE w:val="0"/>
      <w:autoSpaceDN w:val="0"/>
      <w:adjustRightInd w:val="0"/>
      <w:spacing w:before="0" w:after="283" w:line="400" w:lineRule="atLeast"/>
      <w:textAlignment w:val="center"/>
    </w:pPr>
    <w:rPr>
      <w:rFonts w:ascii="HelveticaCYBold" w:hAnsi="HelveticaCYBold" w:cs="HelveticaCYBold"/>
      <w:b/>
      <w:bCs/>
      <w:color w:val="4C4C4C"/>
      <w:sz w:val="36"/>
      <w:szCs w:val="36"/>
      <w:lang w:eastAsia="en-AU"/>
    </w:rPr>
  </w:style>
  <w:style w:type="paragraph" w:customStyle="1" w:styleId="InternalSubTitlePlain">
    <w:name w:val="Internal Sub Title Plain"/>
    <w:basedOn w:val="Normal"/>
    <w:uiPriority w:val="99"/>
    <w:rsid w:val="00377199"/>
    <w:pPr>
      <w:keepNext/>
      <w:widowControl w:val="0"/>
      <w:tabs>
        <w:tab w:val="left" w:pos="567"/>
      </w:tabs>
      <w:suppressAutoHyphens/>
      <w:autoSpaceDE w:val="0"/>
      <w:autoSpaceDN w:val="0"/>
      <w:adjustRightInd w:val="0"/>
      <w:spacing w:before="0" w:after="850" w:line="360" w:lineRule="atLeast"/>
      <w:textAlignment w:val="center"/>
    </w:pPr>
    <w:rPr>
      <w:rFonts w:ascii="HelveticaCYPlain" w:hAnsi="HelveticaCYPlain" w:cs="HelveticaCYPlain"/>
      <w:color w:val="4C4C4C"/>
      <w:sz w:val="32"/>
      <w:szCs w:val="32"/>
      <w:lang w:eastAsia="en-AU"/>
    </w:rPr>
  </w:style>
  <w:style w:type="paragraph" w:customStyle="1" w:styleId="CopyrightText">
    <w:name w:val="Copyright Text"/>
    <w:basedOn w:val="Normal"/>
    <w:uiPriority w:val="99"/>
    <w:rsid w:val="00377199"/>
    <w:pPr>
      <w:widowControl w:val="0"/>
      <w:tabs>
        <w:tab w:val="left" w:pos="170"/>
      </w:tabs>
      <w:suppressAutoHyphens/>
      <w:autoSpaceDE w:val="0"/>
      <w:autoSpaceDN w:val="0"/>
      <w:adjustRightInd w:val="0"/>
      <w:spacing w:before="0" w:after="57" w:line="288" w:lineRule="auto"/>
      <w:textAlignment w:val="center"/>
    </w:pPr>
    <w:rPr>
      <w:rFonts w:eastAsiaTheme="minorEastAsia" w:cs="HelveticaCYPlain"/>
      <w:color w:val="auto"/>
      <w:sz w:val="20"/>
      <w:szCs w:val="16"/>
      <w:u w:color="000000"/>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9820">
      <w:marLeft w:val="0"/>
      <w:marRight w:val="0"/>
      <w:marTop w:val="0"/>
      <w:marBottom w:val="0"/>
      <w:divBdr>
        <w:top w:val="none" w:sz="0" w:space="0" w:color="auto"/>
        <w:left w:val="none" w:sz="0" w:space="0" w:color="auto"/>
        <w:bottom w:val="none" w:sz="0" w:space="0" w:color="auto"/>
        <w:right w:val="none" w:sz="0" w:space="0" w:color="auto"/>
      </w:divBdr>
      <w:divsChild>
        <w:div w:id="103619826">
          <w:marLeft w:val="0"/>
          <w:marRight w:val="0"/>
          <w:marTop w:val="0"/>
          <w:marBottom w:val="0"/>
          <w:divBdr>
            <w:top w:val="none" w:sz="0" w:space="0" w:color="auto"/>
            <w:left w:val="none" w:sz="0" w:space="0" w:color="auto"/>
            <w:bottom w:val="none" w:sz="0" w:space="0" w:color="auto"/>
            <w:right w:val="none" w:sz="0" w:space="0" w:color="auto"/>
          </w:divBdr>
          <w:divsChild>
            <w:div w:id="1036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21">
      <w:marLeft w:val="0"/>
      <w:marRight w:val="0"/>
      <w:marTop w:val="0"/>
      <w:marBottom w:val="0"/>
      <w:divBdr>
        <w:top w:val="none" w:sz="0" w:space="0" w:color="auto"/>
        <w:left w:val="none" w:sz="0" w:space="0" w:color="auto"/>
        <w:bottom w:val="none" w:sz="0" w:space="0" w:color="auto"/>
        <w:right w:val="none" w:sz="0" w:space="0" w:color="auto"/>
      </w:divBdr>
    </w:div>
    <w:div w:id="103619822">
      <w:marLeft w:val="0"/>
      <w:marRight w:val="0"/>
      <w:marTop w:val="0"/>
      <w:marBottom w:val="0"/>
      <w:divBdr>
        <w:top w:val="none" w:sz="0" w:space="0" w:color="auto"/>
        <w:left w:val="none" w:sz="0" w:space="0" w:color="auto"/>
        <w:bottom w:val="none" w:sz="0" w:space="0" w:color="auto"/>
        <w:right w:val="none" w:sz="0" w:space="0" w:color="auto"/>
      </w:divBdr>
    </w:div>
    <w:div w:id="103619823">
      <w:marLeft w:val="0"/>
      <w:marRight w:val="0"/>
      <w:marTop w:val="0"/>
      <w:marBottom w:val="0"/>
      <w:divBdr>
        <w:top w:val="none" w:sz="0" w:space="0" w:color="auto"/>
        <w:left w:val="none" w:sz="0" w:space="0" w:color="auto"/>
        <w:bottom w:val="none" w:sz="0" w:space="0" w:color="auto"/>
        <w:right w:val="none" w:sz="0" w:space="0" w:color="auto"/>
      </w:divBdr>
    </w:div>
    <w:div w:id="103619824">
      <w:marLeft w:val="0"/>
      <w:marRight w:val="0"/>
      <w:marTop w:val="0"/>
      <w:marBottom w:val="0"/>
      <w:divBdr>
        <w:top w:val="none" w:sz="0" w:space="0" w:color="auto"/>
        <w:left w:val="none" w:sz="0" w:space="0" w:color="auto"/>
        <w:bottom w:val="none" w:sz="0" w:space="0" w:color="auto"/>
        <w:right w:val="none" w:sz="0" w:space="0" w:color="auto"/>
      </w:divBdr>
    </w:div>
    <w:div w:id="103619828">
      <w:marLeft w:val="0"/>
      <w:marRight w:val="0"/>
      <w:marTop w:val="0"/>
      <w:marBottom w:val="0"/>
      <w:divBdr>
        <w:top w:val="none" w:sz="0" w:space="0" w:color="auto"/>
        <w:left w:val="none" w:sz="0" w:space="0" w:color="auto"/>
        <w:bottom w:val="none" w:sz="0" w:space="0" w:color="auto"/>
        <w:right w:val="none" w:sz="0" w:space="0" w:color="auto"/>
      </w:divBdr>
    </w:div>
    <w:div w:id="103619829">
      <w:marLeft w:val="0"/>
      <w:marRight w:val="0"/>
      <w:marTop w:val="0"/>
      <w:marBottom w:val="0"/>
      <w:divBdr>
        <w:top w:val="none" w:sz="0" w:space="0" w:color="auto"/>
        <w:left w:val="none" w:sz="0" w:space="0" w:color="auto"/>
        <w:bottom w:val="none" w:sz="0" w:space="0" w:color="auto"/>
        <w:right w:val="none" w:sz="0" w:space="0" w:color="auto"/>
      </w:divBdr>
    </w:div>
    <w:div w:id="103619830">
      <w:marLeft w:val="0"/>
      <w:marRight w:val="0"/>
      <w:marTop w:val="0"/>
      <w:marBottom w:val="0"/>
      <w:divBdr>
        <w:top w:val="none" w:sz="0" w:space="0" w:color="auto"/>
        <w:left w:val="none" w:sz="0" w:space="0" w:color="auto"/>
        <w:bottom w:val="none" w:sz="0" w:space="0" w:color="auto"/>
        <w:right w:val="none" w:sz="0" w:space="0" w:color="auto"/>
      </w:divBdr>
      <w:divsChild>
        <w:div w:id="103619819">
          <w:marLeft w:val="0"/>
          <w:marRight w:val="0"/>
          <w:marTop w:val="0"/>
          <w:marBottom w:val="0"/>
          <w:divBdr>
            <w:top w:val="none" w:sz="0" w:space="0" w:color="auto"/>
            <w:left w:val="none" w:sz="0" w:space="0" w:color="auto"/>
            <w:bottom w:val="none" w:sz="0" w:space="0" w:color="auto"/>
            <w:right w:val="none" w:sz="0" w:space="0" w:color="auto"/>
          </w:divBdr>
          <w:divsChild>
            <w:div w:id="103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1">
      <w:marLeft w:val="0"/>
      <w:marRight w:val="0"/>
      <w:marTop w:val="0"/>
      <w:marBottom w:val="0"/>
      <w:divBdr>
        <w:top w:val="none" w:sz="0" w:space="0" w:color="auto"/>
        <w:left w:val="none" w:sz="0" w:space="0" w:color="auto"/>
        <w:bottom w:val="none" w:sz="0" w:space="0" w:color="auto"/>
        <w:right w:val="none" w:sz="0" w:space="0" w:color="auto"/>
      </w:divBdr>
    </w:div>
    <w:div w:id="103619832">
      <w:marLeft w:val="0"/>
      <w:marRight w:val="0"/>
      <w:marTop w:val="0"/>
      <w:marBottom w:val="0"/>
      <w:divBdr>
        <w:top w:val="none" w:sz="0" w:space="0" w:color="auto"/>
        <w:left w:val="none" w:sz="0" w:space="0" w:color="auto"/>
        <w:bottom w:val="none" w:sz="0" w:space="0" w:color="auto"/>
        <w:right w:val="none" w:sz="0" w:space="0" w:color="auto"/>
      </w:divBdr>
    </w:div>
    <w:div w:id="103619833">
      <w:marLeft w:val="0"/>
      <w:marRight w:val="0"/>
      <w:marTop w:val="0"/>
      <w:marBottom w:val="0"/>
      <w:divBdr>
        <w:top w:val="none" w:sz="0" w:space="0" w:color="auto"/>
        <w:left w:val="none" w:sz="0" w:space="0" w:color="auto"/>
        <w:bottom w:val="none" w:sz="0" w:space="0" w:color="auto"/>
        <w:right w:val="none" w:sz="0" w:space="0" w:color="auto"/>
      </w:divBdr>
    </w:div>
    <w:div w:id="103619834">
      <w:marLeft w:val="0"/>
      <w:marRight w:val="0"/>
      <w:marTop w:val="0"/>
      <w:marBottom w:val="0"/>
      <w:divBdr>
        <w:top w:val="none" w:sz="0" w:space="0" w:color="auto"/>
        <w:left w:val="none" w:sz="0" w:space="0" w:color="auto"/>
        <w:bottom w:val="none" w:sz="0" w:space="0" w:color="auto"/>
        <w:right w:val="none" w:sz="0" w:space="0" w:color="auto"/>
      </w:divBdr>
      <w:divsChild>
        <w:div w:id="103619836">
          <w:marLeft w:val="0"/>
          <w:marRight w:val="0"/>
          <w:marTop w:val="0"/>
          <w:marBottom w:val="0"/>
          <w:divBdr>
            <w:top w:val="none" w:sz="0" w:space="0" w:color="auto"/>
            <w:left w:val="none" w:sz="0" w:space="0" w:color="auto"/>
            <w:bottom w:val="none" w:sz="0" w:space="0" w:color="auto"/>
            <w:right w:val="none" w:sz="0" w:space="0" w:color="auto"/>
          </w:divBdr>
          <w:divsChild>
            <w:div w:id="103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5">
      <w:marLeft w:val="0"/>
      <w:marRight w:val="0"/>
      <w:marTop w:val="0"/>
      <w:marBottom w:val="0"/>
      <w:divBdr>
        <w:top w:val="none" w:sz="0" w:space="0" w:color="auto"/>
        <w:left w:val="none" w:sz="0" w:space="0" w:color="auto"/>
        <w:bottom w:val="none" w:sz="0" w:space="0" w:color="auto"/>
        <w:right w:val="none" w:sz="0" w:space="0" w:color="auto"/>
      </w:divBdr>
    </w:div>
    <w:div w:id="139539942">
      <w:bodyDiv w:val="1"/>
      <w:marLeft w:val="0"/>
      <w:marRight w:val="0"/>
      <w:marTop w:val="0"/>
      <w:marBottom w:val="0"/>
      <w:divBdr>
        <w:top w:val="none" w:sz="0" w:space="0" w:color="auto"/>
        <w:left w:val="none" w:sz="0" w:space="0" w:color="auto"/>
        <w:bottom w:val="none" w:sz="0" w:space="0" w:color="auto"/>
        <w:right w:val="none" w:sz="0" w:space="0" w:color="auto"/>
      </w:divBdr>
    </w:div>
    <w:div w:id="337469033">
      <w:bodyDiv w:val="1"/>
      <w:marLeft w:val="0"/>
      <w:marRight w:val="0"/>
      <w:marTop w:val="0"/>
      <w:marBottom w:val="0"/>
      <w:divBdr>
        <w:top w:val="none" w:sz="0" w:space="0" w:color="auto"/>
        <w:left w:val="none" w:sz="0" w:space="0" w:color="auto"/>
        <w:bottom w:val="none" w:sz="0" w:space="0" w:color="auto"/>
        <w:right w:val="none" w:sz="0" w:space="0" w:color="auto"/>
      </w:divBdr>
    </w:div>
    <w:div w:id="355353605">
      <w:bodyDiv w:val="1"/>
      <w:marLeft w:val="0"/>
      <w:marRight w:val="0"/>
      <w:marTop w:val="0"/>
      <w:marBottom w:val="0"/>
      <w:divBdr>
        <w:top w:val="none" w:sz="0" w:space="0" w:color="auto"/>
        <w:left w:val="none" w:sz="0" w:space="0" w:color="auto"/>
        <w:bottom w:val="none" w:sz="0" w:space="0" w:color="auto"/>
        <w:right w:val="none" w:sz="0" w:space="0" w:color="auto"/>
      </w:divBdr>
    </w:div>
    <w:div w:id="564148833">
      <w:bodyDiv w:val="1"/>
      <w:marLeft w:val="0"/>
      <w:marRight w:val="0"/>
      <w:marTop w:val="0"/>
      <w:marBottom w:val="0"/>
      <w:divBdr>
        <w:top w:val="none" w:sz="0" w:space="0" w:color="auto"/>
        <w:left w:val="none" w:sz="0" w:space="0" w:color="auto"/>
        <w:bottom w:val="none" w:sz="0" w:space="0" w:color="auto"/>
        <w:right w:val="none" w:sz="0" w:space="0" w:color="auto"/>
      </w:divBdr>
      <w:divsChild>
        <w:div w:id="1019815089">
          <w:marLeft w:val="0"/>
          <w:marRight w:val="0"/>
          <w:marTop w:val="0"/>
          <w:marBottom w:val="0"/>
          <w:divBdr>
            <w:top w:val="none" w:sz="0" w:space="0" w:color="auto"/>
            <w:left w:val="none" w:sz="0" w:space="0" w:color="auto"/>
            <w:bottom w:val="none" w:sz="0" w:space="0" w:color="auto"/>
            <w:right w:val="none" w:sz="0" w:space="0" w:color="auto"/>
          </w:divBdr>
          <w:divsChild>
            <w:div w:id="1470317821">
              <w:marLeft w:val="0"/>
              <w:marRight w:val="0"/>
              <w:marTop w:val="0"/>
              <w:marBottom w:val="0"/>
              <w:divBdr>
                <w:top w:val="none" w:sz="0" w:space="0" w:color="auto"/>
                <w:left w:val="none" w:sz="0" w:space="0" w:color="auto"/>
                <w:bottom w:val="none" w:sz="0" w:space="0" w:color="auto"/>
                <w:right w:val="none" w:sz="0" w:space="0" w:color="auto"/>
              </w:divBdr>
              <w:divsChild>
                <w:div w:id="15278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80739">
      <w:bodyDiv w:val="1"/>
      <w:marLeft w:val="0"/>
      <w:marRight w:val="0"/>
      <w:marTop w:val="0"/>
      <w:marBottom w:val="0"/>
      <w:divBdr>
        <w:top w:val="none" w:sz="0" w:space="0" w:color="auto"/>
        <w:left w:val="none" w:sz="0" w:space="0" w:color="auto"/>
        <w:bottom w:val="none" w:sz="0" w:space="0" w:color="auto"/>
        <w:right w:val="none" w:sz="0" w:space="0" w:color="auto"/>
      </w:divBdr>
    </w:div>
    <w:div w:id="1063715832">
      <w:bodyDiv w:val="1"/>
      <w:marLeft w:val="0"/>
      <w:marRight w:val="0"/>
      <w:marTop w:val="0"/>
      <w:marBottom w:val="0"/>
      <w:divBdr>
        <w:top w:val="none" w:sz="0" w:space="0" w:color="auto"/>
        <w:left w:val="none" w:sz="0" w:space="0" w:color="auto"/>
        <w:bottom w:val="none" w:sz="0" w:space="0" w:color="auto"/>
        <w:right w:val="none" w:sz="0" w:space="0" w:color="auto"/>
      </w:divBdr>
    </w:div>
    <w:div w:id="1156798644">
      <w:bodyDiv w:val="1"/>
      <w:marLeft w:val="0"/>
      <w:marRight w:val="0"/>
      <w:marTop w:val="0"/>
      <w:marBottom w:val="0"/>
      <w:divBdr>
        <w:top w:val="none" w:sz="0" w:space="0" w:color="auto"/>
        <w:left w:val="none" w:sz="0" w:space="0" w:color="auto"/>
        <w:bottom w:val="none" w:sz="0" w:space="0" w:color="auto"/>
        <w:right w:val="none" w:sz="0" w:space="0" w:color="auto"/>
      </w:divBdr>
    </w:div>
    <w:div w:id="1196650023">
      <w:bodyDiv w:val="1"/>
      <w:marLeft w:val="0"/>
      <w:marRight w:val="0"/>
      <w:marTop w:val="0"/>
      <w:marBottom w:val="0"/>
      <w:divBdr>
        <w:top w:val="none" w:sz="0" w:space="0" w:color="auto"/>
        <w:left w:val="none" w:sz="0" w:space="0" w:color="auto"/>
        <w:bottom w:val="none" w:sz="0" w:space="0" w:color="auto"/>
        <w:right w:val="none" w:sz="0" w:space="0" w:color="auto"/>
      </w:divBdr>
    </w:div>
    <w:div w:id="1293711185">
      <w:bodyDiv w:val="1"/>
      <w:marLeft w:val="0"/>
      <w:marRight w:val="0"/>
      <w:marTop w:val="0"/>
      <w:marBottom w:val="0"/>
      <w:divBdr>
        <w:top w:val="none" w:sz="0" w:space="0" w:color="auto"/>
        <w:left w:val="none" w:sz="0" w:space="0" w:color="auto"/>
        <w:bottom w:val="none" w:sz="0" w:space="0" w:color="auto"/>
        <w:right w:val="none" w:sz="0" w:space="0" w:color="auto"/>
      </w:divBdr>
    </w:div>
    <w:div w:id="1680616649">
      <w:bodyDiv w:val="1"/>
      <w:marLeft w:val="0"/>
      <w:marRight w:val="0"/>
      <w:marTop w:val="0"/>
      <w:marBottom w:val="0"/>
      <w:divBdr>
        <w:top w:val="none" w:sz="0" w:space="0" w:color="auto"/>
        <w:left w:val="none" w:sz="0" w:space="0" w:color="auto"/>
        <w:bottom w:val="none" w:sz="0" w:space="0" w:color="auto"/>
        <w:right w:val="none" w:sz="0" w:space="0" w:color="auto"/>
      </w:divBdr>
      <w:divsChild>
        <w:div w:id="1345397315">
          <w:marLeft w:val="0"/>
          <w:marRight w:val="0"/>
          <w:marTop w:val="0"/>
          <w:marBottom w:val="0"/>
          <w:divBdr>
            <w:top w:val="none" w:sz="0" w:space="0" w:color="auto"/>
            <w:left w:val="none" w:sz="0" w:space="0" w:color="auto"/>
            <w:bottom w:val="none" w:sz="0" w:space="0" w:color="auto"/>
            <w:right w:val="none" w:sz="0" w:space="0" w:color="auto"/>
          </w:divBdr>
          <w:divsChild>
            <w:div w:id="1846675919">
              <w:marLeft w:val="0"/>
              <w:marRight w:val="0"/>
              <w:marTop w:val="0"/>
              <w:marBottom w:val="0"/>
              <w:divBdr>
                <w:top w:val="none" w:sz="0" w:space="0" w:color="auto"/>
                <w:left w:val="none" w:sz="0" w:space="0" w:color="auto"/>
                <w:bottom w:val="none" w:sz="0" w:space="0" w:color="auto"/>
                <w:right w:val="none" w:sz="0" w:space="0" w:color="auto"/>
              </w:divBdr>
              <w:divsChild>
                <w:div w:id="1596212615">
                  <w:marLeft w:val="0"/>
                  <w:marRight w:val="0"/>
                  <w:marTop w:val="0"/>
                  <w:marBottom w:val="0"/>
                  <w:divBdr>
                    <w:top w:val="none" w:sz="0" w:space="0" w:color="auto"/>
                    <w:left w:val="none" w:sz="0" w:space="0" w:color="auto"/>
                    <w:bottom w:val="none" w:sz="0" w:space="0" w:color="auto"/>
                    <w:right w:val="none" w:sz="0" w:space="0" w:color="auto"/>
                  </w:divBdr>
                  <w:divsChild>
                    <w:div w:id="1119452805">
                      <w:marLeft w:val="0"/>
                      <w:marRight w:val="0"/>
                      <w:marTop w:val="0"/>
                      <w:marBottom w:val="0"/>
                      <w:divBdr>
                        <w:top w:val="none" w:sz="0" w:space="0" w:color="auto"/>
                        <w:left w:val="none" w:sz="0" w:space="0" w:color="auto"/>
                        <w:bottom w:val="none" w:sz="0" w:space="0" w:color="auto"/>
                        <w:right w:val="none" w:sz="0" w:space="0" w:color="auto"/>
                      </w:divBdr>
                      <w:divsChild>
                        <w:div w:id="900821739">
                          <w:marLeft w:val="0"/>
                          <w:marRight w:val="0"/>
                          <w:marTop w:val="0"/>
                          <w:marBottom w:val="0"/>
                          <w:divBdr>
                            <w:top w:val="none" w:sz="0" w:space="0" w:color="auto"/>
                            <w:left w:val="none" w:sz="0" w:space="0" w:color="auto"/>
                            <w:bottom w:val="none" w:sz="0" w:space="0" w:color="auto"/>
                            <w:right w:val="none" w:sz="0" w:space="0" w:color="auto"/>
                          </w:divBdr>
                          <w:divsChild>
                            <w:div w:id="440027746">
                              <w:marLeft w:val="0"/>
                              <w:marRight w:val="0"/>
                              <w:marTop w:val="0"/>
                              <w:marBottom w:val="0"/>
                              <w:divBdr>
                                <w:top w:val="none" w:sz="0" w:space="0" w:color="auto"/>
                                <w:left w:val="none" w:sz="0" w:space="0" w:color="auto"/>
                                <w:bottom w:val="none" w:sz="0" w:space="0" w:color="auto"/>
                                <w:right w:val="none" w:sz="0" w:space="0" w:color="auto"/>
                              </w:divBdr>
                              <w:divsChild>
                                <w:div w:id="19461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3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unications@humanrights.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umanrights.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1.png@01D03A46.C71F3FA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rights.gov.au/publications/index.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creativecommons.org/licences/by/3.0/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924C-B82C-4483-B54A-8D0421C5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4420</Words>
  <Characters>23777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Bronwyn Byrnes</dc:creator>
  <cp:lastModifiedBy>Isobel McGarity</cp:lastModifiedBy>
  <cp:revision>4</cp:revision>
  <cp:lastPrinted>2015-03-24T23:28:00Z</cp:lastPrinted>
  <dcterms:created xsi:type="dcterms:W3CDTF">2015-10-14T03:18:00Z</dcterms:created>
  <dcterms:modified xsi:type="dcterms:W3CDTF">2015-10-14T04:56:00Z</dcterms:modified>
</cp:coreProperties>
</file>