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93D77C" w14:textId="77777777" w:rsidR="00E46837" w:rsidRDefault="00E46837">
      <w:pPr>
        <w:spacing w:after="0" w:line="240" w:lineRule="auto"/>
      </w:pPr>
      <w:bookmarkStart w:id="0" w:name="_GoBack"/>
      <w:bookmarkEnd w:id="0"/>
    </w:p>
    <w:p w14:paraId="67C02A3B" w14:textId="3C4BA8B4" w:rsidR="00155A60" w:rsidRDefault="00155A60">
      <w:pPr>
        <w:spacing w:after="0" w:line="240" w:lineRule="auto"/>
      </w:pPr>
      <w:r w:rsidRPr="00522CA9">
        <w:rPr>
          <w:noProof/>
          <w:lang w:val="en-AU" w:eastAsia="en-AU"/>
        </w:rPr>
        <w:drawing>
          <wp:anchor distT="0" distB="0" distL="114300" distR="114300" simplePos="0" relativeHeight="251659264" behindDoc="1" locked="0" layoutInCell="0" allowOverlap="1" wp14:anchorId="5812B438" wp14:editId="0A1BF27E">
            <wp:simplePos x="0" y="0"/>
            <wp:positionH relativeFrom="margin">
              <wp:posOffset>-1129665</wp:posOffset>
            </wp:positionH>
            <wp:positionV relativeFrom="margin">
              <wp:posOffset>-1108710</wp:posOffset>
            </wp:positionV>
            <wp:extent cx="7810500" cy="11168380"/>
            <wp:effectExtent l="0" t="0" r="1270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836" cy="1116886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8500F0" w14:textId="48E6821B" w:rsidR="00155A60" w:rsidRDefault="00E46837">
      <w:pPr>
        <w:spacing w:after="0" w:line="240" w:lineRule="auto"/>
      </w:pPr>
      <w:r>
        <w:rPr>
          <w:noProof/>
          <w:lang w:val="en-AU" w:eastAsia="en-AU"/>
        </w:rPr>
        <mc:AlternateContent>
          <mc:Choice Requires="wps">
            <w:drawing>
              <wp:anchor distT="0" distB="0" distL="114300" distR="114300" simplePos="0" relativeHeight="251660288" behindDoc="0" locked="0" layoutInCell="1" allowOverlap="1" wp14:anchorId="52AFC553" wp14:editId="16028026">
                <wp:simplePos x="0" y="0"/>
                <wp:positionH relativeFrom="column">
                  <wp:posOffset>2360295</wp:posOffset>
                </wp:positionH>
                <wp:positionV relativeFrom="paragraph">
                  <wp:posOffset>64135</wp:posOffset>
                </wp:positionV>
                <wp:extent cx="3291840" cy="19431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3291840" cy="1943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A4AA25B" w14:textId="04968585" w:rsidR="0038475A" w:rsidRPr="00833542" w:rsidRDefault="0038475A" w:rsidP="00833542">
                            <w:pPr>
                              <w:spacing w:after="70"/>
                              <w:jc w:val="right"/>
                              <w:rPr>
                                <w:rFonts w:cs="Arial"/>
                                <w:b/>
                                <w:color w:val="548DD4" w:themeColor="text2" w:themeTint="99"/>
                                <w:sz w:val="48"/>
                                <w:szCs w:val="48"/>
                              </w:rPr>
                            </w:pPr>
                            <w:r>
                              <w:rPr>
                                <w:rFonts w:cs="Arial"/>
                                <w:b/>
                                <w:color w:val="548DD4" w:themeColor="text2" w:themeTint="99"/>
                                <w:sz w:val="48"/>
                                <w:szCs w:val="48"/>
                              </w:rPr>
                              <w:t>Basikbasik v</w:t>
                            </w:r>
                          </w:p>
                          <w:p w14:paraId="4D5CF49D" w14:textId="4AB4242A" w:rsidR="0038475A" w:rsidRDefault="0038475A" w:rsidP="00A232E4">
                            <w:pPr>
                              <w:spacing w:after="120"/>
                              <w:jc w:val="right"/>
                              <w:rPr>
                                <w:rFonts w:cs="Arial"/>
                                <w:b/>
                                <w:color w:val="548DD4" w:themeColor="text2" w:themeTint="99"/>
                                <w:sz w:val="48"/>
                                <w:szCs w:val="48"/>
                              </w:rPr>
                            </w:pPr>
                            <w:r>
                              <w:rPr>
                                <w:rFonts w:cs="Arial"/>
                                <w:b/>
                                <w:color w:val="548DD4" w:themeColor="text2" w:themeTint="99"/>
                                <w:sz w:val="48"/>
                                <w:szCs w:val="48"/>
                              </w:rPr>
                              <w:t>Commonwealth of</w:t>
                            </w:r>
                          </w:p>
                          <w:p w14:paraId="3F624239" w14:textId="4A33E981" w:rsidR="0038475A" w:rsidRPr="00A232E4" w:rsidRDefault="0038475A" w:rsidP="00A232E4">
                            <w:pPr>
                              <w:spacing w:after="140"/>
                              <w:jc w:val="right"/>
                              <w:rPr>
                                <w:rFonts w:cs="Arial"/>
                                <w:b/>
                                <w:color w:val="548DD4" w:themeColor="text2" w:themeTint="99"/>
                                <w:sz w:val="48"/>
                                <w:szCs w:val="48"/>
                              </w:rPr>
                            </w:pPr>
                            <w:r>
                              <w:rPr>
                                <w:rFonts w:cs="Arial"/>
                                <w:b/>
                                <w:color w:val="548DD4" w:themeColor="text2" w:themeTint="99"/>
                                <w:sz w:val="48"/>
                                <w:szCs w:val="48"/>
                              </w:rPr>
                              <w:t>Australia (DIBP</w:t>
                            </w:r>
                            <w:r w:rsidRPr="00A232E4">
                              <w:rPr>
                                <w:rFonts w:cs="Arial"/>
                                <w:b/>
                                <w:color w:val="548DD4" w:themeColor="text2" w:themeTint="99"/>
                                <w:sz w:val="48"/>
                                <w:szCs w:val="48"/>
                              </w:rPr>
                              <w:t>)</w:t>
                            </w:r>
                          </w:p>
                          <w:p w14:paraId="2128B77C" w14:textId="2A0EAB15" w:rsidR="0038475A" w:rsidRPr="00E46837" w:rsidRDefault="0038475A" w:rsidP="00E46837">
                            <w:pPr>
                              <w:spacing w:after="0"/>
                              <w:jc w:val="right"/>
                              <w:rPr>
                                <w:rFonts w:ascii="Arial Narrow Bold" w:hAnsi="Arial Narrow Bold"/>
                                <w:sz w:val="32"/>
                                <w:szCs w:val="32"/>
                              </w:rPr>
                            </w:pPr>
                            <w:r>
                              <w:rPr>
                                <w:rFonts w:ascii="Arial Narrow Bold" w:hAnsi="Arial Narrow Bold"/>
                                <w:sz w:val="32"/>
                                <w:szCs w:val="32"/>
                              </w:rPr>
                              <w:t>[2014] AusHRC 77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5" o:spid="_x0000_s1026" type="#_x0000_t202" style="position:absolute;margin-left:185.85pt;margin-top:5.05pt;width:259.2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" filled="f" stroked="f">
                <v:textbox>
                  <w:txbxContent>
                    <w:p w14:paraId="5A4AA25B" w14:textId="04968585" w:rsidR="0038475A" w:rsidRPr="00833542" w:rsidRDefault="0038475A" w:rsidP="00833542">
                      <w:pPr>
                        <w:spacing w:after="70"/>
                        <w:jc w:val="right"/>
                        <w:rPr>
                          <w:rFonts w:cs="Arial"/>
                          <w:b/>
                          <w:color w:val="548DD4" w:themeColor="text2" w:themeTint="99"/>
                          <w:sz w:val="48"/>
                          <w:szCs w:val="48"/>
                        </w:rPr>
                      </w:pPr>
                      <w:proofErr w:type="spellStart"/>
                      <w:r>
                        <w:rPr>
                          <w:rFonts w:cs="Arial"/>
                          <w:b/>
                          <w:color w:val="548DD4" w:themeColor="text2" w:themeTint="99"/>
                          <w:sz w:val="48"/>
                          <w:szCs w:val="48"/>
                        </w:rPr>
                        <w:t>Basikbasik</w:t>
                      </w:r>
                      <w:proofErr w:type="spellEnd"/>
                      <w:r>
                        <w:rPr>
                          <w:rFonts w:cs="Arial"/>
                          <w:b/>
                          <w:color w:val="548DD4" w:themeColor="text2" w:themeTint="99"/>
                          <w:sz w:val="48"/>
                          <w:szCs w:val="48"/>
                        </w:rPr>
                        <w:t xml:space="preserve"> v</w:t>
                      </w:r>
                    </w:p>
                    <w:p w14:paraId="4D5CF49D" w14:textId="4AB4242A" w:rsidR="0038475A" w:rsidRDefault="0038475A" w:rsidP="00A232E4">
                      <w:pPr>
                        <w:spacing w:after="120"/>
                        <w:jc w:val="right"/>
                        <w:rPr>
                          <w:rFonts w:cs="Arial"/>
                          <w:b/>
                          <w:color w:val="548DD4" w:themeColor="text2" w:themeTint="99"/>
                          <w:sz w:val="48"/>
                          <w:szCs w:val="48"/>
                        </w:rPr>
                      </w:pPr>
                      <w:r>
                        <w:rPr>
                          <w:rFonts w:cs="Arial"/>
                          <w:b/>
                          <w:color w:val="548DD4" w:themeColor="text2" w:themeTint="99"/>
                          <w:sz w:val="48"/>
                          <w:szCs w:val="48"/>
                        </w:rPr>
                        <w:t>Commonwealth of</w:t>
                      </w:r>
                    </w:p>
                    <w:p w14:paraId="3F624239" w14:textId="4A33E981" w:rsidR="0038475A" w:rsidRPr="00A232E4" w:rsidRDefault="0038475A" w:rsidP="00A232E4">
                      <w:pPr>
                        <w:spacing w:after="140"/>
                        <w:jc w:val="right"/>
                        <w:rPr>
                          <w:rFonts w:cs="Arial"/>
                          <w:b/>
                          <w:color w:val="548DD4" w:themeColor="text2" w:themeTint="99"/>
                          <w:sz w:val="48"/>
                          <w:szCs w:val="48"/>
                        </w:rPr>
                      </w:pPr>
                      <w:r>
                        <w:rPr>
                          <w:rFonts w:cs="Arial"/>
                          <w:b/>
                          <w:color w:val="548DD4" w:themeColor="text2" w:themeTint="99"/>
                          <w:sz w:val="48"/>
                          <w:szCs w:val="48"/>
                        </w:rPr>
                        <w:t>Australia (</w:t>
                      </w:r>
                      <w:proofErr w:type="spellStart"/>
                      <w:r>
                        <w:rPr>
                          <w:rFonts w:cs="Arial"/>
                          <w:b/>
                          <w:color w:val="548DD4" w:themeColor="text2" w:themeTint="99"/>
                          <w:sz w:val="48"/>
                          <w:szCs w:val="48"/>
                        </w:rPr>
                        <w:t>DIBP</w:t>
                      </w:r>
                      <w:proofErr w:type="spellEnd"/>
                      <w:r w:rsidRPr="00A232E4">
                        <w:rPr>
                          <w:rFonts w:cs="Arial"/>
                          <w:b/>
                          <w:color w:val="548DD4" w:themeColor="text2" w:themeTint="99"/>
                          <w:sz w:val="48"/>
                          <w:szCs w:val="48"/>
                        </w:rPr>
                        <w:t>)</w:t>
                      </w:r>
                    </w:p>
                    <w:p w14:paraId="2128B77C" w14:textId="2A0EAB15" w:rsidR="0038475A" w:rsidRPr="00E46837" w:rsidRDefault="0038475A" w:rsidP="00E46837">
                      <w:pPr>
                        <w:spacing w:after="0"/>
                        <w:jc w:val="right"/>
                        <w:rPr>
                          <w:rFonts w:ascii="Arial Narrow Bold" w:hAnsi="Arial Narrow Bold"/>
                          <w:sz w:val="32"/>
                          <w:szCs w:val="32"/>
                        </w:rPr>
                      </w:pPr>
                      <w:r>
                        <w:rPr>
                          <w:rFonts w:ascii="Arial Narrow Bold" w:hAnsi="Arial Narrow Bold"/>
                          <w:sz w:val="32"/>
                          <w:szCs w:val="32"/>
                        </w:rPr>
                        <w:t xml:space="preserve">[2014] </w:t>
                      </w:r>
                      <w:proofErr w:type="spellStart"/>
                      <w:r>
                        <w:rPr>
                          <w:rFonts w:ascii="Arial Narrow Bold" w:hAnsi="Arial Narrow Bold"/>
                          <w:sz w:val="32"/>
                          <w:szCs w:val="32"/>
                        </w:rPr>
                        <w:t>AusHRC</w:t>
                      </w:r>
                      <w:proofErr w:type="spellEnd"/>
                      <w:r>
                        <w:rPr>
                          <w:rFonts w:ascii="Arial Narrow Bold" w:hAnsi="Arial Narrow Bold"/>
                          <w:sz w:val="32"/>
                          <w:szCs w:val="32"/>
                        </w:rPr>
                        <w:t xml:space="preserve"> 77</w:t>
                      </w:r>
                    </w:p>
                  </w:txbxContent>
                </v:textbox>
                <w10:wrap type="square"/>
              </v:shape>
            </w:pict>
          </mc:Fallback>
        </mc:AlternateContent>
      </w:r>
      <w:r w:rsidR="00155A60">
        <w:br w:type="page"/>
      </w:r>
    </w:p>
    <w:p w14:paraId="28571CE9" w14:textId="77777777" w:rsidR="00350BA1" w:rsidRDefault="00350BA1" w:rsidP="00350BA1"/>
    <w:p w14:paraId="30FCE28C" w14:textId="77777777" w:rsidR="00350BA1" w:rsidRDefault="00350BA1" w:rsidP="00350BA1"/>
    <w:p w14:paraId="708BEEC5" w14:textId="77777777" w:rsidR="00350BA1" w:rsidRDefault="00350BA1" w:rsidP="00350BA1"/>
    <w:p w14:paraId="4353FA92" w14:textId="77777777" w:rsidR="00350BA1" w:rsidRDefault="00350BA1" w:rsidP="00350BA1"/>
    <w:p w14:paraId="07C08863" w14:textId="77777777" w:rsidR="00350BA1" w:rsidRDefault="00350BA1" w:rsidP="00350BA1"/>
    <w:p w14:paraId="003CED2D" w14:textId="77777777" w:rsidR="00350BA1" w:rsidRDefault="00350BA1" w:rsidP="00350BA1"/>
    <w:p w14:paraId="3C637518" w14:textId="77777777" w:rsidR="00350BA1" w:rsidRDefault="00350BA1" w:rsidP="00350BA1"/>
    <w:p w14:paraId="4E8FF7D4" w14:textId="77777777" w:rsidR="00350BA1" w:rsidRPr="00F20955" w:rsidRDefault="00350BA1" w:rsidP="00350BA1">
      <w:pPr>
        <w:widowControl w:val="0"/>
        <w:tabs>
          <w:tab w:val="left" w:pos="567"/>
        </w:tabs>
        <w:suppressAutoHyphens/>
        <w:autoSpaceDE w:val="0"/>
        <w:autoSpaceDN w:val="0"/>
        <w:adjustRightInd w:val="0"/>
        <w:spacing w:after="113"/>
        <w:textAlignment w:val="center"/>
        <w:rPr>
          <w:rFonts w:cs="Arial"/>
          <w:b/>
          <w:bCs/>
          <w:color w:val="000000"/>
          <w:sz w:val="20"/>
          <w:szCs w:val="20"/>
          <w:u w:color="000000"/>
          <w:lang w:val="en-US" w:eastAsia="en-AU"/>
        </w:rPr>
      </w:pPr>
      <w:r w:rsidRPr="00F20955">
        <w:rPr>
          <w:rFonts w:cs="Arial"/>
          <w:b/>
          <w:bCs/>
          <w:color w:val="000000"/>
          <w:sz w:val="20"/>
          <w:szCs w:val="20"/>
          <w:u w:color="000000"/>
          <w:lang w:val="en-AU" w:eastAsia="en-AU"/>
        </w:rPr>
        <w:t>© Australian Human Rights Commission 2014.</w:t>
      </w:r>
    </w:p>
    <w:p w14:paraId="04236DA4" w14:textId="77777777" w:rsidR="00350BA1" w:rsidRPr="00F20955" w:rsidRDefault="00350BA1" w:rsidP="00350BA1">
      <w:pPr>
        <w:keepLines/>
        <w:widowControl w:val="0"/>
        <w:autoSpaceDE w:val="0"/>
        <w:autoSpaceDN w:val="0"/>
        <w:adjustRightInd w:val="0"/>
        <w:spacing w:after="113"/>
        <w:textAlignment w:val="center"/>
        <w:rPr>
          <w:rFonts w:cs="Arial"/>
          <w:color w:val="000000"/>
          <w:sz w:val="20"/>
          <w:szCs w:val="20"/>
          <w:lang w:val="en-US" w:eastAsia="en-AU"/>
        </w:rPr>
      </w:pPr>
      <w:r>
        <w:rPr>
          <w:rFonts w:cs="Arial"/>
          <w:noProof/>
          <w:color w:val="000000"/>
          <w:sz w:val="20"/>
          <w:szCs w:val="20"/>
          <w:lang w:val="en-AU" w:eastAsia="en-AU"/>
        </w:rPr>
        <w:drawing>
          <wp:inline distT="0" distB="0" distL="0" distR="0" wp14:anchorId="59E9D2AA" wp14:editId="7A43980D">
            <wp:extent cx="1075055" cy="3820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ps.pdf"/>
                    <pic:cNvPicPr/>
                  </pic:nvPicPr>
                  <pic:blipFill>
                    <a:blip r:embed="rId10">
                      <a:extLst>
                        <a:ext uri="{28A0092B-C50C-407E-A947-70E740481C1C}">
                          <a14:useLocalDpi xmlns:a14="http://schemas.microsoft.com/office/drawing/2010/main" val="0"/>
                        </a:ext>
                      </a:extLst>
                    </a:blip>
                    <a:stretch>
                      <a:fillRect/>
                    </a:stretch>
                  </pic:blipFill>
                  <pic:spPr>
                    <a:xfrm>
                      <a:off x="0" y="0"/>
                      <a:ext cx="1076043" cy="382395"/>
                    </a:xfrm>
                    <a:prstGeom prst="rect">
                      <a:avLst/>
                    </a:prstGeom>
                  </pic:spPr>
                </pic:pic>
              </a:graphicData>
            </a:graphic>
          </wp:inline>
        </w:drawing>
      </w:r>
    </w:p>
    <w:p w14:paraId="5E31D616" w14:textId="77777777" w:rsidR="00350BA1" w:rsidRPr="00F20955" w:rsidRDefault="00350BA1" w:rsidP="00350BA1">
      <w:pPr>
        <w:widowControl w:val="0"/>
        <w:tabs>
          <w:tab w:val="left" w:pos="567"/>
        </w:tabs>
        <w:suppressAutoHyphens/>
        <w:autoSpaceDE w:val="0"/>
        <w:autoSpaceDN w:val="0"/>
        <w:adjustRightInd w:val="0"/>
        <w:spacing w:after="113"/>
        <w:textAlignment w:val="center"/>
        <w:rPr>
          <w:rFonts w:cs="Arial"/>
          <w:color w:val="000000"/>
          <w:sz w:val="20"/>
          <w:szCs w:val="20"/>
          <w:u w:color="000000"/>
          <w:lang w:val="en-AU" w:eastAsia="en-AU"/>
        </w:rPr>
      </w:pPr>
      <w:r w:rsidRPr="00F20955">
        <w:rPr>
          <w:rFonts w:cs="Arial"/>
          <w:b/>
          <w:bCs/>
          <w:color w:val="000000"/>
          <w:sz w:val="20"/>
          <w:szCs w:val="20"/>
          <w:u w:color="000000"/>
          <w:lang w:val="en-AU" w:eastAsia="en-AU"/>
        </w:rPr>
        <w:t>ISSN 1837-1183</w:t>
      </w:r>
    </w:p>
    <w:p w14:paraId="38EEFBF5"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The Australian Human Rights Commission encourages the dissemination and exchange of information presented in this publication.</w:t>
      </w:r>
    </w:p>
    <w:p w14:paraId="4344CA68"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All material presented in this publication is licenced under a Creative Commons Attribution 3.0 Australia licence, with the exception of the Australian Human Rights Commission Logo.</w:t>
      </w:r>
    </w:p>
    <w:p w14:paraId="4115E0E8"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To view a copy of this licence, visit </w:t>
      </w:r>
      <w:hyperlink r:id="rId11" w:history="1">
        <w:r w:rsidRPr="00EA571C">
          <w:rPr>
            <w:rStyle w:val="Hyperlink"/>
            <w:rFonts w:cs="Arial"/>
            <w:b/>
            <w:sz w:val="20"/>
            <w:szCs w:val="20"/>
            <w:u w:color="000000"/>
            <w:lang w:val="en-AU" w:eastAsia="en-AU"/>
          </w:rPr>
          <w:t>http://creativecommons.org/licences/by/3.0/au</w:t>
        </w:r>
      </w:hyperlink>
      <w:r>
        <w:rPr>
          <w:rFonts w:cs="Arial"/>
          <w:color w:val="000000"/>
          <w:sz w:val="20"/>
          <w:szCs w:val="20"/>
          <w:u w:color="000000"/>
          <w:lang w:val="en-AU" w:eastAsia="en-AU"/>
        </w:rPr>
        <w:t>.</w:t>
      </w:r>
    </w:p>
    <w:p w14:paraId="7F61F80C" w14:textId="77777777" w:rsidR="00350BA1" w:rsidRPr="00F20955" w:rsidRDefault="00350BA1" w:rsidP="00350BA1">
      <w:pPr>
        <w:widowControl w:val="0"/>
        <w:tabs>
          <w:tab w:val="left" w:pos="567"/>
        </w:tabs>
        <w:suppressAutoHyphens/>
        <w:autoSpaceDE w:val="0"/>
        <w:autoSpaceDN w:val="0"/>
        <w:adjustRightInd w:val="0"/>
        <w:spacing w:after="340"/>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In essence, you are free to copy, communicate and adapt the work, as long as you attribute the work to the Australian Human Rights Commission and abide by the other licence terms.</w:t>
      </w:r>
    </w:p>
    <w:p w14:paraId="6C75E768" w14:textId="77777777" w:rsidR="00350BA1" w:rsidRPr="00F20955" w:rsidRDefault="00350BA1" w:rsidP="00350BA1">
      <w:pPr>
        <w:widowControl w:val="0"/>
        <w:tabs>
          <w:tab w:val="left" w:pos="567"/>
        </w:tabs>
        <w:suppressAutoHyphens/>
        <w:autoSpaceDE w:val="0"/>
        <w:autoSpaceDN w:val="0"/>
        <w:adjustRightInd w:val="0"/>
        <w:spacing w:before="113" w:after="57"/>
        <w:textAlignment w:val="center"/>
        <w:rPr>
          <w:rFonts w:cs="Arial"/>
          <w:b/>
          <w:bCs/>
          <w:color w:val="000000"/>
          <w:sz w:val="20"/>
          <w:szCs w:val="20"/>
          <w:u w:color="000000"/>
          <w:lang w:val="en-AU" w:eastAsia="en-AU"/>
        </w:rPr>
      </w:pPr>
      <w:r w:rsidRPr="00F20955">
        <w:rPr>
          <w:rFonts w:cs="Arial"/>
          <w:b/>
          <w:bCs/>
          <w:color w:val="000000"/>
          <w:sz w:val="20"/>
          <w:szCs w:val="20"/>
          <w:u w:color="000000"/>
          <w:lang w:val="en-AU" w:eastAsia="en-AU"/>
        </w:rPr>
        <w:t>Electronic format</w:t>
      </w:r>
    </w:p>
    <w:p w14:paraId="023B7526"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This publication can be found in electronic format on the website of the Australian Human Rights Commission: </w:t>
      </w:r>
      <w:hyperlink r:id="rId12" w:history="1">
        <w:r w:rsidRPr="00EA571C">
          <w:rPr>
            <w:rStyle w:val="Hyperlink"/>
            <w:rFonts w:cs="Arial"/>
            <w:b/>
            <w:sz w:val="20"/>
            <w:szCs w:val="20"/>
            <w:u w:color="000000"/>
            <w:lang w:val="en-AU" w:eastAsia="en-AU"/>
          </w:rPr>
          <w:t>http://www.humanrights.gov.au/publications/index.html</w:t>
        </w:r>
      </w:hyperlink>
      <w:r w:rsidRPr="00F20955">
        <w:rPr>
          <w:rFonts w:cs="Arial"/>
          <w:color w:val="000000"/>
          <w:sz w:val="20"/>
          <w:szCs w:val="20"/>
          <w:u w:color="000000"/>
          <w:lang w:val="en-AU" w:eastAsia="en-AU"/>
        </w:rPr>
        <w:t>.</w:t>
      </w:r>
    </w:p>
    <w:p w14:paraId="3E09E9BA" w14:textId="77777777" w:rsidR="00350BA1" w:rsidRPr="00F20955" w:rsidRDefault="00350BA1" w:rsidP="00350BA1">
      <w:pPr>
        <w:widowControl w:val="0"/>
        <w:tabs>
          <w:tab w:val="left" w:pos="567"/>
        </w:tabs>
        <w:suppressAutoHyphens/>
        <w:autoSpaceDE w:val="0"/>
        <w:autoSpaceDN w:val="0"/>
        <w:adjustRightInd w:val="0"/>
        <w:spacing w:before="113" w:after="57"/>
        <w:textAlignment w:val="center"/>
        <w:rPr>
          <w:rFonts w:cs="Arial"/>
          <w:b/>
          <w:bCs/>
          <w:color w:val="000000"/>
          <w:sz w:val="20"/>
          <w:szCs w:val="20"/>
          <w:u w:color="000000"/>
          <w:lang w:val="en-AU" w:eastAsia="en-AU"/>
        </w:rPr>
      </w:pPr>
      <w:r w:rsidRPr="00F20955">
        <w:rPr>
          <w:rFonts w:cs="Arial"/>
          <w:b/>
          <w:bCs/>
          <w:color w:val="000000"/>
          <w:sz w:val="20"/>
          <w:szCs w:val="20"/>
          <w:u w:color="000000"/>
          <w:lang w:val="en-AU" w:eastAsia="en-AU"/>
        </w:rPr>
        <w:t>Contact details</w:t>
      </w:r>
    </w:p>
    <w:p w14:paraId="1D5863E2" w14:textId="77777777" w:rsidR="00350BA1"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For further information about the Australian Human Rights Commission, please visit </w:t>
      </w:r>
      <w:hyperlink r:id="rId13" w:history="1">
        <w:r w:rsidRPr="00EA571C">
          <w:rPr>
            <w:rStyle w:val="Hyperlink"/>
            <w:rFonts w:cs="Arial"/>
            <w:b/>
            <w:sz w:val="20"/>
            <w:szCs w:val="20"/>
            <w:u w:color="000000"/>
            <w:lang w:val="en-AU" w:eastAsia="en-AU"/>
          </w:rPr>
          <w:t>http://www.humanrights.gov.au</w:t>
        </w:r>
      </w:hyperlink>
      <w:r>
        <w:rPr>
          <w:rFonts w:cs="Arial"/>
          <w:color w:val="000000"/>
          <w:sz w:val="20"/>
          <w:szCs w:val="20"/>
          <w:u w:color="000000"/>
          <w:lang w:val="en-AU" w:eastAsia="en-AU"/>
        </w:rPr>
        <w:t xml:space="preserve"> </w:t>
      </w:r>
      <w:r w:rsidRPr="00F20955">
        <w:rPr>
          <w:rFonts w:cs="Arial"/>
          <w:color w:val="000000"/>
          <w:sz w:val="20"/>
          <w:szCs w:val="20"/>
          <w:u w:color="000000"/>
          <w:lang w:val="en-AU" w:eastAsia="en-AU"/>
        </w:rPr>
        <w:t xml:space="preserve">or email </w:t>
      </w:r>
      <w:hyperlink r:id="rId14" w:history="1">
        <w:r>
          <w:rPr>
            <w:rStyle w:val="Hyperlink"/>
            <w:rFonts w:cs="Arial"/>
            <w:b/>
            <w:sz w:val="20"/>
            <w:szCs w:val="20"/>
            <w:u w:color="000000"/>
            <w:lang w:val="en-AU" w:eastAsia="en-AU"/>
          </w:rPr>
          <w:t>communications@humanrights.gov.au</w:t>
        </w:r>
      </w:hyperlink>
      <w:r>
        <w:rPr>
          <w:rFonts w:cs="Arial"/>
          <w:color w:val="000000"/>
          <w:sz w:val="20"/>
          <w:szCs w:val="20"/>
          <w:u w:color="000000"/>
          <w:lang w:val="en-AU" w:eastAsia="en-AU"/>
        </w:rPr>
        <w:t>.</w:t>
      </w:r>
    </w:p>
    <w:p w14:paraId="62FCA160"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You can also write to:</w:t>
      </w:r>
    </w:p>
    <w:p w14:paraId="10C7DCA2" w14:textId="77777777" w:rsidR="00350BA1" w:rsidRPr="00F20955" w:rsidRDefault="00350BA1" w:rsidP="00350BA1">
      <w:pPr>
        <w:pStyle w:val="CopyrightText"/>
        <w:rPr>
          <w:rFonts w:cs="Arial"/>
          <w:szCs w:val="20"/>
          <w:lang w:val="en-AU"/>
        </w:rPr>
      </w:pP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Communications Team</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Australian Human Rights Commission</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GPO Box 5218</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Sydney NSW 2001</w:t>
      </w:r>
    </w:p>
    <w:p w14:paraId="5E67F6E3" w14:textId="77777777" w:rsidR="00350BA1" w:rsidRDefault="00350BA1" w:rsidP="00350BA1">
      <w:pPr>
        <w:pStyle w:val="CopyrightText"/>
        <w:rPr>
          <w:rFonts w:cs="Arial"/>
          <w:lang w:val="en-AU"/>
        </w:rPr>
      </w:pPr>
    </w:p>
    <w:p w14:paraId="5577399B" w14:textId="77777777" w:rsidR="00350BA1" w:rsidRDefault="00350BA1" w:rsidP="00350BA1">
      <w:pPr>
        <w:spacing w:after="0" w:line="240" w:lineRule="auto"/>
        <w:rPr>
          <w:rFonts w:cs="Arial"/>
          <w:sz w:val="20"/>
          <w:szCs w:val="16"/>
          <w:u w:color="000000"/>
          <w:lang w:val="en-AU" w:eastAsia="en-AU"/>
        </w:rPr>
      </w:pPr>
      <w:r>
        <w:rPr>
          <w:rFonts w:cs="Arial"/>
          <w:lang w:val="en-AU"/>
        </w:rPr>
        <w:br w:type="page"/>
      </w:r>
    </w:p>
    <w:p w14:paraId="1FC38552" w14:textId="77777777" w:rsidR="00651527" w:rsidRDefault="00651527"/>
    <w:p w14:paraId="0A81F84B" w14:textId="77777777" w:rsidR="000E3DC1" w:rsidRDefault="000E3DC1"/>
    <w:p w14:paraId="371F0786" w14:textId="77777777" w:rsidR="000E3DC1" w:rsidRDefault="000E3DC1"/>
    <w:p w14:paraId="41435CE1" w14:textId="77777777" w:rsidR="000E3DC1" w:rsidRPr="0039341C" w:rsidRDefault="000E3DC1" w:rsidP="0039341C"/>
    <w:p w14:paraId="0366F445" w14:textId="0338E454" w:rsidR="0039341C" w:rsidRPr="00833542" w:rsidRDefault="00501B71" w:rsidP="0039341C">
      <w:pPr>
        <w:keepNext/>
        <w:widowControl w:val="0"/>
        <w:tabs>
          <w:tab w:val="left" w:pos="567"/>
        </w:tabs>
        <w:suppressAutoHyphens/>
        <w:autoSpaceDE w:val="0"/>
        <w:autoSpaceDN w:val="0"/>
        <w:adjustRightInd w:val="0"/>
        <w:spacing w:after="400" w:line="240" w:lineRule="auto"/>
        <w:textAlignment w:val="center"/>
        <w:rPr>
          <w:rFonts w:cs="Arial"/>
          <w:b/>
          <w:bCs/>
          <w:color w:val="808080" w:themeColor="background1" w:themeShade="80"/>
          <w:sz w:val="48"/>
          <w:szCs w:val="48"/>
          <w:rtl/>
          <w:lang w:val="en-AU" w:eastAsia="en-AU"/>
        </w:rPr>
      </w:pPr>
      <w:r>
        <w:rPr>
          <w:rFonts w:cs="Arial"/>
          <w:b/>
          <w:bCs/>
          <w:color w:val="808080" w:themeColor="background1" w:themeShade="80"/>
          <w:sz w:val="48"/>
          <w:szCs w:val="48"/>
          <w:lang w:val="en-AU" w:eastAsia="en-AU"/>
        </w:rPr>
        <w:t xml:space="preserve">Basikbasik v Commonwealth </w:t>
      </w:r>
      <w:r>
        <w:rPr>
          <w:rFonts w:cs="Arial"/>
          <w:b/>
          <w:bCs/>
          <w:color w:val="808080" w:themeColor="background1" w:themeShade="80"/>
          <w:sz w:val="48"/>
          <w:szCs w:val="48"/>
          <w:lang w:val="en-AU" w:eastAsia="en-AU"/>
        </w:rPr>
        <w:br/>
        <w:t xml:space="preserve">of Australia (Department of Immigration and Border </w:t>
      </w:r>
      <w:r>
        <w:rPr>
          <w:rFonts w:cs="Arial"/>
          <w:b/>
          <w:bCs/>
          <w:color w:val="808080" w:themeColor="background1" w:themeShade="80"/>
          <w:sz w:val="48"/>
          <w:szCs w:val="48"/>
          <w:lang w:val="en-AU" w:eastAsia="en-AU"/>
        </w:rPr>
        <w:br/>
        <w:t>Protection)</w:t>
      </w:r>
      <w:r w:rsidR="009F3D05" w:rsidRPr="00833542">
        <w:rPr>
          <w:rFonts w:cs="Arial"/>
          <w:b/>
          <w:bCs/>
          <w:color w:val="808080" w:themeColor="background1" w:themeShade="80"/>
          <w:sz w:val="48"/>
          <w:szCs w:val="48"/>
          <w:lang w:val="en-AU" w:eastAsia="en-AU"/>
        </w:rPr>
        <w:t xml:space="preserve"> </w:t>
      </w:r>
      <w:r w:rsidR="00A232E4" w:rsidRPr="00833542">
        <w:rPr>
          <w:rFonts w:cs="Arial"/>
          <w:b/>
          <w:bCs/>
          <w:color w:val="808080" w:themeColor="background1" w:themeShade="80"/>
          <w:sz w:val="48"/>
          <w:szCs w:val="48"/>
          <w:lang w:val="en-AU" w:eastAsia="en-AU"/>
        </w:rPr>
        <w:br/>
      </w:r>
    </w:p>
    <w:p w14:paraId="29DEA66C" w14:textId="0E349965" w:rsidR="009F3D05" w:rsidRPr="00833542" w:rsidRDefault="0039341C" w:rsidP="004B3F35">
      <w:pPr>
        <w:spacing w:after="1200"/>
        <w:rPr>
          <w:rFonts w:cs="Arial"/>
          <w:color w:val="808080" w:themeColor="background1" w:themeShade="80"/>
          <w:sz w:val="48"/>
          <w:szCs w:val="48"/>
        </w:rPr>
      </w:pPr>
      <w:r w:rsidRPr="00833542">
        <w:rPr>
          <w:rFonts w:cs="Arial"/>
          <w:color w:val="808080" w:themeColor="background1" w:themeShade="80"/>
          <w:sz w:val="48"/>
          <w:szCs w:val="48"/>
        </w:rPr>
        <w:t xml:space="preserve">Report into </w:t>
      </w:r>
      <w:r w:rsidR="00501B71">
        <w:rPr>
          <w:rFonts w:cs="Arial"/>
          <w:color w:val="808080" w:themeColor="background1" w:themeShade="80"/>
          <w:sz w:val="48"/>
          <w:szCs w:val="48"/>
        </w:rPr>
        <w:t>arbitrary</w:t>
      </w:r>
      <w:r w:rsidR="00A232E4" w:rsidRPr="00833542">
        <w:rPr>
          <w:rFonts w:cs="Arial"/>
          <w:color w:val="808080" w:themeColor="background1" w:themeShade="80"/>
          <w:sz w:val="48"/>
          <w:szCs w:val="48"/>
        </w:rPr>
        <w:t xml:space="preserve"> detention</w:t>
      </w:r>
    </w:p>
    <w:p w14:paraId="6CC0679A" w14:textId="377D5615" w:rsidR="00095F05" w:rsidRPr="00833542" w:rsidRDefault="00A232E4" w:rsidP="009F3D05">
      <w:pPr>
        <w:keepNext/>
        <w:widowControl w:val="0"/>
        <w:tabs>
          <w:tab w:val="left" w:pos="567"/>
        </w:tabs>
        <w:suppressAutoHyphens/>
        <w:autoSpaceDE w:val="0"/>
        <w:autoSpaceDN w:val="0"/>
        <w:adjustRightInd w:val="0"/>
        <w:spacing w:after="283"/>
        <w:textAlignment w:val="center"/>
        <w:rPr>
          <w:rFonts w:cs="Arial"/>
          <w:color w:val="808080" w:themeColor="background1" w:themeShade="80"/>
          <w:sz w:val="48"/>
          <w:szCs w:val="48"/>
          <w:lang w:val="en-AU" w:eastAsia="en-AU"/>
        </w:rPr>
      </w:pPr>
      <w:r w:rsidRPr="00833542">
        <w:rPr>
          <w:rFonts w:cs="Arial"/>
          <w:color w:val="808080" w:themeColor="background1" w:themeShade="80"/>
          <w:sz w:val="48"/>
          <w:szCs w:val="48"/>
          <w:lang w:val="en-AU" w:eastAsia="en-AU"/>
        </w:rPr>
        <w:t>[2014] AusHRC 7</w:t>
      </w:r>
      <w:r w:rsidR="00501B71">
        <w:rPr>
          <w:rFonts w:cs="Arial"/>
          <w:color w:val="808080" w:themeColor="background1" w:themeShade="80"/>
          <w:sz w:val="48"/>
          <w:szCs w:val="48"/>
          <w:lang w:val="en-AU" w:eastAsia="en-AU"/>
        </w:rPr>
        <w:t>7</w:t>
      </w:r>
    </w:p>
    <w:p w14:paraId="07C22FFF" w14:textId="210F6B03" w:rsidR="000E3DC1" w:rsidRPr="00833542" w:rsidRDefault="000E3DC1" w:rsidP="000E3DC1">
      <w:pPr>
        <w:widowControl w:val="0"/>
        <w:tabs>
          <w:tab w:val="left" w:pos="680"/>
        </w:tabs>
        <w:suppressAutoHyphens/>
        <w:autoSpaceDE w:val="0"/>
        <w:autoSpaceDN w:val="0"/>
        <w:adjustRightInd w:val="0"/>
        <w:spacing w:after="0"/>
        <w:ind w:left="283" w:hanging="283"/>
        <w:textAlignment w:val="center"/>
        <w:rPr>
          <w:rFonts w:cs="Arial"/>
          <w:b/>
          <w:bCs/>
          <w:color w:val="808080" w:themeColor="background1" w:themeShade="80"/>
          <w:lang w:val="en-AU" w:eastAsia="en-AU"/>
        </w:rPr>
      </w:pPr>
      <w:r w:rsidRPr="00833542">
        <w:rPr>
          <w:rFonts w:cs="Arial"/>
          <w:b/>
          <w:bCs/>
          <w:color w:val="808080" w:themeColor="background1" w:themeShade="80"/>
          <w:lang w:val="en-AU" w:eastAsia="en-AU"/>
        </w:rPr>
        <w:t>Australian Human Rights Commission 201</w:t>
      </w:r>
      <w:r w:rsidR="00A43AB6" w:rsidRPr="00833542">
        <w:rPr>
          <w:rFonts w:cs="Arial"/>
          <w:b/>
          <w:bCs/>
          <w:color w:val="808080" w:themeColor="background1" w:themeShade="80"/>
          <w:lang w:val="en-AU" w:eastAsia="en-AU"/>
        </w:rPr>
        <w:t>4</w:t>
      </w:r>
    </w:p>
    <w:p w14:paraId="3FB7EC8E" w14:textId="77777777" w:rsidR="000E3DC1" w:rsidRDefault="000E3DC1" w:rsidP="000E3DC1"/>
    <w:p w14:paraId="0DFACFCB" w14:textId="77777777" w:rsidR="000E3DC1" w:rsidRDefault="000E3DC1" w:rsidP="000E3DC1"/>
    <w:p w14:paraId="6A0247CE" w14:textId="77777777" w:rsidR="000E3DC1" w:rsidRDefault="000E3DC1" w:rsidP="000E3DC1"/>
    <w:p w14:paraId="5DA6B1D3" w14:textId="77777777" w:rsidR="000E3DC1" w:rsidRDefault="000E3DC1" w:rsidP="000E3DC1"/>
    <w:p w14:paraId="5F00D2AD" w14:textId="77777777" w:rsidR="000E3DC1" w:rsidRDefault="000E3DC1" w:rsidP="000E3DC1"/>
    <w:p w14:paraId="3D9F2DAF" w14:textId="77777777" w:rsidR="000E3DC1" w:rsidRDefault="000E3DC1" w:rsidP="000E3DC1">
      <w:r>
        <w:rPr>
          <w:noProof/>
          <w:lang w:val="en-AU" w:eastAsia="en-AU"/>
        </w:rPr>
        <w:drawing>
          <wp:inline distT="0" distB="0" distL="0" distR="0" wp14:anchorId="691A5CBF" wp14:editId="3364F14A">
            <wp:extent cx="1696720" cy="5486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6720" cy="548640"/>
                    </a:xfrm>
                    <a:prstGeom prst="rect">
                      <a:avLst/>
                    </a:prstGeom>
                    <a:noFill/>
                    <a:ln>
                      <a:noFill/>
                    </a:ln>
                  </pic:spPr>
                </pic:pic>
              </a:graphicData>
            </a:graphic>
          </wp:inline>
        </w:drawing>
      </w:r>
    </w:p>
    <w:p w14:paraId="1EA86F90" w14:textId="77777777" w:rsidR="000E3DC1" w:rsidRDefault="000E3DC1">
      <w:pPr>
        <w:spacing w:after="0" w:line="240" w:lineRule="auto"/>
      </w:pPr>
      <w:r>
        <w:br w:type="page"/>
      </w:r>
    </w:p>
    <w:p w14:paraId="0F857C06" w14:textId="77777777" w:rsidR="000E3DC1" w:rsidRDefault="000E3DC1" w:rsidP="000E3DC1">
      <w:pPr>
        <w:pStyle w:val="Heading8"/>
        <w:rPr>
          <w:lang w:val="en-AU"/>
        </w:rPr>
      </w:pPr>
      <w:r>
        <w:rPr>
          <w:lang w:val="en-AU"/>
        </w:rPr>
        <w:t>Contents</w:t>
      </w:r>
    </w:p>
    <w:p w14:paraId="1E486805" w14:textId="77777777" w:rsidR="00683558" w:rsidRDefault="00AE3321">
      <w:pPr>
        <w:pStyle w:val="TOC1"/>
        <w:tabs>
          <w:tab w:val="left" w:pos="373"/>
        </w:tabs>
        <w:rPr>
          <w:rFonts w:asciiTheme="minorHAnsi" w:hAnsiTheme="minorHAnsi" w:cstheme="minorBidi"/>
          <w:b w:val="0"/>
          <w:noProof/>
          <w:lang w:eastAsia="ja-JP"/>
        </w:rPr>
      </w:pPr>
      <w:r>
        <w:fldChar w:fldCharType="begin"/>
      </w:r>
      <w:r>
        <w:instrText xml:space="preserve"> TOC \o "1-2" </w:instrText>
      </w:r>
      <w:r>
        <w:fldChar w:fldCharType="separate"/>
      </w:r>
      <w:r w:rsidR="00683558" w:rsidRPr="009D0A20">
        <w:rPr>
          <w:noProof/>
          <w:lang w:val="en-AU" w:eastAsia="en-AU"/>
        </w:rPr>
        <w:t>1</w:t>
      </w:r>
      <w:r w:rsidR="00683558">
        <w:rPr>
          <w:rFonts w:asciiTheme="minorHAnsi" w:hAnsiTheme="minorHAnsi" w:cstheme="minorBidi"/>
          <w:b w:val="0"/>
          <w:noProof/>
          <w:lang w:eastAsia="ja-JP"/>
        </w:rPr>
        <w:tab/>
      </w:r>
      <w:r w:rsidR="00683558" w:rsidRPr="009D0A20">
        <w:rPr>
          <w:noProof/>
          <w:lang w:val="en-AU" w:eastAsia="en-AU"/>
        </w:rPr>
        <w:t>Introduction</w:t>
      </w:r>
      <w:r w:rsidR="00683558">
        <w:rPr>
          <w:noProof/>
        </w:rPr>
        <w:tab/>
      </w:r>
      <w:r w:rsidR="00683558">
        <w:rPr>
          <w:noProof/>
        </w:rPr>
        <w:fldChar w:fldCharType="begin"/>
      </w:r>
      <w:r w:rsidR="00683558">
        <w:rPr>
          <w:noProof/>
        </w:rPr>
        <w:instrText xml:space="preserve"> PAGEREF _Toc272929776 \h </w:instrText>
      </w:r>
      <w:r w:rsidR="00683558">
        <w:rPr>
          <w:noProof/>
        </w:rPr>
      </w:r>
      <w:r w:rsidR="00683558">
        <w:rPr>
          <w:noProof/>
        </w:rPr>
        <w:fldChar w:fldCharType="separate"/>
      </w:r>
      <w:r w:rsidR="00683558">
        <w:rPr>
          <w:noProof/>
        </w:rPr>
        <w:t>7</w:t>
      </w:r>
      <w:r w:rsidR="00683558">
        <w:rPr>
          <w:noProof/>
        </w:rPr>
        <w:fldChar w:fldCharType="end"/>
      </w:r>
    </w:p>
    <w:p w14:paraId="5ACB4C3A" w14:textId="77777777" w:rsidR="00683558" w:rsidRDefault="00683558">
      <w:pPr>
        <w:pStyle w:val="TOC1"/>
        <w:tabs>
          <w:tab w:val="left" w:pos="373"/>
        </w:tabs>
        <w:rPr>
          <w:rFonts w:asciiTheme="minorHAnsi" w:hAnsiTheme="minorHAnsi" w:cstheme="minorBidi"/>
          <w:b w:val="0"/>
          <w:noProof/>
          <w:lang w:eastAsia="ja-JP"/>
        </w:rPr>
      </w:pPr>
      <w:r w:rsidRPr="009D0A20">
        <w:rPr>
          <w:noProof/>
          <w:lang w:val="en-AU" w:eastAsia="en-AU"/>
        </w:rPr>
        <w:t>2</w:t>
      </w:r>
      <w:r>
        <w:rPr>
          <w:rFonts w:asciiTheme="minorHAnsi" w:hAnsiTheme="minorHAnsi" w:cstheme="minorBidi"/>
          <w:b w:val="0"/>
          <w:noProof/>
          <w:lang w:eastAsia="ja-JP"/>
        </w:rPr>
        <w:tab/>
      </w:r>
      <w:r w:rsidRPr="009D0A20">
        <w:rPr>
          <w:noProof/>
          <w:lang w:val="en-AU" w:eastAsia="en-AU"/>
        </w:rPr>
        <w:t>Summary of findings</w:t>
      </w:r>
      <w:r>
        <w:rPr>
          <w:noProof/>
        </w:rPr>
        <w:tab/>
      </w:r>
      <w:r>
        <w:rPr>
          <w:noProof/>
        </w:rPr>
        <w:fldChar w:fldCharType="begin"/>
      </w:r>
      <w:r>
        <w:rPr>
          <w:noProof/>
        </w:rPr>
        <w:instrText xml:space="preserve"> PAGEREF _Toc272929777 \h </w:instrText>
      </w:r>
      <w:r>
        <w:rPr>
          <w:noProof/>
        </w:rPr>
      </w:r>
      <w:r>
        <w:rPr>
          <w:noProof/>
        </w:rPr>
        <w:fldChar w:fldCharType="separate"/>
      </w:r>
      <w:r>
        <w:rPr>
          <w:noProof/>
        </w:rPr>
        <w:t>7</w:t>
      </w:r>
      <w:r>
        <w:rPr>
          <w:noProof/>
        </w:rPr>
        <w:fldChar w:fldCharType="end"/>
      </w:r>
    </w:p>
    <w:p w14:paraId="443820B1" w14:textId="77777777" w:rsidR="00683558" w:rsidRDefault="00683558">
      <w:pPr>
        <w:pStyle w:val="TOC1"/>
        <w:tabs>
          <w:tab w:val="left" w:pos="373"/>
        </w:tabs>
        <w:rPr>
          <w:rFonts w:asciiTheme="minorHAnsi" w:hAnsiTheme="minorHAnsi" w:cstheme="minorBidi"/>
          <w:b w:val="0"/>
          <w:noProof/>
          <w:lang w:eastAsia="ja-JP"/>
        </w:rPr>
      </w:pPr>
      <w:r w:rsidRPr="009D0A20">
        <w:rPr>
          <w:noProof/>
          <w:lang w:val="en-AU" w:eastAsia="en-AU"/>
        </w:rPr>
        <w:t>3</w:t>
      </w:r>
      <w:r>
        <w:rPr>
          <w:rFonts w:asciiTheme="minorHAnsi" w:hAnsiTheme="minorHAnsi" w:cstheme="minorBidi"/>
          <w:b w:val="0"/>
          <w:noProof/>
          <w:lang w:eastAsia="ja-JP"/>
        </w:rPr>
        <w:tab/>
      </w:r>
      <w:r w:rsidRPr="009D0A20">
        <w:rPr>
          <w:noProof/>
          <w:lang w:val="en-AU" w:eastAsia="en-AU"/>
        </w:rPr>
        <w:t>Recommendations</w:t>
      </w:r>
      <w:r>
        <w:rPr>
          <w:noProof/>
        </w:rPr>
        <w:tab/>
      </w:r>
      <w:r>
        <w:rPr>
          <w:noProof/>
        </w:rPr>
        <w:fldChar w:fldCharType="begin"/>
      </w:r>
      <w:r>
        <w:rPr>
          <w:noProof/>
        </w:rPr>
        <w:instrText xml:space="preserve"> PAGEREF _Toc272929778 \h </w:instrText>
      </w:r>
      <w:r>
        <w:rPr>
          <w:noProof/>
        </w:rPr>
      </w:r>
      <w:r>
        <w:rPr>
          <w:noProof/>
        </w:rPr>
        <w:fldChar w:fldCharType="separate"/>
      </w:r>
      <w:r>
        <w:rPr>
          <w:noProof/>
        </w:rPr>
        <w:t>7</w:t>
      </w:r>
      <w:r>
        <w:rPr>
          <w:noProof/>
        </w:rPr>
        <w:fldChar w:fldCharType="end"/>
      </w:r>
    </w:p>
    <w:p w14:paraId="384AF50D" w14:textId="77777777" w:rsidR="00683558" w:rsidRDefault="00683558">
      <w:pPr>
        <w:pStyle w:val="TOC1"/>
        <w:tabs>
          <w:tab w:val="left" w:pos="373"/>
        </w:tabs>
        <w:rPr>
          <w:rFonts w:asciiTheme="minorHAnsi" w:hAnsiTheme="minorHAnsi" w:cstheme="minorBidi"/>
          <w:b w:val="0"/>
          <w:noProof/>
          <w:lang w:eastAsia="ja-JP"/>
        </w:rPr>
      </w:pPr>
      <w:r w:rsidRPr="009D0A20">
        <w:rPr>
          <w:noProof/>
          <w:lang w:val="en-AU" w:eastAsia="en-AU"/>
        </w:rPr>
        <w:t>4</w:t>
      </w:r>
      <w:r>
        <w:rPr>
          <w:rFonts w:asciiTheme="minorHAnsi" w:hAnsiTheme="minorHAnsi" w:cstheme="minorBidi"/>
          <w:b w:val="0"/>
          <w:noProof/>
          <w:lang w:eastAsia="ja-JP"/>
        </w:rPr>
        <w:tab/>
      </w:r>
      <w:r w:rsidRPr="009D0A20">
        <w:rPr>
          <w:noProof/>
          <w:lang w:val="en-AU" w:eastAsia="en-AU"/>
        </w:rPr>
        <w:t>The complaint by Mr Basikbasik</w:t>
      </w:r>
      <w:r>
        <w:rPr>
          <w:noProof/>
        </w:rPr>
        <w:tab/>
      </w:r>
      <w:r>
        <w:rPr>
          <w:noProof/>
        </w:rPr>
        <w:fldChar w:fldCharType="begin"/>
      </w:r>
      <w:r>
        <w:rPr>
          <w:noProof/>
        </w:rPr>
        <w:instrText xml:space="preserve"> PAGEREF _Toc272929779 \h </w:instrText>
      </w:r>
      <w:r>
        <w:rPr>
          <w:noProof/>
        </w:rPr>
      </w:r>
      <w:r>
        <w:rPr>
          <w:noProof/>
        </w:rPr>
        <w:fldChar w:fldCharType="separate"/>
      </w:r>
      <w:r>
        <w:rPr>
          <w:noProof/>
        </w:rPr>
        <w:t>7</w:t>
      </w:r>
      <w:r>
        <w:rPr>
          <w:noProof/>
        </w:rPr>
        <w:fldChar w:fldCharType="end"/>
      </w:r>
    </w:p>
    <w:p w14:paraId="2EA7C9E4" w14:textId="77777777" w:rsidR="00683558" w:rsidRDefault="00683558">
      <w:pPr>
        <w:pStyle w:val="TOC1"/>
        <w:tabs>
          <w:tab w:val="left" w:pos="373"/>
        </w:tabs>
        <w:rPr>
          <w:rFonts w:asciiTheme="minorHAnsi" w:hAnsiTheme="minorHAnsi" w:cstheme="minorBidi"/>
          <w:b w:val="0"/>
          <w:noProof/>
          <w:lang w:eastAsia="ja-JP"/>
        </w:rPr>
      </w:pPr>
      <w:r w:rsidRPr="009D0A20">
        <w:rPr>
          <w:noProof/>
          <w:lang w:val="en-AU" w:eastAsia="en-AU"/>
        </w:rPr>
        <w:t>5</w:t>
      </w:r>
      <w:r>
        <w:rPr>
          <w:rFonts w:asciiTheme="minorHAnsi" w:hAnsiTheme="minorHAnsi" w:cstheme="minorBidi"/>
          <w:b w:val="0"/>
          <w:noProof/>
          <w:lang w:eastAsia="ja-JP"/>
        </w:rPr>
        <w:tab/>
      </w:r>
      <w:r w:rsidRPr="009D0A20">
        <w:rPr>
          <w:noProof/>
          <w:lang w:val="en-AU" w:eastAsia="en-AU"/>
        </w:rPr>
        <w:t>The Commission’s human rights inquiry and complaints function</w:t>
      </w:r>
      <w:r>
        <w:rPr>
          <w:noProof/>
        </w:rPr>
        <w:tab/>
      </w:r>
      <w:r>
        <w:rPr>
          <w:noProof/>
        </w:rPr>
        <w:fldChar w:fldCharType="begin"/>
      </w:r>
      <w:r>
        <w:rPr>
          <w:noProof/>
        </w:rPr>
        <w:instrText xml:space="preserve"> PAGEREF _Toc272929780 \h </w:instrText>
      </w:r>
      <w:r>
        <w:rPr>
          <w:noProof/>
        </w:rPr>
      </w:r>
      <w:r>
        <w:rPr>
          <w:noProof/>
        </w:rPr>
        <w:fldChar w:fldCharType="separate"/>
      </w:r>
      <w:r>
        <w:rPr>
          <w:noProof/>
        </w:rPr>
        <w:t>9</w:t>
      </w:r>
      <w:r>
        <w:rPr>
          <w:noProof/>
        </w:rPr>
        <w:fldChar w:fldCharType="end"/>
      </w:r>
    </w:p>
    <w:p w14:paraId="75F90551" w14:textId="77777777" w:rsidR="00683558" w:rsidRDefault="00683558">
      <w:pPr>
        <w:pStyle w:val="TOC1"/>
        <w:tabs>
          <w:tab w:val="left" w:pos="373"/>
        </w:tabs>
        <w:rPr>
          <w:rFonts w:asciiTheme="minorHAnsi" w:hAnsiTheme="minorHAnsi" w:cstheme="minorBidi"/>
          <w:b w:val="0"/>
          <w:noProof/>
          <w:lang w:eastAsia="ja-JP"/>
        </w:rPr>
      </w:pPr>
      <w:r w:rsidRPr="009D0A20">
        <w:rPr>
          <w:noProof/>
          <w:lang w:val="en-AU" w:eastAsia="en-AU"/>
        </w:rPr>
        <w:t>6</w:t>
      </w:r>
      <w:r>
        <w:rPr>
          <w:rFonts w:asciiTheme="minorHAnsi" w:hAnsiTheme="minorHAnsi" w:cstheme="minorBidi"/>
          <w:b w:val="0"/>
          <w:noProof/>
          <w:lang w:eastAsia="ja-JP"/>
        </w:rPr>
        <w:tab/>
      </w:r>
      <w:r w:rsidRPr="009D0A20">
        <w:rPr>
          <w:noProof/>
          <w:lang w:val="en-AU" w:eastAsia="en-AU"/>
        </w:rPr>
        <w:t>Assessment</w:t>
      </w:r>
      <w:r>
        <w:rPr>
          <w:noProof/>
        </w:rPr>
        <w:tab/>
      </w:r>
      <w:r>
        <w:rPr>
          <w:noProof/>
        </w:rPr>
        <w:fldChar w:fldCharType="begin"/>
      </w:r>
      <w:r>
        <w:rPr>
          <w:noProof/>
        </w:rPr>
        <w:instrText xml:space="preserve"> PAGEREF _Toc272929781 \h </w:instrText>
      </w:r>
      <w:r>
        <w:rPr>
          <w:noProof/>
        </w:rPr>
      </w:r>
      <w:r>
        <w:rPr>
          <w:noProof/>
        </w:rPr>
        <w:fldChar w:fldCharType="separate"/>
      </w:r>
      <w:r>
        <w:rPr>
          <w:noProof/>
        </w:rPr>
        <w:t>9</w:t>
      </w:r>
      <w:r>
        <w:rPr>
          <w:noProof/>
        </w:rPr>
        <w:fldChar w:fldCharType="end"/>
      </w:r>
    </w:p>
    <w:p w14:paraId="6D4DFE4B" w14:textId="77777777" w:rsidR="00683558" w:rsidRDefault="00683558">
      <w:pPr>
        <w:pStyle w:val="TOC2"/>
        <w:rPr>
          <w:rFonts w:asciiTheme="minorHAnsi" w:hAnsiTheme="minorHAnsi" w:cstheme="minorBidi"/>
          <w:noProof/>
          <w:lang w:eastAsia="ja-JP"/>
        </w:rPr>
      </w:pPr>
      <w:r w:rsidRPr="009D0A20">
        <w:rPr>
          <w:rFonts w:ascii="Arial Bold" w:hAnsi="Arial Bold"/>
          <w:noProof/>
          <w:lang w:eastAsia="en-AU"/>
        </w:rPr>
        <w:t>6.1</w:t>
      </w:r>
      <w:r>
        <w:rPr>
          <w:rFonts w:asciiTheme="minorHAnsi" w:hAnsiTheme="minorHAnsi" w:cstheme="minorBidi"/>
          <w:noProof/>
          <w:lang w:eastAsia="ja-JP"/>
        </w:rPr>
        <w:tab/>
      </w:r>
      <w:r>
        <w:rPr>
          <w:noProof/>
          <w:lang w:eastAsia="en-AU"/>
        </w:rPr>
        <w:t>Act or practice of the Commonwealth?</w:t>
      </w:r>
      <w:r>
        <w:rPr>
          <w:noProof/>
        </w:rPr>
        <w:tab/>
      </w:r>
      <w:r>
        <w:rPr>
          <w:noProof/>
        </w:rPr>
        <w:fldChar w:fldCharType="begin"/>
      </w:r>
      <w:r>
        <w:rPr>
          <w:noProof/>
        </w:rPr>
        <w:instrText xml:space="preserve"> PAGEREF _Toc272929782 \h </w:instrText>
      </w:r>
      <w:r>
        <w:rPr>
          <w:noProof/>
        </w:rPr>
      </w:r>
      <w:r>
        <w:rPr>
          <w:noProof/>
        </w:rPr>
        <w:fldChar w:fldCharType="separate"/>
      </w:r>
      <w:r>
        <w:rPr>
          <w:noProof/>
        </w:rPr>
        <w:t>9</w:t>
      </w:r>
      <w:r>
        <w:rPr>
          <w:noProof/>
        </w:rPr>
        <w:fldChar w:fldCharType="end"/>
      </w:r>
    </w:p>
    <w:p w14:paraId="6421657A" w14:textId="77777777" w:rsidR="00683558" w:rsidRDefault="00683558">
      <w:pPr>
        <w:pStyle w:val="TOC2"/>
        <w:rPr>
          <w:rFonts w:asciiTheme="minorHAnsi" w:hAnsiTheme="minorHAnsi" w:cstheme="minorBidi"/>
          <w:noProof/>
          <w:lang w:eastAsia="ja-JP"/>
        </w:rPr>
      </w:pPr>
      <w:r w:rsidRPr="009D0A20">
        <w:rPr>
          <w:rFonts w:ascii="Arial Bold" w:hAnsi="Arial Bold"/>
          <w:noProof/>
          <w:lang w:eastAsia="en-AU"/>
        </w:rPr>
        <w:t>6.2</w:t>
      </w:r>
      <w:r>
        <w:rPr>
          <w:rFonts w:asciiTheme="minorHAnsi" w:hAnsiTheme="minorHAnsi" w:cstheme="minorBidi"/>
          <w:noProof/>
          <w:lang w:eastAsia="ja-JP"/>
        </w:rPr>
        <w:tab/>
      </w:r>
      <w:r>
        <w:rPr>
          <w:noProof/>
          <w:lang w:eastAsia="en-AU"/>
        </w:rPr>
        <w:t>Inconsistent with or contrary to human rights?</w:t>
      </w:r>
      <w:r>
        <w:rPr>
          <w:noProof/>
        </w:rPr>
        <w:tab/>
      </w:r>
      <w:r>
        <w:rPr>
          <w:noProof/>
        </w:rPr>
        <w:fldChar w:fldCharType="begin"/>
      </w:r>
      <w:r>
        <w:rPr>
          <w:noProof/>
        </w:rPr>
        <w:instrText xml:space="preserve"> PAGEREF _Toc272929783 \h </w:instrText>
      </w:r>
      <w:r>
        <w:rPr>
          <w:noProof/>
        </w:rPr>
      </w:r>
      <w:r>
        <w:rPr>
          <w:noProof/>
        </w:rPr>
        <w:fldChar w:fldCharType="separate"/>
      </w:r>
      <w:r>
        <w:rPr>
          <w:noProof/>
        </w:rPr>
        <w:t>10</w:t>
      </w:r>
      <w:r>
        <w:rPr>
          <w:noProof/>
        </w:rPr>
        <w:fldChar w:fldCharType="end"/>
      </w:r>
    </w:p>
    <w:p w14:paraId="703ED840" w14:textId="77777777" w:rsidR="00683558" w:rsidRDefault="00683558">
      <w:pPr>
        <w:pStyle w:val="TOC1"/>
        <w:tabs>
          <w:tab w:val="left" w:pos="373"/>
        </w:tabs>
        <w:rPr>
          <w:rFonts w:asciiTheme="minorHAnsi" w:hAnsiTheme="minorHAnsi" w:cstheme="minorBidi"/>
          <w:b w:val="0"/>
          <w:noProof/>
          <w:lang w:eastAsia="ja-JP"/>
        </w:rPr>
      </w:pPr>
      <w:r w:rsidRPr="009D0A20">
        <w:rPr>
          <w:noProof/>
          <w:lang w:val="en-AU" w:eastAsia="en-AU"/>
        </w:rPr>
        <w:t>7</w:t>
      </w:r>
      <w:r>
        <w:rPr>
          <w:rFonts w:asciiTheme="minorHAnsi" w:hAnsiTheme="minorHAnsi" w:cstheme="minorBidi"/>
          <w:b w:val="0"/>
          <w:noProof/>
          <w:lang w:eastAsia="ja-JP"/>
        </w:rPr>
        <w:tab/>
      </w:r>
      <w:r w:rsidRPr="009D0A20">
        <w:rPr>
          <w:noProof/>
          <w:lang w:val="en-AU" w:eastAsia="en-AU"/>
        </w:rPr>
        <w:t>Recommendations</w:t>
      </w:r>
      <w:r>
        <w:rPr>
          <w:noProof/>
        </w:rPr>
        <w:tab/>
      </w:r>
      <w:r>
        <w:rPr>
          <w:noProof/>
        </w:rPr>
        <w:fldChar w:fldCharType="begin"/>
      </w:r>
      <w:r>
        <w:rPr>
          <w:noProof/>
        </w:rPr>
        <w:instrText xml:space="preserve"> PAGEREF _Toc272929784 \h </w:instrText>
      </w:r>
      <w:r>
        <w:rPr>
          <w:noProof/>
        </w:rPr>
      </w:r>
      <w:r>
        <w:rPr>
          <w:noProof/>
        </w:rPr>
        <w:fldChar w:fldCharType="separate"/>
      </w:r>
      <w:r>
        <w:rPr>
          <w:noProof/>
        </w:rPr>
        <w:t>13</w:t>
      </w:r>
      <w:r>
        <w:rPr>
          <w:noProof/>
        </w:rPr>
        <w:fldChar w:fldCharType="end"/>
      </w:r>
    </w:p>
    <w:p w14:paraId="35FB14C6" w14:textId="77777777" w:rsidR="00683558" w:rsidRDefault="00683558">
      <w:pPr>
        <w:pStyle w:val="TOC2"/>
        <w:rPr>
          <w:rFonts w:asciiTheme="minorHAnsi" w:hAnsiTheme="minorHAnsi" w:cstheme="minorBidi"/>
          <w:noProof/>
          <w:lang w:eastAsia="ja-JP"/>
        </w:rPr>
      </w:pPr>
      <w:r w:rsidRPr="009D0A20">
        <w:rPr>
          <w:rFonts w:ascii="Arial Bold" w:hAnsi="Arial Bold"/>
          <w:noProof/>
          <w:lang w:eastAsia="en-AU"/>
        </w:rPr>
        <w:t>7.1</w:t>
      </w:r>
      <w:r>
        <w:rPr>
          <w:rFonts w:asciiTheme="minorHAnsi" w:hAnsiTheme="minorHAnsi" w:cstheme="minorBidi"/>
          <w:noProof/>
          <w:lang w:eastAsia="ja-JP"/>
        </w:rPr>
        <w:tab/>
      </w:r>
      <w:r>
        <w:rPr>
          <w:noProof/>
          <w:lang w:eastAsia="en-AU"/>
        </w:rPr>
        <w:t>Consideration of compensation</w:t>
      </w:r>
      <w:r>
        <w:rPr>
          <w:noProof/>
        </w:rPr>
        <w:tab/>
      </w:r>
      <w:r>
        <w:rPr>
          <w:noProof/>
        </w:rPr>
        <w:fldChar w:fldCharType="begin"/>
      </w:r>
      <w:r>
        <w:rPr>
          <w:noProof/>
        </w:rPr>
        <w:instrText xml:space="preserve"> PAGEREF _Toc272929785 \h </w:instrText>
      </w:r>
      <w:r>
        <w:rPr>
          <w:noProof/>
        </w:rPr>
      </w:r>
      <w:r>
        <w:rPr>
          <w:noProof/>
        </w:rPr>
        <w:fldChar w:fldCharType="separate"/>
      </w:r>
      <w:r>
        <w:rPr>
          <w:noProof/>
        </w:rPr>
        <w:t>14</w:t>
      </w:r>
      <w:r>
        <w:rPr>
          <w:noProof/>
        </w:rPr>
        <w:fldChar w:fldCharType="end"/>
      </w:r>
    </w:p>
    <w:p w14:paraId="7C58BDC7" w14:textId="77777777" w:rsidR="00683558" w:rsidRDefault="00683558">
      <w:pPr>
        <w:pStyle w:val="TOC2"/>
        <w:rPr>
          <w:rFonts w:asciiTheme="minorHAnsi" w:hAnsiTheme="minorHAnsi" w:cstheme="minorBidi"/>
          <w:noProof/>
          <w:lang w:eastAsia="ja-JP"/>
        </w:rPr>
      </w:pPr>
      <w:r w:rsidRPr="009D0A20">
        <w:rPr>
          <w:rFonts w:ascii="Arial Bold" w:hAnsi="Arial Bold"/>
          <w:noProof/>
          <w:lang w:eastAsia="en-AU"/>
        </w:rPr>
        <w:t>7.2</w:t>
      </w:r>
      <w:r>
        <w:rPr>
          <w:rFonts w:asciiTheme="minorHAnsi" w:hAnsiTheme="minorHAnsi" w:cstheme="minorBidi"/>
          <w:noProof/>
          <w:lang w:eastAsia="ja-JP"/>
        </w:rPr>
        <w:tab/>
      </w:r>
      <w:r>
        <w:rPr>
          <w:noProof/>
          <w:lang w:eastAsia="en-AU"/>
        </w:rPr>
        <w:t>Recommendation that compensation be paid</w:t>
      </w:r>
      <w:r>
        <w:rPr>
          <w:noProof/>
        </w:rPr>
        <w:tab/>
      </w:r>
      <w:r>
        <w:rPr>
          <w:noProof/>
        </w:rPr>
        <w:fldChar w:fldCharType="begin"/>
      </w:r>
      <w:r>
        <w:rPr>
          <w:noProof/>
        </w:rPr>
        <w:instrText xml:space="preserve"> PAGEREF _Toc272929786 \h </w:instrText>
      </w:r>
      <w:r>
        <w:rPr>
          <w:noProof/>
        </w:rPr>
      </w:r>
      <w:r>
        <w:rPr>
          <w:noProof/>
        </w:rPr>
        <w:fldChar w:fldCharType="separate"/>
      </w:r>
      <w:r>
        <w:rPr>
          <w:noProof/>
        </w:rPr>
        <w:t>16</w:t>
      </w:r>
      <w:r>
        <w:rPr>
          <w:noProof/>
        </w:rPr>
        <w:fldChar w:fldCharType="end"/>
      </w:r>
    </w:p>
    <w:p w14:paraId="737570ED" w14:textId="77777777" w:rsidR="00683558" w:rsidRDefault="00683558">
      <w:pPr>
        <w:pStyle w:val="TOC1"/>
        <w:tabs>
          <w:tab w:val="left" w:pos="373"/>
        </w:tabs>
        <w:rPr>
          <w:noProof/>
        </w:rPr>
      </w:pPr>
      <w:r w:rsidRPr="009D0A20">
        <w:rPr>
          <w:noProof/>
          <w:lang w:val="en-AU" w:eastAsia="en-AU"/>
        </w:rPr>
        <w:t>8</w:t>
      </w:r>
      <w:r>
        <w:rPr>
          <w:rFonts w:asciiTheme="minorHAnsi" w:hAnsiTheme="minorHAnsi" w:cstheme="minorBidi"/>
          <w:b w:val="0"/>
          <w:noProof/>
          <w:lang w:eastAsia="ja-JP"/>
        </w:rPr>
        <w:tab/>
      </w:r>
      <w:r w:rsidRPr="009D0A20">
        <w:rPr>
          <w:noProof/>
          <w:lang w:val="en-AU" w:eastAsia="en-AU"/>
        </w:rPr>
        <w:t>Commonwealth’s response to findings and recommendations</w:t>
      </w:r>
      <w:r>
        <w:rPr>
          <w:noProof/>
        </w:rPr>
        <w:tab/>
      </w:r>
      <w:r>
        <w:rPr>
          <w:noProof/>
        </w:rPr>
        <w:fldChar w:fldCharType="begin"/>
      </w:r>
      <w:r>
        <w:rPr>
          <w:noProof/>
        </w:rPr>
        <w:instrText xml:space="preserve"> PAGEREF _Toc272929787 \h </w:instrText>
      </w:r>
      <w:r>
        <w:rPr>
          <w:noProof/>
        </w:rPr>
      </w:r>
      <w:r>
        <w:rPr>
          <w:noProof/>
        </w:rPr>
        <w:fldChar w:fldCharType="separate"/>
      </w:r>
      <w:r>
        <w:rPr>
          <w:noProof/>
        </w:rPr>
        <w:t>17</w:t>
      </w:r>
      <w:r>
        <w:rPr>
          <w:noProof/>
        </w:rPr>
        <w:fldChar w:fldCharType="end"/>
      </w:r>
    </w:p>
    <w:p w14:paraId="7B7A3B31" w14:textId="1B3DB3D3" w:rsidR="00683558" w:rsidRDefault="00683558">
      <w:pPr>
        <w:spacing w:after="0" w:line="240" w:lineRule="auto"/>
      </w:pPr>
      <w:r>
        <w:br w:type="page"/>
      </w:r>
    </w:p>
    <w:p w14:paraId="478EE212" w14:textId="3052A733" w:rsidR="000E3DC1" w:rsidRDefault="00AE3321" w:rsidP="000433C2">
      <w:pPr>
        <w:rPr>
          <w:rFonts w:cs="Arial"/>
          <w:lang w:val="en-AU"/>
        </w:rPr>
      </w:pPr>
      <w:r>
        <w:fldChar w:fldCharType="end"/>
      </w:r>
      <w:r w:rsidR="000E3DC1">
        <w:rPr>
          <w:rFonts w:cs="Arial"/>
          <w:noProof/>
          <w:lang w:val="en-AU" w:eastAsia="en-AU"/>
        </w:rPr>
        <w:drawing>
          <wp:inline distT="0" distB="0" distL="0" distR="0" wp14:anchorId="42897EEC" wp14:editId="2FD6F1D0">
            <wp:extent cx="1696720" cy="548640"/>
            <wp:effectExtent l="0" t="0" r="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96720" cy="548640"/>
                    </a:xfrm>
                    <a:prstGeom prst="rect">
                      <a:avLst/>
                    </a:prstGeom>
                    <a:noFill/>
                    <a:ln>
                      <a:noFill/>
                    </a:ln>
                  </pic:spPr>
                </pic:pic>
              </a:graphicData>
            </a:graphic>
          </wp:inline>
        </w:drawing>
      </w:r>
    </w:p>
    <w:p w14:paraId="304EAE5A" w14:textId="2EB9A339" w:rsidR="00D6621A" w:rsidRDefault="00D6621A" w:rsidP="000E3DC1">
      <w:r>
        <w:t>.................................................................................................................................</w:t>
      </w:r>
    </w:p>
    <w:p w14:paraId="00451016" w14:textId="77777777" w:rsidR="00A43AB6" w:rsidRPr="00D61731" w:rsidRDefault="00A43AB6" w:rsidP="00D61731">
      <w:pPr>
        <w:rPr>
          <w:rFonts w:cs="Arial"/>
          <w:lang w:val="en-US" w:eastAsia="en-AU"/>
        </w:rPr>
      </w:pPr>
    </w:p>
    <w:p w14:paraId="23DAE06C" w14:textId="5BD581E1" w:rsidR="00D61731" w:rsidRPr="00D61731" w:rsidRDefault="00501B71" w:rsidP="00501B71">
      <w:pPr>
        <w:rPr>
          <w:lang w:val="en-US" w:eastAsia="en-AU"/>
        </w:rPr>
      </w:pPr>
      <w:r>
        <w:rPr>
          <w:lang w:val="en-US" w:eastAsia="en-AU"/>
        </w:rPr>
        <w:t>June</w:t>
      </w:r>
      <w:r w:rsidR="00D61731" w:rsidRPr="00D61731">
        <w:rPr>
          <w:lang w:val="en-US" w:eastAsia="en-AU"/>
        </w:rPr>
        <w:t xml:space="preserve"> 2014</w:t>
      </w:r>
    </w:p>
    <w:p w14:paraId="5910E572" w14:textId="77777777" w:rsidR="00501B71" w:rsidRPr="00501B71" w:rsidRDefault="00D61731" w:rsidP="00501B71">
      <w:r w:rsidRPr="00D61731">
        <w:rPr>
          <w:lang w:val="en-US" w:eastAsia="en-AU"/>
        </w:rPr>
        <w:t>Senator the Hon. George Brandis QC</w:t>
      </w:r>
      <w:r w:rsidRPr="00D61731">
        <w:rPr>
          <w:lang w:val="en-US" w:eastAsia="en-AU"/>
        </w:rPr>
        <w:br/>
        <w:t>Attorney-General</w:t>
      </w:r>
      <w:r w:rsidRPr="00D61731">
        <w:rPr>
          <w:lang w:val="en-US" w:eastAsia="en-AU"/>
        </w:rPr>
        <w:br/>
        <w:t>Parliament House</w:t>
      </w:r>
      <w:r w:rsidRPr="00D61731">
        <w:rPr>
          <w:lang w:val="en-US" w:eastAsia="en-AU"/>
        </w:rPr>
        <w:br/>
        <w:t>Canberra ACT 2600</w:t>
      </w:r>
      <w:r w:rsidRPr="00D61731">
        <w:rPr>
          <w:lang w:val="en-US" w:eastAsia="en-AU"/>
        </w:rPr>
        <w:br/>
      </w:r>
      <w:r w:rsidRPr="00D61731">
        <w:rPr>
          <w:lang w:val="en-US" w:eastAsia="en-AU"/>
        </w:rPr>
        <w:br/>
        <w:t>Dear Attorney</w:t>
      </w:r>
      <w:r w:rsidRPr="00D61731">
        <w:rPr>
          <w:lang w:val="en-US" w:eastAsia="en-AU"/>
        </w:rPr>
        <w:br/>
      </w:r>
      <w:r w:rsidRPr="00D61731">
        <w:rPr>
          <w:lang w:val="en-US" w:eastAsia="en-AU"/>
        </w:rPr>
        <w:br/>
      </w:r>
      <w:r w:rsidR="00501B71" w:rsidRPr="00501B71">
        <w:t xml:space="preserve">I have completed my report pursuant to s 11(1)(f)(ii) of the </w:t>
      </w:r>
      <w:r w:rsidR="00501B71" w:rsidRPr="00501B71">
        <w:rPr>
          <w:rStyle w:val="Emphasis"/>
        </w:rPr>
        <w:t>Australian Human Rights Commission Act 1986</w:t>
      </w:r>
      <w:r w:rsidR="00501B71" w:rsidRPr="00501B71">
        <w:t xml:space="preserve"> (Cth) into a complaint made by Mr John Basikbasik.</w:t>
      </w:r>
    </w:p>
    <w:p w14:paraId="783F1C0E" w14:textId="77777777" w:rsidR="00501B71" w:rsidRPr="00501B71" w:rsidRDefault="00501B71" w:rsidP="00501B71">
      <w:pPr>
        <w:rPr>
          <w:lang w:val="en-US" w:eastAsia="en-AU"/>
        </w:rPr>
      </w:pPr>
      <w:r w:rsidRPr="00501B71">
        <w:rPr>
          <w:lang w:val="en-US" w:eastAsia="en-AU"/>
        </w:rPr>
        <w:t xml:space="preserve">I find that the failure of the Minister to place Mr Basikbasik into community detention or another less restrictive form of detention (if necessary, with conditions) was inconsistent with the prohibition on arbitrary detention in article 9(1) of the </w:t>
      </w:r>
      <w:r w:rsidRPr="00501B71">
        <w:rPr>
          <w:rStyle w:val="Emphasis"/>
        </w:rPr>
        <w:t>International Covenant on Civil and Political Rights</w:t>
      </w:r>
      <w:r w:rsidRPr="00501B71">
        <w:rPr>
          <w:lang w:val="en-US" w:eastAsia="en-AU"/>
        </w:rPr>
        <w:t>.</w:t>
      </w:r>
    </w:p>
    <w:p w14:paraId="1C521559" w14:textId="60F093DB" w:rsidR="009B49AF" w:rsidRDefault="00501B71" w:rsidP="00501B71">
      <w:pPr>
        <w:rPr>
          <w:lang w:val="en-US" w:eastAsia="en-AU"/>
        </w:rPr>
      </w:pPr>
      <w:r w:rsidRPr="00501B71">
        <w:rPr>
          <w:lang w:val="en-US" w:eastAsia="en-AU"/>
        </w:rPr>
        <w:t>By letters dated 28 May 2014 and 29 May 2014, the Hon Scott Morrison MP, Minister for Immigration and Border Protection (Minister), and the Department of Immigration and Border Protection (Department), provided responses to my findings and recommendations. I have set out the responses of the Minister and the Department in Part 8 of my report.</w:t>
      </w:r>
    </w:p>
    <w:p w14:paraId="686D0EED" w14:textId="3AE2938F" w:rsidR="00501B71" w:rsidRDefault="00501B71">
      <w:pPr>
        <w:spacing w:after="0" w:line="240" w:lineRule="auto"/>
        <w:rPr>
          <w:lang w:val="en-US" w:eastAsia="en-AU"/>
        </w:rPr>
      </w:pPr>
      <w:r>
        <w:rPr>
          <w:lang w:val="en-US" w:eastAsia="en-AU"/>
        </w:rPr>
        <w:br w:type="page"/>
      </w:r>
    </w:p>
    <w:p w14:paraId="21439949" w14:textId="77777777" w:rsidR="00501B71" w:rsidRPr="009B49AF" w:rsidRDefault="00501B71" w:rsidP="00501B71">
      <w:pPr>
        <w:rPr>
          <w:lang w:val="en-US" w:eastAsia="en-AU"/>
        </w:rPr>
      </w:pPr>
    </w:p>
    <w:p w14:paraId="53427076" w14:textId="1032FB35" w:rsidR="00415667" w:rsidRDefault="009B49AF" w:rsidP="009B49AF">
      <w:pPr>
        <w:spacing w:after="400"/>
        <w:rPr>
          <w:lang w:val="en-US" w:eastAsia="en-AU"/>
        </w:rPr>
      </w:pPr>
      <w:r w:rsidRPr="009B49AF">
        <w:rPr>
          <w:lang w:val="en-US" w:eastAsia="en-AU"/>
        </w:rPr>
        <w:t xml:space="preserve">Please find enclosed a </w:t>
      </w:r>
      <w:r w:rsidRPr="00683558">
        <w:t>copy of</w:t>
      </w:r>
      <w:r w:rsidRPr="009B49AF">
        <w:rPr>
          <w:lang w:val="en-US" w:eastAsia="en-AU"/>
        </w:rPr>
        <w:t xml:space="preserve"> my report.</w:t>
      </w:r>
    </w:p>
    <w:p w14:paraId="395C522C" w14:textId="77777777" w:rsidR="00501B71" w:rsidRPr="009B49AF" w:rsidRDefault="00501B71" w:rsidP="009B49AF">
      <w:pPr>
        <w:spacing w:after="400"/>
        <w:rPr>
          <w:lang w:val="en-US" w:eastAsia="en-AU"/>
        </w:rPr>
      </w:pPr>
    </w:p>
    <w:p w14:paraId="09BFFA60" w14:textId="553B8BBF" w:rsidR="00D61731" w:rsidRDefault="00501B71" w:rsidP="00415667">
      <w:pPr>
        <w:rPr>
          <w:rFonts w:cs="Arial"/>
          <w:color w:val="000000"/>
          <w:lang w:val="en-US" w:eastAsia="en-AU"/>
        </w:rPr>
      </w:pPr>
      <w:r>
        <w:rPr>
          <w:rFonts w:cs="Arial"/>
          <w:color w:val="000000"/>
          <w:lang w:val="en-US" w:eastAsia="en-AU"/>
        </w:rPr>
        <w:t>Yours sincerely</w:t>
      </w:r>
    </w:p>
    <w:p w14:paraId="25C934DB" w14:textId="77777777" w:rsidR="00501B71" w:rsidRDefault="00501B71" w:rsidP="00415667">
      <w:pPr>
        <w:rPr>
          <w:rFonts w:cs="Arial"/>
          <w:color w:val="000000"/>
          <w:lang w:val="en-US" w:eastAsia="en-AU"/>
        </w:rPr>
      </w:pPr>
    </w:p>
    <w:p w14:paraId="32FD8B5A" w14:textId="77777777" w:rsidR="00501B71" w:rsidRPr="00095F05" w:rsidRDefault="00501B71" w:rsidP="00415667">
      <w:pPr>
        <w:rPr>
          <w:rFonts w:cs="Arial"/>
          <w:color w:val="000000"/>
          <w:lang w:val="en-US" w:eastAsia="en-AU"/>
        </w:rPr>
      </w:pPr>
    </w:p>
    <w:p w14:paraId="55E2A621" w14:textId="2DAC3518" w:rsidR="000E3DC1" w:rsidRDefault="00095F0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r w:rsidRPr="00095F05">
        <w:rPr>
          <w:rFonts w:cs="Arial"/>
          <w:color w:val="000000"/>
          <w:lang w:val="en-US" w:eastAsia="en-AU"/>
        </w:rPr>
        <w:t>Gillian Triggs</w:t>
      </w:r>
      <w:r w:rsidRPr="00095F05">
        <w:rPr>
          <w:rFonts w:cs="Arial"/>
          <w:color w:val="000000"/>
          <w:lang w:val="en-US" w:eastAsia="en-AU"/>
        </w:rPr>
        <w:br/>
      </w:r>
      <w:r w:rsidRPr="0039341C">
        <w:rPr>
          <w:rStyle w:val="Strong"/>
        </w:rPr>
        <w:t>President</w:t>
      </w:r>
      <w:r w:rsidRPr="00095F05">
        <w:rPr>
          <w:rFonts w:cs="Arial"/>
          <w:b/>
          <w:bCs/>
          <w:color w:val="000000"/>
          <w:lang w:val="en-US" w:eastAsia="en-AU"/>
        </w:rPr>
        <w:br/>
      </w:r>
      <w:r w:rsidRPr="00095F05">
        <w:rPr>
          <w:rFonts w:cs="Arial"/>
          <w:color w:val="000000"/>
          <w:lang w:val="en-US" w:eastAsia="en-AU"/>
        </w:rPr>
        <w:t>Australian Human Rights Commission</w:t>
      </w:r>
    </w:p>
    <w:p w14:paraId="29F0FE55"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D59CEB5"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95BC8B4"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12F57C9"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4047B547"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A0236FE"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C5CE5FD" w14:textId="77777777" w:rsidR="00415667" w:rsidRDefault="00415667"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2F00A08" w14:textId="77777777" w:rsidR="00415667" w:rsidRDefault="00415667"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DBD96C5" w14:textId="77777777" w:rsidR="00415667" w:rsidRDefault="00415667"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5EA52338" w14:textId="77777777" w:rsidR="00A43AB6" w:rsidRPr="00095F05"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30C1D59" w14:textId="219753C1" w:rsidR="000E3DC1" w:rsidRDefault="00D6621A" w:rsidP="000E3DC1">
      <w:r>
        <w:t>.................................................................................................................................</w:t>
      </w:r>
    </w:p>
    <w:p w14:paraId="32CEC59C" w14:textId="77777777" w:rsidR="000E3DC1" w:rsidRPr="0039341C" w:rsidRDefault="000E3DC1" w:rsidP="000E3DC1">
      <w:pPr>
        <w:widowControl w:val="0"/>
        <w:suppressAutoHyphens/>
        <w:autoSpaceDE w:val="0"/>
        <w:autoSpaceDN w:val="0"/>
        <w:adjustRightInd w:val="0"/>
        <w:spacing w:after="113"/>
        <w:textAlignment w:val="center"/>
        <w:rPr>
          <w:rStyle w:val="Strong"/>
          <w:sz w:val="20"/>
          <w:szCs w:val="20"/>
        </w:rPr>
      </w:pPr>
      <w:r w:rsidRPr="0039341C">
        <w:rPr>
          <w:rStyle w:val="Strong"/>
          <w:sz w:val="20"/>
          <w:szCs w:val="20"/>
        </w:rPr>
        <w:t>Australian Human Rights Commission</w:t>
      </w:r>
    </w:p>
    <w:p w14:paraId="417FC943" w14:textId="77777777" w:rsidR="000E3DC1" w:rsidRPr="000E3DC1" w:rsidRDefault="000E3DC1" w:rsidP="000E3DC1">
      <w:pPr>
        <w:widowControl w:val="0"/>
        <w:suppressAutoHyphens/>
        <w:autoSpaceDE w:val="0"/>
        <w:autoSpaceDN w:val="0"/>
        <w:adjustRightInd w:val="0"/>
        <w:spacing w:after="57"/>
        <w:textAlignment w:val="center"/>
        <w:rPr>
          <w:rFonts w:cs="Arial"/>
          <w:color w:val="000000"/>
          <w:sz w:val="20"/>
          <w:szCs w:val="20"/>
          <w:lang w:val="en-AU" w:eastAsia="en-AU"/>
        </w:rPr>
      </w:pPr>
      <w:r w:rsidRPr="000E3DC1">
        <w:rPr>
          <w:rFonts w:cs="Arial"/>
          <w:color w:val="000000"/>
          <w:sz w:val="20"/>
          <w:szCs w:val="20"/>
          <w:lang w:val="en-AU" w:eastAsia="en-AU"/>
        </w:rPr>
        <w:t xml:space="preserve">Level 3, 175 Pitt Street, Sydney NSW 2000 </w:t>
      </w:r>
      <w:r w:rsidRPr="000E3DC1">
        <w:rPr>
          <w:rFonts w:cs="Arial"/>
          <w:color w:val="000000"/>
          <w:sz w:val="20"/>
          <w:szCs w:val="20"/>
          <w:lang w:val="en-AU" w:eastAsia="en-AU"/>
        </w:rPr>
        <w:br/>
        <w:t>GPO Box 5218, Sydney NSW 2001</w:t>
      </w:r>
    </w:p>
    <w:p w14:paraId="5E58F624" w14:textId="50349A04" w:rsidR="000E3DC1" w:rsidRPr="000E3DC1" w:rsidRDefault="000E3DC1" w:rsidP="000E3DC1">
      <w:pPr>
        <w:rPr>
          <w:rFonts w:cs="Arial"/>
          <w:sz w:val="20"/>
          <w:szCs w:val="20"/>
        </w:rPr>
      </w:pPr>
      <w:r w:rsidRPr="000E3DC1">
        <w:rPr>
          <w:rFonts w:cs="Arial"/>
          <w:i/>
          <w:iCs/>
          <w:color w:val="000000"/>
          <w:sz w:val="20"/>
          <w:szCs w:val="20"/>
          <w:lang w:val="en-AU" w:eastAsia="en-AU"/>
        </w:rPr>
        <w:t>Telephone:</w:t>
      </w:r>
      <w:r w:rsidRPr="000E3DC1">
        <w:rPr>
          <w:rFonts w:cs="Arial"/>
          <w:color w:val="000000"/>
          <w:sz w:val="20"/>
          <w:szCs w:val="20"/>
          <w:lang w:val="en-AU" w:eastAsia="en-AU"/>
        </w:rPr>
        <w:t xml:space="preserve"> 02 9284 9600 </w:t>
      </w:r>
      <w:r w:rsidRPr="000E3DC1">
        <w:rPr>
          <w:rFonts w:cs="Arial"/>
          <w:color w:val="000000"/>
          <w:sz w:val="20"/>
          <w:szCs w:val="20"/>
          <w:lang w:val="en-AU" w:eastAsia="en-AU"/>
        </w:rPr>
        <w:br/>
      </w:r>
      <w:r w:rsidRPr="000E3DC1">
        <w:rPr>
          <w:rFonts w:cs="Arial"/>
          <w:i/>
          <w:iCs/>
          <w:color w:val="000000"/>
          <w:sz w:val="20"/>
          <w:szCs w:val="20"/>
          <w:lang w:val="en-AU" w:eastAsia="en-AU"/>
        </w:rPr>
        <w:t>Facsimile:</w:t>
      </w:r>
      <w:r w:rsidRPr="000E3DC1">
        <w:rPr>
          <w:rFonts w:cs="Arial"/>
          <w:color w:val="000000"/>
          <w:sz w:val="20"/>
          <w:szCs w:val="20"/>
          <w:lang w:val="en-AU" w:eastAsia="en-AU"/>
        </w:rPr>
        <w:t xml:space="preserve"> 02 9284 9611 </w:t>
      </w:r>
      <w:r w:rsidRPr="000E3DC1">
        <w:rPr>
          <w:rFonts w:cs="Arial"/>
          <w:color w:val="000000"/>
          <w:sz w:val="20"/>
          <w:szCs w:val="20"/>
          <w:lang w:val="en-AU" w:eastAsia="en-AU"/>
        </w:rPr>
        <w:br/>
      </w:r>
      <w:r w:rsidRPr="000E3DC1">
        <w:rPr>
          <w:rFonts w:cs="Arial"/>
          <w:i/>
          <w:iCs/>
          <w:color w:val="000000"/>
          <w:sz w:val="20"/>
          <w:szCs w:val="20"/>
          <w:lang w:val="en-AU" w:eastAsia="en-AU"/>
        </w:rPr>
        <w:t>Website:</w:t>
      </w:r>
      <w:r w:rsidRPr="000E3DC1">
        <w:rPr>
          <w:rFonts w:cs="Arial"/>
          <w:color w:val="000000"/>
          <w:sz w:val="20"/>
          <w:szCs w:val="20"/>
          <w:lang w:val="en-AU" w:eastAsia="en-AU"/>
        </w:rPr>
        <w:t xml:space="preserve"> </w:t>
      </w:r>
      <w:hyperlink r:id="rId17" w:history="1">
        <w:r w:rsidR="00E25CEE">
          <w:rPr>
            <w:rStyle w:val="Hyperlink"/>
            <w:rFonts w:cs="Arial"/>
            <w:sz w:val="20"/>
            <w:szCs w:val="20"/>
            <w:lang w:val="en-AU" w:eastAsia="en-AU"/>
          </w:rPr>
          <w:t>www.humanrights.gov.au</w:t>
        </w:r>
      </w:hyperlink>
    </w:p>
    <w:p w14:paraId="6BCF08CC" w14:textId="1FB84029" w:rsidR="00C95492" w:rsidRPr="00C95492" w:rsidRDefault="000E3DC1" w:rsidP="00C95492">
      <w:pPr>
        <w:spacing w:after="227"/>
      </w:pPr>
      <w:r>
        <w:rPr>
          <w:rFonts w:cs="Arial"/>
          <w:lang w:val="en-AU"/>
        </w:rPr>
        <w:br w:type="page"/>
      </w:r>
    </w:p>
    <w:p w14:paraId="09212ED6" w14:textId="77777777" w:rsidR="00501B71" w:rsidRPr="00501B71" w:rsidRDefault="00501B71" w:rsidP="00501B71">
      <w:pPr>
        <w:pStyle w:val="Heading1"/>
        <w:rPr>
          <w:lang w:val="en-AU" w:eastAsia="en-AU"/>
        </w:rPr>
      </w:pPr>
      <w:bookmarkStart w:id="1" w:name="_Toc272929776"/>
      <w:r w:rsidRPr="00501B71">
        <w:rPr>
          <w:lang w:val="en-AU" w:eastAsia="en-AU"/>
        </w:rPr>
        <w:t>Introduction</w:t>
      </w:r>
      <w:bookmarkEnd w:id="1"/>
    </w:p>
    <w:p w14:paraId="590E77C5" w14:textId="77777777" w:rsidR="00501B71" w:rsidRPr="00501B71" w:rsidRDefault="00501B71" w:rsidP="00501B71">
      <w:pPr>
        <w:pStyle w:val="ListParagraph"/>
        <w:rPr>
          <w:lang w:val="en-US" w:eastAsia="en-AU"/>
        </w:rPr>
      </w:pPr>
      <w:r w:rsidRPr="00501B71">
        <w:rPr>
          <w:lang w:val="en-US" w:eastAsia="en-AU"/>
        </w:rPr>
        <w:t>This is a Report setting out the findings of the Australian Human Rights Commission and the reasons for those findings following an inquiry by the Commission into the complaint lodged by Mr John Basikbasik against the Commonwealth.</w:t>
      </w:r>
    </w:p>
    <w:p w14:paraId="1B15AAF8" w14:textId="77777777" w:rsidR="00501B71" w:rsidRPr="00501B71" w:rsidRDefault="00501B71" w:rsidP="00501B71">
      <w:pPr>
        <w:pStyle w:val="ListParagraph"/>
        <w:rPr>
          <w:lang w:val="en-US" w:eastAsia="en-AU"/>
        </w:rPr>
      </w:pPr>
      <w:r w:rsidRPr="00501B71">
        <w:rPr>
          <w:lang w:val="en-US" w:eastAsia="en-AU"/>
        </w:rPr>
        <w:t xml:space="preserve">Mr Basikbasik alleges that his treatment by the Commonwealth of Australia – Department of Immigration and Citizenship (as it then was – it has subsequently been redesignated the Department of Immigration and Border Protection (Department)), involved acts or practices inconsistent with or contrary to his human rights under the </w:t>
      </w:r>
      <w:r w:rsidRPr="00501B71">
        <w:rPr>
          <w:rStyle w:val="Emphasis"/>
        </w:rPr>
        <w:t>International Covenant on Civil and Political Rights</w:t>
      </w:r>
      <w:r w:rsidRPr="00501B71">
        <w:rPr>
          <w:i/>
          <w:iCs/>
          <w:lang w:val="en-US" w:eastAsia="en-AU"/>
        </w:rPr>
        <w:t xml:space="preserve"> </w:t>
      </w:r>
      <w:r w:rsidRPr="00501B71">
        <w:rPr>
          <w:lang w:val="en-US" w:eastAsia="en-AU"/>
        </w:rPr>
        <w:t>(ICCPR).</w:t>
      </w:r>
    </w:p>
    <w:p w14:paraId="294C9CE0" w14:textId="77777777" w:rsidR="00501B71" w:rsidRPr="00501B71" w:rsidRDefault="00501B71" w:rsidP="00501B71">
      <w:pPr>
        <w:pStyle w:val="Heading1"/>
        <w:rPr>
          <w:lang w:val="en-AU" w:eastAsia="en-AU"/>
        </w:rPr>
      </w:pPr>
      <w:bookmarkStart w:id="2" w:name="_Toc272929777"/>
      <w:r w:rsidRPr="00501B71">
        <w:rPr>
          <w:lang w:val="en-AU" w:eastAsia="en-AU"/>
        </w:rPr>
        <w:t>Summary of findings</w:t>
      </w:r>
      <w:bookmarkEnd w:id="2"/>
    </w:p>
    <w:p w14:paraId="7B2AFA5D" w14:textId="77777777" w:rsidR="00501B71" w:rsidRPr="00501B71" w:rsidRDefault="00501B71" w:rsidP="00501B71">
      <w:pPr>
        <w:pStyle w:val="ListParagraph"/>
        <w:rPr>
          <w:lang w:val="en-US" w:eastAsia="en-AU"/>
        </w:rPr>
      </w:pPr>
      <w:r w:rsidRPr="00501B71">
        <w:rPr>
          <w:lang w:val="en-US" w:eastAsia="en-AU"/>
        </w:rPr>
        <w:t>I find that the failure of the Minister to place Mr Basikbasik into community detention or another less restrictive form of detention (if necessary, with conditions) was inconsistent with the prohibition on arbitrary detention in article 9(1) of the ICCPR.</w:t>
      </w:r>
    </w:p>
    <w:p w14:paraId="3AD3BC72" w14:textId="77777777" w:rsidR="00501B71" w:rsidRPr="00501B71" w:rsidRDefault="00501B71" w:rsidP="00501B71">
      <w:pPr>
        <w:pStyle w:val="Heading1"/>
        <w:rPr>
          <w:lang w:val="en-AU" w:eastAsia="en-AU"/>
        </w:rPr>
      </w:pPr>
      <w:bookmarkStart w:id="3" w:name="_Toc272929778"/>
      <w:r w:rsidRPr="00501B71">
        <w:rPr>
          <w:lang w:val="en-AU" w:eastAsia="en-AU"/>
        </w:rPr>
        <w:t>Recommendations</w:t>
      </w:r>
      <w:bookmarkEnd w:id="3"/>
    </w:p>
    <w:p w14:paraId="67F1223A" w14:textId="77777777" w:rsidR="00501B71" w:rsidRPr="00501B71" w:rsidRDefault="00501B71" w:rsidP="00501B71">
      <w:pPr>
        <w:pStyle w:val="ListParagraph"/>
        <w:rPr>
          <w:lang w:val="en-US" w:eastAsia="en-AU"/>
        </w:rPr>
      </w:pPr>
      <w:r w:rsidRPr="00501B71">
        <w:rPr>
          <w:lang w:val="en-US" w:eastAsia="en-AU"/>
        </w:rPr>
        <w:t>In light of my findings regarding the act of the Minister in failing to place Mr Basikbasik in a less restrictive form of detention than in an immigration detention centre, I recommend that the Commonwealth pay compensation to Mr Basikbasik in the amount of $350,000.</w:t>
      </w:r>
    </w:p>
    <w:p w14:paraId="28BAE97B" w14:textId="77777777" w:rsidR="00501B71" w:rsidRPr="00501B71" w:rsidRDefault="00501B71" w:rsidP="00501B71">
      <w:pPr>
        <w:pStyle w:val="Heading1"/>
        <w:rPr>
          <w:lang w:val="en-AU" w:eastAsia="en-AU"/>
        </w:rPr>
      </w:pPr>
      <w:bookmarkStart w:id="4" w:name="_Toc272929779"/>
      <w:r w:rsidRPr="00501B71">
        <w:rPr>
          <w:lang w:val="en-AU" w:eastAsia="en-AU"/>
        </w:rPr>
        <w:t>The complaint by Mr Basikbasik</w:t>
      </w:r>
      <w:bookmarkEnd w:id="4"/>
    </w:p>
    <w:p w14:paraId="259BE86E" w14:textId="77777777" w:rsidR="00501B71" w:rsidRPr="00501B71" w:rsidRDefault="00501B71" w:rsidP="00501B71">
      <w:pPr>
        <w:pStyle w:val="ListParagraph"/>
        <w:rPr>
          <w:lang w:val="en-US" w:eastAsia="en-AU"/>
        </w:rPr>
      </w:pPr>
      <w:r w:rsidRPr="00501B71">
        <w:rPr>
          <w:lang w:val="en-US" w:eastAsia="en-AU"/>
        </w:rPr>
        <w:t>Mr Basikbasik arrived in Australia from Indonesia by canoe on 13 June 1985 and was granted temporary entry into Australia. In November 1993, Mr Basikbasik was granted a Domestic Protection (Temporary) Entry Permit. In January 1996, Mr Basikbasik was granted a Protection visa.</w:t>
      </w:r>
    </w:p>
    <w:p w14:paraId="69308825" w14:textId="77777777" w:rsidR="00501B71" w:rsidRPr="00501B71" w:rsidRDefault="00501B71" w:rsidP="00501B71">
      <w:pPr>
        <w:pStyle w:val="ListParagraph"/>
        <w:rPr>
          <w:lang w:val="en-US" w:eastAsia="en-AU"/>
        </w:rPr>
      </w:pPr>
      <w:r w:rsidRPr="00501B71">
        <w:rPr>
          <w:lang w:val="en-US" w:eastAsia="en-AU"/>
        </w:rPr>
        <w:t>Mr Basikbasik was convicted of a range of criminal offences in Australia dating from 1986. In May 2000, Mr Basikbasik was charged with the manslaughter of his de facto spouse. Mr Basikbasik was convicted of this offence and was sentenced to seven years’ imprisonment with a non-parole period of two and a half years.</w:t>
      </w:r>
    </w:p>
    <w:p w14:paraId="05E3D886" w14:textId="77777777" w:rsidR="00501B71" w:rsidRPr="00501B71" w:rsidRDefault="00501B71" w:rsidP="00501B71">
      <w:pPr>
        <w:pStyle w:val="ListParagraph"/>
        <w:rPr>
          <w:lang w:val="en-US" w:eastAsia="en-AU"/>
        </w:rPr>
      </w:pPr>
      <w:r w:rsidRPr="00501B71">
        <w:rPr>
          <w:lang w:val="en-US" w:eastAsia="en-AU"/>
        </w:rPr>
        <w:t xml:space="preserve">On 5 March 2003, the then Minister for Immigration (Minister) cancelled Mr Basikbasik’s Protection visa under section 501 of the </w:t>
      </w:r>
      <w:r w:rsidRPr="00501B71">
        <w:rPr>
          <w:rStyle w:val="Emphasis"/>
        </w:rPr>
        <w:t>Migration Act 1958</w:t>
      </w:r>
      <w:r w:rsidRPr="00501B71">
        <w:rPr>
          <w:lang w:val="en-US" w:eastAsia="en-AU"/>
        </w:rPr>
        <w:t xml:space="preserve"> (Cth) (Migration Act).</w:t>
      </w:r>
    </w:p>
    <w:p w14:paraId="10F6416F" w14:textId="77777777" w:rsidR="00501B71" w:rsidRPr="00501B71" w:rsidRDefault="00501B71" w:rsidP="00501B71">
      <w:pPr>
        <w:pStyle w:val="ListParagraph"/>
        <w:rPr>
          <w:lang w:val="en-US" w:eastAsia="en-AU"/>
        </w:rPr>
      </w:pPr>
      <w:r w:rsidRPr="00501B71">
        <w:rPr>
          <w:lang w:val="en-US" w:eastAsia="en-AU"/>
        </w:rPr>
        <w:t>Mr Basikbasik was released from prison on 18 June 2007 and was thereafter detained in Villawood Immigration Detention Centre (VIDC).</w:t>
      </w:r>
    </w:p>
    <w:p w14:paraId="5238EE01" w14:textId="77777777" w:rsidR="00501B71" w:rsidRPr="00501B71" w:rsidRDefault="00501B71" w:rsidP="00A17653">
      <w:pPr>
        <w:pStyle w:val="ListParagraph"/>
        <w:rPr>
          <w:lang w:val="en-US" w:eastAsia="en-AU"/>
        </w:rPr>
      </w:pPr>
      <w:r w:rsidRPr="00501B71">
        <w:rPr>
          <w:lang w:val="en-US" w:eastAsia="en-AU"/>
        </w:rPr>
        <w:t>In October 2007, the Department conducted an International Treaties Obligations Assessment (ITOA) and found that it would breach Australia’s non-refoulement obligations to return Mr Basikbasik to Indonesia.</w:t>
      </w:r>
    </w:p>
    <w:p w14:paraId="6D0F7C6B" w14:textId="77777777" w:rsidR="00501B71" w:rsidRPr="00501B71" w:rsidRDefault="00501B71" w:rsidP="00A17653">
      <w:pPr>
        <w:pStyle w:val="ListParagraph"/>
        <w:rPr>
          <w:lang w:val="en-US" w:eastAsia="en-AU"/>
        </w:rPr>
      </w:pPr>
      <w:r w:rsidRPr="00501B71">
        <w:rPr>
          <w:lang w:val="en-US" w:eastAsia="en-AU"/>
        </w:rPr>
        <w:t>In December 2008, the Minister intervened in Mr Basikbasik’s case to allow him to lodge an application for a Protection visa.</w:t>
      </w:r>
    </w:p>
    <w:p w14:paraId="06250FD5" w14:textId="77777777" w:rsidR="00501B71" w:rsidRPr="00501B71" w:rsidRDefault="00501B71" w:rsidP="00A17653">
      <w:pPr>
        <w:pStyle w:val="ListParagraph"/>
        <w:rPr>
          <w:lang w:val="en-US" w:eastAsia="en-AU"/>
        </w:rPr>
      </w:pPr>
      <w:r w:rsidRPr="00501B71">
        <w:rPr>
          <w:lang w:val="en-US" w:eastAsia="en-AU"/>
        </w:rPr>
        <w:t>On 23 December 2008, Mr Basikbasik lodged an application for a Protection visa. On 26 May 2009, the Minister’s delegate refused Mr Basikbasik’s application for a Protection visa. This decision was subsequently affirmed by the Administrative Appeals Tribunal (AAT).</w:t>
      </w:r>
    </w:p>
    <w:p w14:paraId="56DD14B3" w14:textId="77777777" w:rsidR="00501B71" w:rsidRPr="00501B71" w:rsidRDefault="00501B71" w:rsidP="00A17653">
      <w:pPr>
        <w:pStyle w:val="ListParagraph"/>
        <w:rPr>
          <w:lang w:val="en-US" w:eastAsia="en-AU"/>
        </w:rPr>
      </w:pPr>
      <w:r w:rsidRPr="00501B71">
        <w:rPr>
          <w:lang w:val="en-US" w:eastAsia="en-AU"/>
        </w:rPr>
        <w:t>On or about 10 June 2010, the Minister declined to make a residence determination in favour of Mr Basikbasik pursuant to section 197AB of the Migration Act.</w:t>
      </w:r>
    </w:p>
    <w:p w14:paraId="7A700B50" w14:textId="77777777" w:rsidR="00501B71" w:rsidRPr="00501B71" w:rsidRDefault="00501B71" w:rsidP="00A17653">
      <w:pPr>
        <w:pStyle w:val="ListParagraph"/>
        <w:rPr>
          <w:lang w:val="en-US" w:eastAsia="en-AU"/>
        </w:rPr>
      </w:pPr>
      <w:r w:rsidRPr="00501B71">
        <w:rPr>
          <w:lang w:val="en-US" w:eastAsia="en-AU"/>
        </w:rPr>
        <w:t>A second ITOA, which was completed on 26 July 2011, also found that it would breach Australia’s non-refoulement obligations to return Mr Basikbasik to Indonesia.</w:t>
      </w:r>
    </w:p>
    <w:p w14:paraId="376EF8AB" w14:textId="77777777" w:rsidR="00501B71" w:rsidRPr="00501B71" w:rsidRDefault="00501B71" w:rsidP="00A17653">
      <w:pPr>
        <w:pStyle w:val="ListParagraph"/>
        <w:rPr>
          <w:lang w:val="en-US" w:eastAsia="en-AU"/>
        </w:rPr>
      </w:pPr>
      <w:r w:rsidRPr="00501B71">
        <w:rPr>
          <w:lang w:val="en-US" w:eastAsia="en-AU"/>
        </w:rPr>
        <w:t>The decision of the Minister’s delegate to refuse to grant Mr Basikbasik a Protection visa was affirmed by the Federal Court of Australia in November 2011 and the Full Court of the Federal Court in March 2012.</w:t>
      </w:r>
    </w:p>
    <w:p w14:paraId="374694A9" w14:textId="77777777" w:rsidR="00501B71" w:rsidRPr="00501B71" w:rsidRDefault="00501B71" w:rsidP="00A17653">
      <w:pPr>
        <w:pStyle w:val="ListParagraph"/>
        <w:rPr>
          <w:lang w:val="en-US" w:eastAsia="en-AU"/>
        </w:rPr>
      </w:pPr>
      <w:r w:rsidRPr="00501B71">
        <w:rPr>
          <w:lang w:val="en-US" w:eastAsia="en-AU"/>
        </w:rPr>
        <w:t>On 24 September 2012, the Minister declined to grant Mr Basikbasik a Bridging visa pursuant to section 195A of the Migration Act, or to make a residence determination in relation to him pursuant to section 197AB of the Migration Act. The Minister indicated that he wished Mr Basikbasik’s case to be re-referred to him in six months’ time.</w:t>
      </w:r>
    </w:p>
    <w:p w14:paraId="29C1D763" w14:textId="77777777" w:rsidR="00501B71" w:rsidRPr="00501B71" w:rsidRDefault="00501B71" w:rsidP="00A17653">
      <w:pPr>
        <w:pStyle w:val="ListParagraph"/>
        <w:rPr>
          <w:lang w:val="en-US" w:eastAsia="en-AU"/>
        </w:rPr>
      </w:pPr>
      <w:r w:rsidRPr="00501B71">
        <w:rPr>
          <w:lang w:val="en-US" w:eastAsia="en-AU"/>
        </w:rPr>
        <w:t xml:space="preserve">On 10 April 2013, the High Court of Australia ordered that consideration of Mr Basikbasik’s application for a Protection visa be remitted back to the AAT. </w:t>
      </w:r>
    </w:p>
    <w:p w14:paraId="0C70A917" w14:textId="77777777" w:rsidR="00501B71" w:rsidRPr="00501B71" w:rsidRDefault="00501B71" w:rsidP="00A17653">
      <w:pPr>
        <w:pStyle w:val="ListParagraph"/>
        <w:rPr>
          <w:lang w:val="en-US" w:eastAsia="en-AU"/>
        </w:rPr>
      </w:pPr>
      <w:r w:rsidRPr="00501B71">
        <w:rPr>
          <w:lang w:val="en-US" w:eastAsia="en-AU"/>
        </w:rPr>
        <w:t>On 13 June 2013, the AAT ordered that the decision of 29 May 2009 to refuse Mr Basikbasik a Protection visa be set aside and the matter reconsidered. As at April 2014, this matter was still pending.</w:t>
      </w:r>
    </w:p>
    <w:p w14:paraId="59138CB4" w14:textId="77777777" w:rsidR="00501B71" w:rsidRPr="00501B71" w:rsidRDefault="00501B71" w:rsidP="00A17653">
      <w:pPr>
        <w:pStyle w:val="ListParagraph"/>
        <w:rPr>
          <w:lang w:val="en-US" w:eastAsia="en-AU"/>
        </w:rPr>
      </w:pPr>
      <w:r w:rsidRPr="00501B71">
        <w:rPr>
          <w:lang w:val="en-US" w:eastAsia="en-AU"/>
        </w:rPr>
        <w:t xml:space="preserve">On 7 November 2013, the Minister declined to consider intervening under section 195A of the Migration Act, to grant Mr Basikbasik a Bridging visa, or under section 197AB of the Migration Act, to place Mr Basikbasik into community detention with specific management conditions. </w:t>
      </w:r>
    </w:p>
    <w:p w14:paraId="5E09BBD1" w14:textId="77777777" w:rsidR="00501B71" w:rsidRPr="00501B71" w:rsidRDefault="00501B71" w:rsidP="00A17653">
      <w:pPr>
        <w:pStyle w:val="ListParagraph"/>
        <w:rPr>
          <w:lang w:val="en-US" w:eastAsia="en-AU"/>
        </w:rPr>
      </w:pPr>
      <w:r w:rsidRPr="00501B71">
        <w:rPr>
          <w:lang w:val="en-US" w:eastAsia="en-AU"/>
        </w:rPr>
        <w:t>Mr Basikbasik remains in an immigration detention centre and claims that his detention is arbitrary within the meaning of article 9(1) of the ICCPR.</w:t>
      </w:r>
    </w:p>
    <w:p w14:paraId="36772661" w14:textId="77777777" w:rsidR="00501B71" w:rsidRPr="00501B71" w:rsidRDefault="00501B71" w:rsidP="00A17653">
      <w:pPr>
        <w:pStyle w:val="Heading1"/>
        <w:rPr>
          <w:lang w:val="en-AU" w:eastAsia="en-AU"/>
        </w:rPr>
      </w:pPr>
      <w:bookmarkStart w:id="5" w:name="_Toc272929780"/>
      <w:r w:rsidRPr="00501B71">
        <w:rPr>
          <w:lang w:val="en-AU" w:eastAsia="en-AU"/>
        </w:rPr>
        <w:t>The Commission’s human rights inquiry and complaints function</w:t>
      </w:r>
      <w:bookmarkEnd w:id="5"/>
    </w:p>
    <w:p w14:paraId="14082ED5" w14:textId="77777777" w:rsidR="00501B71" w:rsidRPr="00501B71" w:rsidRDefault="00501B71" w:rsidP="00A17653">
      <w:pPr>
        <w:pStyle w:val="ListParagraph"/>
        <w:rPr>
          <w:lang w:val="en-US" w:eastAsia="en-AU"/>
        </w:rPr>
      </w:pPr>
      <w:r w:rsidRPr="00501B71">
        <w:rPr>
          <w:lang w:val="en-US" w:eastAsia="en-AU"/>
        </w:rPr>
        <w:t xml:space="preserve">Section 11(1)(f) of the </w:t>
      </w:r>
      <w:r w:rsidRPr="00A17653">
        <w:rPr>
          <w:rStyle w:val="Emphasis"/>
        </w:rPr>
        <w:t>Australian Human Rights Commission Act 1986</w:t>
      </w:r>
      <w:r w:rsidRPr="00501B71">
        <w:rPr>
          <w:lang w:val="en-US" w:eastAsia="en-AU"/>
        </w:rPr>
        <w:t xml:space="preserve"> (Cth) (AHRC Act) provides that the Commission has a function to inquire into any act or practice that may be inconsistent with or contrary to any human right.</w:t>
      </w:r>
      <w:r w:rsidRPr="00501B71">
        <w:rPr>
          <w:vertAlign w:val="superscript"/>
          <w:lang w:val="en-US" w:eastAsia="en-AU"/>
        </w:rPr>
        <w:t>1</w:t>
      </w:r>
    </w:p>
    <w:p w14:paraId="18F961D2" w14:textId="77777777" w:rsidR="00501B71" w:rsidRPr="00501B71" w:rsidRDefault="00501B71" w:rsidP="00A17653">
      <w:pPr>
        <w:pStyle w:val="ListParagraph"/>
        <w:rPr>
          <w:lang w:val="en-US" w:eastAsia="en-AU"/>
        </w:rPr>
      </w:pPr>
      <w:r w:rsidRPr="00501B71">
        <w:rPr>
          <w:lang w:val="en-US" w:eastAsia="en-AU"/>
        </w:rPr>
        <w:t>Section 3(1) of the AHRC Act defines ‘act’ to include an act done by or on behalf of the Commonwealth. Section 3(3) provides that the reference to, or the doing of, an act includes the reference to the refusal or failure to do an act.</w:t>
      </w:r>
    </w:p>
    <w:p w14:paraId="322A70DC" w14:textId="77777777" w:rsidR="00501B71" w:rsidRPr="00501B71" w:rsidRDefault="00501B71" w:rsidP="00A17653">
      <w:pPr>
        <w:pStyle w:val="ListParagraph"/>
        <w:rPr>
          <w:lang w:val="en-US" w:eastAsia="en-AU"/>
        </w:rPr>
      </w:pPr>
      <w:r w:rsidRPr="00501B71">
        <w:rPr>
          <w:lang w:val="en-US" w:eastAsia="en-AU"/>
        </w:rPr>
        <w:t>The functions of the Commission identified in section 11(1)(f) of the AHRC Act are only engaged where an act complained of is not one required by law to be taken.</w:t>
      </w:r>
      <w:r w:rsidRPr="00501B71">
        <w:rPr>
          <w:vertAlign w:val="superscript"/>
          <w:lang w:val="en-US" w:eastAsia="en-AU"/>
        </w:rPr>
        <w:t>2</w:t>
      </w:r>
    </w:p>
    <w:p w14:paraId="21386AE9" w14:textId="77777777" w:rsidR="00501B71" w:rsidRPr="00501B71" w:rsidRDefault="00501B71" w:rsidP="00A17653">
      <w:pPr>
        <w:pStyle w:val="Heading1"/>
        <w:rPr>
          <w:lang w:val="en-AU" w:eastAsia="en-AU"/>
        </w:rPr>
      </w:pPr>
      <w:bookmarkStart w:id="6" w:name="_Toc272929781"/>
      <w:r w:rsidRPr="00501B71">
        <w:rPr>
          <w:lang w:val="en-AU" w:eastAsia="en-AU"/>
        </w:rPr>
        <w:t>Assessment</w:t>
      </w:r>
      <w:bookmarkEnd w:id="6"/>
    </w:p>
    <w:p w14:paraId="0C6A2EF6" w14:textId="77777777" w:rsidR="00501B71" w:rsidRPr="00501B71" w:rsidRDefault="00501B71" w:rsidP="00A17653">
      <w:pPr>
        <w:pStyle w:val="ListParagraph"/>
        <w:rPr>
          <w:lang w:val="en-US" w:eastAsia="en-AU"/>
        </w:rPr>
      </w:pPr>
      <w:r w:rsidRPr="00501B71">
        <w:rPr>
          <w:lang w:val="en-US" w:eastAsia="en-AU"/>
        </w:rPr>
        <w:t>Mr Basikbasik complains about being detained by the Commonwealth within an immigration detention centre.</w:t>
      </w:r>
    </w:p>
    <w:p w14:paraId="60983D53" w14:textId="2C4366D8" w:rsidR="00501B71" w:rsidRPr="00501B71" w:rsidRDefault="00501B71" w:rsidP="00A17653">
      <w:pPr>
        <w:pStyle w:val="Heading2"/>
        <w:rPr>
          <w:lang w:eastAsia="en-AU"/>
        </w:rPr>
      </w:pPr>
      <w:bookmarkStart w:id="7" w:name="_Toc272929782"/>
      <w:r w:rsidRPr="00501B71">
        <w:rPr>
          <w:lang w:eastAsia="en-AU"/>
        </w:rPr>
        <w:t>Act or practice of the Commonwealth?</w:t>
      </w:r>
      <w:bookmarkEnd w:id="7"/>
    </w:p>
    <w:p w14:paraId="4B758E91" w14:textId="77777777" w:rsidR="00501B71" w:rsidRPr="00501B71" w:rsidRDefault="00501B71" w:rsidP="00A17653">
      <w:pPr>
        <w:pStyle w:val="ListParagraph"/>
        <w:rPr>
          <w:lang w:val="en-US" w:eastAsia="en-AU"/>
        </w:rPr>
      </w:pPr>
      <w:r w:rsidRPr="00501B71">
        <w:rPr>
          <w:lang w:val="en-US" w:eastAsia="en-AU"/>
        </w:rPr>
        <w:t>Mr Basikbasik has been detained by the Commonwealth within an immigration detention centre since he was released from prison in June 2007.</w:t>
      </w:r>
    </w:p>
    <w:p w14:paraId="77EB1C5A" w14:textId="77777777" w:rsidR="00501B71" w:rsidRPr="00501B71" w:rsidRDefault="00501B71" w:rsidP="00A17653">
      <w:pPr>
        <w:pStyle w:val="ListParagraph"/>
        <w:rPr>
          <w:lang w:val="en-US" w:eastAsia="en-AU"/>
        </w:rPr>
      </w:pPr>
      <w:r w:rsidRPr="00501B71">
        <w:rPr>
          <w:lang w:val="en-US" w:eastAsia="en-AU"/>
        </w:rPr>
        <w:t>There are a number of powers that the Minister could have exercised so that Mr Basikbasik was detained in a less restrictive manner than in an immigration detention centre.</w:t>
      </w:r>
    </w:p>
    <w:p w14:paraId="11AB9412" w14:textId="77777777" w:rsidR="00501B71" w:rsidRPr="00501B71" w:rsidRDefault="00501B71" w:rsidP="00A17653">
      <w:pPr>
        <w:pStyle w:val="ListParagraph"/>
        <w:rPr>
          <w:lang w:val="en-US" w:eastAsia="en-AU"/>
        </w:rPr>
      </w:pPr>
      <w:r w:rsidRPr="00501B71">
        <w:rPr>
          <w:lang w:val="en-US" w:eastAsia="en-AU"/>
        </w:rPr>
        <w:t>The Minister could have granted Mr Basikbasik a visa. Under section 195A of the Migration Act, if the Minister thinks it is in the public interest to do so, the Minister may grant a visa to a person detained under section 189 of the Migration Act.</w:t>
      </w:r>
    </w:p>
    <w:p w14:paraId="7E5C3540" w14:textId="77777777" w:rsidR="00501B71" w:rsidRPr="00501B71" w:rsidRDefault="00501B71" w:rsidP="00A17653">
      <w:pPr>
        <w:pStyle w:val="ListParagraph"/>
        <w:rPr>
          <w:lang w:val="en-US" w:eastAsia="en-AU"/>
        </w:rPr>
      </w:pPr>
      <w:r w:rsidRPr="00501B71">
        <w:rPr>
          <w:lang w:val="en-US" w:eastAsia="en-AU"/>
        </w:rPr>
        <w:t>The Minister could have made a residence determination in favour of Mr Basikbasik. Under section 197AB of the Migration Act, if the Minister thinks that it is in the public interest to do so, the Minister may make a determination that particular persons are to reside at a specified place, instead of in immigration detention.</w:t>
      </w:r>
    </w:p>
    <w:p w14:paraId="3273D9BA" w14:textId="77777777" w:rsidR="00501B71" w:rsidRPr="00501B71" w:rsidRDefault="00501B71" w:rsidP="00A17653">
      <w:pPr>
        <w:pStyle w:val="ListParagraph"/>
        <w:rPr>
          <w:lang w:val="en-US" w:eastAsia="en-AU"/>
        </w:rPr>
      </w:pPr>
      <w:r w:rsidRPr="00501B71">
        <w:rPr>
          <w:lang w:val="en-US" w:eastAsia="en-AU"/>
        </w:rPr>
        <w:t>The Minister could have approved a less restrictive place than VIDC as Mr Basikbasik’s place of detention. The definition of ‘immigration detention’ includes being held by, or on behalf of an officer in another place approved by the Minister in writing.</w:t>
      </w:r>
      <w:r w:rsidRPr="00501B71">
        <w:rPr>
          <w:vertAlign w:val="superscript"/>
          <w:lang w:val="en-US" w:eastAsia="en-AU"/>
        </w:rPr>
        <w:t>3</w:t>
      </w:r>
    </w:p>
    <w:p w14:paraId="2174899E" w14:textId="77777777" w:rsidR="00501B71" w:rsidRPr="00501B71" w:rsidRDefault="00501B71" w:rsidP="00A17653">
      <w:pPr>
        <w:pStyle w:val="ListParagraph"/>
        <w:rPr>
          <w:lang w:val="en-US" w:eastAsia="en-AU"/>
        </w:rPr>
      </w:pPr>
      <w:r w:rsidRPr="00501B71">
        <w:rPr>
          <w:lang w:val="en-US" w:eastAsia="en-AU"/>
        </w:rPr>
        <w:t xml:space="preserve">In June 2010, the Minister declined to make a section 197AB residence determination in relation to Mr Basikbasik. In September 2012, the Minister again declined to make a residence determination in relation to Mr Basikbasik and also declined to exercise his power under section 195A of the Migration Act to grant Mr Basikbasik a visa. This issue was again considered by the Minister on 7 November 2013, and once more the Minister declined to consider intervening under section 195A or section 197AB of the Migration Act. </w:t>
      </w:r>
    </w:p>
    <w:p w14:paraId="0ED02C19" w14:textId="77777777" w:rsidR="00501B71" w:rsidRPr="00501B71" w:rsidRDefault="00501B71" w:rsidP="00A17653">
      <w:pPr>
        <w:pStyle w:val="ListParagraph"/>
        <w:rPr>
          <w:lang w:val="en-US" w:eastAsia="en-AU"/>
        </w:rPr>
      </w:pPr>
      <w:r w:rsidRPr="00501B71">
        <w:rPr>
          <w:lang w:val="en-US" w:eastAsia="en-AU"/>
        </w:rPr>
        <w:t>I find that the failure of the Minister to place Mr Basikbasik in a less restrictive form of detention than in an immigration detention centre constitutes an act within the meaning of the AHRC Act.</w:t>
      </w:r>
    </w:p>
    <w:p w14:paraId="63386950" w14:textId="30CD421D" w:rsidR="00501B71" w:rsidRPr="00501B71" w:rsidRDefault="00501B71" w:rsidP="00A17653">
      <w:pPr>
        <w:pStyle w:val="Heading2"/>
        <w:rPr>
          <w:lang w:eastAsia="en-AU"/>
        </w:rPr>
      </w:pPr>
      <w:bookmarkStart w:id="8" w:name="_Toc272929783"/>
      <w:r w:rsidRPr="00501B71">
        <w:rPr>
          <w:lang w:eastAsia="en-AU"/>
        </w:rPr>
        <w:t>Inconsistent with or contrary to human rights?</w:t>
      </w:r>
      <w:bookmarkEnd w:id="8"/>
    </w:p>
    <w:p w14:paraId="062CFEAD" w14:textId="77777777" w:rsidR="00501B71" w:rsidRPr="00501B71" w:rsidRDefault="00501B71" w:rsidP="00A17653">
      <w:pPr>
        <w:pStyle w:val="ListParagraph"/>
        <w:rPr>
          <w:lang w:val="en-US" w:eastAsia="en-AU"/>
        </w:rPr>
      </w:pPr>
      <w:r w:rsidRPr="00501B71">
        <w:rPr>
          <w:lang w:val="en-US" w:eastAsia="en-AU"/>
        </w:rPr>
        <w:t>Mr Basikbasik claims that his detention by the Commonwealth has arbitrarily deprived him of his liberty. Mr Basikbasik was detained by the Commonwealth in an immigration detention centre on 18 June 2007 and he remains detained by the Commonwealth.</w:t>
      </w:r>
    </w:p>
    <w:p w14:paraId="0732F9CF" w14:textId="77777777" w:rsidR="00501B71" w:rsidRPr="00501B71" w:rsidRDefault="00501B71" w:rsidP="00A17653">
      <w:pPr>
        <w:pStyle w:val="ListParagraph"/>
        <w:rPr>
          <w:lang w:val="en-US" w:eastAsia="en-AU"/>
        </w:rPr>
      </w:pPr>
      <w:r w:rsidRPr="00501B71">
        <w:rPr>
          <w:lang w:val="en-US" w:eastAsia="en-AU"/>
        </w:rPr>
        <w:t>The Commonwealth claims that Mr Basikbasik’s placement in VIDC is appropriate because he has an extensive and serious criminal history involving the use of violence.</w:t>
      </w:r>
    </w:p>
    <w:p w14:paraId="49A62E33" w14:textId="77777777" w:rsidR="00501B71" w:rsidRPr="00501B71" w:rsidRDefault="00501B71" w:rsidP="00A17653">
      <w:pPr>
        <w:pStyle w:val="ListParagraph"/>
        <w:rPr>
          <w:lang w:val="en-US" w:eastAsia="en-AU"/>
        </w:rPr>
      </w:pPr>
      <w:r w:rsidRPr="00501B71">
        <w:rPr>
          <w:lang w:val="en-US" w:eastAsia="en-AU"/>
        </w:rPr>
        <w:t>Under international law, to avoid being arbitrary, detention must be necessary and proportionate to a legitimate aim of the Commonwealth.</w:t>
      </w:r>
      <w:r w:rsidRPr="00501B71">
        <w:rPr>
          <w:vertAlign w:val="superscript"/>
          <w:lang w:val="en-US" w:eastAsia="en-AU"/>
        </w:rPr>
        <w:t>4</w:t>
      </w:r>
    </w:p>
    <w:p w14:paraId="0747369E" w14:textId="77777777" w:rsidR="00501B71" w:rsidRPr="00501B71" w:rsidRDefault="00501B71" w:rsidP="00A17653">
      <w:pPr>
        <w:pStyle w:val="ListParagraph"/>
        <w:rPr>
          <w:lang w:val="en-US" w:eastAsia="en-AU"/>
        </w:rPr>
      </w:pPr>
      <w:r w:rsidRPr="00501B71">
        <w:rPr>
          <w:lang w:val="en-US" w:eastAsia="en-AU"/>
        </w:rPr>
        <w:t>Mr Basikbasik has a criminal record that includes a conviction for manslaughter. Mr Basikbasik was released from prison after serving his full sentence for this offence.</w:t>
      </w:r>
    </w:p>
    <w:p w14:paraId="520707F1" w14:textId="77777777" w:rsidR="00501B71" w:rsidRPr="00501B71" w:rsidRDefault="00501B71" w:rsidP="00A17653">
      <w:pPr>
        <w:pStyle w:val="ListParagraph"/>
        <w:rPr>
          <w:lang w:val="en-US" w:eastAsia="en-AU"/>
        </w:rPr>
      </w:pPr>
      <w:r w:rsidRPr="00501B71">
        <w:rPr>
          <w:lang w:val="en-US" w:eastAsia="en-AU"/>
        </w:rPr>
        <w:t>In a decision dated 2 September 2010, affirming the decision of the Minister’s delegate to refuse Mr Basikbasik a Protection visa, the AAT stated that it was ‘comfortably satisfied’ that Mr Basikbasik posed a real or significant risk of harm to one or more members of the Australian community.</w:t>
      </w:r>
    </w:p>
    <w:p w14:paraId="72C87965" w14:textId="77777777" w:rsidR="00501B71" w:rsidRPr="00501B71" w:rsidRDefault="00501B71" w:rsidP="00A17653">
      <w:pPr>
        <w:pStyle w:val="ListParagraph"/>
        <w:rPr>
          <w:lang w:val="en-US" w:eastAsia="en-AU"/>
        </w:rPr>
      </w:pPr>
      <w:r w:rsidRPr="00501B71">
        <w:rPr>
          <w:lang w:val="en-US" w:eastAsia="en-AU"/>
        </w:rPr>
        <w:t>However, part of the reason that the AAT found that Mr Basikbasik posed a risk to the Australian community such that he should not be granted a visa was that, contrary to the recommendations of the psychologist who gave evidence, there was no proper management plan in place for Mr Basikbasik’s rehabilitation and it did not appear that he had any support in the community.</w:t>
      </w:r>
    </w:p>
    <w:p w14:paraId="0FE61786" w14:textId="77777777" w:rsidR="00501B71" w:rsidRDefault="00501B71" w:rsidP="00A17653">
      <w:pPr>
        <w:pStyle w:val="ListParagraph"/>
        <w:rPr>
          <w:lang w:val="en-US" w:eastAsia="en-AU"/>
        </w:rPr>
      </w:pPr>
      <w:r w:rsidRPr="00501B71">
        <w:rPr>
          <w:lang w:val="en-US" w:eastAsia="en-AU"/>
        </w:rPr>
        <w:t>The Commonwealth claims that Mr Basikbasik has been involved in 50 behaviour-related incidents in detention. Some of the incidents committed by Mr Basikbasik appear to have been relatively minor - such as possessing prohibited goods - and some did not involve other people - such as self-harm and starvation. However, I note that on 21 June 2012, Mr Basikbasik was convicted of an assault on a fellow detainee committed in October 2011.</w:t>
      </w:r>
    </w:p>
    <w:p w14:paraId="4D6E1D9D" w14:textId="1472EA07" w:rsidR="00A17653" w:rsidRDefault="00A17653">
      <w:pPr>
        <w:spacing w:after="0" w:line="240" w:lineRule="auto"/>
      </w:pPr>
      <w:r>
        <w:br w:type="page"/>
      </w:r>
    </w:p>
    <w:p w14:paraId="09211EAA" w14:textId="77777777" w:rsidR="00501B71" w:rsidRPr="00501B71" w:rsidRDefault="00501B71" w:rsidP="00A17653">
      <w:pPr>
        <w:pStyle w:val="ListParagraph"/>
        <w:rPr>
          <w:lang w:val="en-US" w:eastAsia="en-AU"/>
        </w:rPr>
      </w:pPr>
      <w:r w:rsidRPr="00501B71">
        <w:rPr>
          <w:lang w:val="en-US" w:eastAsia="en-AU"/>
        </w:rPr>
        <w:t>In relation to Mr Basikbasik’s behaviour in detention, the AAT stated:</w:t>
      </w:r>
    </w:p>
    <w:p w14:paraId="56A20EF6" w14:textId="77777777" w:rsidR="00501B71" w:rsidRPr="00501B71" w:rsidRDefault="00501B71" w:rsidP="00A17653">
      <w:pPr>
        <w:pStyle w:val="Quote"/>
        <w:rPr>
          <w:lang w:val="en-GB" w:eastAsia="en-AU"/>
        </w:rPr>
      </w:pPr>
      <w:r w:rsidRPr="00501B71">
        <w:rPr>
          <w:lang w:val="en-GB" w:eastAsia="en-AU"/>
        </w:rPr>
        <w:t>While in immigration detention at Villawood Immigration Detention Centre, there have apparently been nine incident reports about [Mr Basikbasik]. Little detail has been provided. However, four incident reports allege aggressive/abusive behaviour by [Mr Basikbasik] and, in a fifth incident, [Mr Basikbasik] appears to have been the victim of an assault. One incident involved [Mr Basikbasik] allegedly damaging a water-pipe, one incident records ‘prohibited article located’, and another records that [Mr Basikbasik] was found mailing a camera and film to an external address.</w:t>
      </w:r>
      <w:r w:rsidRPr="00501B71">
        <w:rPr>
          <w:vertAlign w:val="superscript"/>
          <w:lang w:val="en-GB" w:eastAsia="en-AU"/>
        </w:rPr>
        <w:t>5</w:t>
      </w:r>
    </w:p>
    <w:p w14:paraId="2224DDD8" w14:textId="77777777" w:rsidR="00501B71" w:rsidRPr="00501B71" w:rsidRDefault="00501B71" w:rsidP="00A17653">
      <w:pPr>
        <w:pStyle w:val="ListParagraph"/>
        <w:rPr>
          <w:spacing w:val="-5"/>
          <w:lang w:val="en-US" w:eastAsia="en-AU"/>
        </w:rPr>
      </w:pPr>
      <w:r w:rsidRPr="00501B71">
        <w:rPr>
          <w:lang w:val="en-US" w:eastAsia="en-AU"/>
        </w:rPr>
        <w:t>In reaching its decision, the AAT stated:</w:t>
      </w:r>
    </w:p>
    <w:p w14:paraId="7B5F5F36" w14:textId="77777777" w:rsidR="00501B71" w:rsidRPr="00501B71" w:rsidRDefault="00501B71" w:rsidP="00A17653">
      <w:pPr>
        <w:pStyle w:val="Quote"/>
        <w:rPr>
          <w:lang w:val="en-GB" w:eastAsia="en-AU"/>
        </w:rPr>
      </w:pPr>
      <w:r w:rsidRPr="00501B71">
        <w:rPr>
          <w:lang w:val="en-GB" w:eastAsia="en-AU"/>
        </w:rPr>
        <w:t>We must also be conscious of the fact that the tensions experienced in custody and detention are often more extreme than those experienced in the community. Nevertheless, the evidence concerning the incidents in which [Mr Basikbasik] has been involved both in custody and detention indicates that while generally cooperative and polite, he can be aggressive and abusive when confronted by the inevitable frustrations of the system and of other inmates, and that he has sometimes used threats in order to try and get his own way.</w:t>
      </w:r>
      <w:r w:rsidRPr="00501B71">
        <w:rPr>
          <w:vertAlign w:val="superscript"/>
          <w:lang w:val="en-GB" w:eastAsia="en-AU"/>
        </w:rPr>
        <w:t>6</w:t>
      </w:r>
    </w:p>
    <w:p w14:paraId="14D4A038" w14:textId="77777777" w:rsidR="00501B71" w:rsidRPr="00501B71" w:rsidRDefault="00501B71" w:rsidP="00A17653">
      <w:pPr>
        <w:pStyle w:val="ListParagraph"/>
        <w:rPr>
          <w:lang w:val="en-US" w:eastAsia="en-AU"/>
        </w:rPr>
      </w:pPr>
      <w:r w:rsidRPr="00501B71">
        <w:rPr>
          <w:lang w:val="en-US" w:eastAsia="en-AU"/>
        </w:rPr>
        <w:t>It appears that Mr Basikbasik has been detained in the less restrictive Hughes or Fowler areas for much of the time that he has been detained at VIDC. However, he appears to have been moved to the more restrictive Blaxland or Murray areas in response to specific behavioural incidents.</w:t>
      </w:r>
    </w:p>
    <w:p w14:paraId="3C1332BA" w14:textId="77777777" w:rsidR="00501B71" w:rsidRPr="00501B71" w:rsidRDefault="00501B71" w:rsidP="00A17653">
      <w:pPr>
        <w:pStyle w:val="ListParagraph"/>
        <w:rPr>
          <w:lang w:val="en-US" w:eastAsia="en-AU"/>
        </w:rPr>
      </w:pPr>
      <w:r w:rsidRPr="00501B71">
        <w:rPr>
          <w:lang w:val="en-US" w:eastAsia="en-AU"/>
        </w:rPr>
        <w:t>An International Health and Medical Services (IHMS) report for Mr Basikbasik, dated 15 December 2011, states that although his medical conditions (diabetes, high blood pressure) can be managed in the detention environment, IHMS suggest that he be transferred to a less restrictive placement. The IHMS report notes a psychiatrist’s review dated 31 October 2011, which states that Mr Basikbasik’s behavioural problems are associated with his prolonged detention and that there is a risk that his mental health will deteriorate if his detention continues.</w:t>
      </w:r>
    </w:p>
    <w:p w14:paraId="478DCDC1" w14:textId="77777777" w:rsidR="00501B71" w:rsidRPr="00501B71" w:rsidRDefault="00501B71" w:rsidP="00A17653">
      <w:pPr>
        <w:pStyle w:val="ListParagraph"/>
        <w:rPr>
          <w:lang w:val="en-US" w:eastAsia="en-AU"/>
        </w:rPr>
      </w:pPr>
      <w:r w:rsidRPr="00501B71">
        <w:rPr>
          <w:lang w:val="en-US" w:eastAsia="en-AU"/>
        </w:rPr>
        <w:t>ITOAs undertaken in October 2007 and July 2011 found that it would breach Australia’s international obligations to return Mr Basikbasik to Indonesia. Accordingly, it appears that there is no prospect that Mr Basikbasik can be returned to Indonesia. There is no information before me to suggest that the Commonwealth has ever explored sending Mr Basikbasik to a third country.</w:t>
      </w:r>
    </w:p>
    <w:p w14:paraId="261B4A32" w14:textId="77777777" w:rsidR="00501B71" w:rsidRPr="00501B71" w:rsidRDefault="00501B71" w:rsidP="00A17653">
      <w:pPr>
        <w:pStyle w:val="ListParagraph"/>
        <w:rPr>
          <w:lang w:val="en-US" w:eastAsia="en-AU"/>
        </w:rPr>
      </w:pPr>
      <w:r w:rsidRPr="00501B71">
        <w:rPr>
          <w:lang w:val="en-US" w:eastAsia="en-AU"/>
        </w:rPr>
        <w:t>Mr Basikbasik is 51 years old and has been detained in the custodial environment for approximately 13 years. He was assessed by two specialists in connection with his 2 September 2010 AAT proceedings. Dr Kipling Walker, Consultant Psychiatrist, diagnosed him with polysubstance abuse and a personality disorder. Dr Emma Collins, Clinical and Forensic Psychologist, did not consider that he has a personality disorder, but agreed that his personality is a risk factor and that he has pervasive personality traits such as impulsiveness.</w:t>
      </w:r>
    </w:p>
    <w:p w14:paraId="7FFA14E9" w14:textId="77777777" w:rsidR="00501B71" w:rsidRPr="00501B71" w:rsidRDefault="00501B71" w:rsidP="00A17653">
      <w:pPr>
        <w:pStyle w:val="ListParagraph"/>
        <w:rPr>
          <w:lang w:val="en-US" w:eastAsia="en-AU"/>
        </w:rPr>
      </w:pPr>
      <w:r w:rsidRPr="00501B71">
        <w:rPr>
          <w:lang w:val="en-US" w:eastAsia="en-AU"/>
        </w:rPr>
        <w:t>Anyone with Mr Basikbasik’s personal history and custodial background would be likely to require support to re-integrate into the community. There is no information before me to indicate that the Commonwealth considered whether any risk which Mr Basikbasik posed to the community could be mitigated by a management plan to assist with his rehabilitation or by a requirement to reside at a specified location, with curfews, travel restrictions or regular reporting. It does not appear that it was necessary to detain Mr Basikbasik in an immigration detention centre.</w:t>
      </w:r>
    </w:p>
    <w:p w14:paraId="38012A0D" w14:textId="77777777" w:rsidR="00501B71" w:rsidRPr="00501B71" w:rsidRDefault="00501B71" w:rsidP="00A17653">
      <w:pPr>
        <w:pStyle w:val="ListParagraph"/>
        <w:rPr>
          <w:lang w:val="en-US" w:eastAsia="en-AU"/>
        </w:rPr>
      </w:pPr>
      <w:r w:rsidRPr="00501B71">
        <w:rPr>
          <w:lang w:val="en-US" w:eastAsia="en-AU"/>
        </w:rPr>
        <w:t>Given the material before me, I find that Mr Basikbasik’s ongoing detention in an immigration detention centre is arbitrary within the meaning of article 9(1) of the ICCPR.</w:t>
      </w:r>
    </w:p>
    <w:p w14:paraId="1FB714DC" w14:textId="77777777" w:rsidR="00501B71" w:rsidRPr="00501B71" w:rsidRDefault="00501B71" w:rsidP="00A17653">
      <w:pPr>
        <w:pStyle w:val="Heading1"/>
        <w:rPr>
          <w:lang w:val="en-AU" w:eastAsia="en-AU"/>
        </w:rPr>
      </w:pPr>
      <w:bookmarkStart w:id="9" w:name="_Toc272929784"/>
      <w:r w:rsidRPr="00501B71">
        <w:rPr>
          <w:lang w:val="en-AU" w:eastAsia="en-AU"/>
        </w:rPr>
        <w:t>Recommendations</w:t>
      </w:r>
      <w:bookmarkEnd w:id="9"/>
    </w:p>
    <w:p w14:paraId="4DA7F11F" w14:textId="77777777" w:rsidR="00501B71" w:rsidRPr="00A17653" w:rsidRDefault="00501B71" w:rsidP="00A17653">
      <w:pPr>
        <w:pStyle w:val="ListParagraph"/>
        <w:rPr>
          <w:lang w:val="en-US" w:eastAsia="en-AU"/>
        </w:rPr>
      </w:pPr>
      <w:r w:rsidRPr="00501B71">
        <w:rPr>
          <w:lang w:val="en-US" w:eastAsia="en-AU"/>
        </w:rPr>
        <w:t>Where, after conducting an inquiry, the Commission finds that an act or practice engaged in by a respondent is inconsistent with or contrary to any human right, the Commission is required to serve notice on the respondent setting out its findings and reasons for those findings.</w:t>
      </w:r>
      <w:r w:rsidRPr="00501B71">
        <w:rPr>
          <w:vertAlign w:val="superscript"/>
          <w:lang w:val="en-US" w:eastAsia="en-AU"/>
        </w:rPr>
        <w:t>7</w:t>
      </w:r>
      <w:r w:rsidRPr="00501B71">
        <w:rPr>
          <w:lang w:val="en-US" w:eastAsia="en-AU"/>
        </w:rPr>
        <w:t xml:space="preserve"> The Commission may include in the notice any recommendation for preventing a repetition of the act or a continuation of the practice.</w:t>
      </w:r>
      <w:r w:rsidRPr="00501B71">
        <w:rPr>
          <w:vertAlign w:val="superscript"/>
          <w:lang w:val="en-US" w:eastAsia="en-AU"/>
        </w:rPr>
        <w:t>8</w:t>
      </w:r>
    </w:p>
    <w:p w14:paraId="47800D76" w14:textId="16913EF0" w:rsidR="00A17653" w:rsidRDefault="00A17653">
      <w:pPr>
        <w:spacing w:after="0" w:line="240" w:lineRule="auto"/>
        <w:rPr>
          <w:vertAlign w:val="superscript"/>
          <w:lang w:val="en-US" w:eastAsia="en-AU"/>
        </w:rPr>
      </w:pPr>
      <w:r>
        <w:rPr>
          <w:vertAlign w:val="superscript"/>
          <w:lang w:val="en-US" w:eastAsia="en-AU"/>
        </w:rPr>
        <w:br w:type="page"/>
      </w:r>
    </w:p>
    <w:p w14:paraId="3EDA0AC1" w14:textId="77777777" w:rsidR="00501B71" w:rsidRPr="00501B71" w:rsidRDefault="00501B71" w:rsidP="00A17653">
      <w:pPr>
        <w:pStyle w:val="ListParagraph"/>
        <w:rPr>
          <w:lang w:val="en-US" w:eastAsia="en-AU"/>
        </w:rPr>
      </w:pPr>
      <w:r w:rsidRPr="00501B71">
        <w:rPr>
          <w:lang w:val="en-US" w:eastAsia="en-AU"/>
        </w:rPr>
        <w:t>The Commission may also recommend:</w:t>
      </w:r>
    </w:p>
    <w:p w14:paraId="4DDB5572" w14:textId="77777777" w:rsidR="00501B71" w:rsidRPr="00501B71" w:rsidRDefault="00501B71" w:rsidP="00A17653">
      <w:pPr>
        <w:pStyle w:val="ListParagraphBullets"/>
      </w:pPr>
      <w:r w:rsidRPr="00501B71">
        <w:t xml:space="preserve">the payment of compensation to, or in respect of, a person who has suffered loss or damage; and </w:t>
      </w:r>
    </w:p>
    <w:p w14:paraId="7269CD41" w14:textId="77777777" w:rsidR="00501B71" w:rsidRPr="00501B71" w:rsidRDefault="00501B71" w:rsidP="00A17653">
      <w:pPr>
        <w:pStyle w:val="ListParagraphBullets"/>
      </w:pPr>
      <w:r w:rsidRPr="00501B71">
        <w:t>the taking of other action to remedy or reduce the loss or damage suffered by a person.</w:t>
      </w:r>
      <w:r w:rsidRPr="00501B71">
        <w:rPr>
          <w:vertAlign w:val="superscript"/>
        </w:rPr>
        <w:t>9</w:t>
      </w:r>
    </w:p>
    <w:p w14:paraId="5FF42475" w14:textId="6A417708" w:rsidR="00501B71" w:rsidRPr="00501B71" w:rsidRDefault="00501B71" w:rsidP="00A17653">
      <w:pPr>
        <w:pStyle w:val="Heading2"/>
        <w:rPr>
          <w:lang w:eastAsia="en-AU"/>
        </w:rPr>
      </w:pPr>
      <w:bookmarkStart w:id="10" w:name="_Toc272929785"/>
      <w:r w:rsidRPr="00501B71">
        <w:rPr>
          <w:lang w:eastAsia="en-AU"/>
        </w:rPr>
        <w:t>Consideration of compensation</w:t>
      </w:r>
      <w:bookmarkEnd w:id="10"/>
    </w:p>
    <w:p w14:paraId="3427816F" w14:textId="77777777" w:rsidR="00501B71" w:rsidRPr="00501B71" w:rsidRDefault="00501B71" w:rsidP="00153AB4">
      <w:pPr>
        <w:pStyle w:val="ListParagraph"/>
        <w:rPr>
          <w:lang w:val="en-US" w:eastAsia="en-AU"/>
        </w:rPr>
      </w:pPr>
      <w:r w:rsidRPr="00501B71">
        <w:rPr>
          <w:lang w:val="en-US" w:eastAsia="en-AU"/>
        </w:rPr>
        <w:t>There is no judicial guidance dealing with the assessment of recommendations for financial compensation for breaches of human rights under the AHRC Act.</w:t>
      </w:r>
    </w:p>
    <w:p w14:paraId="6A9D4C80" w14:textId="77777777" w:rsidR="00501B71" w:rsidRPr="00501B71" w:rsidRDefault="00501B71" w:rsidP="00153AB4">
      <w:pPr>
        <w:pStyle w:val="ListParagraph"/>
        <w:rPr>
          <w:lang w:val="en-US" w:eastAsia="en-AU"/>
        </w:rPr>
      </w:pPr>
      <w:r w:rsidRPr="00501B71">
        <w:rPr>
          <w:lang w:val="en-US" w:eastAsia="en-AU"/>
        </w:rPr>
        <w:t>However, in considering the assessment of a recommendation for compensation under section 35 of the AHRC Act (relating to discrimination matters under Part II, Division 4 of the AHRC Act), the Federal Court has indicated that tort principles for the assessment of damages should be applied.</w:t>
      </w:r>
    </w:p>
    <w:p w14:paraId="2F8CA7C9" w14:textId="77777777" w:rsidR="00501B71" w:rsidRPr="00501B71" w:rsidRDefault="00501B71" w:rsidP="00153AB4">
      <w:pPr>
        <w:pStyle w:val="ListParagraph"/>
        <w:rPr>
          <w:lang w:val="en-US" w:eastAsia="en-AU"/>
        </w:rPr>
      </w:pPr>
      <w:r w:rsidRPr="00501B71">
        <w:rPr>
          <w:lang w:val="en-US" w:eastAsia="en-AU"/>
        </w:rPr>
        <w:t>I am of the view that this is the appropriate approach to take in the present matter. For this reason, so far as is possible in the case of a recommendation for compensation, the object should be to place the injured party in the same position as if the wrong had not occurred.</w:t>
      </w:r>
    </w:p>
    <w:p w14:paraId="420DA954" w14:textId="77777777" w:rsidR="00501B71" w:rsidRPr="00501B71" w:rsidRDefault="00501B71" w:rsidP="00153AB4">
      <w:pPr>
        <w:pStyle w:val="ListParagraph"/>
        <w:rPr>
          <w:lang w:val="en-US" w:eastAsia="en-AU"/>
        </w:rPr>
      </w:pPr>
      <w:r w:rsidRPr="00501B71">
        <w:rPr>
          <w:lang w:val="en-US" w:eastAsia="en-AU"/>
        </w:rPr>
        <w:t>The tort of false imprisonment is a more limited action than an action for breach of article 9(1). This is because an action for false imprisonment cannot succeed where there is a lawful justification for the detention, whereas a breach of article 9(1) will be made out where it can be established that the detention was arbitrary irrespective of legality.</w:t>
      </w:r>
    </w:p>
    <w:p w14:paraId="2125D728" w14:textId="77777777" w:rsidR="00501B71" w:rsidRPr="00501B71" w:rsidRDefault="00501B71" w:rsidP="00153AB4">
      <w:pPr>
        <w:pStyle w:val="ListParagraph"/>
        <w:rPr>
          <w:lang w:val="en-US" w:eastAsia="en-AU"/>
        </w:rPr>
      </w:pPr>
      <w:r w:rsidRPr="00501B71">
        <w:rPr>
          <w:lang w:val="en-US" w:eastAsia="en-AU"/>
        </w:rPr>
        <w:t>Notwithstanding this important distinction, the damages awarded in false imprisonment provide an appropriate guide for the award of compensation for a breach of article 9(1). This is because the damages that are available in false imprisonment matters provide an indication of how the courts have considered it appropriate to compensate for loss of liberty.</w:t>
      </w:r>
    </w:p>
    <w:p w14:paraId="43BBD2A0" w14:textId="77777777" w:rsidR="00501B71" w:rsidRPr="00501B71" w:rsidRDefault="00501B71" w:rsidP="00153AB4">
      <w:pPr>
        <w:pStyle w:val="ListParagraph"/>
        <w:rPr>
          <w:lang w:val="en-US" w:eastAsia="en-AU"/>
        </w:rPr>
      </w:pPr>
      <w:r w:rsidRPr="00501B71">
        <w:rPr>
          <w:lang w:val="en-US" w:eastAsia="en-AU"/>
        </w:rPr>
        <w:t>The principal heads of damage for a tort of this nature are injury to liberty (the loss of freedom considered primarily from a non-pecuniary standpoint) and injury to feelings (the indignity, mental suffering, disgrace and humiliation, with any attendant loss of social status).</w:t>
      </w:r>
      <w:r w:rsidRPr="00501B71">
        <w:rPr>
          <w:vertAlign w:val="superscript"/>
          <w:lang w:val="en-US" w:eastAsia="en-AU"/>
        </w:rPr>
        <w:t>10</w:t>
      </w:r>
    </w:p>
    <w:p w14:paraId="178C2DB4" w14:textId="77777777" w:rsidR="00501B71" w:rsidRPr="00501B71" w:rsidRDefault="00501B71" w:rsidP="00153AB4">
      <w:pPr>
        <w:pStyle w:val="ListParagraph"/>
        <w:rPr>
          <w:lang w:val="en-US" w:eastAsia="en-AU"/>
        </w:rPr>
      </w:pPr>
      <w:r w:rsidRPr="00501B71">
        <w:rPr>
          <w:lang w:val="en-US" w:eastAsia="en-AU"/>
        </w:rPr>
        <w:t xml:space="preserve">In the recent case of </w:t>
      </w:r>
      <w:r w:rsidRPr="00501B71">
        <w:rPr>
          <w:i/>
          <w:iCs/>
          <w:lang w:val="en-US" w:eastAsia="en-AU"/>
        </w:rPr>
        <w:t>Fernando v Commonwealth of Australia (No 5)</w:t>
      </w:r>
      <w:r w:rsidRPr="00501B71">
        <w:rPr>
          <w:lang w:val="en-US" w:eastAsia="en-AU"/>
        </w:rPr>
        <w:t>,</w:t>
      </w:r>
      <w:r w:rsidRPr="00501B71">
        <w:rPr>
          <w:vertAlign w:val="superscript"/>
          <w:lang w:val="en-US" w:eastAsia="en-AU"/>
        </w:rPr>
        <w:t>11</w:t>
      </w:r>
      <w:r w:rsidRPr="00501B71">
        <w:rPr>
          <w:lang w:val="en-US" w:eastAsia="en-AU"/>
        </w:rPr>
        <w:t xml:space="preserve"> Siopis J considered the judicial guidance available on the quantum of damages for loss of liberty for a long period arising from wrongful imprisonment. Siopis J referred to the case of </w:t>
      </w:r>
      <w:r w:rsidRPr="00501B71">
        <w:rPr>
          <w:i/>
          <w:iCs/>
          <w:lang w:val="en-US" w:eastAsia="en-AU"/>
        </w:rPr>
        <w:t>Nye v State of New South Wales</w:t>
      </w:r>
      <w:r w:rsidRPr="00501B71">
        <w:rPr>
          <w:lang w:val="en-US" w:eastAsia="en-AU"/>
        </w:rPr>
        <w:t>:</w:t>
      </w:r>
      <w:r w:rsidRPr="00501B71">
        <w:rPr>
          <w:vertAlign w:val="superscript"/>
          <w:lang w:val="en-US" w:eastAsia="en-AU"/>
        </w:rPr>
        <w:t>12</w:t>
      </w:r>
    </w:p>
    <w:p w14:paraId="77C2033E" w14:textId="77777777" w:rsidR="00501B71" w:rsidRPr="00501B71" w:rsidRDefault="00501B71" w:rsidP="00153AB4">
      <w:pPr>
        <w:pStyle w:val="Quote"/>
        <w:rPr>
          <w:lang w:val="en-GB" w:eastAsia="en-AU"/>
        </w:rPr>
      </w:pPr>
      <w:r w:rsidRPr="00501B71">
        <w:rPr>
          <w:lang w:val="en-GB" w:eastAsia="en-AU"/>
        </w:rPr>
        <w:t xml:space="preserve">…the </w:t>
      </w:r>
      <w:r w:rsidRPr="00501B71">
        <w:rPr>
          <w:i/>
          <w:lang w:val="en-GB" w:eastAsia="en-AU"/>
        </w:rPr>
        <w:t xml:space="preserve">Nye </w:t>
      </w:r>
      <w:r w:rsidRPr="00501B71">
        <w:rPr>
          <w:lang w:val="en-GB" w:eastAsia="en-AU"/>
        </w:rPr>
        <w:t xml:space="preserve">case is useful in one respect, namely, that the court was required to consider the quantum of damages to be awarded to Mr Nye in respect of his loss of liberty for a period of some 16 months which he spent in Long Bay Gaol. In doing so, consistently with the approach recognized by Spigelman CJ in </w:t>
      </w:r>
      <w:r w:rsidRPr="00501B71">
        <w:rPr>
          <w:i/>
          <w:lang w:val="en-GB" w:eastAsia="en-AU"/>
        </w:rPr>
        <w:t xml:space="preserve">Ruddock </w:t>
      </w:r>
      <w:r w:rsidRPr="00501B71">
        <w:rPr>
          <w:lang w:val="en-GB" w:eastAsia="en-AU"/>
        </w:rPr>
        <w:t xml:space="preserve">(NSWCA), the Court did not assess damages by application of a daily rate, but awarded Mr Nye the sum of $100,000 in general damages. It is also relevant to observe that in </w:t>
      </w:r>
      <w:r w:rsidRPr="00501B71">
        <w:rPr>
          <w:i/>
          <w:lang w:val="en-GB" w:eastAsia="en-AU"/>
        </w:rPr>
        <w:t>Nye</w:t>
      </w:r>
      <w:r w:rsidRPr="00501B71">
        <w:rPr>
          <w:lang w:val="en-GB" w:eastAsia="en-AU"/>
        </w:rPr>
        <w:t>, the court referred to the fact that for a period of time during his detention in Long Bay Gaol, Mr Nye feared for his life at the hands of other inmates of that gaol.</w:t>
      </w:r>
      <w:r w:rsidRPr="00501B71">
        <w:rPr>
          <w:vertAlign w:val="superscript"/>
          <w:lang w:val="en-GB" w:eastAsia="en-AU"/>
        </w:rPr>
        <w:t>13</w:t>
      </w:r>
    </w:p>
    <w:p w14:paraId="69034BD8" w14:textId="77777777" w:rsidR="00501B71" w:rsidRPr="00501B71" w:rsidRDefault="00501B71" w:rsidP="00153AB4">
      <w:pPr>
        <w:pStyle w:val="ListParagraph"/>
        <w:rPr>
          <w:lang w:val="en-US" w:eastAsia="en-AU"/>
        </w:rPr>
      </w:pPr>
      <w:r w:rsidRPr="00501B71">
        <w:rPr>
          <w:lang w:val="en-US" w:eastAsia="en-AU"/>
        </w:rPr>
        <w:t xml:space="preserve">Siopis J noted that further guidance on the quantum of damages for loss of liberty for a long period arising from wrongful imprisonment can be obtained from the case of </w:t>
      </w:r>
      <w:r w:rsidRPr="00501B71">
        <w:rPr>
          <w:i/>
          <w:iCs/>
          <w:lang w:val="en-US" w:eastAsia="en-AU"/>
        </w:rPr>
        <w:t>Ruddock</w:t>
      </w:r>
      <w:r w:rsidRPr="00501B71">
        <w:rPr>
          <w:lang w:val="en-US" w:eastAsia="en-AU"/>
        </w:rPr>
        <w:t xml:space="preserve"> (NSWCA).</w:t>
      </w:r>
      <w:r w:rsidRPr="00501B71">
        <w:rPr>
          <w:vertAlign w:val="superscript"/>
          <w:lang w:val="en-US" w:eastAsia="en-AU"/>
        </w:rPr>
        <w:t>14</w:t>
      </w:r>
      <w:r w:rsidRPr="00501B71">
        <w:rPr>
          <w:lang w:val="en-US" w:eastAsia="en-AU"/>
        </w:rPr>
        <w:t xml:space="preserve"> In that case, at first instance,</w:t>
      </w:r>
      <w:r w:rsidRPr="00501B71">
        <w:rPr>
          <w:vertAlign w:val="superscript"/>
          <w:lang w:val="en-US" w:eastAsia="en-AU"/>
        </w:rPr>
        <w:t>15</w:t>
      </w:r>
      <w:r w:rsidRPr="00501B71">
        <w:rPr>
          <w:lang w:val="en-US" w:eastAsia="en-AU"/>
        </w:rPr>
        <w:t xml:space="preserve"> the New South Wales District Court awarded the plaintiff, Mr Taylor, the sum of $116,000 in damages in respect of wrongful imprisonment, consequent upon his detention following the cancellation of his permanent residency visa on character grounds. </w:t>
      </w:r>
    </w:p>
    <w:p w14:paraId="3E819415" w14:textId="77777777" w:rsidR="00501B71" w:rsidRPr="00501B71" w:rsidRDefault="00501B71" w:rsidP="00153AB4">
      <w:pPr>
        <w:pStyle w:val="ListParagraph"/>
        <w:rPr>
          <w:lang w:val="en-US" w:eastAsia="en-AU"/>
        </w:rPr>
      </w:pPr>
      <w:r w:rsidRPr="00501B71">
        <w:rPr>
          <w:lang w:val="en-US" w:eastAsia="en-AU"/>
        </w:rPr>
        <w:t>Mr Taylor was detained for two separate periods. The first was for 161 days and the second was for 155 days. In that case, because Mr Taylor’s convictions were in relation to sexual offences against children, Mr Taylor was detained in a state prison under a ‘strict protection’ regime and not in an immigration detention centre. The detention regime to which Mr Taylor was subjected was described as a ‘particularly harsh one’.</w:t>
      </w:r>
    </w:p>
    <w:p w14:paraId="0C1AB1B7" w14:textId="77777777" w:rsidR="00501B71" w:rsidRPr="00501B71" w:rsidRDefault="00501B71" w:rsidP="00153AB4">
      <w:pPr>
        <w:pStyle w:val="ListParagraph"/>
        <w:rPr>
          <w:lang w:val="en-US" w:eastAsia="en-AU"/>
        </w:rPr>
      </w:pPr>
      <w:r w:rsidRPr="00501B71">
        <w:rPr>
          <w:lang w:val="en-US" w:eastAsia="en-AU"/>
        </w:rPr>
        <w:t>The Court also took into account the fact that Mr Taylor had a long criminal record and that this was not his first experience of a loss of liberty. He was also considered to be a person of low repute who would not have felt the disgrace and humiliation experienced by a person of good character in similar circumstances.</w:t>
      </w:r>
      <w:r w:rsidRPr="00501B71">
        <w:rPr>
          <w:vertAlign w:val="superscript"/>
          <w:lang w:val="en-US" w:eastAsia="en-AU"/>
        </w:rPr>
        <w:t>16</w:t>
      </w:r>
    </w:p>
    <w:p w14:paraId="772062EA" w14:textId="77777777" w:rsidR="00501B71" w:rsidRPr="00501B71" w:rsidRDefault="00501B71" w:rsidP="00153AB4">
      <w:pPr>
        <w:pStyle w:val="ListParagraph"/>
        <w:rPr>
          <w:lang w:val="en-US" w:eastAsia="en-AU"/>
        </w:rPr>
      </w:pPr>
      <w:r w:rsidRPr="00501B71">
        <w:rPr>
          <w:lang w:val="en-US" w:eastAsia="en-AU"/>
        </w:rPr>
        <w:t>On appeal, the New South Wales Court of Appeal considered that the award was low but in the acceptable range. The Court noted that ‘as the term of imprisonment extends, the effect upon the person falsely imprisoned does progressively diminish’.</w:t>
      </w:r>
      <w:r w:rsidRPr="00501B71">
        <w:rPr>
          <w:vertAlign w:val="superscript"/>
          <w:lang w:val="en-US" w:eastAsia="en-AU"/>
        </w:rPr>
        <w:t>17</w:t>
      </w:r>
    </w:p>
    <w:p w14:paraId="307F9602" w14:textId="77777777" w:rsidR="00501B71" w:rsidRPr="00501B71" w:rsidRDefault="00501B71" w:rsidP="00153AB4">
      <w:pPr>
        <w:pStyle w:val="ListParagraph"/>
        <w:rPr>
          <w:lang w:val="en-US" w:eastAsia="en-AU"/>
        </w:rPr>
      </w:pPr>
      <w:r w:rsidRPr="00501B71">
        <w:rPr>
          <w:lang w:val="en-US" w:eastAsia="en-AU"/>
        </w:rPr>
        <w:t xml:space="preserve">Although in </w:t>
      </w:r>
      <w:r w:rsidRPr="00501B71">
        <w:rPr>
          <w:i/>
          <w:iCs/>
          <w:lang w:val="en-US" w:eastAsia="en-AU"/>
        </w:rPr>
        <w:t>Fernando v Commonwealth of Australia (No 5)</w:t>
      </w:r>
      <w:r w:rsidRPr="00501B71">
        <w:rPr>
          <w:lang w:val="en-US" w:eastAsia="en-AU"/>
        </w:rPr>
        <w:t>, Siopis J ultimately accepted the Commonwealth’s argument that Mr Fernando was only entitled to nominal damages,</w:t>
      </w:r>
      <w:r w:rsidRPr="00501B71">
        <w:rPr>
          <w:vertAlign w:val="superscript"/>
          <w:lang w:val="en-US" w:eastAsia="en-AU"/>
        </w:rPr>
        <w:t>18</w:t>
      </w:r>
      <w:r w:rsidRPr="00501B71">
        <w:rPr>
          <w:lang w:val="en-US" w:eastAsia="en-AU"/>
        </w:rPr>
        <w:t xml:space="preserve"> his Honour considered the sum of general damages he would have awarded in respect of Mr Fernando’s claim if his findings in respect of the Commonwealth’s argument on nominal damages were wrong. Mr Fernando was wrongfully imprisoned for 1,203 days in an immigration detention centre. Siopis J accepted Mr Fernando’s evidence that he suffered anxiety and stress during his detention and, also, that he was treated for depression during and after his detention and took these factors into account in assessing the quantum of damages. His Honour also noted that Mr Fernando’s evidence did not suggest that in immigration detention he was subjected to the harsh ‘strict protection’ regime to which Mr Taylor was subjected in a state prison, nor that Mr Fernando feared for his life at the hands of inmates in the same way that Mr Nye did while he was detained at Long Bay Gaol. Taking all of these factors into account, Siopis J stated that he would have awarded Mr Fernando the sum of $265,000 in respect of his 1,203 days in detention.</w:t>
      </w:r>
      <w:r w:rsidRPr="00501B71">
        <w:rPr>
          <w:vertAlign w:val="superscript"/>
          <w:lang w:val="en-US" w:eastAsia="en-AU"/>
        </w:rPr>
        <w:t>19</w:t>
      </w:r>
    </w:p>
    <w:p w14:paraId="29AA8CE4" w14:textId="51884148" w:rsidR="00501B71" w:rsidRPr="00501B71" w:rsidRDefault="00501B71" w:rsidP="00153AB4">
      <w:pPr>
        <w:pStyle w:val="Heading2"/>
        <w:rPr>
          <w:lang w:eastAsia="en-AU"/>
        </w:rPr>
      </w:pPr>
      <w:bookmarkStart w:id="11" w:name="_Toc272929786"/>
      <w:r w:rsidRPr="00501B71">
        <w:rPr>
          <w:lang w:eastAsia="en-AU"/>
        </w:rPr>
        <w:t>Recommendation that compensation be paid</w:t>
      </w:r>
      <w:bookmarkEnd w:id="11"/>
    </w:p>
    <w:p w14:paraId="0EEBC938" w14:textId="77777777" w:rsidR="00501B71" w:rsidRPr="00501B71" w:rsidRDefault="00501B71" w:rsidP="00153AB4">
      <w:pPr>
        <w:pStyle w:val="ListParagraph"/>
        <w:rPr>
          <w:lang w:val="en-US" w:eastAsia="en-AU"/>
        </w:rPr>
      </w:pPr>
      <w:r w:rsidRPr="00501B71">
        <w:rPr>
          <w:lang w:val="en-US" w:eastAsia="en-AU"/>
        </w:rPr>
        <w:t xml:space="preserve">I have found that Mr Basikbasik’s detention was arbitrary within the meaning of article 9(1) of the ICCPR. Mr Basikbasik has been detained for almost seven years. </w:t>
      </w:r>
    </w:p>
    <w:p w14:paraId="06931A47" w14:textId="77777777" w:rsidR="00501B71" w:rsidRPr="00501B71" w:rsidRDefault="00501B71" w:rsidP="00153AB4">
      <w:pPr>
        <w:pStyle w:val="ListParagraph"/>
        <w:rPr>
          <w:lang w:val="en-US" w:eastAsia="en-AU"/>
        </w:rPr>
      </w:pPr>
      <w:r w:rsidRPr="00501B71">
        <w:rPr>
          <w:lang w:val="en-US" w:eastAsia="en-AU"/>
        </w:rPr>
        <w:t xml:space="preserve">I consider that the Commonwealth should pay Mr Basikbasik an amount of compensation to reflect the loss of liberty caused by his detention at VIDC. Had Mr Basikbasik been transferred to community detention, or another less restrictive form of detention, he would still have experienced some curtailment of his liberty and I have taken that into account when assessing compensation. I have also taken into account the fact that Mr Basikbasik has had some experience of detention following his criminal conduct and the statement of the New South Wales Court of Appeal in </w:t>
      </w:r>
      <w:r w:rsidRPr="00501B71">
        <w:rPr>
          <w:i/>
          <w:iCs/>
          <w:lang w:val="en-US" w:eastAsia="en-AU"/>
        </w:rPr>
        <w:t>Ruddock v Taylor</w:t>
      </w:r>
      <w:r w:rsidRPr="00501B71">
        <w:rPr>
          <w:lang w:val="en-US" w:eastAsia="en-AU"/>
        </w:rPr>
        <w:t xml:space="preserve"> that, as the term of imprisonment extends, the effect upon the person falsely imprisoned does progressively diminish.</w:t>
      </w:r>
      <w:r w:rsidRPr="00501B71">
        <w:rPr>
          <w:vertAlign w:val="superscript"/>
          <w:lang w:val="en-US" w:eastAsia="en-AU"/>
        </w:rPr>
        <w:t>20</w:t>
      </w:r>
    </w:p>
    <w:p w14:paraId="5463BA5B" w14:textId="77777777" w:rsidR="00501B71" w:rsidRPr="00501B71" w:rsidRDefault="00501B71" w:rsidP="00153AB4">
      <w:pPr>
        <w:pStyle w:val="ListParagraph"/>
        <w:rPr>
          <w:lang w:val="en-US" w:eastAsia="en-AU"/>
        </w:rPr>
      </w:pPr>
      <w:r w:rsidRPr="00501B71">
        <w:rPr>
          <w:lang w:val="en-US" w:eastAsia="en-AU"/>
        </w:rPr>
        <w:t>Assessing compensation in such circumstances is difficult and requires a degree of judgement. Taking into account the guidance provided by the decisions referred to above, I consider that compensation in the amount of $350,000 is appropriate.</w:t>
      </w:r>
    </w:p>
    <w:p w14:paraId="10F1277A" w14:textId="77777777" w:rsidR="00501B71" w:rsidRPr="00501B71" w:rsidRDefault="00501B71" w:rsidP="00153AB4">
      <w:pPr>
        <w:pStyle w:val="Heading1"/>
        <w:rPr>
          <w:lang w:val="en-AU" w:eastAsia="en-AU"/>
        </w:rPr>
      </w:pPr>
      <w:bookmarkStart w:id="12" w:name="_Toc272929787"/>
      <w:r w:rsidRPr="00501B71">
        <w:rPr>
          <w:lang w:val="en-AU" w:eastAsia="en-AU"/>
        </w:rPr>
        <w:t>Commonwealth’s response to findings and recommendations</w:t>
      </w:r>
      <w:bookmarkEnd w:id="12"/>
    </w:p>
    <w:p w14:paraId="0E8434D0" w14:textId="77777777" w:rsidR="00501B71" w:rsidRPr="00501B71" w:rsidRDefault="00501B71" w:rsidP="00153AB4">
      <w:pPr>
        <w:pStyle w:val="ListParagraph"/>
        <w:rPr>
          <w:lang w:val="en-US" w:eastAsia="en-AU"/>
        </w:rPr>
      </w:pPr>
      <w:r w:rsidRPr="00501B71">
        <w:rPr>
          <w:lang w:val="en-US" w:eastAsia="en-AU"/>
        </w:rPr>
        <w:t>On 31 March 2014, I provided a notice to the Department under s 29(2)(a) of the AHRC Act setting out my findings and recommendation in relation to this complaint.</w:t>
      </w:r>
    </w:p>
    <w:p w14:paraId="00EAB99A" w14:textId="77777777" w:rsidR="00501B71" w:rsidRPr="00501B71" w:rsidRDefault="00501B71" w:rsidP="00153AB4">
      <w:pPr>
        <w:pStyle w:val="ListParagraph"/>
        <w:rPr>
          <w:lang w:val="en-US" w:eastAsia="en-AU"/>
        </w:rPr>
      </w:pPr>
      <w:r w:rsidRPr="00501B71">
        <w:rPr>
          <w:lang w:val="en-US" w:eastAsia="en-AU"/>
        </w:rPr>
        <w:t>By letter dated 28 May 2014, the Hon Scott Morrison MP, Minister for Immigration and Border Protection, provided the following response to my finding that the failure of the Minister to place Mr Basikbasik into community detention, or another less restrictive form of detention, was inconsistent with the prohibition on arbitrary detention in article 9(1) of the ICCPR:</w:t>
      </w:r>
    </w:p>
    <w:p w14:paraId="47DEF899" w14:textId="77777777" w:rsidR="00501B71" w:rsidRPr="00501B71" w:rsidRDefault="00501B71" w:rsidP="00153AB4">
      <w:pPr>
        <w:pStyle w:val="Quote"/>
        <w:rPr>
          <w:lang w:val="en-GB" w:eastAsia="en-AU"/>
        </w:rPr>
      </w:pPr>
      <w:r w:rsidRPr="00501B71">
        <w:rPr>
          <w:lang w:val="en-GB" w:eastAsia="en-AU"/>
        </w:rPr>
        <w:t>The Australian Government does not accept this view.</w:t>
      </w:r>
    </w:p>
    <w:p w14:paraId="4FF3F381" w14:textId="77777777" w:rsidR="00501B71" w:rsidRPr="00501B71" w:rsidRDefault="00501B71" w:rsidP="00153AB4">
      <w:pPr>
        <w:pStyle w:val="Quote"/>
        <w:rPr>
          <w:lang w:val="en-GB" w:eastAsia="en-AU"/>
        </w:rPr>
      </w:pPr>
      <w:r w:rsidRPr="00501B71">
        <w:rPr>
          <w:lang w:val="en-GB" w:eastAsia="en-AU"/>
        </w:rPr>
        <w:t>…</w:t>
      </w:r>
    </w:p>
    <w:p w14:paraId="5CD16CB6" w14:textId="77777777" w:rsidR="00501B71" w:rsidRPr="00501B71" w:rsidRDefault="00501B71" w:rsidP="00153AB4">
      <w:pPr>
        <w:pStyle w:val="Quote"/>
        <w:rPr>
          <w:lang w:val="en-GB" w:eastAsia="en-AU"/>
        </w:rPr>
      </w:pPr>
      <w:r w:rsidRPr="00501B71">
        <w:rPr>
          <w:lang w:val="en-GB" w:eastAsia="en-AU"/>
        </w:rPr>
        <w:t>I am unable to speak on behalf of my predecessors, however, I note that any decisions made under section 195A or section 197AB of the Act requires the consideration of many factors, including a detainee’s immigration pathway, behaviour in detention, risk to the Australian community and connection to the Australian community.</w:t>
      </w:r>
    </w:p>
    <w:p w14:paraId="69445B94" w14:textId="77777777" w:rsidR="00501B71" w:rsidRPr="00501B71" w:rsidRDefault="00501B71" w:rsidP="00153AB4">
      <w:pPr>
        <w:pStyle w:val="Quote"/>
        <w:rPr>
          <w:lang w:val="en-GB" w:eastAsia="en-AU"/>
        </w:rPr>
      </w:pPr>
      <w:r w:rsidRPr="00501B71">
        <w:rPr>
          <w:lang w:val="en-GB" w:eastAsia="en-AU"/>
        </w:rPr>
        <w:t xml:space="preserve">Specifically, with regard to Mr Basikbasik, his significant criminal history and imprisonment as the result of his criminal conviction of </w:t>
      </w:r>
      <w:r w:rsidRPr="00153AB4">
        <w:rPr>
          <w:rStyle w:val="Emphasis"/>
        </w:rPr>
        <w:t>manslaughter</w:t>
      </w:r>
      <w:r w:rsidRPr="00501B71">
        <w:rPr>
          <w:lang w:val="en-GB" w:eastAsia="en-AU"/>
        </w:rPr>
        <w:t xml:space="preserve"> in September 2001 would have been relevant in considering risk to the Australian community.</w:t>
      </w:r>
    </w:p>
    <w:p w14:paraId="7E7A3852" w14:textId="77777777" w:rsidR="00501B71" w:rsidRPr="00501B71" w:rsidRDefault="00501B71" w:rsidP="00153AB4">
      <w:pPr>
        <w:pStyle w:val="Quote"/>
        <w:rPr>
          <w:lang w:val="en-GB" w:eastAsia="en-AU"/>
        </w:rPr>
      </w:pPr>
      <w:r w:rsidRPr="00501B71">
        <w:rPr>
          <w:lang w:val="en-GB" w:eastAsia="en-AU"/>
        </w:rPr>
        <w:t>I can advise that on 7 November 2013, I declined to consider intervening, under section 195A of the Act, to grant Mr Basikbasik a temporary visa or, under section 197AB of the Act, to place Mr Basikbasik into community detention with specific management conditions.</w:t>
      </w:r>
    </w:p>
    <w:p w14:paraId="31CF8FC9" w14:textId="77777777" w:rsidR="00501B71" w:rsidRPr="00501B71" w:rsidRDefault="00501B71" w:rsidP="00153AB4">
      <w:pPr>
        <w:pStyle w:val="Quote"/>
        <w:rPr>
          <w:lang w:val="en-GB" w:eastAsia="en-AU"/>
        </w:rPr>
      </w:pPr>
      <w:r w:rsidRPr="00501B71">
        <w:rPr>
          <w:lang w:val="en-GB" w:eastAsia="en-AU"/>
        </w:rPr>
        <w:t>Ultimately, decisions relating to residence determination under section 195A or section 197AB of the Act are made at the discretion of the Minister, and are a reflection of what is deemed to be in the public interest at that time.</w:t>
      </w:r>
    </w:p>
    <w:p w14:paraId="02CBDE60" w14:textId="77777777" w:rsidR="00501B71" w:rsidRPr="00501B71" w:rsidRDefault="00501B71" w:rsidP="00153AB4">
      <w:pPr>
        <w:pStyle w:val="Quote"/>
        <w:rPr>
          <w:lang w:val="en-GB" w:eastAsia="en-AU"/>
        </w:rPr>
      </w:pPr>
      <w:r w:rsidRPr="00501B71">
        <w:rPr>
          <w:lang w:val="en-GB" w:eastAsia="en-AU"/>
        </w:rPr>
        <w:t>Mr Basikbasik’s detention is appropriate, reasonable and justified in the individual circumstances of his case and therefore not arbitrary.</w:t>
      </w:r>
    </w:p>
    <w:p w14:paraId="621EBFDF" w14:textId="77777777" w:rsidR="00501B71" w:rsidRPr="00501B71" w:rsidRDefault="00501B71" w:rsidP="00153AB4">
      <w:pPr>
        <w:pStyle w:val="ListParagraph"/>
        <w:rPr>
          <w:lang w:val="en-US" w:eastAsia="en-AU"/>
        </w:rPr>
      </w:pPr>
      <w:r w:rsidRPr="00501B71">
        <w:rPr>
          <w:lang w:val="en-US" w:eastAsia="en-AU"/>
        </w:rPr>
        <w:t>By letter dated 29 May 2014, the Department provided a response to my recommendation that the Commonwealth pay compensation to Mr Basikbasik in the amount of $350,000:</w:t>
      </w:r>
    </w:p>
    <w:p w14:paraId="50B3B44A" w14:textId="77777777" w:rsidR="00501B71" w:rsidRPr="00501B71" w:rsidRDefault="00501B71" w:rsidP="00153AB4">
      <w:pPr>
        <w:pStyle w:val="Quote"/>
        <w:rPr>
          <w:lang w:val="en-GB" w:eastAsia="en-AU"/>
        </w:rPr>
      </w:pPr>
      <w:r w:rsidRPr="00501B71">
        <w:rPr>
          <w:lang w:val="en-GB" w:eastAsia="en-AU"/>
        </w:rPr>
        <w:t>The department maintains that Mr Basikbasik’s detention is not arbitrary within the meaning of Article 9(1) of the International Covenant on Civil and Political Rights.</w:t>
      </w:r>
    </w:p>
    <w:p w14:paraId="19186968" w14:textId="77777777" w:rsidR="00501B71" w:rsidRPr="00501B71" w:rsidRDefault="00501B71" w:rsidP="00153AB4">
      <w:pPr>
        <w:pStyle w:val="Quote"/>
        <w:rPr>
          <w:lang w:val="en-GB" w:eastAsia="en-AU"/>
        </w:rPr>
      </w:pPr>
      <w:r w:rsidRPr="00501B71">
        <w:rPr>
          <w:lang w:val="en-GB" w:eastAsia="en-AU"/>
        </w:rPr>
        <w:t>…</w:t>
      </w:r>
    </w:p>
    <w:p w14:paraId="58906B2F" w14:textId="77777777" w:rsidR="00501B71" w:rsidRPr="00501B71" w:rsidRDefault="00501B71" w:rsidP="00153AB4">
      <w:pPr>
        <w:pStyle w:val="Quote"/>
        <w:rPr>
          <w:lang w:val="en-GB" w:eastAsia="en-AU"/>
        </w:rPr>
      </w:pPr>
      <w:r w:rsidRPr="00501B71">
        <w:rPr>
          <w:lang w:val="en-GB" w:eastAsia="en-AU"/>
        </w:rPr>
        <w:t>The department is of the view that Mr Basikbasik’s immigration detention is lawful, that there is no meaningful prospect of liability under Australian domestic law and as such, no proper basis to consider a payment of compensation in this regard. Further, the department considers that neither the material in the complaint, nor the President’s findings and recommendations, reveal a meaningful prospect of liability under Australian domestic law for an action in tort as a result of this detention. For this reason the department is of the view that there is no proper basis on which to consider payment of compensation in this regard. The department therefore is unable to pay compensation to Mr Basikbasik on this basis and the department advises that no further action will be taken in relation to this recommendation.</w:t>
      </w:r>
    </w:p>
    <w:p w14:paraId="376CD0F4" w14:textId="77777777" w:rsidR="00501B71" w:rsidRDefault="00501B71" w:rsidP="00153AB4">
      <w:pPr>
        <w:pStyle w:val="ListParagraph"/>
        <w:rPr>
          <w:lang w:val="en-US" w:eastAsia="en-AU"/>
        </w:rPr>
      </w:pPr>
      <w:r w:rsidRPr="00501B71">
        <w:rPr>
          <w:lang w:val="en-US" w:eastAsia="en-AU"/>
        </w:rPr>
        <w:t>I report accordingly to the Attorney-General.</w:t>
      </w:r>
    </w:p>
    <w:p w14:paraId="4E1E66CB" w14:textId="77777777" w:rsidR="00153AB4" w:rsidRDefault="00153AB4" w:rsidP="00153AB4"/>
    <w:p w14:paraId="48E64069" w14:textId="77777777" w:rsidR="00153AB4" w:rsidRPr="00153AB4" w:rsidRDefault="00153AB4" w:rsidP="00153AB4"/>
    <w:p w14:paraId="6498E32D" w14:textId="77777777" w:rsidR="00501B71" w:rsidRPr="00153AB4" w:rsidRDefault="00501B71" w:rsidP="00153AB4">
      <w:pPr>
        <w:spacing w:after="0"/>
      </w:pPr>
      <w:r w:rsidRPr="00153AB4">
        <w:t>Gillian Triggs</w:t>
      </w:r>
    </w:p>
    <w:p w14:paraId="58501A93" w14:textId="77777777" w:rsidR="00501B71" w:rsidRPr="00153AB4" w:rsidRDefault="00501B71" w:rsidP="00153AB4">
      <w:r w:rsidRPr="00153AB4">
        <w:rPr>
          <w:rStyle w:val="Strong"/>
        </w:rPr>
        <w:t xml:space="preserve">President </w:t>
      </w:r>
      <w:r w:rsidRPr="00153AB4">
        <w:br/>
        <w:t>Australian Human Rights Commission</w:t>
      </w:r>
    </w:p>
    <w:p w14:paraId="14186274" w14:textId="77777777" w:rsidR="00501B71" w:rsidRPr="00153AB4" w:rsidRDefault="00501B71" w:rsidP="00153AB4">
      <w:r w:rsidRPr="00153AB4">
        <w:t>June 2014</w:t>
      </w:r>
    </w:p>
    <w:p w14:paraId="7A5F9E7D" w14:textId="37326ECC" w:rsidR="004F6CCB" w:rsidRDefault="004F6CCB" w:rsidP="004F6CCB">
      <w:pPr>
        <w:pStyle w:val="EndnotesHeading"/>
        <w:rPr>
          <w:lang w:val="en-US" w:eastAsia="en-AU"/>
        </w:rPr>
      </w:pPr>
      <w:r>
        <w:rPr>
          <w:lang w:val="en-US" w:eastAsia="en-AU"/>
        </w:rPr>
        <w:t>Endnotes</w:t>
      </w:r>
    </w:p>
    <w:p w14:paraId="0685C8F2" w14:textId="77777777" w:rsidR="00501B71" w:rsidRPr="00501B71" w:rsidRDefault="00501B71" w:rsidP="0038475A">
      <w:pPr>
        <w:pStyle w:val="EndnoteText"/>
        <w:tabs>
          <w:tab w:val="clear" w:pos="567"/>
        </w:tabs>
        <w:ind w:left="357" w:hanging="357"/>
        <w:rPr>
          <w:lang w:val="en-US" w:eastAsia="en-AU"/>
        </w:rPr>
      </w:pPr>
      <w:r w:rsidRPr="00501B71">
        <w:rPr>
          <w:lang w:val="en-US" w:eastAsia="en-AU"/>
        </w:rPr>
        <w:t>1</w:t>
      </w:r>
      <w:r w:rsidRPr="00501B71">
        <w:rPr>
          <w:lang w:val="en-US" w:eastAsia="en-AU"/>
        </w:rPr>
        <w:tab/>
        <w:t xml:space="preserve">Section 3(1) of the </w:t>
      </w:r>
      <w:r w:rsidRPr="0038475A">
        <w:rPr>
          <w:rStyle w:val="Emphasis"/>
        </w:rPr>
        <w:t>Australian Human Rights Commission Act 1986</w:t>
      </w:r>
      <w:r w:rsidRPr="00501B71">
        <w:rPr>
          <w:lang w:val="en-US" w:eastAsia="en-AU"/>
        </w:rPr>
        <w:t xml:space="preserve"> (Cth) (AHRC Act) defines human rights to include the rights recognised by the </w:t>
      </w:r>
      <w:r w:rsidRPr="0038475A">
        <w:rPr>
          <w:rStyle w:val="Emphasis"/>
        </w:rPr>
        <w:t>International Covenant on Civil and Political Rights</w:t>
      </w:r>
      <w:r w:rsidRPr="00501B71">
        <w:rPr>
          <w:lang w:val="en-US" w:eastAsia="en-AU"/>
        </w:rPr>
        <w:t xml:space="preserve"> (ICCPR).</w:t>
      </w:r>
    </w:p>
    <w:p w14:paraId="557AA65B" w14:textId="77777777" w:rsidR="00501B71" w:rsidRPr="00501B71" w:rsidRDefault="00501B71" w:rsidP="0038475A">
      <w:pPr>
        <w:pStyle w:val="EndnoteText"/>
        <w:tabs>
          <w:tab w:val="clear" w:pos="567"/>
        </w:tabs>
        <w:ind w:left="357" w:hanging="357"/>
        <w:rPr>
          <w:lang w:val="en-US" w:eastAsia="en-AU"/>
        </w:rPr>
      </w:pPr>
      <w:r w:rsidRPr="00501B71">
        <w:rPr>
          <w:lang w:val="en-US" w:eastAsia="en-AU"/>
        </w:rPr>
        <w:t>2</w:t>
      </w:r>
      <w:r w:rsidRPr="00501B71">
        <w:rPr>
          <w:lang w:val="en-US" w:eastAsia="en-AU"/>
        </w:rPr>
        <w:tab/>
        <w:t xml:space="preserve">See, </w:t>
      </w:r>
      <w:r w:rsidRPr="0038475A">
        <w:rPr>
          <w:rStyle w:val="Emphasis"/>
        </w:rPr>
        <w:t>Secretary, Department of Defence v Human Rights and Equal Opportunity Commission, Burgess &amp; Ors</w:t>
      </w:r>
      <w:r w:rsidRPr="00501B71">
        <w:rPr>
          <w:lang w:val="en-US" w:eastAsia="en-AU"/>
        </w:rPr>
        <w:t xml:space="preserve"> (1997) 78 FCR 208.</w:t>
      </w:r>
    </w:p>
    <w:p w14:paraId="5D4CE4F9" w14:textId="77777777" w:rsidR="00501B71" w:rsidRPr="00501B71" w:rsidRDefault="00501B71" w:rsidP="0038475A">
      <w:pPr>
        <w:pStyle w:val="EndnoteText"/>
        <w:tabs>
          <w:tab w:val="clear" w:pos="567"/>
        </w:tabs>
        <w:ind w:left="357" w:hanging="357"/>
        <w:rPr>
          <w:lang w:val="en-US" w:eastAsia="en-AU"/>
        </w:rPr>
      </w:pPr>
      <w:r w:rsidRPr="00501B71">
        <w:rPr>
          <w:lang w:val="en-US" w:eastAsia="en-AU"/>
        </w:rPr>
        <w:t>3</w:t>
      </w:r>
      <w:r w:rsidRPr="00501B71">
        <w:rPr>
          <w:lang w:val="en-US" w:eastAsia="en-AU"/>
        </w:rPr>
        <w:tab/>
      </w:r>
      <w:r w:rsidRPr="0038475A">
        <w:rPr>
          <w:rStyle w:val="Emphasis"/>
        </w:rPr>
        <w:t>Migration Act 1958</w:t>
      </w:r>
      <w:r w:rsidRPr="00501B71">
        <w:rPr>
          <w:lang w:val="en-US" w:eastAsia="en-AU"/>
        </w:rPr>
        <w:t xml:space="preserve"> (Cth) s 5.</w:t>
      </w:r>
    </w:p>
    <w:p w14:paraId="69F8FE38" w14:textId="5E4B28C8" w:rsidR="00501B71" w:rsidRPr="00501B71" w:rsidRDefault="00501B71" w:rsidP="0038475A">
      <w:pPr>
        <w:pStyle w:val="EndnoteText"/>
        <w:tabs>
          <w:tab w:val="clear" w:pos="567"/>
        </w:tabs>
        <w:ind w:left="357" w:hanging="357"/>
        <w:rPr>
          <w:lang w:val="en-US" w:eastAsia="en-AU"/>
        </w:rPr>
      </w:pPr>
      <w:r w:rsidRPr="00501B71">
        <w:rPr>
          <w:lang w:val="en-US" w:eastAsia="en-AU"/>
        </w:rPr>
        <w:t>4</w:t>
      </w:r>
      <w:r w:rsidRPr="00501B71">
        <w:rPr>
          <w:lang w:val="en-US" w:eastAsia="en-AU"/>
        </w:rPr>
        <w:tab/>
      </w:r>
      <w:r w:rsidRPr="0038475A">
        <w:rPr>
          <w:rStyle w:val="Emphasis"/>
        </w:rPr>
        <w:t>Van Alphen v Netherlands</w:t>
      </w:r>
      <w:r w:rsidRPr="00501B71">
        <w:rPr>
          <w:i/>
          <w:iCs/>
          <w:lang w:val="en-US" w:eastAsia="en-AU"/>
        </w:rPr>
        <w:t xml:space="preserve"> </w:t>
      </w:r>
      <w:r w:rsidRPr="00501B71">
        <w:rPr>
          <w:lang w:val="en-US" w:eastAsia="en-AU"/>
        </w:rPr>
        <w:t>Communication No 305/1988 UN Doc CCPR/C/39/D/305/1988</w:t>
      </w:r>
      <w:r w:rsidRPr="00501B71">
        <w:rPr>
          <w:i/>
          <w:iCs/>
          <w:lang w:val="en-US" w:eastAsia="en-AU"/>
        </w:rPr>
        <w:t xml:space="preserve">, </w:t>
      </w:r>
      <w:r w:rsidR="0038475A">
        <w:rPr>
          <w:i/>
          <w:iCs/>
          <w:lang w:val="en-US" w:eastAsia="en-AU"/>
        </w:rPr>
        <w:br/>
      </w:r>
      <w:r w:rsidRPr="0038475A">
        <w:rPr>
          <w:rStyle w:val="Emphasis"/>
        </w:rPr>
        <w:t>A v Australia</w:t>
      </w:r>
      <w:r w:rsidRPr="00501B71">
        <w:rPr>
          <w:i/>
          <w:iCs/>
          <w:lang w:val="en-US" w:eastAsia="en-AU"/>
        </w:rPr>
        <w:t xml:space="preserve"> </w:t>
      </w:r>
      <w:r w:rsidRPr="00501B71">
        <w:rPr>
          <w:lang w:val="en-US" w:eastAsia="en-AU"/>
        </w:rPr>
        <w:t>Communication No 560/1993 UN Doc CCPR/C/59/D/560/1993</w:t>
      </w:r>
      <w:r w:rsidRPr="00501B71">
        <w:rPr>
          <w:i/>
          <w:iCs/>
          <w:lang w:val="en-US" w:eastAsia="en-AU"/>
        </w:rPr>
        <w:t xml:space="preserve">, </w:t>
      </w:r>
      <w:r w:rsidRPr="0038475A">
        <w:rPr>
          <w:rStyle w:val="Emphasis"/>
        </w:rPr>
        <w:t>C v Australia</w:t>
      </w:r>
      <w:r w:rsidRPr="00501B71">
        <w:rPr>
          <w:lang w:val="en-US" w:eastAsia="en-AU"/>
        </w:rPr>
        <w:t xml:space="preserve"> </w:t>
      </w:r>
      <w:r w:rsidR="0038475A">
        <w:rPr>
          <w:lang w:val="en-US" w:eastAsia="en-AU"/>
        </w:rPr>
        <w:br/>
      </w:r>
      <w:r w:rsidRPr="00501B71">
        <w:rPr>
          <w:lang w:val="en-US" w:eastAsia="en-AU"/>
        </w:rPr>
        <w:t>No 900/1999 UN Doc CCPR/C/76/D/900/1999.</w:t>
      </w:r>
    </w:p>
    <w:p w14:paraId="103D9B6A" w14:textId="77777777" w:rsidR="00501B71" w:rsidRPr="00501B71" w:rsidRDefault="00501B71" w:rsidP="0038475A">
      <w:pPr>
        <w:pStyle w:val="EndnoteText"/>
        <w:tabs>
          <w:tab w:val="clear" w:pos="567"/>
        </w:tabs>
        <w:ind w:left="357" w:hanging="357"/>
        <w:rPr>
          <w:lang w:val="en-US" w:eastAsia="en-AU"/>
        </w:rPr>
      </w:pPr>
      <w:r w:rsidRPr="00501B71">
        <w:rPr>
          <w:lang w:val="en-US" w:eastAsia="en-AU"/>
        </w:rPr>
        <w:t>5</w:t>
      </w:r>
      <w:r w:rsidRPr="00501B71">
        <w:rPr>
          <w:lang w:val="en-US" w:eastAsia="en-AU"/>
        </w:rPr>
        <w:tab/>
      </w:r>
      <w:r w:rsidRPr="0038475A">
        <w:rPr>
          <w:rStyle w:val="Emphasis"/>
        </w:rPr>
        <w:t>BHYK v Minister for Immigration and Citizenship</w:t>
      </w:r>
      <w:r w:rsidRPr="00501B71">
        <w:rPr>
          <w:lang w:val="en-US" w:eastAsia="en-AU"/>
        </w:rPr>
        <w:t xml:space="preserve"> [2010] AATA 662 (2 September 2010) [10].</w:t>
      </w:r>
    </w:p>
    <w:p w14:paraId="267FE8A8" w14:textId="77777777" w:rsidR="00501B71" w:rsidRPr="00501B71" w:rsidRDefault="00501B71" w:rsidP="0038475A">
      <w:pPr>
        <w:pStyle w:val="EndnoteText"/>
        <w:tabs>
          <w:tab w:val="clear" w:pos="567"/>
        </w:tabs>
        <w:ind w:left="357" w:hanging="357"/>
        <w:rPr>
          <w:lang w:val="en-US" w:eastAsia="en-AU"/>
        </w:rPr>
      </w:pPr>
      <w:r w:rsidRPr="00501B71">
        <w:rPr>
          <w:lang w:val="en-US" w:eastAsia="en-AU"/>
        </w:rPr>
        <w:t>6</w:t>
      </w:r>
      <w:r w:rsidRPr="00501B71">
        <w:rPr>
          <w:lang w:val="en-US" w:eastAsia="en-AU"/>
        </w:rPr>
        <w:tab/>
      </w:r>
      <w:r w:rsidRPr="00683558">
        <w:rPr>
          <w:rStyle w:val="Emphasis"/>
        </w:rPr>
        <w:t>BHYK v Minister for Immigration and Citizenship</w:t>
      </w:r>
      <w:r w:rsidRPr="00501B71">
        <w:rPr>
          <w:lang w:val="en-US" w:eastAsia="en-AU"/>
        </w:rPr>
        <w:t xml:space="preserve"> [2010] AATA 662 (2 September 2010) [46].</w:t>
      </w:r>
    </w:p>
    <w:p w14:paraId="140D42E2" w14:textId="77777777" w:rsidR="00501B71" w:rsidRPr="00501B71" w:rsidRDefault="00501B71" w:rsidP="0038475A">
      <w:pPr>
        <w:pStyle w:val="EndnoteText"/>
        <w:tabs>
          <w:tab w:val="clear" w:pos="567"/>
        </w:tabs>
        <w:ind w:left="357" w:hanging="357"/>
        <w:rPr>
          <w:lang w:val="en-US" w:eastAsia="en-AU"/>
        </w:rPr>
      </w:pPr>
      <w:r w:rsidRPr="00501B71">
        <w:rPr>
          <w:lang w:val="en-US" w:eastAsia="en-AU"/>
        </w:rPr>
        <w:t>7</w:t>
      </w:r>
      <w:r w:rsidRPr="00501B71">
        <w:rPr>
          <w:lang w:val="en-US" w:eastAsia="en-AU"/>
        </w:rPr>
        <w:tab/>
        <w:t>AHRC Act s 29(2)(a).</w:t>
      </w:r>
    </w:p>
    <w:p w14:paraId="5BCBA760" w14:textId="77777777" w:rsidR="00501B71" w:rsidRPr="00501B71" w:rsidRDefault="00501B71" w:rsidP="0038475A">
      <w:pPr>
        <w:pStyle w:val="EndnoteText"/>
        <w:tabs>
          <w:tab w:val="clear" w:pos="567"/>
        </w:tabs>
        <w:ind w:left="357" w:hanging="357"/>
        <w:rPr>
          <w:lang w:val="en-US" w:eastAsia="en-AU"/>
        </w:rPr>
      </w:pPr>
      <w:r w:rsidRPr="00501B71">
        <w:rPr>
          <w:lang w:val="en-US" w:eastAsia="en-AU"/>
        </w:rPr>
        <w:t>8</w:t>
      </w:r>
      <w:r w:rsidRPr="00501B71">
        <w:rPr>
          <w:lang w:val="en-US" w:eastAsia="en-AU"/>
        </w:rPr>
        <w:tab/>
        <w:t>AHRC Act s 29(2)(b).</w:t>
      </w:r>
    </w:p>
    <w:p w14:paraId="2EE0EE75" w14:textId="77777777" w:rsidR="00501B71" w:rsidRPr="00501B71" w:rsidRDefault="00501B71" w:rsidP="0038475A">
      <w:pPr>
        <w:pStyle w:val="EndnoteText"/>
        <w:tabs>
          <w:tab w:val="clear" w:pos="567"/>
        </w:tabs>
        <w:ind w:left="357" w:hanging="357"/>
        <w:rPr>
          <w:lang w:val="en-US" w:eastAsia="en-AU"/>
        </w:rPr>
      </w:pPr>
      <w:r w:rsidRPr="00501B71">
        <w:rPr>
          <w:lang w:val="en-US" w:eastAsia="en-AU"/>
        </w:rPr>
        <w:t>9</w:t>
      </w:r>
      <w:r w:rsidRPr="00501B71">
        <w:rPr>
          <w:lang w:val="en-US" w:eastAsia="en-AU"/>
        </w:rPr>
        <w:tab/>
        <w:t>AHRC Act s 29(2)(c).</w:t>
      </w:r>
    </w:p>
    <w:p w14:paraId="0628DD84" w14:textId="20AB26D6" w:rsidR="00501B71" w:rsidRPr="00501B71" w:rsidRDefault="00501B71" w:rsidP="0038475A">
      <w:pPr>
        <w:pStyle w:val="EndnoteText"/>
        <w:tabs>
          <w:tab w:val="clear" w:pos="567"/>
        </w:tabs>
        <w:ind w:left="357" w:hanging="357"/>
        <w:rPr>
          <w:lang w:val="en-US" w:eastAsia="en-AU"/>
        </w:rPr>
      </w:pPr>
      <w:r w:rsidRPr="00501B71">
        <w:rPr>
          <w:lang w:val="en-US" w:eastAsia="en-AU"/>
        </w:rPr>
        <w:t>10</w:t>
      </w:r>
      <w:r w:rsidRPr="00501B71">
        <w:rPr>
          <w:lang w:val="en-US" w:eastAsia="en-AU"/>
        </w:rPr>
        <w:tab/>
      </w:r>
      <w:r w:rsidRPr="00683558">
        <w:rPr>
          <w:rStyle w:val="Emphasis"/>
        </w:rPr>
        <w:t>Cassell &amp; Co Ltd v Broome (No 1)</w:t>
      </w:r>
      <w:r w:rsidRPr="00501B71">
        <w:rPr>
          <w:lang w:val="en-US" w:eastAsia="en-AU"/>
        </w:rPr>
        <w:t xml:space="preserve"> [1972] AC 1027, 1124; </w:t>
      </w:r>
      <w:r w:rsidRPr="00683558">
        <w:rPr>
          <w:rStyle w:val="Emphasis"/>
        </w:rPr>
        <w:t>Spautz v Butterworth &amp; Anor</w:t>
      </w:r>
      <w:r w:rsidRPr="00501B71">
        <w:rPr>
          <w:lang w:val="en-US" w:eastAsia="en-AU"/>
        </w:rPr>
        <w:t xml:space="preserve"> (1996) 41 NSWLR 1 (Clarke JA); </w:t>
      </w:r>
      <w:r w:rsidRPr="00683558">
        <w:rPr>
          <w:rStyle w:val="Emphasis"/>
        </w:rPr>
        <w:t>Vignoli v Sydney Harbour Casino</w:t>
      </w:r>
      <w:r w:rsidRPr="00501B71">
        <w:rPr>
          <w:lang w:val="en-US" w:eastAsia="en-AU"/>
        </w:rPr>
        <w:t xml:space="preserve"> [1999] NSWSC 1113 </w:t>
      </w:r>
      <w:r w:rsidR="00683558">
        <w:rPr>
          <w:lang w:val="en-US" w:eastAsia="en-AU"/>
        </w:rPr>
        <w:br/>
      </w:r>
      <w:r w:rsidRPr="00501B71">
        <w:rPr>
          <w:lang w:val="en-US" w:eastAsia="en-AU"/>
        </w:rPr>
        <w:t>(22 November 1999), [87].</w:t>
      </w:r>
    </w:p>
    <w:p w14:paraId="68C6D0B7" w14:textId="77777777" w:rsidR="00501B71" w:rsidRPr="00501B71" w:rsidRDefault="00501B71" w:rsidP="0038475A">
      <w:pPr>
        <w:pStyle w:val="EndnoteText"/>
        <w:tabs>
          <w:tab w:val="clear" w:pos="567"/>
        </w:tabs>
        <w:ind w:left="357" w:hanging="357"/>
        <w:rPr>
          <w:lang w:val="en-US" w:eastAsia="en-AU"/>
        </w:rPr>
      </w:pPr>
      <w:r w:rsidRPr="00501B71">
        <w:rPr>
          <w:lang w:val="en-US" w:eastAsia="en-AU"/>
        </w:rPr>
        <w:t>11</w:t>
      </w:r>
      <w:r w:rsidRPr="00501B71">
        <w:rPr>
          <w:lang w:val="en-US" w:eastAsia="en-AU"/>
        </w:rPr>
        <w:tab/>
        <w:t>[2013] FCA 901.</w:t>
      </w:r>
    </w:p>
    <w:p w14:paraId="2E41EC6D" w14:textId="77777777" w:rsidR="00501B71" w:rsidRPr="00501B71" w:rsidRDefault="00501B71" w:rsidP="0038475A">
      <w:pPr>
        <w:pStyle w:val="EndnoteText"/>
        <w:tabs>
          <w:tab w:val="clear" w:pos="567"/>
        </w:tabs>
        <w:ind w:left="357" w:hanging="357"/>
        <w:rPr>
          <w:lang w:val="en-US" w:eastAsia="en-AU"/>
        </w:rPr>
      </w:pPr>
      <w:r w:rsidRPr="00501B71">
        <w:rPr>
          <w:lang w:val="en-US" w:eastAsia="en-AU"/>
        </w:rPr>
        <w:t>12</w:t>
      </w:r>
      <w:r w:rsidRPr="00501B71">
        <w:rPr>
          <w:lang w:val="en-US" w:eastAsia="en-AU"/>
        </w:rPr>
        <w:tab/>
        <w:t>[2003] NSWSC 1212.</w:t>
      </w:r>
    </w:p>
    <w:p w14:paraId="3217D350" w14:textId="77777777" w:rsidR="00501B71" w:rsidRPr="00501B71" w:rsidRDefault="00501B71" w:rsidP="0038475A">
      <w:pPr>
        <w:pStyle w:val="EndnoteText"/>
        <w:tabs>
          <w:tab w:val="clear" w:pos="567"/>
        </w:tabs>
        <w:ind w:left="357" w:hanging="357"/>
        <w:rPr>
          <w:lang w:val="en-US" w:eastAsia="en-AU"/>
        </w:rPr>
      </w:pPr>
      <w:r w:rsidRPr="00501B71">
        <w:rPr>
          <w:lang w:val="en-US" w:eastAsia="en-AU"/>
        </w:rPr>
        <w:t>13</w:t>
      </w:r>
      <w:r w:rsidRPr="00501B71">
        <w:rPr>
          <w:lang w:val="en-US" w:eastAsia="en-AU"/>
        </w:rPr>
        <w:tab/>
      </w:r>
      <w:r w:rsidRPr="00683558">
        <w:rPr>
          <w:rStyle w:val="Emphasis"/>
        </w:rPr>
        <w:t>Fernando v Commonwealth of Australia (No 5)</w:t>
      </w:r>
      <w:r w:rsidRPr="00501B71">
        <w:rPr>
          <w:lang w:val="en-US" w:eastAsia="en-AU"/>
        </w:rPr>
        <w:t xml:space="preserve"> [2013] FCA 901 [121].</w:t>
      </w:r>
    </w:p>
    <w:p w14:paraId="57126300" w14:textId="77777777" w:rsidR="00501B71" w:rsidRPr="00501B71" w:rsidRDefault="00501B71" w:rsidP="0038475A">
      <w:pPr>
        <w:pStyle w:val="EndnoteText"/>
        <w:tabs>
          <w:tab w:val="clear" w:pos="567"/>
        </w:tabs>
        <w:ind w:left="357" w:hanging="357"/>
        <w:rPr>
          <w:lang w:val="en-US" w:eastAsia="en-AU"/>
        </w:rPr>
      </w:pPr>
      <w:r w:rsidRPr="00501B71">
        <w:rPr>
          <w:lang w:val="en-US" w:eastAsia="en-AU"/>
        </w:rPr>
        <w:t>14</w:t>
      </w:r>
      <w:r w:rsidRPr="00501B71">
        <w:rPr>
          <w:lang w:val="en-US" w:eastAsia="en-AU"/>
        </w:rPr>
        <w:tab/>
      </w:r>
      <w:r w:rsidRPr="00683558">
        <w:rPr>
          <w:rStyle w:val="Emphasis"/>
        </w:rPr>
        <w:t>Ruddock v Taylor</w:t>
      </w:r>
      <w:r w:rsidRPr="00501B71">
        <w:rPr>
          <w:i/>
          <w:iCs/>
          <w:lang w:val="en-US" w:eastAsia="en-AU"/>
        </w:rPr>
        <w:t xml:space="preserve"> </w:t>
      </w:r>
      <w:r w:rsidRPr="00501B71">
        <w:rPr>
          <w:lang w:val="en-US" w:eastAsia="en-AU"/>
        </w:rPr>
        <w:t>(2003) 58 NSWLR 269.</w:t>
      </w:r>
    </w:p>
    <w:p w14:paraId="776CE704" w14:textId="77777777" w:rsidR="00501B71" w:rsidRPr="00501B71" w:rsidRDefault="00501B71" w:rsidP="0038475A">
      <w:pPr>
        <w:pStyle w:val="EndnoteText"/>
        <w:tabs>
          <w:tab w:val="clear" w:pos="567"/>
        </w:tabs>
        <w:ind w:left="357" w:hanging="357"/>
        <w:rPr>
          <w:lang w:val="en-US" w:eastAsia="en-AU"/>
        </w:rPr>
      </w:pPr>
      <w:r w:rsidRPr="00501B71">
        <w:rPr>
          <w:lang w:val="en-US" w:eastAsia="en-AU"/>
        </w:rPr>
        <w:t>15</w:t>
      </w:r>
      <w:r w:rsidRPr="00501B71">
        <w:rPr>
          <w:lang w:val="en-US" w:eastAsia="en-AU"/>
        </w:rPr>
        <w:tab/>
      </w:r>
      <w:r w:rsidRPr="00683558">
        <w:rPr>
          <w:rStyle w:val="Emphasis"/>
        </w:rPr>
        <w:t>Taylor v Ruddock</w:t>
      </w:r>
      <w:r w:rsidRPr="00501B71">
        <w:rPr>
          <w:lang w:val="en-US" w:eastAsia="en-AU"/>
        </w:rPr>
        <w:t xml:space="preserve"> (Unreported, NSW District Court, Murrell DCJ, 18 December 2002).</w:t>
      </w:r>
    </w:p>
    <w:p w14:paraId="27E77380" w14:textId="77777777" w:rsidR="00501B71" w:rsidRPr="00501B71" w:rsidRDefault="00501B71" w:rsidP="0038475A">
      <w:pPr>
        <w:pStyle w:val="EndnoteText"/>
        <w:tabs>
          <w:tab w:val="clear" w:pos="567"/>
        </w:tabs>
        <w:ind w:left="357" w:hanging="357"/>
        <w:rPr>
          <w:lang w:val="en-US" w:eastAsia="en-AU"/>
        </w:rPr>
      </w:pPr>
      <w:r w:rsidRPr="00501B71">
        <w:rPr>
          <w:lang w:val="en-US" w:eastAsia="en-AU"/>
        </w:rPr>
        <w:t>16</w:t>
      </w:r>
      <w:r w:rsidRPr="00501B71">
        <w:rPr>
          <w:lang w:val="en-US" w:eastAsia="en-AU"/>
        </w:rPr>
        <w:tab/>
      </w:r>
      <w:r w:rsidRPr="00683558">
        <w:rPr>
          <w:rStyle w:val="Emphasis"/>
        </w:rPr>
        <w:t>Taylor v Ruddock</w:t>
      </w:r>
      <w:r w:rsidRPr="00501B71">
        <w:rPr>
          <w:lang w:val="en-US" w:eastAsia="en-AU"/>
        </w:rPr>
        <w:t xml:space="preserve"> (Unreported, NSW District Court, Murrell DCJ, 18 December 2002) [140].</w:t>
      </w:r>
    </w:p>
    <w:p w14:paraId="7546B077" w14:textId="77777777" w:rsidR="00501B71" w:rsidRPr="00501B71" w:rsidRDefault="00501B71" w:rsidP="0038475A">
      <w:pPr>
        <w:pStyle w:val="EndnoteText"/>
        <w:tabs>
          <w:tab w:val="clear" w:pos="567"/>
        </w:tabs>
        <w:ind w:left="357" w:hanging="357"/>
        <w:rPr>
          <w:lang w:val="en-US" w:eastAsia="en-AU"/>
        </w:rPr>
      </w:pPr>
      <w:r w:rsidRPr="00501B71">
        <w:rPr>
          <w:lang w:val="en-US" w:eastAsia="en-AU"/>
        </w:rPr>
        <w:t>17</w:t>
      </w:r>
      <w:r w:rsidRPr="00501B71">
        <w:rPr>
          <w:lang w:val="en-US" w:eastAsia="en-AU"/>
        </w:rPr>
        <w:tab/>
      </w:r>
      <w:r w:rsidRPr="00683558">
        <w:rPr>
          <w:rStyle w:val="Emphasis"/>
        </w:rPr>
        <w:t>Ruddock v Taylor</w:t>
      </w:r>
      <w:r w:rsidRPr="00501B71">
        <w:rPr>
          <w:lang w:val="en-US" w:eastAsia="en-AU"/>
        </w:rPr>
        <w:t xml:space="preserve"> (2003) 58 NSWLR 269, 279.</w:t>
      </w:r>
    </w:p>
    <w:p w14:paraId="33ECC390" w14:textId="77777777" w:rsidR="00501B71" w:rsidRPr="00501B71" w:rsidRDefault="00501B71" w:rsidP="0038475A">
      <w:pPr>
        <w:pStyle w:val="EndnoteText"/>
        <w:tabs>
          <w:tab w:val="clear" w:pos="567"/>
        </w:tabs>
        <w:ind w:left="357" w:hanging="357"/>
        <w:rPr>
          <w:lang w:val="en-US" w:eastAsia="en-AU"/>
        </w:rPr>
      </w:pPr>
      <w:r w:rsidRPr="00501B71">
        <w:rPr>
          <w:lang w:val="en-US" w:eastAsia="en-AU"/>
        </w:rPr>
        <w:t>18</w:t>
      </w:r>
      <w:r w:rsidRPr="00501B71">
        <w:rPr>
          <w:lang w:val="en-US" w:eastAsia="en-AU"/>
        </w:rPr>
        <w:tab/>
      </w:r>
      <w:r w:rsidRPr="00683558">
        <w:rPr>
          <w:rStyle w:val="Emphasis"/>
        </w:rPr>
        <w:t>Ruddock v Taylor</w:t>
      </w:r>
      <w:r w:rsidRPr="00501B71">
        <w:rPr>
          <w:lang w:val="en-US" w:eastAsia="en-AU"/>
        </w:rPr>
        <w:t xml:space="preserve"> (2003) 58 NSWLR 269, 279.</w:t>
      </w:r>
    </w:p>
    <w:p w14:paraId="1D172862" w14:textId="77777777" w:rsidR="00501B71" w:rsidRPr="00501B71" w:rsidRDefault="00501B71" w:rsidP="0038475A">
      <w:pPr>
        <w:pStyle w:val="EndnoteText"/>
        <w:tabs>
          <w:tab w:val="clear" w:pos="567"/>
        </w:tabs>
        <w:ind w:left="357" w:hanging="357"/>
        <w:rPr>
          <w:lang w:val="en-US" w:eastAsia="en-AU"/>
        </w:rPr>
      </w:pPr>
      <w:r w:rsidRPr="00501B71">
        <w:rPr>
          <w:lang w:val="en-US" w:eastAsia="en-AU"/>
        </w:rPr>
        <w:t>19</w:t>
      </w:r>
      <w:r w:rsidRPr="00501B71">
        <w:rPr>
          <w:lang w:val="en-US" w:eastAsia="en-AU"/>
        </w:rPr>
        <w:tab/>
        <w:t xml:space="preserve">The court awarded nominal damages of one dollar for the unlawful detention of Mr Fernando because as a non-citizen, once he committed a serious crime, he was always liable to have his visa cancelled: </w:t>
      </w:r>
      <w:r w:rsidRPr="00683558">
        <w:rPr>
          <w:rStyle w:val="Emphasis"/>
        </w:rPr>
        <w:t>Fernando v Commonwealth of Australia (No 5)</w:t>
      </w:r>
      <w:r w:rsidRPr="00501B71">
        <w:rPr>
          <w:lang w:val="en-US" w:eastAsia="en-AU"/>
        </w:rPr>
        <w:t xml:space="preserve"> [2013] FCA 901 [98]-[99].</w:t>
      </w:r>
    </w:p>
    <w:p w14:paraId="7406151D" w14:textId="1C74EC81" w:rsidR="00F87B03" w:rsidRPr="00E25CEE" w:rsidRDefault="00501B71" w:rsidP="0038475A">
      <w:pPr>
        <w:pStyle w:val="EndnoteText"/>
        <w:tabs>
          <w:tab w:val="clear" w:pos="567"/>
        </w:tabs>
        <w:ind w:left="357" w:hanging="357"/>
      </w:pPr>
      <w:r w:rsidRPr="00501B71">
        <w:rPr>
          <w:lang w:val="en-US" w:eastAsia="en-AU"/>
        </w:rPr>
        <w:t>20</w:t>
      </w:r>
      <w:r w:rsidRPr="00501B71">
        <w:rPr>
          <w:lang w:val="en-US" w:eastAsia="en-AU"/>
        </w:rPr>
        <w:tab/>
      </w:r>
      <w:r w:rsidRPr="00683558">
        <w:rPr>
          <w:rStyle w:val="Emphasis"/>
        </w:rPr>
        <w:t>Fernando v Commonwealth of Australia (No 5)</w:t>
      </w:r>
      <w:r w:rsidRPr="00501B71">
        <w:rPr>
          <w:lang w:val="en-US" w:eastAsia="en-AU"/>
        </w:rPr>
        <w:t xml:space="preserve"> [2013] FCA 901 [139].</w:t>
      </w:r>
    </w:p>
    <w:sectPr w:rsidR="00F87B03" w:rsidRPr="00E25CEE" w:rsidSect="00B05C51">
      <w:footerReference w:type="even" r:id="rId18"/>
      <w:footerReference w:type="default" r:id="rId19"/>
      <w:pgSz w:w="12240" w:h="15840"/>
      <w:pgMar w:top="1440" w:right="1800" w:bottom="1440" w:left="1800"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45C24" w14:textId="77777777" w:rsidR="0038475A" w:rsidRDefault="0038475A" w:rsidP="00B05C51">
      <w:pPr>
        <w:spacing w:after="0" w:line="240" w:lineRule="auto"/>
      </w:pPr>
      <w:r>
        <w:separator/>
      </w:r>
    </w:p>
  </w:endnote>
  <w:endnote w:type="continuationSeparator" w:id="0">
    <w:p w14:paraId="12EAB9DC" w14:textId="77777777" w:rsidR="0038475A" w:rsidRDefault="0038475A" w:rsidP="00B05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HelveticaCYPlain">
    <w:altName w:val="Helvetica CY"/>
    <w:panose1 w:val="00000000000000000000"/>
    <w:charset w:val="CC"/>
    <w:family w:val="auto"/>
    <w:notTrueType/>
    <w:pitch w:val="default"/>
    <w:sig w:usb0="00000201" w:usb1="00000000" w:usb2="00000000" w:usb3="00000000" w:csb0="00000004" w:csb1="00000000"/>
  </w:font>
  <w:font w:name="HelveticaNeue-Bold">
    <w:altName w:val="Helvetica Neue"/>
    <w:panose1 w:val="00000000000000000000"/>
    <w:charset w:val="00"/>
    <w:family w:val="swiss"/>
    <w:notTrueType/>
    <w:pitch w:val="default"/>
    <w:sig w:usb0="00000003" w:usb1="00000000" w:usb2="00000000" w:usb3="00000000" w:csb0="00000001" w:csb1="00000000"/>
  </w:font>
  <w:font w:name="HelveticaCYBold">
    <w:altName w:val="Helvetica CY"/>
    <w:panose1 w:val="00000000000000000000"/>
    <w:charset w:val="CC"/>
    <w:family w:val="auto"/>
    <w:notTrueType/>
    <w:pitch w:val="default"/>
    <w:sig w:usb0="00000201" w:usb1="00000000" w:usb2="00000000" w:usb3="00000000" w:csb0="00000004" w:csb1="00000000"/>
  </w:font>
  <w:font w:name="HelveticaNeue">
    <w:altName w:val="Helvetica Neue"/>
    <w:panose1 w:val="00000000000000000000"/>
    <w:charset w:val="00"/>
    <w:family w:val="swiss"/>
    <w:notTrueType/>
    <w:pitch w:val="default"/>
    <w:sig w:usb0="00000003" w:usb1="00000000" w:usb2="00000000" w:usb3="00000000" w:csb0="00000001" w:csb1="00000000"/>
  </w:font>
  <w:font w:name="Times-Roman">
    <w:altName w:val="Times"/>
    <w:panose1 w:val="00000000000000000000"/>
    <w:charset w:val="CC"/>
    <w:family w:val="auto"/>
    <w:notTrueType/>
    <w:pitch w:val="default"/>
    <w:sig w:usb0="00000203" w:usb1="00000000" w:usb2="00000000" w:usb3="00000000" w:csb0="00000005" w:csb1="00000000"/>
  </w:font>
  <w:font w:name="Lucida Grande">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4EC31" w14:textId="77777777" w:rsidR="0038475A" w:rsidRDefault="0038475A" w:rsidP="004C31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CB6EAB" w14:textId="77777777" w:rsidR="0038475A" w:rsidRDefault="0038475A" w:rsidP="00B05C5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6E939BC2" w14:textId="77777777" w:rsidR="0038475A" w:rsidRDefault="0038475A" w:rsidP="00B05C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45AFF" w14:textId="7BA2FF7B" w:rsidR="0038475A" w:rsidRPr="00B05C51" w:rsidRDefault="0038475A" w:rsidP="00415667">
    <w:pPr>
      <w:keepNext/>
      <w:widowControl w:val="0"/>
      <w:tabs>
        <w:tab w:val="left" w:pos="567"/>
      </w:tabs>
      <w:suppressAutoHyphens/>
      <w:autoSpaceDE w:val="0"/>
      <w:autoSpaceDN w:val="0"/>
      <w:adjustRightInd w:val="0"/>
      <w:spacing w:after="0" w:line="240" w:lineRule="auto"/>
      <w:ind w:right="360"/>
      <w:jc w:val="right"/>
      <w:textAlignment w:val="center"/>
      <w:rPr>
        <w:rFonts w:cs="Arial"/>
        <w:b/>
        <w:bCs/>
        <w:sz w:val="20"/>
        <w:szCs w:val="20"/>
        <w:lang w:val="en-AU" w:eastAsia="en-AU" w:bidi="ar-YE"/>
      </w:rPr>
    </w:pPr>
    <w:r>
      <w:rPr>
        <w:rFonts w:cs="Arial"/>
        <w:b/>
        <w:bCs/>
        <w:sz w:val="20"/>
        <w:szCs w:val="20"/>
        <w:lang w:val="en-AU" w:eastAsia="en-AU" w:bidi="ar-YE"/>
      </w:rPr>
      <w:t>Basikbasik v Commonwealth of Australia (DIBP)</w:t>
    </w:r>
    <w:r>
      <w:rPr>
        <w:rFonts w:cs="Arial"/>
        <w:sz w:val="20"/>
        <w:szCs w:val="20"/>
        <w:lang w:val="en-AU" w:eastAsia="en-AU"/>
      </w:rPr>
      <w:t xml:space="preserve"> • [2014] AusHRC 7</w:t>
    </w:r>
    <w:r w:rsidR="004F6CCB">
      <w:rPr>
        <w:rFonts w:cs="Arial"/>
        <w:sz w:val="20"/>
        <w:szCs w:val="20"/>
        <w:lang w:val="en-AU" w:eastAsia="en-AU"/>
      </w:rPr>
      <w:t>7</w:t>
    </w:r>
    <w:r w:rsidRPr="00415667">
      <w:rPr>
        <w:rFonts w:cs="Arial"/>
        <w:sz w:val="20"/>
        <w:szCs w:val="20"/>
        <w:lang w:val="en-AU" w:eastAsia="en-AU"/>
      </w:rPr>
      <w:t xml:space="preserve"> • </w:t>
    </w:r>
    <w:r w:rsidRPr="00232D6D">
      <w:rPr>
        <w:rStyle w:val="PageNumber"/>
        <w:b/>
      </w:rPr>
      <w:fldChar w:fldCharType="begin"/>
    </w:r>
    <w:r w:rsidRPr="00232D6D">
      <w:rPr>
        <w:rStyle w:val="PageNumber"/>
        <w:b/>
      </w:rPr>
      <w:instrText xml:space="preserve"> PAGE </w:instrText>
    </w:r>
    <w:r w:rsidRPr="00232D6D">
      <w:rPr>
        <w:rStyle w:val="PageNumber"/>
        <w:b/>
      </w:rPr>
      <w:fldChar w:fldCharType="separate"/>
    </w:r>
    <w:r w:rsidR="00C3104D">
      <w:rPr>
        <w:rStyle w:val="PageNumber"/>
        <w:b/>
        <w:noProof/>
      </w:rPr>
      <w:t>2</w:t>
    </w:r>
    <w:r w:rsidRPr="00232D6D">
      <w:rPr>
        <w:rStyle w:val="PageNumbe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D69B2" w14:textId="77777777" w:rsidR="0038475A" w:rsidRDefault="0038475A" w:rsidP="00B05C51">
      <w:pPr>
        <w:spacing w:after="0" w:line="240" w:lineRule="auto"/>
      </w:pPr>
      <w:r>
        <w:separator/>
      </w:r>
    </w:p>
  </w:footnote>
  <w:footnote w:type="continuationSeparator" w:id="0">
    <w:p w14:paraId="65E384CE" w14:textId="77777777" w:rsidR="0038475A" w:rsidRDefault="0038475A" w:rsidP="00B05C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1F87"/>
    <w:multiLevelType w:val="multilevel"/>
    <w:tmpl w:val="063A5FEE"/>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8926A67"/>
    <w:multiLevelType w:val="hybridMultilevel"/>
    <w:tmpl w:val="6900A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BB68AF"/>
    <w:multiLevelType w:val="hybridMultilevel"/>
    <w:tmpl w:val="AECC55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E72B5A"/>
    <w:multiLevelType w:val="hybridMultilevel"/>
    <w:tmpl w:val="9A48542E"/>
    <w:lvl w:ilvl="0" w:tplc="E2C688B2">
      <w:start w:val="1"/>
      <w:numFmt w:val="decimal"/>
      <w:lvlText w:val="%1."/>
      <w:lvlJc w:val="left"/>
      <w:pPr>
        <w:tabs>
          <w:tab w:val="num" w:pos="567"/>
        </w:tabs>
        <w:ind w:left="567" w:hanging="567"/>
      </w:pPr>
      <w:rPr>
        <w:rFonts w:ascii="Arial" w:hAnsi="Arial" w:hint="default"/>
        <w:b w:val="0"/>
        <w:bCs w:val="0"/>
        <w:i w:val="0"/>
        <w:iCs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F824A8"/>
    <w:multiLevelType w:val="hybridMultilevel"/>
    <w:tmpl w:val="841C94AC"/>
    <w:lvl w:ilvl="0" w:tplc="CA581E8A">
      <w:start w:val="1"/>
      <w:numFmt w:val="bullet"/>
      <w:lvlText w:val=""/>
      <w:lvlJc w:val="left"/>
      <w:pPr>
        <w:tabs>
          <w:tab w:val="num" w:pos="964"/>
        </w:tabs>
        <w:ind w:left="96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769EE"/>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6">
    <w:nsid w:val="17374DA9"/>
    <w:multiLevelType w:val="hybridMultilevel"/>
    <w:tmpl w:val="0C86E7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920254D"/>
    <w:multiLevelType w:val="multilevel"/>
    <w:tmpl w:val="063A5FEE"/>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C6C16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DF1697A"/>
    <w:multiLevelType w:val="hybridMultilevel"/>
    <w:tmpl w:val="91760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F66091"/>
    <w:multiLevelType w:val="hybridMultilevel"/>
    <w:tmpl w:val="EE6EACAE"/>
    <w:lvl w:ilvl="0" w:tplc="9EDABC2A">
      <w:start w:val="1"/>
      <w:numFmt w:val="bullet"/>
      <w:lvlText w:val=""/>
      <w:lvlJc w:val="left"/>
      <w:pPr>
        <w:tabs>
          <w:tab w:val="num" w:pos="1440"/>
        </w:tabs>
        <w:ind w:left="1440" w:hanging="10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6703E3"/>
    <w:multiLevelType w:val="hybridMultilevel"/>
    <w:tmpl w:val="7200FD56"/>
    <w:lvl w:ilvl="0" w:tplc="80825AD0">
      <w:start w:val="1"/>
      <w:numFmt w:val="bullet"/>
      <w:lvlText w:val=""/>
      <w:lvlJc w:val="left"/>
      <w:pPr>
        <w:tabs>
          <w:tab w:val="num" w:pos="1531"/>
        </w:tabs>
        <w:ind w:left="1531"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F0741F"/>
    <w:multiLevelType w:val="hybridMultilevel"/>
    <w:tmpl w:val="57027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C840728"/>
    <w:multiLevelType w:val="hybridMultilevel"/>
    <w:tmpl w:val="60646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EF246B3"/>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5">
    <w:nsid w:val="2F3A7FDF"/>
    <w:multiLevelType w:val="hybridMultilevel"/>
    <w:tmpl w:val="65A6EE46"/>
    <w:lvl w:ilvl="0" w:tplc="AE50B114">
      <w:start w:val="1"/>
      <w:numFmt w:val="bullet"/>
      <w:lvlText w:val="»"/>
      <w:lvlJc w:val="left"/>
      <w:pPr>
        <w:tabs>
          <w:tab w:val="num" w:pos="1247"/>
        </w:tabs>
        <w:ind w:left="1247" w:hanging="283"/>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3D6F50"/>
    <w:multiLevelType w:val="hybridMultilevel"/>
    <w:tmpl w:val="3962F7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74B72DC"/>
    <w:multiLevelType w:val="hybridMultilevel"/>
    <w:tmpl w:val="6A6C2D90"/>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8">
    <w:nsid w:val="408910F3"/>
    <w:multiLevelType w:val="multilevel"/>
    <w:tmpl w:val="A51A7CE4"/>
    <w:lvl w:ilvl="0">
      <w:start w:val="1"/>
      <w:numFmt w:val="decimal"/>
      <w:pStyle w:val="Heading1"/>
      <w:lvlText w:val="%1"/>
      <w:lvlJc w:val="left"/>
      <w:pPr>
        <w:tabs>
          <w:tab w:val="num" w:pos="720"/>
        </w:tabs>
        <w:ind w:left="0" w:firstLine="0"/>
      </w:pPr>
      <w:rPr>
        <w:rFonts w:ascii="Arial" w:hAnsi="Arial" w:hint="default"/>
        <w:b/>
        <w:bCs/>
        <w:i w:val="0"/>
        <w:iCs w:val="0"/>
        <w:sz w:val="36"/>
        <w:szCs w:val="36"/>
      </w:rPr>
    </w:lvl>
    <w:lvl w:ilvl="1">
      <w:start w:val="1"/>
      <w:numFmt w:val="decimal"/>
      <w:pStyle w:val="Heading2"/>
      <w:lvlText w:val="%1.%2"/>
      <w:lvlJc w:val="left"/>
      <w:pPr>
        <w:tabs>
          <w:tab w:val="num" w:pos="720"/>
        </w:tabs>
        <w:ind w:left="0" w:firstLine="0"/>
      </w:pPr>
      <w:rPr>
        <w:rFonts w:ascii="Arial Bold" w:hAnsi="Arial Bold" w:hint="default"/>
        <w:b/>
        <w:bCs/>
        <w:i w:val="0"/>
        <w:iCs w:val="0"/>
        <w:sz w:val="28"/>
        <w:szCs w:val="28"/>
      </w:rPr>
    </w:lvl>
    <w:lvl w:ilvl="2">
      <w:start w:val="1"/>
      <w:numFmt w:val="lowerLetter"/>
      <w:pStyle w:val="Heading3"/>
      <w:lvlText w:val="(%3)"/>
      <w:lvlJc w:val="left"/>
      <w:pPr>
        <w:tabs>
          <w:tab w:val="num" w:pos="567"/>
        </w:tabs>
        <w:ind w:left="0" w:firstLine="0"/>
      </w:pPr>
      <w:rPr>
        <w:rFonts w:ascii="Arial" w:hAnsi="Arial" w:hint="default"/>
        <w:b/>
        <w:bCs/>
        <w:i w:val="0"/>
        <w:iCs w:val="0"/>
        <w:sz w:val="24"/>
        <w:szCs w:val="24"/>
      </w:rPr>
    </w:lvl>
    <w:lvl w:ilvl="3">
      <w:start w:val="1"/>
      <w:numFmt w:val="lowerRoman"/>
      <w:pStyle w:val="Heading4"/>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43FA0F12"/>
    <w:multiLevelType w:val="multilevel"/>
    <w:tmpl w:val="AECC55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47CD52FB"/>
    <w:multiLevelType w:val="hybridMultilevel"/>
    <w:tmpl w:val="6A968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7F2458A"/>
    <w:multiLevelType w:val="hybridMultilevel"/>
    <w:tmpl w:val="F1027EE4"/>
    <w:lvl w:ilvl="0" w:tplc="896EDB74">
      <w:start w:val="1"/>
      <w:numFmt w:val="bullet"/>
      <w:lvlText w:val=""/>
      <w:lvlJc w:val="left"/>
      <w:pPr>
        <w:tabs>
          <w:tab w:val="num" w:pos="680"/>
        </w:tabs>
        <w:ind w:left="680" w:hanging="39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EA05C7"/>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3">
    <w:nsid w:val="50E17F0C"/>
    <w:multiLevelType w:val="multilevel"/>
    <w:tmpl w:val="063A5FEE"/>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51CA7B91"/>
    <w:multiLevelType w:val="multilevel"/>
    <w:tmpl w:val="35A2172A"/>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59A72962"/>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6">
    <w:nsid w:val="5B8A1362"/>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7">
    <w:nsid w:val="5D2A59C2"/>
    <w:multiLevelType w:val="hybridMultilevel"/>
    <w:tmpl w:val="7C22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8D09C2"/>
    <w:multiLevelType w:val="hybridMultilevel"/>
    <w:tmpl w:val="E7065AA4"/>
    <w:lvl w:ilvl="0" w:tplc="A080D46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608B6F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97F0C98"/>
    <w:multiLevelType w:val="hybridMultilevel"/>
    <w:tmpl w:val="BE123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1E771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3AC6708"/>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3">
    <w:nsid w:val="7B1B1D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F181B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F89071B"/>
    <w:multiLevelType w:val="hybridMultilevel"/>
    <w:tmpl w:val="AFE21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2"/>
  </w:num>
  <w:num w:numId="2">
    <w:abstractNumId w:val="21"/>
  </w:num>
  <w:num w:numId="3">
    <w:abstractNumId w:val="4"/>
  </w:num>
  <w:num w:numId="4">
    <w:abstractNumId w:val="15"/>
  </w:num>
  <w:num w:numId="5">
    <w:abstractNumId w:val="11"/>
  </w:num>
  <w:num w:numId="6">
    <w:abstractNumId w:val="24"/>
  </w:num>
  <w:num w:numId="7">
    <w:abstractNumId w:val="3"/>
  </w:num>
  <w:num w:numId="8">
    <w:abstractNumId w:val="7"/>
  </w:num>
  <w:num w:numId="9">
    <w:abstractNumId w:val="0"/>
  </w:num>
  <w:num w:numId="10">
    <w:abstractNumId w:val="29"/>
  </w:num>
  <w:num w:numId="11">
    <w:abstractNumId w:val="20"/>
  </w:num>
  <w:num w:numId="12">
    <w:abstractNumId w:val="13"/>
  </w:num>
  <w:num w:numId="13">
    <w:abstractNumId w:val="6"/>
  </w:num>
  <w:num w:numId="14">
    <w:abstractNumId w:val="16"/>
  </w:num>
  <w:num w:numId="15">
    <w:abstractNumId w:val="35"/>
  </w:num>
  <w:num w:numId="16">
    <w:abstractNumId w:val="1"/>
  </w:num>
  <w:num w:numId="17">
    <w:abstractNumId w:val="30"/>
  </w:num>
  <w:num w:numId="18">
    <w:abstractNumId w:val="12"/>
  </w:num>
  <w:num w:numId="19">
    <w:abstractNumId w:val="5"/>
  </w:num>
  <w:num w:numId="20">
    <w:abstractNumId w:val="2"/>
  </w:num>
  <w:num w:numId="21">
    <w:abstractNumId w:val="19"/>
  </w:num>
  <w:num w:numId="22">
    <w:abstractNumId w:val="17"/>
  </w:num>
  <w:num w:numId="23">
    <w:abstractNumId w:val="27"/>
  </w:num>
  <w:num w:numId="24">
    <w:abstractNumId w:val="9"/>
  </w:num>
  <w:num w:numId="25">
    <w:abstractNumId w:val="28"/>
  </w:num>
  <w:num w:numId="26">
    <w:abstractNumId w:val="10"/>
  </w:num>
  <w:num w:numId="27">
    <w:abstractNumId w:val="14"/>
  </w:num>
  <w:num w:numId="28">
    <w:abstractNumId w:val="34"/>
  </w:num>
  <w:num w:numId="29">
    <w:abstractNumId w:val="23"/>
  </w:num>
  <w:num w:numId="30">
    <w:abstractNumId w:val="18"/>
  </w:num>
  <w:num w:numId="31">
    <w:abstractNumId w:val="22"/>
  </w:num>
  <w:num w:numId="32">
    <w:abstractNumId w:val="8"/>
  </w:num>
  <w:num w:numId="33">
    <w:abstractNumId w:val="31"/>
  </w:num>
  <w:num w:numId="34">
    <w:abstractNumId w:val="33"/>
  </w:num>
  <w:num w:numId="35">
    <w:abstractNumId w:val="26"/>
  </w:num>
  <w:num w:numId="36">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hideSpelling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DC1"/>
    <w:rsid w:val="00014710"/>
    <w:rsid w:val="0003227F"/>
    <w:rsid w:val="00034C5E"/>
    <w:rsid w:val="000433C2"/>
    <w:rsid w:val="00084C18"/>
    <w:rsid w:val="00095F05"/>
    <w:rsid w:val="000E3DC1"/>
    <w:rsid w:val="000E7A39"/>
    <w:rsid w:val="00146770"/>
    <w:rsid w:val="00153AB4"/>
    <w:rsid w:val="00155A60"/>
    <w:rsid w:val="00165BD0"/>
    <w:rsid w:val="001F3461"/>
    <w:rsid w:val="00232D6D"/>
    <w:rsid w:val="00243ED7"/>
    <w:rsid w:val="002449E2"/>
    <w:rsid w:val="00275140"/>
    <w:rsid w:val="002C6E0D"/>
    <w:rsid w:val="003418E5"/>
    <w:rsid w:val="00350BA1"/>
    <w:rsid w:val="003705D1"/>
    <w:rsid w:val="0037390D"/>
    <w:rsid w:val="0038475A"/>
    <w:rsid w:val="0039341C"/>
    <w:rsid w:val="003D5035"/>
    <w:rsid w:val="003E0558"/>
    <w:rsid w:val="00402009"/>
    <w:rsid w:val="00415667"/>
    <w:rsid w:val="00434834"/>
    <w:rsid w:val="00440B66"/>
    <w:rsid w:val="00442615"/>
    <w:rsid w:val="00457DBF"/>
    <w:rsid w:val="00497316"/>
    <w:rsid w:val="004A6EC1"/>
    <w:rsid w:val="004B3F35"/>
    <w:rsid w:val="004C31E4"/>
    <w:rsid w:val="004D06B7"/>
    <w:rsid w:val="004F6CCB"/>
    <w:rsid w:val="00501B71"/>
    <w:rsid w:val="005103C4"/>
    <w:rsid w:val="00513ECA"/>
    <w:rsid w:val="00565EF2"/>
    <w:rsid w:val="005943F8"/>
    <w:rsid w:val="005B2430"/>
    <w:rsid w:val="00640F27"/>
    <w:rsid w:val="00651527"/>
    <w:rsid w:val="00675561"/>
    <w:rsid w:val="00676AF8"/>
    <w:rsid w:val="00683558"/>
    <w:rsid w:val="00692111"/>
    <w:rsid w:val="006D72DA"/>
    <w:rsid w:val="006E443A"/>
    <w:rsid w:val="0071026C"/>
    <w:rsid w:val="00724BF0"/>
    <w:rsid w:val="007660C8"/>
    <w:rsid w:val="007A0E3A"/>
    <w:rsid w:val="007B4954"/>
    <w:rsid w:val="007E1FD7"/>
    <w:rsid w:val="007E205C"/>
    <w:rsid w:val="007E5031"/>
    <w:rsid w:val="00800732"/>
    <w:rsid w:val="00816522"/>
    <w:rsid w:val="00833542"/>
    <w:rsid w:val="0088757B"/>
    <w:rsid w:val="00891E89"/>
    <w:rsid w:val="008B4D28"/>
    <w:rsid w:val="008D2E0B"/>
    <w:rsid w:val="008D79D6"/>
    <w:rsid w:val="008E3985"/>
    <w:rsid w:val="00900EC9"/>
    <w:rsid w:val="00912998"/>
    <w:rsid w:val="00970456"/>
    <w:rsid w:val="0097780D"/>
    <w:rsid w:val="009B49AF"/>
    <w:rsid w:val="009F3D05"/>
    <w:rsid w:val="00A17653"/>
    <w:rsid w:val="00A232E4"/>
    <w:rsid w:val="00A43AB6"/>
    <w:rsid w:val="00A43AE1"/>
    <w:rsid w:val="00A77E7B"/>
    <w:rsid w:val="00A93A26"/>
    <w:rsid w:val="00AA498B"/>
    <w:rsid w:val="00AD328B"/>
    <w:rsid w:val="00AE3321"/>
    <w:rsid w:val="00B03154"/>
    <w:rsid w:val="00B05C51"/>
    <w:rsid w:val="00B7591A"/>
    <w:rsid w:val="00B9369D"/>
    <w:rsid w:val="00B971F2"/>
    <w:rsid w:val="00BB0E8F"/>
    <w:rsid w:val="00BC569C"/>
    <w:rsid w:val="00C157A7"/>
    <w:rsid w:val="00C3104D"/>
    <w:rsid w:val="00C53A1D"/>
    <w:rsid w:val="00C650C0"/>
    <w:rsid w:val="00C9166F"/>
    <w:rsid w:val="00C95492"/>
    <w:rsid w:val="00CD79B0"/>
    <w:rsid w:val="00D13A67"/>
    <w:rsid w:val="00D44C18"/>
    <w:rsid w:val="00D61731"/>
    <w:rsid w:val="00D6621A"/>
    <w:rsid w:val="00D82B60"/>
    <w:rsid w:val="00DA0288"/>
    <w:rsid w:val="00DC3F2B"/>
    <w:rsid w:val="00DD1149"/>
    <w:rsid w:val="00E25CEE"/>
    <w:rsid w:val="00E45C1D"/>
    <w:rsid w:val="00E46837"/>
    <w:rsid w:val="00E521A5"/>
    <w:rsid w:val="00E628AD"/>
    <w:rsid w:val="00EA41DB"/>
    <w:rsid w:val="00EC3802"/>
    <w:rsid w:val="00EC4340"/>
    <w:rsid w:val="00F107F0"/>
    <w:rsid w:val="00F4293A"/>
    <w:rsid w:val="00F4339F"/>
    <w:rsid w:val="00F801A4"/>
    <w:rsid w:val="00F87B03"/>
    <w:rsid w:val="00FC67C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D553B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667"/>
    <w:pPr>
      <w:spacing w:after="200" w:line="288" w:lineRule="auto"/>
    </w:pPr>
    <w:rPr>
      <w:rFonts w:ascii="Arial" w:hAnsi="Arial"/>
      <w:sz w:val="24"/>
      <w:szCs w:val="24"/>
      <w:lang w:val="it-IT" w:eastAsia="en-US"/>
    </w:rPr>
  </w:style>
  <w:style w:type="paragraph" w:styleId="Heading1">
    <w:name w:val="heading 1"/>
    <w:basedOn w:val="Normal"/>
    <w:next w:val="Normal"/>
    <w:link w:val="Heading1Char"/>
    <w:autoRedefine/>
    <w:uiPriority w:val="9"/>
    <w:qFormat/>
    <w:rsid w:val="004B3F35"/>
    <w:pPr>
      <w:keepNext/>
      <w:keepLines/>
      <w:numPr>
        <w:numId w:val="30"/>
      </w:numPr>
      <w:spacing w:before="400" w:line="240" w:lineRule="auto"/>
      <w:ind w:left="720" w:hanging="720"/>
      <w:outlineLvl w:val="0"/>
    </w:pPr>
    <w:rPr>
      <w:rFonts w:eastAsiaTheme="majorEastAsia" w:cstheme="majorBidi"/>
      <w:b/>
      <w:bCs/>
      <w:sz w:val="36"/>
      <w:szCs w:val="32"/>
    </w:rPr>
  </w:style>
  <w:style w:type="paragraph" w:styleId="Heading2">
    <w:name w:val="heading 2"/>
    <w:next w:val="Normal"/>
    <w:link w:val="Heading2Char"/>
    <w:uiPriority w:val="9"/>
    <w:unhideWhenUsed/>
    <w:qFormat/>
    <w:rsid w:val="006D72DA"/>
    <w:pPr>
      <w:keepNext/>
      <w:keepLines/>
      <w:numPr>
        <w:ilvl w:val="1"/>
        <w:numId w:val="30"/>
      </w:numPr>
      <w:spacing w:before="400" w:after="200"/>
      <w:outlineLvl w:val="1"/>
    </w:pPr>
    <w:rPr>
      <w:rFonts w:ascii="Arial" w:eastAsiaTheme="majorEastAsia" w:hAnsi="Arial" w:cstheme="majorBidi"/>
      <w:b/>
      <w:bCs/>
      <w:sz w:val="28"/>
      <w:szCs w:val="26"/>
      <w:lang w:eastAsia="en-US"/>
    </w:rPr>
  </w:style>
  <w:style w:type="paragraph" w:styleId="Heading3">
    <w:name w:val="heading 3"/>
    <w:basedOn w:val="Normal"/>
    <w:next w:val="Normal"/>
    <w:link w:val="Heading3Char"/>
    <w:uiPriority w:val="9"/>
    <w:unhideWhenUsed/>
    <w:qFormat/>
    <w:rsid w:val="006D72DA"/>
    <w:pPr>
      <w:keepNext/>
      <w:keepLines/>
      <w:numPr>
        <w:ilvl w:val="2"/>
        <w:numId w:val="30"/>
      </w:numPr>
      <w:spacing w:before="400"/>
      <w:outlineLvl w:val="2"/>
    </w:pPr>
    <w:rPr>
      <w:rFonts w:eastAsiaTheme="majorEastAsia" w:cstheme="majorBidi"/>
      <w:b/>
      <w:bCs/>
    </w:rPr>
  </w:style>
  <w:style w:type="paragraph" w:styleId="Heading4">
    <w:name w:val="heading 4"/>
    <w:next w:val="Normal"/>
    <w:link w:val="Heading4Char"/>
    <w:uiPriority w:val="9"/>
    <w:unhideWhenUsed/>
    <w:qFormat/>
    <w:rsid w:val="006D72DA"/>
    <w:pPr>
      <w:keepNext/>
      <w:numPr>
        <w:ilvl w:val="3"/>
        <w:numId w:val="30"/>
      </w:numPr>
      <w:spacing w:before="300" w:after="200"/>
      <w:outlineLvl w:val="3"/>
    </w:pPr>
    <w:rPr>
      <w:rFonts w:ascii="Arial" w:eastAsiaTheme="majorEastAsia" w:hAnsi="Arial" w:cstheme="majorBidi"/>
      <w:bCs/>
      <w:i/>
      <w:iCs/>
      <w:sz w:val="24"/>
      <w:lang w:eastAsia="en-US"/>
    </w:rPr>
  </w:style>
  <w:style w:type="paragraph" w:styleId="Heading5">
    <w:name w:val="heading 5"/>
    <w:basedOn w:val="Normal"/>
    <w:next w:val="Normal"/>
    <w:link w:val="Heading5Char"/>
    <w:uiPriority w:val="9"/>
    <w:unhideWhenUsed/>
    <w:qFormat/>
    <w:rsid w:val="006D72DA"/>
    <w:pPr>
      <w:keepNext/>
      <w:keepLines/>
      <w:spacing w:before="300" w:line="240" w:lineRule="auto"/>
      <w:outlineLvl w:val="4"/>
    </w:pPr>
    <w:rPr>
      <w:rFonts w:eastAsiaTheme="majorEastAsia" w:cstheme="majorBidi"/>
      <w:b/>
    </w:rPr>
  </w:style>
  <w:style w:type="paragraph" w:styleId="Heading6">
    <w:name w:val="heading 6"/>
    <w:basedOn w:val="Normal"/>
    <w:next w:val="Normal"/>
    <w:link w:val="Heading6Char"/>
    <w:uiPriority w:val="9"/>
    <w:unhideWhenUsed/>
    <w:rsid w:val="006D72DA"/>
    <w:pPr>
      <w:keepNext/>
      <w:keepLines/>
      <w:spacing w:before="400"/>
      <w:outlineLvl w:val="5"/>
    </w:pPr>
    <w:rPr>
      <w:rFonts w:eastAsiaTheme="majorEastAsia" w:cstheme="majorBidi"/>
      <w:i/>
      <w:iCs/>
    </w:rPr>
  </w:style>
  <w:style w:type="paragraph" w:styleId="Heading7">
    <w:name w:val="heading 7"/>
    <w:basedOn w:val="Normal"/>
    <w:next w:val="Normal"/>
    <w:link w:val="Heading7Char"/>
    <w:uiPriority w:val="9"/>
    <w:semiHidden/>
    <w:unhideWhenUsed/>
    <w:rsid w:val="006D72DA"/>
    <w:pPr>
      <w:keepNext/>
      <w:keepLines/>
      <w:spacing w:before="300" w:line="240" w:lineRule="auto"/>
      <w:outlineLvl w:val="6"/>
    </w:pPr>
    <w:rPr>
      <w:rFonts w:eastAsiaTheme="majorEastAsia" w:cstheme="majorBidi"/>
      <w:b/>
      <w:i/>
      <w:iCs/>
      <w:color w:val="404040" w:themeColor="text1" w:themeTint="BF"/>
    </w:rPr>
  </w:style>
  <w:style w:type="paragraph" w:styleId="Heading8">
    <w:name w:val="heading 8"/>
    <w:basedOn w:val="Normal"/>
    <w:next w:val="Normal"/>
    <w:link w:val="Heading8Char"/>
    <w:uiPriority w:val="9"/>
    <w:unhideWhenUsed/>
    <w:rsid w:val="006D72DA"/>
    <w:pPr>
      <w:keepNext/>
      <w:keepLines/>
      <w:spacing w:before="400" w:line="240" w:lineRule="auto"/>
      <w:outlineLvl w:val="7"/>
    </w:pPr>
    <w:rPr>
      <w:rFonts w:eastAsiaTheme="majorEastAsia" w:cstheme="majorBidi"/>
      <w:b/>
      <w:sz w:val="36"/>
      <w:szCs w:val="20"/>
    </w:rPr>
  </w:style>
  <w:style w:type="paragraph" w:styleId="Heading9">
    <w:name w:val="heading 9"/>
    <w:basedOn w:val="Normal"/>
    <w:next w:val="Normal"/>
    <w:link w:val="Heading9Char"/>
    <w:uiPriority w:val="9"/>
    <w:unhideWhenUsed/>
    <w:rsid w:val="006D72DA"/>
    <w:pPr>
      <w:keepNext/>
      <w:keepLines/>
      <w:spacing w:before="400" w:line="240" w:lineRule="auto"/>
      <w:outlineLvl w:val="8"/>
    </w:pPr>
    <w:rPr>
      <w:rFonts w:eastAsiaTheme="majorEastAsia" w:cstheme="majorBidi"/>
      <w:b/>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F35"/>
    <w:rPr>
      <w:rFonts w:ascii="Arial" w:eastAsiaTheme="majorEastAsia" w:hAnsi="Arial" w:cstheme="majorBidi"/>
      <w:b/>
      <w:bCs/>
      <w:sz w:val="36"/>
      <w:szCs w:val="32"/>
      <w:lang w:val="it-IT" w:eastAsia="en-US"/>
    </w:rPr>
  </w:style>
  <w:style w:type="character" w:customStyle="1" w:styleId="Heading2Char">
    <w:name w:val="Heading 2 Char"/>
    <w:basedOn w:val="DefaultParagraphFont"/>
    <w:link w:val="Heading2"/>
    <w:uiPriority w:val="9"/>
    <w:rsid w:val="006D72DA"/>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6D72DA"/>
    <w:rPr>
      <w:rFonts w:ascii="Arial" w:eastAsiaTheme="majorEastAsia" w:hAnsi="Arial" w:cstheme="majorBidi"/>
      <w:b/>
      <w:bCs/>
      <w:sz w:val="24"/>
      <w:szCs w:val="24"/>
      <w:lang w:val="it-IT" w:eastAsia="en-US"/>
    </w:rPr>
  </w:style>
  <w:style w:type="character" w:customStyle="1" w:styleId="Heading4Char">
    <w:name w:val="Heading 4 Char"/>
    <w:basedOn w:val="DefaultParagraphFont"/>
    <w:link w:val="Heading4"/>
    <w:uiPriority w:val="9"/>
    <w:rsid w:val="006D72DA"/>
    <w:rPr>
      <w:rFonts w:ascii="Arial" w:eastAsiaTheme="majorEastAsia" w:hAnsi="Arial" w:cstheme="majorBidi"/>
      <w:bCs/>
      <w:i/>
      <w:iCs/>
      <w:sz w:val="24"/>
      <w:lang w:eastAsia="en-US"/>
    </w:rPr>
  </w:style>
  <w:style w:type="character" w:customStyle="1" w:styleId="Heading5Char">
    <w:name w:val="Heading 5 Char"/>
    <w:basedOn w:val="DefaultParagraphFont"/>
    <w:link w:val="Heading5"/>
    <w:uiPriority w:val="9"/>
    <w:rsid w:val="000E7A39"/>
    <w:rPr>
      <w:rFonts w:ascii="Arial" w:eastAsiaTheme="majorEastAsia" w:hAnsi="Arial" w:cstheme="majorBidi"/>
      <w:b/>
      <w:sz w:val="24"/>
      <w:szCs w:val="24"/>
      <w:lang w:val="it-IT" w:eastAsia="en-US"/>
    </w:rPr>
  </w:style>
  <w:style w:type="character" w:customStyle="1" w:styleId="Heading6Char">
    <w:name w:val="Heading 6 Char"/>
    <w:basedOn w:val="DefaultParagraphFont"/>
    <w:link w:val="Heading6"/>
    <w:uiPriority w:val="9"/>
    <w:rsid w:val="000E7A39"/>
    <w:rPr>
      <w:rFonts w:ascii="Arial" w:eastAsiaTheme="majorEastAsia" w:hAnsi="Arial" w:cstheme="majorBidi"/>
      <w:i/>
      <w:iCs/>
      <w:sz w:val="24"/>
      <w:szCs w:val="24"/>
      <w:lang w:val="it-IT" w:eastAsia="en-US"/>
    </w:rPr>
  </w:style>
  <w:style w:type="character" w:customStyle="1" w:styleId="Heading7Char">
    <w:name w:val="Heading 7 Char"/>
    <w:basedOn w:val="DefaultParagraphFont"/>
    <w:link w:val="Heading7"/>
    <w:uiPriority w:val="9"/>
    <w:semiHidden/>
    <w:rsid w:val="006D72DA"/>
    <w:rPr>
      <w:rFonts w:ascii="Arial" w:eastAsiaTheme="majorEastAsia" w:hAnsi="Arial" w:cstheme="majorBidi"/>
      <w:b/>
      <w:i/>
      <w:iCs/>
      <w:color w:val="404040" w:themeColor="text1" w:themeTint="BF"/>
      <w:sz w:val="24"/>
      <w:szCs w:val="24"/>
      <w:lang w:val="it-IT" w:eastAsia="en-US"/>
    </w:rPr>
  </w:style>
  <w:style w:type="character" w:customStyle="1" w:styleId="Heading8Char">
    <w:name w:val="Heading 8 Char"/>
    <w:basedOn w:val="DefaultParagraphFont"/>
    <w:link w:val="Heading8"/>
    <w:uiPriority w:val="9"/>
    <w:rsid w:val="006D72DA"/>
    <w:rPr>
      <w:rFonts w:ascii="Arial" w:eastAsiaTheme="majorEastAsia" w:hAnsi="Arial" w:cstheme="majorBidi"/>
      <w:b/>
      <w:sz w:val="36"/>
      <w:lang w:val="it-IT" w:eastAsia="en-US"/>
    </w:rPr>
  </w:style>
  <w:style w:type="character" w:customStyle="1" w:styleId="Heading9Char">
    <w:name w:val="Heading 9 Char"/>
    <w:basedOn w:val="DefaultParagraphFont"/>
    <w:link w:val="Heading9"/>
    <w:uiPriority w:val="9"/>
    <w:rsid w:val="006D72DA"/>
    <w:rPr>
      <w:rFonts w:ascii="Arial" w:eastAsiaTheme="majorEastAsia" w:hAnsi="Arial" w:cstheme="majorBidi"/>
      <w:b/>
      <w:iCs/>
      <w:sz w:val="28"/>
      <w:lang w:val="it-IT" w:eastAsia="en-US"/>
    </w:rPr>
  </w:style>
  <w:style w:type="character" w:styleId="FootnoteReference">
    <w:name w:val="footnote reference"/>
    <w:semiHidden/>
    <w:qFormat/>
    <w:rsid w:val="00B7591A"/>
    <w:rPr>
      <w:rFonts w:ascii="Arial" w:hAnsi="Arial"/>
      <w:sz w:val="20"/>
      <w:vertAlign w:val="superscript"/>
    </w:rPr>
  </w:style>
  <w:style w:type="character" w:styleId="Emphasis">
    <w:name w:val="Emphasis"/>
    <w:basedOn w:val="DefaultParagraphFont"/>
    <w:uiPriority w:val="99"/>
    <w:qFormat/>
    <w:rsid w:val="00900EC9"/>
    <w:rPr>
      <w:rFonts w:ascii="Arial" w:hAnsi="Arial"/>
      <w:i/>
      <w:iCs/>
    </w:rPr>
  </w:style>
  <w:style w:type="character" w:styleId="EndnoteReference">
    <w:name w:val="endnote reference"/>
    <w:basedOn w:val="DefaultParagraphFont"/>
    <w:uiPriority w:val="99"/>
    <w:unhideWhenUsed/>
    <w:rsid w:val="00900EC9"/>
    <w:rPr>
      <w:rFonts w:ascii="Arial" w:hAnsi="Arial"/>
      <w:vertAlign w:val="superscript"/>
    </w:rPr>
  </w:style>
  <w:style w:type="paragraph" w:styleId="EndnoteText">
    <w:name w:val="endnote text"/>
    <w:basedOn w:val="Normal"/>
    <w:link w:val="EndnoteTextChar"/>
    <w:uiPriority w:val="99"/>
    <w:unhideWhenUsed/>
    <w:rsid w:val="00833542"/>
    <w:pPr>
      <w:keepLines/>
      <w:tabs>
        <w:tab w:val="num" w:pos="567"/>
      </w:tabs>
      <w:spacing w:after="0" w:line="240" w:lineRule="auto"/>
      <w:ind w:left="720" w:hanging="720"/>
    </w:pPr>
    <w:rPr>
      <w:sz w:val="20"/>
    </w:rPr>
  </w:style>
  <w:style w:type="character" w:customStyle="1" w:styleId="EndnoteTextChar">
    <w:name w:val="Endnote Text Char"/>
    <w:basedOn w:val="DefaultParagraphFont"/>
    <w:link w:val="EndnoteText"/>
    <w:uiPriority w:val="99"/>
    <w:rsid w:val="00833542"/>
    <w:rPr>
      <w:rFonts w:ascii="Arial" w:hAnsi="Arial"/>
      <w:szCs w:val="24"/>
      <w:lang w:val="it-IT" w:eastAsia="en-US"/>
    </w:rPr>
  </w:style>
  <w:style w:type="character" w:styleId="FollowedHyperlink">
    <w:name w:val="FollowedHyperlink"/>
    <w:basedOn w:val="DefaultParagraphFont"/>
    <w:uiPriority w:val="99"/>
    <w:unhideWhenUsed/>
    <w:rsid w:val="00900EC9"/>
    <w:rPr>
      <w:rFonts w:ascii="Arial" w:hAnsi="Arial"/>
      <w:color w:val="800080" w:themeColor="followedHyperlink"/>
      <w:u w:val="single"/>
    </w:rPr>
  </w:style>
  <w:style w:type="paragraph" w:styleId="Footer">
    <w:name w:val="footer"/>
    <w:basedOn w:val="Normal"/>
    <w:next w:val="Normal"/>
    <w:link w:val="FooterChar"/>
    <w:uiPriority w:val="99"/>
    <w:unhideWhenUsed/>
    <w:rsid w:val="00900EC9"/>
    <w:pPr>
      <w:keepLines/>
      <w:tabs>
        <w:tab w:val="center" w:pos="4320"/>
        <w:tab w:val="right" w:pos="8640"/>
      </w:tabs>
      <w:spacing w:after="0" w:line="240" w:lineRule="auto"/>
    </w:pPr>
    <w:rPr>
      <w:b/>
      <w:sz w:val="18"/>
    </w:rPr>
  </w:style>
  <w:style w:type="character" w:customStyle="1" w:styleId="FooterChar">
    <w:name w:val="Footer Char"/>
    <w:basedOn w:val="DefaultParagraphFont"/>
    <w:link w:val="Footer"/>
    <w:uiPriority w:val="99"/>
    <w:rsid w:val="00900EC9"/>
    <w:rPr>
      <w:rFonts w:ascii="Arial" w:hAnsi="Arial"/>
      <w:b/>
      <w:sz w:val="18"/>
      <w:szCs w:val="24"/>
      <w:lang w:eastAsia="en-US"/>
    </w:rPr>
  </w:style>
  <w:style w:type="paragraph" w:styleId="FootnoteText">
    <w:name w:val="footnote text"/>
    <w:link w:val="FootnoteTextChar"/>
    <w:autoRedefine/>
    <w:uiPriority w:val="99"/>
    <w:qFormat/>
    <w:rsid w:val="00B7591A"/>
    <w:pPr>
      <w:ind w:left="397" w:hanging="397"/>
    </w:pPr>
    <w:rPr>
      <w:rFonts w:ascii="Arial" w:eastAsia="MS Mincho" w:hAnsi="Arial"/>
    </w:rPr>
  </w:style>
  <w:style w:type="character" w:customStyle="1" w:styleId="FootnoteTextChar">
    <w:name w:val="Footnote Text Char"/>
    <w:link w:val="FootnoteText"/>
    <w:uiPriority w:val="99"/>
    <w:rsid w:val="00B7591A"/>
    <w:rPr>
      <w:rFonts w:ascii="Arial" w:eastAsia="MS Mincho" w:hAnsi="Arial"/>
    </w:rPr>
  </w:style>
  <w:style w:type="paragraph" w:styleId="ListParagraph">
    <w:name w:val="List Paragraph"/>
    <w:basedOn w:val="Normal"/>
    <w:uiPriority w:val="34"/>
    <w:qFormat/>
    <w:rsid w:val="006D72DA"/>
    <w:pPr>
      <w:keepLines/>
      <w:ind w:left="720" w:hanging="720"/>
    </w:pPr>
  </w:style>
  <w:style w:type="paragraph" w:styleId="NormalIndent">
    <w:name w:val="Normal Indent"/>
    <w:basedOn w:val="Normal"/>
    <w:uiPriority w:val="99"/>
    <w:semiHidden/>
    <w:unhideWhenUsed/>
    <w:rsid w:val="00B7591A"/>
    <w:pPr>
      <w:ind w:left="680"/>
    </w:pPr>
  </w:style>
  <w:style w:type="character" w:styleId="PageNumber">
    <w:name w:val="page number"/>
    <w:basedOn w:val="DefaultParagraphFont"/>
    <w:semiHidden/>
    <w:rsid w:val="00B7591A"/>
    <w:rPr>
      <w:rFonts w:ascii="Arial" w:hAnsi="Arial"/>
      <w:sz w:val="20"/>
    </w:rPr>
  </w:style>
  <w:style w:type="paragraph" w:styleId="Quote">
    <w:name w:val="Quote"/>
    <w:basedOn w:val="Normal"/>
    <w:next w:val="Normal"/>
    <w:link w:val="QuoteChar"/>
    <w:uiPriority w:val="99"/>
    <w:rsid w:val="0039341C"/>
    <w:pPr>
      <w:keepLines/>
      <w:ind w:left="1440"/>
    </w:pPr>
    <w:rPr>
      <w:iCs/>
      <w:color w:val="000000" w:themeColor="text1"/>
    </w:rPr>
  </w:style>
  <w:style w:type="character" w:customStyle="1" w:styleId="QuoteChar">
    <w:name w:val="Quote Char"/>
    <w:basedOn w:val="DefaultParagraphFont"/>
    <w:link w:val="Quote"/>
    <w:uiPriority w:val="99"/>
    <w:rsid w:val="0039341C"/>
    <w:rPr>
      <w:rFonts w:ascii="Arial" w:hAnsi="Arial"/>
      <w:iCs/>
      <w:color w:val="000000" w:themeColor="text1"/>
      <w:sz w:val="24"/>
      <w:szCs w:val="24"/>
      <w:lang w:val="it-IT" w:eastAsia="en-US"/>
    </w:rPr>
  </w:style>
  <w:style w:type="character" w:styleId="Strong">
    <w:name w:val="Strong"/>
    <w:basedOn w:val="DefaultParagraphFont"/>
    <w:uiPriority w:val="99"/>
    <w:qFormat/>
    <w:rsid w:val="00900EC9"/>
    <w:rPr>
      <w:rFonts w:ascii="Arial" w:hAnsi="Arial"/>
      <w:b/>
      <w:bCs/>
      <w:i w:val="0"/>
      <w:color w:val="auto"/>
    </w:rPr>
  </w:style>
  <w:style w:type="table" w:customStyle="1" w:styleId="TableNormal10ptArial">
    <w:name w:val="Table Normal 10pt Arial"/>
    <w:basedOn w:val="TableNormal"/>
    <w:uiPriority w:val="99"/>
    <w:rsid w:val="00B7591A"/>
    <w:rPr>
      <w:rFonts w:ascii="Arial" w:hAnsi="Arial"/>
    </w:rPr>
    <w:tblPr>
      <w:tblInd w:w="0" w:type="dxa"/>
      <w:tblCellMar>
        <w:top w:w="0" w:type="dxa"/>
        <w:left w:w="108" w:type="dxa"/>
        <w:bottom w:w="0" w:type="dxa"/>
        <w:right w:w="108" w:type="dxa"/>
      </w:tblCellMar>
    </w:tblPr>
  </w:style>
  <w:style w:type="character" w:styleId="Hyperlink">
    <w:name w:val="Hyperlink"/>
    <w:uiPriority w:val="99"/>
    <w:unhideWhenUsed/>
    <w:rsid w:val="00900EC9"/>
    <w:rPr>
      <w:rFonts w:ascii="Arial" w:hAnsi="Arial"/>
      <w:color w:val="548DD4" w:themeColor="text2" w:themeTint="99"/>
      <w:u w:val="none"/>
    </w:rPr>
  </w:style>
  <w:style w:type="character" w:styleId="IntenseEmphasis">
    <w:name w:val="Intense Emphasis"/>
    <w:basedOn w:val="DefaultParagraphFont"/>
    <w:uiPriority w:val="21"/>
    <w:rsid w:val="00900EC9"/>
    <w:rPr>
      <w:rFonts w:ascii="Arial" w:hAnsi="Arial"/>
      <w:b/>
      <w:bCs/>
      <w:i/>
      <w:iCs/>
      <w:color w:val="auto"/>
    </w:rPr>
  </w:style>
  <w:style w:type="paragraph" w:customStyle="1" w:styleId="CopyrightText">
    <w:name w:val="Copyright Text"/>
    <w:basedOn w:val="Normal"/>
    <w:uiPriority w:val="99"/>
    <w:rsid w:val="00900EC9"/>
    <w:pPr>
      <w:widowControl w:val="0"/>
      <w:tabs>
        <w:tab w:val="left" w:pos="170"/>
      </w:tabs>
      <w:suppressAutoHyphens/>
      <w:autoSpaceDE w:val="0"/>
      <w:autoSpaceDN w:val="0"/>
      <w:adjustRightInd w:val="0"/>
      <w:spacing w:after="57"/>
      <w:textAlignment w:val="center"/>
    </w:pPr>
    <w:rPr>
      <w:rFonts w:cs="HelveticaCYPlain"/>
      <w:sz w:val="20"/>
      <w:szCs w:val="16"/>
      <w:u w:color="000000"/>
      <w:lang w:eastAsia="en-AU"/>
    </w:rPr>
  </w:style>
  <w:style w:type="paragraph" w:styleId="Header">
    <w:name w:val="header"/>
    <w:basedOn w:val="Normal"/>
    <w:next w:val="Normal"/>
    <w:link w:val="HeaderChar"/>
    <w:uiPriority w:val="99"/>
    <w:unhideWhenUsed/>
    <w:rsid w:val="00900EC9"/>
    <w:pPr>
      <w:keepLines/>
      <w:tabs>
        <w:tab w:val="center" w:pos="4320"/>
        <w:tab w:val="right" w:pos="8640"/>
      </w:tabs>
      <w:spacing w:after="0" w:line="240" w:lineRule="auto"/>
    </w:pPr>
    <w:rPr>
      <w:b/>
      <w:sz w:val="18"/>
    </w:rPr>
  </w:style>
  <w:style w:type="character" w:customStyle="1" w:styleId="HeaderChar">
    <w:name w:val="Header Char"/>
    <w:basedOn w:val="DefaultParagraphFont"/>
    <w:link w:val="Header"/>
    <w:uiPriority w:val="99"/>
    <w:rsid w:val="00900EC9"/>
    <w:rPr>
      <w:rFonts w:ascii="Arial" w:hAnsi="Arial"/>
      <w:b/>
      <w:sz w:val="18"/>
      <w:szCs w:val="24"/>
      <w:lang w:eastAsia="en-US"/>
    </w:rPr>
  </w:style>
  <w:style w:type="paragraph" w:customStyle="1" w:styleId="InternalTitleAHRC">
    <w:name w:val="Internal Title AHRC"/>
    <w:basedOn w:val="Normal"/>
    <w:uiPriority w:val="99"/>
    <w:rsid w:val="00900EC9"/>
    <w:pPr>
      <w:keepLines/>
      <w:widowControl w:val="0"/>
      <w:tabs>
        <w:tab w:val="left" w:pos="680"/>
      </w:tabs>
      <w:suppressAutoHyphens/>
      <w:autoSpaceDE w:val="0"/>
      <w:autoSpaceDN w:val="0"/>
      <w:adjustRightInd w:val="0"/>
      <w:spacing w:after="0"/>
      <w:ind w:left="283" w:hanging="283"/>
      <w:textAlignment w:val="center"/>
    </w:pPr>
    <w:rPr>
      <w:rFonts w:cs="HelveticaNeue-Bold"/>
      <w:b/>
      <w:bCs/>
      <w:color w:val="6D6F70"/>
      <w:sz w:val="20"/>
      <w:szCs w:val="20"/>
      <w:lang w:eastAsia="en-AU"/>
    </w:rPr>
  </w:style>
  <w:style w:type="paragraph" w:customStyle="1" w:styleId="EndnotesHeading">
    <w:name w:val="Endnotes (Heading)"/>
    <w:basedOn w:val="Normal"/>
    <w:rsid w:val="00B9369D"/>
    <w:pPr>
      <w:keepLines/>
    </w:pPr>
    <w:rPr>
      <w:b/>
      <w:color w:val="548DD4" w:themeColor="text2" w:themeTint="99"/>
      <w:sz w:val="20"/>
      <w:szCs w:val="18"/>
    </w:rPr>
  </w:style>
  <w:style w:type="paragraph" w:customStyle="1" w:styleId="TableHeader">
    <w:name w:val="Table Header"/>
    <w:basedOn w:val="Normal"/>
    <w:uiPriority w:val="99"/>
    <w:rsid w:val="00402009"/>
    <w:pPr>
      <w:widowControl w:val="0"/>
      <w:suppressAutoHyphens/>
      <w:autoSpaceDE w:val="0"/>
      <w:autoSpaceDN w:val="0"/>
      <w:adjustRightInd w:val="0"/>
      <w:spacing w:after="0" w:line="240" w:lineRule="auto"/>
      <w:textAlignment w:val="center"/>
    </w:pPr>
    <w:rPr>
      <w:rFonts w:cs="HelveticaCYBold"/>
      <w:b/>
      <w:bCs/>
      <w:sz w:val="20"/>
      <w:szCs w:val="17"/>
      <w:lang w:val="en-US" w:eastAsia="en-AU"/>
    </w:rPr>
  </w:style>
  <w:style w:type="paragraph" w:customStyle="1" w:styleId="TableText">
    <w:name w:val="Table Text"/>
    <w:basedOn w:val="Normal"/>
    <w:uiPriority w:val="99"/>
    <w:rsid w:val="00402009"/>
    <w:pPr>
      <w:widowControl w:val="0"/>
      <w:suppressAutoHyphens/>
      <w:autoSpaceDE w:val="0"/>
      <w:autoSpaceDN w:val="0"/>
      <w:adjustRightInd w:val="0"/>
      <w:spacing w:after="0" w:line="240" w:lineRule="auto"/>
      <w:textAlignment w:val="center"/>
    </w:pPr>
    <w:rPr>
      <w:rFonts w:cs="HelveticaCYPlain"/>
      <w:color w:val="000000"/>
      <w:sz w:val="20"/>
      <w:szCs w:val="15"/>
      <w:lang w:val="en-US" w:eastAsia="en-AU"/>
    </w:rPr>
  </w:style>
  <w:style w:type="paragraph" w:customStyle="1" w:styleId="BulletsList">
    <w:name w:val="Bullets List"/>
    <w:basedOn w:val="Normal"/>
    <w:uiPriority w:val="99"/>
    <w:rsid w:val="00D82B60"/>
    <w:pPr>
      <w:keepLines/>
      <w:widowControl w:val="0"/>
      <w:tabs>
        <w:tab w:val="left" w:pos="567"/>
        <w:tab w:val="num" w:pos="964"/>
      </w:tabs>
      <w:suppressAutoHyphens/>
      <w:autoSpaceDE w:val="0"/>
      <w:autoSpaceDN w:val="0"/>
      <w:adjustRightInd w:val="0"/>
      <w:ind w:left="1644" w:hanging="357"/>
      <w:textAlignment w:val="center"/>
    </w:pPr>
    <w:rPr>
      <w:rFonts w:cs="HelveticaNeue"/>
      <w:color w:val="000000"/>
      <w:szCs w:val="17"/>
      <w:lang w:val="en-US" w:eastAsia="en-AU"/>
    </w:rPr>
  </w:style>
  <w:style w:type="paragraph" w:customStyle="1" w:styleId="BulletsList0">
    <w:name w:val="Bullets List &gt;"/>
    <w:basedOn w:val="BulletsList"/>
    <w:uiPriority w:val="99"/>
    <w:rsid w:val="006D72DA"/>
    <w:pPr>
      <w:tabs>
        <w:tab w:val="clear" w:pos="964"/>
        <w:tab w:val="num" w:pos="1247"/>
      </w:tabs>
      <w:ind w:left="1247" w:hanging="283"/>
    </w:pPr>
  </w:style>
  <w:style w:type="paragraph" w:customStyle="1" w:styleId="BulletsList1">
    <w:name w:val="Bullets List &gt;&gt;"/>
    <w:basedOn w:val="BulletsList0"/>
    <w:uiPriority w:val="99"/>
    <w:rsid w:val="006D72DA"/>
    <w:pPr>
      <w:tabs>
        <w:tab w:val="clear" w:pos="1247"/>
        <w:tab w:val="left" w:pos="850"/>
        <w:tab w:val="num" w:pos="1531"/>
      </w:tabs>
      <w:ind w:left="1531" w:hanging="284"/>
    </w:pPr>
  </w:style>
  <w:style w:type="paragraph" w:customStyle="1" w:styleId="BulletsMargin">
    <w:name w:val="Bullets Margin"/>
    <w:basedOn w:val="Normal"/>
    <w:uiPriority w:val="99"/>
    <w:rsid w:val="006D72DA"/>
    <w:pPr>
      <w:keepLines/>
      <w:widowControl w:val="0"/>
      <w:tabs>
        <w:tab w:val="num" w:pos="680"/>
      </w:tabs>
      <w:suppressAutoHyphens/>
      <w:autoSpaceDE w:val="0"/>
      <w:autoSpaceDN w:val="0"/>
      <w:adjustRightInd w:val="0"/>
      <w:spacing w:after="100"/>
      <w:ind w:left="680" w:hanging="396"/>
      <w:textAlignment w:val="center"/>
    </w:pPr>
    <w:rPr>
      <w:rFonts w:cs="HelveticaNeue"/>
      <w:color w:val="000000"/>
      <w:szCs w:val="17"/>
      <w:lang w:val="en-US" w:eastAsia="en-AU"/>
    </w:rPr>
  </w:style>
  <w:style w:type="paragraph" w:customStyle="1" w:styleId="PullQuote">
    <w:name w:val="Pull Quote"/>
    <w:basedOn w:val="Normal"/>
    <w:uiPriority w:val="99"/>
    <w:rsid w:val="00900EC9"/>
    <w:pPr>
      <w:keepLines/>
      <w:widowControl w:val="0"/>
      <w:suppressAutoHyphens/>
      <w:autoSpaceDE w:val="0"/>
      <w:autoSpaceDN w:val="0"/>
      <w:adjustRightInd w:val="0"/>
      <w:spacing w:after="0"/>
      <w:textAlignment w:val="center"/>
    </w:pPr>
    <w:rPr>
      <w:rFonts w:cs="HelveticaNeue-Bold"/>
      <w:b/>
      <w:bCs/>
      <w:color w:val="FFFFFF" w:themeColor="background1"/>
      <w:szCs w:val="16"/>
      <w:lang w:val="en-US" w:eastAsia="en-AU"/>
    </w:rPr>
  </w:style>
  <w:style w:type="paragraph" w:styleId="TOC1">
    <w:name w:val="toc 1"/>
    <w:basedOn w:val="Normal"/>
    <w:next w:val="Normal"/>
    <w:autoRedefine/>
    <w:uiPriority w:val="39"/>
    <w:unhideWhenUsed/>
    <w:rsid w:val="007E1FD7"/>
    <w:pPr>
      <w:keepLines/>
      <w:tabs>
        <w:tab w:val="left" w:pos="720"/>
        <w:tab w:val="right" w:pos="9015"/>
      </w:tabs>
    </w:pPr>
    <w:rPr>
      <w:b/>
    </w:rPr>
  </w:style>
  <w:style w:type="paragraph" w:styleId="TOC2">
    <w:name w:val="toc 2"/>
    <w:basedOn w:val="Normal"/>
    <w:next w:val="Normal"/>
    <w:autoRedefine/>
    <w:uiPriority w:val="39"/>
    <w:unhideWhenUsed/>
    <w:rsid w:val="00232D6D"/>
    <w:pPr>
      <w:keepLines/>
      <w:tabs>
        <w:tab w:val="left" w:pos="720"/>
        <w:tab w:val="left" w:pos="1440"/>
        <w:tab w:val="right" w:pos="9015"/>
      </w:tabs>
      <w:ind w:left="720"/>
    </w:pPr>
  </w:style>
  <w:style w:type="paragraph" w:customStyle="1" w:styleId="EndnoteBullets">
    <w:name w:val="Endnote Bullets"/>
    <w:uiPriority w:val="99"/>
    <w:rsid w:val="00900EC9"/>
    <w:pPr>
      <w:widowControl w:val="0"/>
      <w:tabs>
        <w:tab w:val="left" w:pos="567"/>
      </w:tabs>
      <w:suppressAutoHyphens/>
      <w:autoSpaceDE w:val="0"/>
      <w:autoSpaceDN w:val="0"/>
      <w:adjustRightInd w:val="0"/>
      <w:textAlignment w:val="center"/>
    </w:pPr>
    <w:rPr>
      <w:rFonts w:ascii="Arial" w:hAnsi="Arial" w:cs="HelveticaNeue"/>
      <w:color w:val="000000"/>
      <w:lang w:val="en-US"/>
    </w:rPr>
  </w:style>
  <w:style w:type="paragraph" w:customStyle="1" w:styleId="NoParagraphStyle">
    <w:name w:val="[No Paragraph Style]"/>
    <w:rsid w:val="000E3DC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InternalTitleBold">
    <w:name w:val="Internal Title Bold"/>
    <w:basedOn w:val="NoParagraphStyle"/>
    <w:uiPriority w:val="99"/>
    <w:rsid w:val="000E3DC1"/>
    <w:pPr>
      <w:keepNext/>
      <w:tabs>
        <w:tab w:val="left" w:pos="567"/>
      </w:tabs>
      <w:suppressAutoHyphens/>
      <w:spacing w:after="283" w:line="400" w:lineRule="atLeast"/>
    </w:pPr>
    <w:rPr>
      <w:rFonts w:ascii="HelveticaCYBold" w:hAnsi="HelveticaCYBold" w:cs="HelveticaCYBold"/>
      <w:b/>
      <w:bCs/>
      <w:color w:val="4C4C4C"/>
      <w:sz w:val="36"/>
      <w:szCs w:val="36"/>
      <w:lang w:val="en-AU"/>
    </w:rPr>
  </w:style>
  <w:style w:type="paragraph" w:customStyle="1" w:styleId="Footnote">
    <w:name w:val="Footnote"/>
    <w:basedOn w:val="NoParagraphStyle"/>
    <w:uiPriority w:val="99"/>
    <w:rsid w:val="000E3DC1"/>
    <w:pPr>
      <w:tabs>
        <w:tab w:val="left" w:pos="680"/>
      </w:tabs>
      <w:suppressAutoHyphens/>
      <w:ind w:left="283" w:hanging="283"/>
    </w:pPr>
    <w:rPr>
      <w:rFonts w:ascii="HelveticaNeue" w:hAnsi="HelveticaNeue" w:cs="HelveticaNeue"/>
      <w:sz w:val="14"/>
      <w:szCs w:val="14"/>
      <w:lang w:val="en-AU"/>
    </w:rPr>
  </w:style>
  <w:style w:type="paragraph" w:styleId="BalloonText">
    <w:name w:val="Balloon Text"/>
    <w:basedOn w:val="Normal"/>
    <w:link w:val="BalloonTextChar"/>
    <w:uiPriority w:val="99"/>
    <w:semiHidden/>
    <w:unhideWhenUsed/>
    <w:rsid w:val="000E3DC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DC1"/>
    <w:rPr>
      <w:rFonts w:ascii="Lucida Grande" w:hAnsi="Lucida Grande" w:cs="Lucida Grande"/>
      <w:sz w:val="18"/>
      <w:szCs w:val="18"/>
      <w:lang w:val="it-IT" w:eastAsia="en-US"/>
    </w:rPr>
  </w:style>
  <w:style w:type="paragraph" w:customStyle="1" w:styleId="LetterAHRC">
    <w:name w:val="Letter (AHRC)"/>
    <w:basedOn w:val="NoParagraphStyle"/>
    <w:uiPriority w:val="99"/>
    <w:rsid w:val="000E3DC1"/>
    <w:pPr>
      <w:suppressAutoHyphens/>
      <w:spacing w:after="113"/>
    </w:pPr>
    <w:rPr>
      <w:rFonts w:ascii="HelveticaCYBold" w:hAnsi="HelveticaCYBold" w:cs="HelveticaCYBold"/>
      <w:b/>
      <w:bCs/>
      <w:sz w:val="15"/>
      <w:szCs w:val="15"/>
    </w:rPr>
  </w:style>
  <w:style w:type="paragraph" w:customStyle="1" w:styleId="LetterheadAddress">
    <w:name w:val="Letterhead Address"/>
    <w:basedOn w:val="NoParagraphStyle"/>
    <w:uiPriority w:val="99"/>
    <w:rsid w:val="000E3DC1"/>
    <w:pPr>
      <w:suppressAutoHyphens/>
      <w:spacing w:after="57"/>
    </w:pPr>
    <w:rPr>
      <w:rFonts w:ascii="HelveticaNeue" w:hAnsi="HelveticaNeue" w:cs="HelveticaNeue"/>
      <w:sz w:val="14"/>
      <w:szCs w:val="14"/>
      <w:lang w:val="en-AU"/>
    </w:rPr>
  </w:style>
  <w:style w:type="paragraph" w:styleId="BodyTextIndent">
    <w:name w:val="Body Text Indent"/>
    <w:basedOn w:val="Normal"/>
    <w:link w:val="BodyTextIndentChar"/>
    <w:uiPriority w:val="99"/>
    <w:unhideWhenUsed/>
    <w:rsid w:val="00D6621A"/>
    <w:pPr>
      <w:spacing w:after="120"/>
      <w:ind w:left="283"/>
    </w:pPr>
  </w:style>
  <w:style w:type="character" w:customStyle="1" w:styleId="BodyTextIndentChar">
    <w:name w:val="Body Text Indent Char"/>
    <w:basedOn w:val="DefaultParagraphFont"/>
    <w:link w:val="BodyTextIndent"/>
    <w:uiPriority w:val="99"/>
    <w:rsid w:val="00D6621A"/>
    <w:rPr>
      <w:rFonts w:ascii="Arial" w:hAnsi="Arial"/>
      <w:sz w:val="24"/>
      <w:szCs w:val="24"/>
      <w:lang w:val="it-IT" w:eastAsia="en-US"/>
    </w:rPr>
  </w:style>
  <w:style w:type="paragraph" w:customStyle="1" w:styleId="Heading11">
    <w:name w:val="Heading 1: 1"/>
    <w:basedOn w:val="NoParagraphStyle"/>
    <w:next w:val="Normal"/>
    <w:uiPriority w:val="99"/>
    <w:rsid w:val="00D6621A"/>
    <w:pPr>
      <w:keepNext/>
      <w:tabs>
        <w:tab w:val="left" w:pos="680"/>
      </w:tabs>
      <w:suppressAutoHyphens/>
      <w:spacing w:before="227" w:after="227" w:line="520" w:lineRule="atLeast"/>
      <w:ind w:left="680" w:hanging="680"/>
    </w:pPr>
    <w:rPr>
      <w:rFonts w:ascii="HelveticaCYPlain" w:hAnsi="HelveticaCYPlain" w:cs="HelveticaCYPlain"/>
      <w:color w:val="4C4C4C"/>
      <w:sz w:val="52"/>
      <w:szCs w:val="52"/>
      <w:lang w:val="en-AU"/>
    </w:rPr>
  </w:style>
  <w:style w:type="paragraph" w:customStyle="1" w:styleId="Bulletsa">
    <w:name w:val="Bullets (a)"/>
    <w:basedOn w:val="NoParagraphStyle"/>
    <w:next w:val="NoParagraphStyle"/>
    <w:uiPriority w:val="99"/>
    <w:rsid w:val="006D72DA"/>
    <w:pPr>
      <w:keepLines/>
      <w:widowControl/>
      <w:suppressAutoHyphens/>
      <w:spacing w:after="200"/>
      <w:ind w:left="1854" w:hanging="567"/>
    </w:pPr>
    <w:rPr>
      <w:rFonts w:ascii="Arial" w:hAnsi="Arial" w:cs="HelveticaNeue"/>
      <w:szCs w:val="17"/>
    </w:rPr>
  </w:style>
  <w:style w:type="paragraph" w:customStyle="1" w:styleId="Heading211">
    <w:name w:val="Heading 2: 1.1"/>
    <w:basedOn w:val="Normal"/>
    <w:uiPriority w:val="99"/>
    <w:rsid w:val="00D6621A"/>
    <w:pPr>
      <w:keepNext/>
      <w:keepLines/>
      <w:widowControl w:val="0"/>
      <w:tabs>
        <w:tab w:val="left" w:pos="0"/>
        <w:tab w:val="left" w:pos="680"/>
      </w:tabs>
      <w:suppressAutoHyphens/>
      <w:autoSpaceDE w:val="0"/>
      <w:autoSpaceDN w:val="0"/>
      <w:adjustRightInd w:val="0"/>
      <w:spacing w:before="170" w:after="170" w:line="360" w:lineRule="atLeast"/>
      <w:ind w:left="680" w:hanging="680"/>
      <w:textAlignment w:val="center"/>
    </w:pPr>
    <w:rPr>
      <w:rFonts w:ascii="HelveticaCYPlain" w:hAnsi="HelveticaCYPlain" w:cs="HelveticaCYPlain"/>
      <w:color w:val="000000"/>
      <w:sz w:val="36"/>
      <w:szCs w:val="36"/>
      <w:lang w:val="en-AU" w:eastAsia="en-AU"/>
    </w:rPr>
  </w:style>
  <w:style w:type="paragraph" w:customStyle="1" w:styleId="Bulletsi">
    <w:name w:val="Bullets i)"/>
    <w:basedOn w:val="NoParagraphStyle"/>
    <w:next w:val="NoParagraphStyle"/>
    <w:uiPriority w:val="99"/>
    <w:rsid w:val="0003227F"/>
    <w:pPr>
      <w:keepLines/>
      <w:suppressAutoHyphens/>
      <w:spacing w:after="100"/>
      <w:ind w:left="2421" w:hanging="567"/>
    </w:pPr>
    <w:rPr>
      <w:rFonts w:ascii="Arial" w:hAnsi="Arial" w:cs="HelveticaNeue"/>
      <w:color w:val="auto"/>
      <w:szCs w:val="17"/>
    </w:rPr>
  </w:style>
  <w:style w:type="paragraph" w:customStyle="1" w:styleId="BodyQuote10mm2">
    <w:name w:val="Body Quote 10mm +2"/>
    <w:basedOn w:val="NoParagraphStyle"/>
    <w:uiPriority w:val="99"/>
    <w:rsid w:val="00D6621A"/>
    <w:pPr>
      <w:keepLines/>
      <w:suppressAutoHyphens/>
      <w:spacing w:after="113"/>
      <w:ind w:left="1247"/>
    </w:pPr>
    <w:rPr>
      <w:rFonts w:ascii="HelveticaNeue" w:hAnsi="HelveticaNeue" w:cs="HelveticaNeue"/>
      <w:sz w:val="17"/>
      <w:szCs w:val="17"/>
      <w:lang w:val="en-GB"/>
    </w:rPr>
  </w:style>
  <w:style w:type="paragraph" w:customStyle="1" w:styleId="Bullets1">
    <w:name w:val="Bullets 1."/>
    <w:basedOn w:val="NoParagraphStyle"/>
    <w:next w:val="NoParagraphStyle"/>
    <w:uiPriority w:val="99"/>
    <w:rsid w:val="00D6621A"/>
    <w:pPr>
      <w:tabs>
        <w:tab w:val="left" w:pos="850"/>
      </w:tabs>
      <w:suppressAutoHyphens/>
      <w:spacing w:after="113"/>
      <w:ind w:left="1247" w:hanging="283"/>
    </w:pPr>
    <w:rPr>
      <w:rFonts w:ascii="HelveticaNeue" w:hAnsi="HelveticaNeue" w:cs="HelveticaNeue"/>
      <w:sz w:val="17"/>
      <w:szCs w:val="17"/>
    </w:rPr>
  </w:style>
  <w:style w:type="paragraph" w:customStyle="1" w:styleId="BodyTextIndent12mm">
    <w:name w:val="Body Text Indent 12mm"/>
    <w:basedOn w:val="BodyTextIndent"/>
    <w:uiPriority w:val="99"/>
    <w:rsid w:val="00D6621A"/>
    <w:pPr>
      <w:widowControl w:val="0"/>
      <w:tabs>
        <w:tab w:val="left" w:pos="567"/>
      </w:tabs>
      <w:suppressAutoHyphens/>
      <w:autoSpaceDE w:val="0"/>
      <w:autoSpaceDN w:val="0"/>
      <w:adjustRightInd w:val="0"/>
      <w:spacing w:after="113"/>
      <w:ind w:left="680"/>
      <w:textAlignment w:val="center"/>
    </w:pPr>
    <w:rPr>
      <w:rFonts w:ascii="HelveticaNeue" w:hAnsi="HelveticaNeue" w:cs="HelveticaNeue"/>
      <w:color w:val="000000"/>
      <w:sz w:val="17"/>
      <w:szCs w:val="17"/>
      <w:lang w:val="en-US" w:eastAsia="en-AU"/>
    </w:rPr>
  </w:style>
  <w:style w:type="character" w:customStyle="1" w:styleId="Pantone300C">
    <w:name w:val="Pantone 300 C"/>
    <w:uiPriority w:val="99"/>
    <w:rsid w:val="00D6621A"/>
    <w:rPr>
      <w:color w:val="008EFF"/>
    </w:rPr>
  </w:style>
  <w:style w:type="paragraph" w:styleId="Revision">
    <w:name w:val="Revision"/>
    <w:hidden/>
    <w:uiPriority w:val="99"/>
    <w:semiHidden/>
    <w:rsid w:val="00651527"/>
    <w:rPr>
      <w:rFonts w:ascii="Arial" w:hAnsi="Arial"/>
      <w:sz w:val="24"/>
      <w:szCs w:val="24"/>
      <w:lang w:val="it-IT" w:eastAsia="en-US"/>
    </w:rPr>
  </w:style>
  <w:style w:type="paragraph" w:styleId="DocumentMap">
    <w:name w:val="Document Map"/>
    <w:basedOn w:val="Normal"/>
    <w:link w:val="DocumentMapChar"/>
    <w:uiPriority w:val="99"/>
    <w:semiHidden/>
    <w:unhideWhenUsed/>
    <w:rsid w:val="00651527"/>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651527"/>
    <w:rPr>
      <w:rFonts w:ascii="Lucida Grande" w:hAnsi="Lucida Grande" w:cs="Lucida Grande"/>
      <w:sz w:val="24"/>
      <w:szCs w:val="24"/>
      <w:lang w:val="it-IT" w:eastAsia="en-US"/>
    </w:rPr>
  </w:style>
  <w:style w:type="paragraph" w:styleId="TOC3">
    <w:name w:val="toc 3"/>
    <w:basedOn w:val="Normal"/>
    <w:next w:val="Normal"/>
    <w:autoRedefine/>
    <w:uiPriority w:val="39"/>
    <w:unhideWhenUsed/>
    <w:rsid w:val="004C31E4"/>
    <w:pPr>
      <w:ind w:left="480"/>
    </w:pPr>
  </w:style>
  <w:style w:type="paragraph" w:styleId="TOC4">
    <w:name w:val="toc 4"/>
    <w:basedOn w:val="Normal"/>
    <w:next w:val="Normal"/>
    <w:autoRedefine/>
    <w:uiPriority w:val="39"/>
    <w:unhideWhenUsed/>
    <w:rsid w:val="004C31E4"/>
    <w:pPr>
      <w:ind w:left="720"/>
    </w:pPr>
  </w:style>
  <w:style w:type="paragraph" w:styleId="TOC5">
    <w:name w:val="toc 5"/>
    <w:basedOn w:val="Normal"/>
    <w:next w:val="Normal"/>
    <w:autoRedefine/>
    <w:uiPriority w:val="39"/>
    <w:unhideWhenUsed/>
    <w:rsid w:val="004C31E4"/>
    <w:pPr>
      <w:ind w:left="960"/>
    </w:pPr>
  </w:style>
  <w:style w:type="paragraph" w:styleId="TOC6">
    <w:name w:val="toc 6"/>
    <w:basedOn w:val="Normal"/>
    <w:next w:val="Normal"/>
    <w:autoRedefine/>
    <w:uiPriority w:val="39"/>
    <w:unhideWhenUsed/>
    <w:rsid w:val="004C31E4"/>
    <w:pPr>
      <w:ind w:left="1200"/>
    </w:pPr>
  </w:style>
  <w:style w:type="paragraph" w:styleId="TOC7">
    <w:name w:val="toc 7"/>
    <w:basedOn w:val="Normal"/>
    <w:next w:val="Normal"/>
    <w:autoRedefine/>
    <w:uiPriority w:val="39"/>
    <w:unhideWhenUsed/>
    <w:rsid w:val="004C31E4"/>
    <w:pPr>
      <w:ind w:left="1440"/>
    </w:pPr>
  </w:style>
  <w:style w:type="paragraph" w:styleId="TOC8">
    <w:name w:val="toc 8"/>
    <w:basedOn w:val="Normal"/>
    <w:next w:val="Normal"/>
    <w:autoRedefine/>
    <w:uiPriority w:val="39"/>
    <w:unhideWhenUsed/>
    <w:rsid w:val="004C31E4"/>
    <w:pPr>
      <w:ind w:left="1680"/>
    </w:pPr>
  </w:style>
  <w:style w:type="paragraph" w:styleId="TOC9">
    <w:name w:val="toc 9"/>
    <w:basedOn w:val="Normal"/>
    <w:next w:val="Normal"/>
    <w:autoRedefine/>
    <w:uiPriority w:val="39"/>
    <w:unhideWhenUsed/>
    <w:rsid w:val="004C31E4"/>
    <w:pPr>
      <w:ind w:left="1920"/>
    </w:pPr>
  </w:style>
  <w:style w:type="paragraph" w:customStyle="1" w:styleId="BodyListParagraph">
    <w:name w:val="Body List Paragraph"/>
    <w:basedOn w:val="BulletsList"/>
    <w:uiPriority w:val="99"/>
    <w:rsid w:val="00C95492"/>
    <w:pPr>
      <w:tabs>
        <w:tab w:val="clear" w:pos="567"/>
        <w:tab w:val="clear" w:pos="964"/>
        <w:tab w:val="left" w:pos="680"/>
      </w:tabs>
      <w:spacing w:after="113"/>
      <w:ind w:left="680" w:hanging="680"/>
    </w:pPr>
    <w:rPr>
      <w:rFonts w:ascii="HelveticaNeue" w:hAnsi="HelveticaNeue"/>
      <w:sz w:val="17"/>
    </w:rPr>
  </w:style>
  <w:style w:type="paragraph" w:customStyle="1" w:styleId="Bulletsa0">
    <w:name w:val="Bullets a)"/>
    <w:basedOn w:val="NoParagraphStyle"/>
    <w:next w:val="NoParagraphStyle"/>
    <w:uiPriority w:val="99"/>
    <w:rsid w:val="00D82B60"/>
    <w:pPr>
      <w:suppressAutoHyphens/>
      <w:spacing w:after="200"/>
      <w:ind w:left="1644" w:hanging="357"/>
    </w:pPr>
    <w:rPr>
      <w:rFonts w:ascii="Arial" w:hAnsi="Arial" w:cs="HelveticaNeue"/>
      <w:szCs w:val="17"/>
    </w:rPr>
  </w:style>
  <w:style w:type="paragraph" w:customStyle="1" w:styleId="BasicParagraph">
    <w:name w:val="[Basic Paragraph]"/>
    <w:basedOn w:val="NoParagraphStyle"/>
    <w:uiPriority w:val="99"/>
    <w:rsid w:val="00C95492"/>
  </w:style>
  <w:style w:type="paragraph" w:customStyle="1" w:styleId="EndnoteFirst">
    <w:name w:val="Endnote (First)"/>
    <w:basedOn w:val="EndnoteText"/>
    <w:uiPriority w:val="99"/>
    <w:rsid w:val="00C95492"/>
    <w:pPr>
      <w:keepLines w:val="0"/>
      <w:widowControl w:val="0"/>
      <w:pBdr>
        <w:top w:val="single" w:sz="8" w:space="11" w:color="4C4C4C"/>
      </w:pBdr>
      <w:tabs>
        <w:tab w:val="left" w:pos="567"/>
      </w:tabs>
      <w:suppressAutoHyphens/>
      <w:autoSpaceDE w:val="0"/>
      <w:autoSpaceDN w:val="0"/>
      <w:adjustRightInd w:val="0"/>
      <w:spacing w:before="567" w:line="288" w:lineRule="auto"/>
      <w:ind w:left="340" w:hanging="340"/>
      <w:textAlignment w:val="center"/>
    </w:pPr>
    <w:rPr>
      <w:rFonts w:ascii="HelveticaNeue" w:hAnsi="HelveticaNeue" w:cs="HelveticaNeue"/>
      <w:color w:val="000000"/>
      <w:sz w:val="14"/>
      <w:szCs w:val="14"/>
      <w:lang w:val="en-US" w:eastAsia="en-AU"/>
    </w:rPr>
  </w:style>
  <w:style w:type="character" w:customStyle="1" w:styleId="EndnoteReference1">
    <w:name w:val="Endnote Reference1"/>
    <w:uiPriority w:val="99"/>
    <w:rsid w:val="00C95492"/>
    <w:rPr>
      <w:rFonts w:ascii="ArialMT" w:hAnsi="ArialMT" w:cs="ArialMT"/>
      <w:w w:val="100"/>
      <w:sz w:val="20"/>
      <w:szCs w:val="20"/>
      <w:vertAlign w:val="superscript"/>
    </w:rPr>
  </w:style>
  <w:style w:type="paragraph" w:customStyle="1" w:styleId="Heading3a">
    <w:name w:val="Heading 3: (a)"/>
    <w:basedOn w:val="NoParagraphStyle"/>
    <w:next w:val="Normal"/>
    <w:uiPriority w:val="99"/>
    <w:rsid w:val="00A43AB6"/>
    <w:pPr>
      <w:keepNext/>
      <w:tabs>
        <w:tab w:val="left" w:pos="0"/>
        <w:tab w:val="left" w:pos="680"/>
      </w:tabs>
      <w:suppressAutoHyphens/>
      <w:spacing w:before="170" w:after="170"/>
      <w:ind w:left="680" w:hanging="680"/>
    </w:pPr>
    <w:rPr>
      <w:rFonts w:ascii="HelveticaCYBold" w:hAnsi="HelveticaCYBold" w:cs="HelveticaCYBold"/>
      <w:b/>
      <w:bCs/>
      <w:sz w:val="20"/>
      <w:szCs w:val="20"/>
      <w:lang w:val="en-AU"/>
    </w:rPr>
  </w:style>
  <w:style w:type="paragraph" w:customStyle="1" w:styleId="BodyQuote10mm1">
    <w:name w:val="Body Quote 10mm +1"/>
    <w:basedOn w:val="BodyQuote10mm2"/>
    <w:uiPriority w:val="99"/>
    <w:rsid w:val="00A43AB6"/>
    <w:pPr>
      <w:spacing w:after="57"/>
    </w:pPr>
  </w:style>
  <w:style w:type="paragraph" w:customStyle="1" w:styleId="Nessunostileparagrafo">
    <w:name w:val="[Nessuno stile paragrafo]"/>
    <w:rsid w:val="009F3D05"/>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Paragrafobase">
    <w:name w:val="[Paragrafo base]"/>
    <w:basedOn w:val="Nessunostileparagrafo"/>
    <w:uiPriority w:val="99"/>
    <w:rsid w:val="00415667"/>
  </w:style>
  <w:style w:type="paragraph" w:customStyle="1" w:styleId="ListParagraphBullets">
    <w:name w:val="List Paragraph (Bullets)"/>
    <w:basedOn w:val="ListParagraph"/>
    <w:qFormat/>
    <w:rsid w:val="00D61731"/>
    <w:pPr>
      <w:ind w:left="1797" w:hanging="357"/>
      <w:contextualSpacing/>
    </w:pPr>
    <w:rPr>
      <w:lang w:val="en-US" w:eastAsia="en-AU"/>
    </w:rPr>
  </w:style>
  <w:style w:type="paragraph" w:customStyle="1" w:styleId="ListParagraphBullets1">
    <w:name w:val="List Paragraph [Bullets 1.]"/>
    <w:basedOn w:val="Normal"/>
    <w:qFormat/>
    <w:rsid w:val="000433C2"/>
    <w:pPr>
      <w:ind w:left="1797" w:hanging="357"/>
      <w:contextualSpacing/>
    </w:pPr>
    <w:rPr>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667"/>
    <w:pPr>
      <w:spacing w:after="200" w:line="288" w:lineRule="auto"/>
    </w:pPr>
    <w:rPr>
      <w:rFonts w:ascii="Arial" w:hAnsi="Arial"/>
      <w:sz w:val="24"/>
      <w:szCs w:val="24"/>
      <w:lang w:val="it-IT" w:eastAsia="en-US"/>
    </w:rPr>
  </w:style>
  <w:style w:type="paragraph" w:styleId="Heading1">
    <w:name w:val="heading 1"/>
    <w:basedOn w:val="Normal"/>
    <w:next w:val="Normal"/>
    <w:link w:val="Heading1Char"/>
    <w:autoRedefine/>
    <w:uiPriority w:val="9"/>
    <w:qFormat/>
    <w:rsid w:val="004B3F35"/>
    <w:pPr>
      <w:keepNext/>
      <w:keepLines/>
      <w:numPr>
        <w:numId w:val="30"/>
      </w:numPr>
      <w:spacing w:before="400" w:line="240" w:lineRule="auto"/>
      <w:ind w:left="720" w:hanging="720"/>
      <w:outlineLvl w:val="0"/>
    </w:pPr>
    <w:rPr>
      <w:rFonts w:eastAsiaTheme="majorEastAsia" w:cstheme="majorBidi"/>
      <w:b/>
      <w:bCs/>
      <w:sz w:val="36"/>
      <w:szCs w:val="32"/>
    </w:rPr>
  </w:style>
  <w:style w:type="paragraph" w:styleId="Heading2">
    <w:name w:val="heading 2"/>
    <w:next w:val="Normal"/>
    <w:link w:val="Heading2Char"/>
    <w:uiPriority w:val="9"/>
    <w:unhideWhenUsed/>
    <w:qFormat/>
    <w:rsid w:val="006D72DA"/>
    <w:pPr>
      <w:keepNext/>
      <w:keepLines/>
      <w:numPr>
        <w:ilvl w:val="1"/>
        <w:numId w:val="30"/>
      </w:numPr>
      <w:spacing w:before="400" w:after="200"/>
      <w:outlineLvl w:val="1"/>
    </w:pPr>
    <w:rPr>
      <w:rFonts w:ascii="Arial" w:eastAsiaTheme="majorEastAsia" w:hAnsi="Arial" w:cstheme="majorBidi"/>
      <w:b/>
      <w:bCs/>
      <w:sz w:val="28"/>
      <w:szCs w:val="26"/>
      <w:lang w:eastAsia="en-US"/>
    </w:rPr>
  </w:style>
  <w:style w:type="paragraph" w:styleId="Heading3">
    <w:name w:val="heading 3"/>
    <w:basedOn w:val="Normal"/>
    <w:next w:val="Normal"/>
    <w:link w:val="Heading3Char"/>
    <w:uiPriority w:val="9"/>
    <w:unhideWhenUsed/>
    <w:qFormat/>
    <w:rsid w:val="006D72DA"/>
    <w:pPr>
      <w:keepNext/>
      <w:keepLines/>
      <w:numPr>
        <w:ilvl w:val="2"/>
        <w:numId w:val="30"/>
      </w:numPr>
      <w:spacing w:before="400"/>
      <w:outlineLvl w:val="2"/>
    </w:pPr>
    <w:rPr>
      <w:rFonts w:eastAsiaTheme="majorEastAsia" w:cstheme="majorBidi"/>
      <w:b/>
      <w:bCs/>
    </w:rPr>
  </w:style>
  <w:style w:type="paragraph" w:styleId="Heading4">
    <w:name w:val="heading 4"/>
    <w:next w:val="Normal"/>
    <w:link w:val="Heading4Char"/>
    <w:uiPriority w:val="9"/>
    <w:unhideWhenUsed/>
    <w:qFormat/>
    <w:rsid w:val="006D72DA"/>
    <w:pPr>
      <w:keepNext/>
      <w:numPr>
        <w:ilvl w:val="3"/>
        <w:numId w:val="30"/>
      </w:numPr>
      <w:spacing w:before="300" w:after="200"/>
      <w:outlineLvl w:val="3"/>
    </w:pPr>
    <w:rPr>
      <w:rFonts w:ascii="Arial" w:eastAsiaTheme="majorEastAsia" w:hAnsi="Arial" w:cstheme="majorBidi"/>
      <w:bCs/>
      <w:i/>
      <w:iCs/>
      <w:sz w:val="24"/>
      <w:lang w:eastAsia="en-US"/>
    </w:rPr>
  </w:style>
  <w:style w:type="paragraph" w:styleId="Heading5">
    <w:name w:val="heading 5"/>
    <w:basedOn w:val="Normal"/>
    <w:next w:val="Normal"/>
    <w:link w:val="Heading5Char"/>
    <w:uiPriority w:val="9"/>
    <w:unhideWhenUsed/>
    <w:qFormat/>
    <w:rsid w:val="006D72DA"/>
    <w:pPr>
      <w:keepNext/>
      <w:keepLines/>
      <w:spacing w:before="300" w:line="240" w:lineRule="auto"/>
      <w:outlineLvl w:val="4"/>
    </w:pPr>
    <w:rPr>
      <w:rFonts w:eastAsiaTheme="majorEastAsia" w:cstheme="majorBidi"/>
      <w:b/>
    </w:rPr>
  </w:style>
  <w:style w:type="paragraph" w:styleId="Heading6">
    <w:name w:val="heading 6"/>
    <w:basedOn w:val="Normal"/>
    <w:next w:val="Normal"/>
    <w:link w:val="Heading6Char"/>
    <w:uiPriority w:val="9"/>
    <w:unhideWhenUsed/>
    <w:rsid w:val="006D72DA"/>
    <w:pPr>
      <w:keepNext/>
      <w:keepLines/>
      <w:spacing w:before="400"/>
      <w:outlineLvl w:val="5"/>
    </w:pPr>
    <w:rPr>
      <w:rFonts w:eastAsiaTheme="majorEastAsia" w:cstheme="majorBidi"/>
      <w:i/>
      <w:iCs/>
    </w:rPr>
  </w:style>
  <w:style w:type="paragraph" w:styleId="Heading7">
    <w:name w:val="heading 7"/>
    <w:basedOn w:val="Normal"/>
    <w:next w:val="Normal"/>
    <w:link w:val="Heading7Char"/>
    <w:uiPriority w:val="9"/>
    <w:semiHidden/>
    <w:unhideWhenUsed/>
    <w:rsid w:val="006D72DA"/>
    <w:pPr>
      <w:keepNext/>
      <w:keepLines/>
      <w:spacing w:before="300" w:line="240" w:lineRule="auto"/>
      <w:outlineLvl w:val="6"/>
    </w:pPr>
    <w:rPr>
      <w:rFonts w:eastAsiaTheme="majorEastAsia" w:cstheme="majorBidi"/>
      <w:b/>
      <w:i/>
      <w:iCs/>
      <w:color w:val="404040" w:themeColor="text1" w:themeTint="BF"/>
    </w:rPr>
  </w:style>
  <w:style w:type="paragraph" w:styleId="Heading8">
    <w:name w:val="heading 8"/>
    <w:basedOn w:val="Normal"/>
    <w:next w:val="Normal"/>
    <w:link w:val="Heading8Char"/>
    <w:uiPriority w:val="9"/>
    <w:unhideWhenUsed/>
    <w:rsid w:val="006D72DA"/>
    <w:pPr>
      <w:keepNext/>
      <w:keepLines/>
      <w:spacing w:before="400" w:line="240" w:lineRule="auto"/>
      <w:outlineLvl w:val="7"/>
    </w:pPr>
    <w:rPr>
      <w:rFonts w:eastAsiaTheme="majorEastAsia" w:cstheme="majorBidi"/>
      <w:b/>
      <w:sz w:val="36"/>
      <w:szCs w:val="20"/>
    </w:rPr>
  </w:style>
  <w:style w:type="paragraph" w:styleId="Heading9">
    <w:name w:val="heading 9"/>
    <w:basedOn w:val="Normal"/>
    <w:next w:val="Normal"/>
    <w:link w:val="Heading9Char"/>
    <w:uiPriority w:val="9"/>
    <w:unhideWhenUsed/>
    <w:rsid w:val="006D72DA"/>
    <w:pPr>
      <w:keepNext/>
      <w:keepLines/>
      <w:spacing w:before="400" w:line="240" w:lineRule="auto"/>
      <w:outlineLvl w:val="8"/>
    </w:pPr>
    <w:rPr>
      <w:rFonts w:eastAsiaTheme="majorEastAsia" w:cstheme="majorBidi"/>
      <w:b/>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F35"/>
    <w:rPr>
      <w:rFonts w:ascii="Arial" w:eastAsiaTheme="majorEastAsia" w:hAnsi="Arial" w:cstheme="majorBidi"/>
      <w:b/>
      <w:bCs/>
      <w:sz w:val="36"/>
      <w:szCs w:val="32"/>
      <w:lang w:val="it-IT" w:eastAsia="en-US"/>
    </w:rPr>
  </w:style>
  <w:style w:type="character" w:customStyle="1" w:styleId="Heading2Char">
    <w:name w:val="Heading 2 Char"/>
    <w:basedOn w:val="DefaultParagraphFont"/>
    <w:link w:val="Heading2"/>
    <w:uiPriority w:val="9"/>
    <w:rsid w:val="006D72DA"/>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6D72DA"/>
    <w:rPr>
      <w:rFonts w:ascii="Arial" w:eastAsiaTheme="majorEastAsia" w:hAnsi="Arial" w:cstheme="majorBidi"/>
      <w:b/>
      <w:bCs/>
      <w:sz w:val="24"/>
      <w:szCs w:val="24"/>
      <w:lang w:val="it-IT" w:eastAsia="en-US"/>
    </w:rPr>
  </w:style>
  <w:style w:type="character" w:customStyle="1" w:styleId="Heading4Char">
    <w:name w:val="Heading 4 Char"/>
    <w:basedOn w:val="DefaultParagraphFont"/>
    <w:link w:val="Heading4"/>
    <w:uiPriority w:val="9"/>
    <w:rsid w:val="006D72DA"/>
    <w:rPr>
      <w:rFonts w:ascii="Arial" w:eastAsiaTheme="majorEastAsia" w:hAnsi="Arial" w:cstheme="majorBidi"/>
      <w:bCs/>
      <w:i/>
      <w:iCs/>
      <w:sz w:val="24"/>
      <w:lang w:eastAsia="en-US"/>
    </w:rPr>
  </w:style>
  <w:style w:type="character" w:customStyle="1" w:styleId="Heading5Char">
    <w:name w:val="Heading 5 Char"/>
    <w:basedOn w:val="DefaultParagraphFont"/>
    <w:link w:val="Heading5"/>
    <w:uiPriority w:val="9"/>
    <w:rsid w:val="000E7A39"/>
    <w:rPr>
      <w:rFonts w:ascii="Arial" w:eastAsiaTheme="majorEastAsia" w:hAnsi="Arial" w:cstheme="majorBidi"/>
      <w:b/>
      <w:sz w:val="24"/>
      <w:szCs w:val="24"/>
      <w:lang w:val="it-IT" w:eastAsia="en-US"/>
    </w:rPr>
  </w:style>
  <w:style w:type="character" w:customStyle="1" w:styleId="Heading6Char">
    <w:name w:val="Heading 6 Char"/>
    <w:basedOn w:val="DefaultParagraphFont"/>
    <w:link w:val="Heading6"/>
    <w:uiPriority w:val="9"/>
    <w:rsid w:val="000E7A39"/>
    <w:rPr>
      <w:rFonts w:ascii="Arial" w:eastAsiaTheme="majorEastAsia" w:hAnsi="Arial" w:cstheme="majorBidi"/>
      <w:i/>
      <w:iCs/>
      <w:sz w:val="24"/>
      <w:szCs w:val="24"/>
      <w:lang w:val="it-IT" w:eastAsia="en-US"/>
    </w:rPr>
  </w:style>
  <w:style w:type="character" w:customStyle="1" w:styleId="Heading7Char">
    <w:name w:val="Heading 7 Char"/>
    <w:basedOn w:val="DefaultParagraphFont"/>
    <w:link w:val="Heading7"/>
    <w:uiPriority w:val="9"/>
    <w:semiHidden/>
    <w:rsid w:val="006D72DA"/>
    <w:rPr>
      <w:rFonts w:ascii="Arial" w:eastAsiaTheme="majorEastAsia" w:hAnsi="Arial" w:cstheme="majorBidi"/>
      <w:b/>
      <w:i/>
      <w:iCs/>
      <w:color w:val="404040" w:themeColor="text1" w:themeTint="BF"/>
      <w:sz w:val="24"/>
      <w:szCs w:val="24"/>
      <w:lang w:val="it-IT" w:eastAsia="en-US"/>
    </w:rPr>
  </w:style>
  <w:style w:type="character" w:customStyle="1" w:styleId="Heading8Char">
    <w:name w:val="Heading 8 Char"/>
    <w:basedOn w:val="DefaultParagraphFont"/>
    <w:link w:val="Heading8"/>
    <w:uiPriority w:val="9"/>
    <w:rsid w:val="006D72DA"/>
    <w:rPr>
      <w:rFonts w:ascii="Arial" w:eastAsiaTheme="majorEastAsia" w:hAnsi="Arial" w:cstheme="majorBidi"/>
      <w:b/>
      <w:sz w:val="36"/>
      <w:lang w:val="it-IT" w:eastAsia="en-US"/>
    </w:rPr>
  </w:style>
  <w:style w:type="character" w:customStyle="1" w:styleId="Heading9Char">
    <w:name w:val="Heading 9 Char"/>
    <w:basedOn w:val="DefaultParagraphFont"/>
    <w:link w:val="Heading9"/>
    <w:uiPriority w:val="9"/>
    <w:rsid w:val="006D72DA"/>
    <w:rPr>
      <w:rFonts w:ascii="Arial" w:eastAsiaTheme="majorEastAsia" w:hAnsi="Arial" w:cstheme="majorBidi"/>
      <w:b/>
      <w:iCs/>
      <w:sz w:val="28"/>
      <w:lang w:val="it-IT" w:eastAsia="en-US"/>
    </w:rPr>
  </w:style>
  <w:style w:type="character" w:styleId="FootnoteReference">
    <w:name w:val="footnote reference"/>
    <w:semiHidden/>
    <w:qFormat/>
    <w:rsid w:val="00B7591A"/>
    <w:rPr>
      <w:rFonts w:ascii="Arial" w:hAnsi="Arial"/>
      <w:sz w:val="20"/>
      <w:vertAlign w:val="superscript"/>
    </w:rPr>
  </w:style>
  <w:style w:type="character" w:styleId="Emphasis">
    <w:name w:val="Emphasis"/>
    <w:basedOn w:val="DefaultParagraphFont"/>
    <w:uiPriority w:val="99"/>
    <w:qFormat/>
    <w:rsid w:val="00900EC9"/>
    <w:rPr>
      <w:rFonts w:ascii="Arial" w:hAnsi="Arial"/>
      <w:i/>
      <w:iCs/>
    </w:rPr>
  </w:style>
  <w:style w:type="character" w:styleId="EndnoteReference">
    <w:name w:val="endnote reference"/>
    <w:basedOn w:val="DefaultParagraphFont"/>
    <w:uiPriority w:val="99"/>
    <w:unhideWhenUsed/>
    <w:rsid w:val="00900EC9"/>
    <w:rPr>
      <w:rFonts w:ascii="Arial" w:hAnsi="Arial"/>
      <w:vertAlign w:val="superscript"/>
    </w:rPr>
  </w:style>
  <w:style w:type="paragraph" w:styleId="EndnoteText">
    <w:name w:val="endnote text"/>
    <w:basedOn w:val="Normal"/>
    <w:link w:val="EndnoteTextChar"/>
    <w:uiPriority w:val="99"/>
    <w:unhideWhenUsed/>
    <w:rsid w:val="00833542"/>
    <w:pPr>
      <w:keepLines/>
      <w:tabs>
        <w:tab w:val="num" w:pos="567"/>
      </w:tabs>
      <w:spacing w:after="0" w:line="240" w:lineRule="auto"/>
      <w:ind w:left="720" w:hanging="720"/>
    </w:pPr>
    <w:rPr>
      <w:sz w:val="20"/>
    </w:rPr>
  </w:style>
  <w:style w:type="character" w:customStyle="1" w:styleId="EndnoteTextChar">
    <w:name w:val="Endnote Text Char"/>
    <w:basedOn w:val="DefaultParagraphFont"/>
    <w:link w:val="EndnoteText"/>
    <w:uiPriority w:val="99"/>
    <w:rsid w:val="00833542"/>
    <w:rPr>
      <w:rFonts w:ascii="Arial" w:hAnsi="Arial"/>
      <w:szCs w:val="24"/>
      <w:lang w:val="it-IT" w:eastAsia="en-US"/>
    </w:rPr>
  </w:style>
  <w:style w:type="character" w:styleId="FollowedHyperlink">
    <w:name w:val="FollowedHyperlink"/>
    <w:basedOn w:val="DefaultParagraphFont"/>
    <w:uiPriority w:val="99"/>
    <w:unhideWhenUsed/>
    <w:rsid w:val="00900EC9"/>
    <w:rPr>
      <w:rFonts w:ascii="Arial" w:hAnsi="Arial"/>
      <w:color w:val="800080" w:themeColor="followedHyperlink"/>
      <w:u w:val="single"/>
    </w:rPr>
  </w:style>
  <w:style w:type="paragraph" w:styleId="Footer">
    <w:name w:val="footer"/>
    <w:basedOn w:val="Normal"/>
    <w:next w:val="Normal"/>
    <w:link w:val="FooterChar"/>
    <w:uiPriority w:val="99"/>
    <w:unhideWhenUsed/>
    <w:rsid w:val="00900EC9"/>
    <w:pPr>
      <w:keepLines/>
      <w:tabs>
        <w:tab w:val="center" w:pos="4320"/>
        <w:tab w:val="right" w:pos="8640"/>
      </w:tabs>
      <w:spacing w:after="0" w:line="240" w:lineRule="auto"/>
    </w:pPr>
    <w:rPr>
      <w:b/>
      <w:sz w:val="18"/>
    </w:rPr>
  </w:style>
  <w:style w:type="character" w:customStyle="1" w:styleId="FooterChar">
    <w:name w:val="Footer Char"/>
    <w:basedOn w:val="DefaultParagraphFont"/>
    <w:link w:val="Footer"/>
    <w:uiPriority w:val="99"/>
    <w:rsid w:val="00900EC9"/>
    <w:rPr>
      <w:rFonts w:ascii="Arial" w:hAnsi="Arial"/>
      <w:b/>
      <w:sz w:val="18"/>
      <w:szCs w:val="24"/>
      <w:lang w:eastAsia="en-US"/>
    </w:rPr>
  </w:style>
  <w:style w:type="paragraph" w:styleId="FootnoteText">
    <w:name w:val="footnote text"/>
    <w:link w:val="FootnoteTextChar"/>
    <w:autoRedefine/>
    <w:uiPriority w:val="99"/>
    <w:qFormat/>
    <w:rsid w:val="00B7591A"/>
    <w:pPr>
      <w:ind w:left="397" w:hanging="397"/>
    </w:pPr>
    <w:rPr>
      <w:rFonts w:ascii="Arial" w:eastAsia="MS Mincho" w:hAnsi="Arial"/>
    </w:rPr>
  </w:style>
  <w:style w:type="character" w:customStyle="1" w:styleId="FootnoteTextChar">
    <w:name w:val="Footnote Text Char"/>
    <w:link w:val="FootnoteText"/>
    <w:uiPriority w:val="99"/>
    <w:rsid w:val="00B7591A"/>
    <w:rPr>
      <w:rFonts w:ascii="Arial" w:eastAsia="MS Mincho" w:hAnsi="Arial"/>
    </w:rPr>
  </w:style>
  <w:style w:type="paragraph" w:styleId="ListParagraph">
    <w:name w:val="List Paragraph"/>
    <w:basedOn w:val="Normal"/>
    <w:uiPriority w:val="34"/>
    <w:qFormat/>
    <w:rsid w:val="006D72DA"/>
    <w:pPr>
      <w:keepLines/>
      <w:ind w:left="720" w:hanging="720"/>
    </w:pPr>
  </w:style>
  <w:style w:type="paragraph" w:styleId="NormalIndent">
    <w:name w:val="Normal Indent"/>
    <w:basedOn w:val="Normal"/>
    <w:uiPriority w:val="99"/>
    <w:semiHidden/>
    <w:unhideWhenUsed/>
    <w:rsid w:val="00B7591A"/>
    <w:pPr>
      <w:ind w:left="680"/>
    </w:pPr>
  </w:style>
  <w:style w:type="character" w:styleId="PageNumber">
    <w:name w:val="page number"/>
    <w:basedOn w:val="DefaultParagraphFont"/>
    <w:semiHidden/>
    <w:rsid w:val="00B7591A"/>
    <w:rPr>
      <w:rFonts w:ascii="Arial" w:hAnsi="Arial"/>
      <w:sz w:val="20"/>
    </w:rPr>
  </w:style>
  <w:style w:type="paragraph" w:styleId="Quote">
    <w:name w:val="Quote"/>
    <w:basedOn w:val="Normal"/>
    <w:next w:val="Normal"/>
    <w:link w:val="QuoteChar"/>
    <w:uiPriority w:val="99"/>
    <w:rsid w:val="0039341C"/>
    <w:pPr>
      <w:keepLines/>
      <w:ind w:left="1440"/>
    </w:pPr>
    <w:rPr>
      <w:iCs/>
      <w:color w:val="000000" w:themeColor="text1"/>
    </w:rPr>
  </w:style>
  <w:style w:type="character" w:customStyle="1" w:styleId="QuoteChar">
    <w:name w:val="Quote Char"/>
    <w:basedOn w:val="DefaultParagraphFont"/>
    <w:link w:val="Quote"/>
    <w:uiPriority w:val="99"/>
    <w:rsid w:val="0039341C"/>
    <w:rPr>
      <w:rFonts w:ascii="Arial" w:hAnsi="Arial"/>
      <w:iCs/>
      <w:color w:val="000000" w:themeColor="text1"/>
      <w:sz w:val="24"/>
      <w:szCs w:val="24"/>
      <w:lang w:val="it-IT" w:eastAsia="en-US"/>
    </w:rPr>
  </w:style>
  <w:style w:type="character" w:styleId="Strong">
    <w:name w:val="Strong"/>
    <w:basedOn w:val="DefaultParagraphFont"/>
    <w:uiPriority w:val="99"/>
    <w:qFormat/>
    <w:rsid w:val="00900EC9"/>
    <w:rPr>
      <w:rFonts w:ascii="Arial" w:hAnsi="Arial"/>
      <w:b/>
      <w:bCs/>
      <w:i w:val="0"/>
      <w:color w:val="auto"/>
    </w:rPr>
  </w:style>
  <w:style w:type="table" w:customStyle="1" w:styleId="TableNormal10ptArial">
    <w:name w:val="Table Normal 10pt Arial"/>
    <w:basedOn w:val="TableNormal"/>
    <w:uiPriority w:val="99"/>
    <w:rsid w:val="00B7591A"/>
    <w:rPr>
      <w:rFonts w:ascii="Arial" w:hAnsi="Arial"/>
    </w:rPr>
    <w:tblPr>
      <w:tblInd w:w="0" w:type="dxa"/>
      <w:tblCellMar>
        <w:top w:w="0" w:type="dxa"/>
        <w:left w:w="108" w:type="dxa"/>
        <w:bottom w:w="0" w:type="dxa"/>
        <w:right w:w="108" w:type="dxa"/>
      </w:tblCellMar>
    </w:tblPr>
  </w:style>
  <w:style w:type="character" w:styleId="Hyperlink">
    <w:name w:val="Hyperlink"/>
    <w:uiPriority w:val="99"/>
    <w:unhideWhenUsed/>
    <w:rsid w:val="00900EC9"/>
    <w:rPr>
      <w:rFonts w:ascii="Arial" w:hAnsi="Arial"/>
      <w:color w:val="548DD4" w:themeColor="text2" w:themeTint="99"/>
      <w:u w:val="none"/>
    </w:rPr>
  </w:style>
  <w:style w:type="character" w:styleId="IntenseEmphasis">
    <w:name w:val="Intense Emphasis"/>
    <w:basedOn w:val="DefaultParagraphFont"/>
    <w:uiPriority w:val="21"/>
    <w:rsid w:val="00900EC9"/>
    <w:rPr>
      <w:rFonts w:ascii="Arial" w:hAnsi="Arial"/>
      <w:b/>
      <w:bCs/>
      <w:i/>
      <w:iCs/>
      <w:color w:val="auto"/>
    </w:rPr>
  </w:style>
  <w:style w:type="paragraph" w:customStyle="1" w:styleId="CopyrightText">
    <w:name w:val="Copyright Text"/>
    <w:basedOn w:val="Normal"/>
    <w:uiPriority w:val="99"/>
    <w:rsid w:val="00900EC9"/>
    <w:pPr>
      <w:widowControl w:val="0"/>
      <w:tabs>
        <w:tab w:val="left" w:pos="170"/>
      </w:tabs>
      <w:suppressAutoHyphens/>
      <w:autoSpaceDE w:val="0"/>
      <w:autoSpaceDN w:val="0"/>
      <w:adjustRightInd w:val="0"/>
      <w:spacing w:after="57"/>
      <w:textAlignment w:val="center"/>
    </w:pPr>
    <w:rPr>
      <w:rFonts w:cs="HelveticaCYPlain"/>
      <w:sz w:val="20"/>
      <w:szCs w:val="16"/>
      <w:u w:color="000000"/>
      <w:lang w:eastAsia="en-AU"/>
    </w:rPr>
  </w:style>
  <w:style w:type="paragraph" w:styleId="Header">
    <w:name w:val="header"/>
    <w:basedOn w:val="Normal"/>
    <w:next w:val="Normal"/>
    <w:link w:val="HeaderChar"/>
    <w:uiPriority w:val="99"/>
    <w:unhideWhenUsed/>
    <w:rsid w:val="00900EC9"/>
    <w:pPr>
      <w:keepLines/>
      <w:tabs>
        <w:tab w:val="center" w:pos="4320"/>
        <w:tab w:val="right" w:pos="8640"/>
      </w:tabs>
      <w:spacing w:after="0" w:line="240" w:lineRule="auto"/>
    </w:pPr>
    <w:rPr>
      <w:b/>
      <w:sz w:val="18"/>
    </w:rPr>
  </w:style>
  <w:style w:type="character" w:customStyle="1" w:styleId="HeaderChar">
    <w:name w:val="Header Char"/>
    <w:basedOn w:val="DefaultParagraphFont"/>
    <w:link w:val="Header"/>
    <w:uiPriority w:val="99"/>
    <w:rsid w:val="00900EC9"/>
    <w:rPr>
      <w:rFonts w:ascii="Arial" w:hAnsi="Arial"/>
      <w:b/>
      <w:sz w:val="18"/>
      <w:szCs w:val="24"/>
      <w:lang w:eastAsia="en-US"/>
    </w:rPr>
  </w:style>
  <w:style w:type="paragraph" w:customStyle="1" w:styleId="InternalTitleAHRC">
    <w:name w:val="Internal Title AHRC"/>
    <w:basedOn w:val="Normal"/>
    <w:uiPriority w:val="99"/>
    <w:rsid w:val="00900EC9"/>
    <w:pPr>
      <w:keepLines/>
      <w:widowControl w:val="0"/>
      <w:tabs>
        <w:tab w:val="left" w:pos="680"/>
      </w:tabs>
      <w:suppressAutoHyphens/>
      <w:autoSpaceDE w:val="0"/>
      <w:autoSpaceDN w:val="0"/>
      <w:adjustRightInd w:val="0"/>
      <w:spacing w:after="0"/>
      <w:ind w:left="283" w:hanging="283"/>
      <w:textAlignment w:val="center"/>
    </w:pPr>
    <w:rPr>
      <w:rFonts w:cs="HelveticaNeue-Bold"/>
      <w:b/>
      <w:bCs/>
      <w:color w:val="6D6F70"/>
      <w:sz w:val="20"/>
      <w:szCs w:val="20"/>
      <w:lang w:eastAsia="en-AU"/>
    </w:rPr>
  </w:style>
  <w:style w:type="paragraph" w:customStyle="1" w:styleId="EndnotesHeading">
    <w:name w:val="Endnotes (Heading)"/>
    <w:basedOn w:val="Normal"/>
    <w:rsid w:val="00B9369D"/>
    <w:pPr>
      <w:keepLines/>
    </w:pPr>
    <w:rPr>
      <w:b/>
      <w:color w:val="548DD4" w:themeColor="text2" w:themeTint="99"/>
      <w:sz w:val="20"/>
      <w:szCs w:val="18"/>
    </w:rPr>
  </w:style>
  <w:style w:type="paragraph" w:customStyle="1" w:styleId="TableHeader">
    <w:name w:val="Table Header"/>
    <w:basedOn w:val="Normal"/>
    <w:uiPriority w:val="99"/>
    <w:rsid w:val="00402009"/>
    <w:pPr>
      <w:widowControl w:val="0"/>
      <w:suppressAutoHyphens/>
      <w:autoSpaceDE w:val="0"/>
      <w:autoSpaceDN w:val="0"/>
      <w:adjustRightInd w:val="0"/>
      <w:spacing w:after="0" w:line="240" w:lineRule="auto"/>
      <w:textAlignment w:val="center"/>
    </w:pPr>
    <w:rPr>
      <w:rFonts w:cs="HelveticaCYBold"/>
      <w:b/>
      <w:bCs/>
      <w:sz w:val="20"/>
      <w:szCs w:val="17"/>
      <w:lang w:val="en-US" w:eastAsia="en-AU"/>
    </w:rPr>
  </w:style>
  <w:style w:type="paragraph" w:customStyle="1" w:styleId="TableText">
    <w:name w:val="Table Text"/>
    <w:basedOn w:val="Normal"/>
    <w:uiPriority w:val="99"/>
    <w:rsid w:val="00402009"/>
    <w:pPr>
      <w:widowControl w:val="0"/>
      <w:suppressAutoHyphens/>
      <w:autoSpaceDE w:val="0"/>
      <w:autoSpaceDN w:val="0"/>
      <w:adjustRightInd w:val="0"/>
      <w:spacing w:after="0" w:line="240" w:lineRule="auto"/>
      <w:textAlignment w:val="center"/>
    </w:pPr>
    <w:rPr>
      <w:rFonts w:cs="HelveticaCYPlain"/>
      <w:color w:val="000000"/>
      <w:sz w:val="20"/>
      <w:szCs w:val="15"/>
      <w:lang w:val="en-US" w:eastAsia="en-AU"/>
    </w:rPr>
  </w:style>
  <w:style w:type="paragraph" w:customStyle="1" w:styleId="BulletsList">
    <w:name w:val="Bullets List"/>
    <w:basedOn w:val="Normal"/>
    <w:uiPriority w:val="99"/>
    <w:rsid w:val="00D82B60"/>
    <w:pPr>
      <w:keepLines/>
      <w:widowControl w:val="0"/>
      <w:tabs>
        <w:tab w:val="left" w:pos="567"/>
        <w:tab w:val="num" w:pos="964"/>
      </w:tabs>
      <w:suppressAutoHyphens/>
      <w:autoSpaceDE w:val="0"/>
      <w:autoSpaceDN w:val="0"/>
      <w:adjustRightInd w:val="0"/>
      <w:ind w:left="1644" w:hanging="357"/>
      <w:textAlignment w:val="center"/>
    </w:pPr>
    <w:rPr>
      <w:rFonts w:cs="HelveticaNeue"/>
      <w:color w:val="000000"/>
      <w:szCs w:val="17"/>
      <w:lang w:val="en-US" w:eastAsia="en-AU"/>
    </w:rPr>
  </w:style>
  <w:style w:type="paragraph" w:customStyle="1" w:styleId="BulletsList0">
    <w:name w:val="Bullets List &gt;"/>
    <w:basedOn w:val="BulletsList"/>
    <w:uiPriority w:val="99"/>
    <w:rsid w:val="006D72DA"/>
    <w:pPr>
      <w:tabs>
        <w:tab w:val="clear" w:pos="964"/>
        <w:tab w:val="num" w:pos="1247"/>
      </w:tabs>
      <w:ind w:left="1247" w:hanging="283"/>
    </w:pPr>
  </w:style>
  <w:style w:type="paragraph" w:customStyle="1" w:styleId="BulletsList1">
    <w:name w:val="Bullets List &gt;&gt;"/>
    <w:basedOn w:val="BulletsList0"/>
    <w:uiPriority w:val="99"/>
    <w:rsid w:val="006D72DA"/>
    <w:pPr>
      <w:tabs>
        <w:tab w:val="clear" w:pos="1247"/>
        <w:tab w:val="left" w:pos="850"/>
        <w:tab w:val="num" w:pos="1531"/>
      </w:tabs>
      <w:ind w:left="1531" w:hanging="284"/>
    </w:pPr>
  </w:style>
  <w:style w:type="paragraph" w:customStyle="1" w:styleId="BulletsMargin">
    <w:name w:val="Bullets Margin"/>
    <w:basedOn w:val="Normal"/>
    <w:uiPriority w:val="99"/>
    <w:rsid w:val="006D72DA"/>
    <w:pPr>
      <w:keepLines/>
      <w:widowControl w:val="0"/>
      <w:tabs>
        <w:tab w:val="num" w:pos="680"/>
      </w:tabs>
      <w:suppressAutoHyphens/>
      <w:autoSpaceDE w:val="0"/>
      <w:autoSpaceDN w:val="0"/>
      <w:adjustRightInd w:val="0"/>
      <w:spacing w:after="100"/>
      <w:ind w:left="680" w:hanging="396"/>
      <w:textAlignment w:val="center"/>
    </w:pPr>
    <w:rPr>
      <w:rFonts w:cs="HelveticaNeue"/>
      <w:color w:val="000000"/>
      <w:szCs w:val="17"/>
      <w:lang w:val="en-US" w:eastAsia="en-AU"/>
    </w:rPr>
  </w:style>
  <w:style w:type="paragraph" w:customStyle="1" w:styleId="PullQuote">
    <w:name w:val="Pull Quote"/>
    <w:basedOn w:val="Normal"/>
    <w:uiPriority w:val="99"/>
    <w:rsid w:val="00900EC9"/>
    <w:pPr>
      <w:keepLines/>
      <w:widowControl w:val="0"/>
      <w:suppressAutoHyphens/>
      <w:autoSpaceDE w:val="0"/>
      <w:autoSpaceDN w:val="0"/>
      <w:adjustRightInd w:val="0"/>
      <w:spacing w:after="0"/>
      <w:textAlignment w:val="center"/>
    </w:pPr>
    <w:rPr>
      <w:rFonts w:cs="HelveticaNeue-Bold"/>
      <w:b/>
      <w:bCs/>
      <w:color w:val="FFFFFF" w:themeColor="background1"/>
      <w:szCs w:val="16"/>
      <w:lang w:val="en-US" w:eastAsia="en-AU"/>
    </w:rPr>
  </w:style>
  <w:style w:type="paragraph" w:styleId="TOC1">
    <w:name w:val="toc 1"/>
    <w:basedOn w:val="Normal"/>
    <w:next w:val="Normal"/>
    <w:autoRedefine/>
    <w:uiPriority w:val="39"/>
    <w:unhideWhenUsed/>
    <w:rsid w:val="007E1FD7"/>
    <w:pPr>
      <w:keepLines/>
      <w:tabs>
        <w:tab w:val="left" w:pos="720"/>
        <w:tab w:val="right" w:pos="9015"/>
      </w:tabs>
    </w:pPr>
    <w:rPr>
      <w:b/>
    </w:rPr>
  </w:style>
  <w:style w:type="paragraph" w:styleId="TOC2">
    <w:name w:val="toc 2"/>
    <w:basedOn w:val="Normal"/>
    <w:next w:val="Normal"/>
    <w:autoRedefine/>
    <w:uiPriority w:val="39"/>
    <w:unhideWhenUsed/>
    <w:rsid w:val="00232D6D"/>
    <w:pPr>
      <w:keepLines/>
      <w:tabs>
        <w:tab w:val="left" w:pos="720"/>
        <w:tab w:val="left" w:pos="1440"/>
        <w:tab w:val="right" w:pos="9015"/>
      </w:tabs>
      <w:ind w:left="720"/>
    </w:pPr>
  </w:style>
  <w:style w:type="paragraph" w:customStyle="1" w:styleId="EndnoteBullets">
    <w:name w:val="Endnote Bullets"/>
    <w:uiPriority w:val="99"/>
    <w:rsid w:val="00900EC9"/>
    <w:pPr>
      <w:widowControl w:val="0"/>
      <w:tabs>
        <w:tab w:val="left" w:pos="567"/>
      </w:tabs>
      <w:suppressAutoHyphens/>
      <w:autoSpaceDE w:val="0"/>
      <w:autoSpaceDN w:val="0"/>
      <w:adjustRightInd w:val="0"/>
      <w:textAlignment w:val="center"/>
    </w:pPr>
    <w:rPr>
      <w:rFonts w:ascii="Arial" w:hAnsi="Arial" w:cs="HelveticaNeue"/>
      <w:color w:val="000000"/>
      <w:lang w:val="en-US"/>
    </w:rPr>
  </w:style>
  <w:style w:type="paragraph" w:customStyle="1" w:styleId="NoParagraphStyle">
    <w:name w:val="[No Paragraph Style]"/>
    <w:rsid w:val="000E3DC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InternalTitleBold">
    <w:name w:val="Internal Title Bold"/>
    <w:basedOn w:val="NoParagraphStyle"/>
    <w:uiPriority w:val="99"/>
    <w:rsid w:val="000E3DC1"/>
    <w:pPr>
      <w:keepNext/>
      <w:tabs>
        <w:tab w:val="left" w:pos="567"/>
      </w:tabs>
      <w:suppressAutoHyphens/>
      <w:spacing w:after="283" w:line="400" w:lineRule="atLeast"/>
    </w:pPr>
    <w:rPr>
      <w:rFonts w:ascii="HelveticaCYBold" w:hAnsi="HelveticaCYBold" w:cs="HelveticaCYBold"/>
      <w:b/>
      <w:bCs/>
      <w:color w:val="4C4C4C"/>
      <w:sz w:val="36"/>
      <w:szCs w:val="36"/>
      <w:lang w:val="en-AU"/>
    </w:rPr>
  </w:style>
  <w:style w:type="paragraph" w:customStyle="1" w:styleId="Footnote">
    <w:name w:val="Footnote"/>
    <w:basedOn w:val="NoParagraphStyle"/>
    <w:uiPriority w:val="99"/>
    <w:rsid w:val="000E3DC1"/>
    <w:pPr>
      <w:tabs>
        <w:tab w:val="left" w:pos="680"/>
      </w:tabs>
      <w:suppressAutoHyphens/>
      <w:ind w:left="283" w:hanging="283"/>
    </w:pPr>
    <w:rPr>
      <w:rFonts w:ascii="HelveticaNeue" w:hAnsi="HelveticaNeue" w:cs="HelveticaNeue"/>
      <w:sz w:val="14"/>
      <w:szCs w:val="14"/>
      <w:lang w:val="en-AU"/>
    </w:rPr>
  </w:style>
  <w:style w:type="paragraph" w:styleId="BalloonText">
    <w:name w:val="Balloon Text"/>
    <w:basedOn w:val="Normal"/>
    <w:link w:val="BalloonTextChar"/>
    <w:uiPriority w:val="99"/>
    <w:semiHidden/>
    <w:unhideWhenUsed/>
    <w:rsid w:val="000E3DC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DC1"/>
    <w:rPr>
      <w:rFonts w:ascii="Lucida Grande" w:hAnsi="Lucida Grande" w:cs="Lucida Grande"/>
      <w:sz w:val="18"/>
      <w:szCs w:val="18"/>
      <w:lang w:val="it-IT" w:eastAsia="en-US"/>
    </w:rPr>
  </w:style>
  <w:style w:type="paragraph" w:customStyle="1" w:styleId="LetterAHRC">
    <w:name w:val="Letter (AHRC)"/>
    <w:basedOn w:val="NoParagraphStyle"/>
    <w:uiPriority w:val="99"/>
    <w:rsid w:val="000E3DC1"/>
    <w:pPr>
      <w:suppressAutoHyphens/>
      <w:spacing w:after="113"/>
    </w:pPr>
    <w:rPr>
      <w:rFonts w:ascii="HelveticaCYBold" w:hAnsi="HelveticaCYBold" w:cs="HelveticaCYBold"/>
      <w:b/>
      <w:bCs/>
      <w:sz w:val="15"/>
      <w:szCs w:val="15"/>
    </w:rPr>
  </w:style>
  <w:style w:type="paragraph" w:customStyle="1" w:styleId="LetterheadAddress">
    <w:name w:val="Letterhead Address"/>
    <w:basedOn w:val="NoParagraphStyle"/>
    <w:uiPriority w:val="99"/>
    <w:rsid w:val="000E3DC1"/>
    <w:pPr>
      <w:suppressAutoHyphens/>
      <w:spacing w:after="57"/>
    </w:pPr>
    <w:rPr>
      <w:rFonts w:ascii="HelveticaNeue" w:hAnsi="HelveticaNeue" w:cs="HelveticaNeue"/>
      <w:sz w:val="14"/>
      <w:szCs w:val="14"/>
      <w:lang w:val="en-AU"/>
    </w:rPr>
  </w:style>
  <w:style w:type="paragraph" w:styleId="BodyTextIndent">
    <w:name w:val="Body Text Indent"/>
    <w:basedOn w:val="Normal"/>
    <w:link w:val="BodyTextIndentChar"/>
    <w:uiPriority w:val="99"/>
    <w:unhideWhenUsed/>
    <w:rsid w:val="00D6621A"/>
    <w:pPr>
      <w:spacing w:after="120"/>
      <w:ind w:left="283"/>
    </w:pPr>
  </w:style>
  <w:style w:type="character" w:customStyle="1" w:styleId="BodyTextIndentChar">
    <w:name w:val="Body Text Indent Char"/>
    <w:basedOn w:val="DefaultParagraphFont"/>
    <w:link w:val="BodyTextIndent"/>
    <w:uiPriority w:val="99"/>
    <w:rsid w:val="00D6621A"/>
    <w:rPr>
      <w:rFonts w:ascii="Arial" w:hAnsi="Arial"/>
      <w:sz w:val="24"/>
      <w:szCs w:val="24"/>
      <w:lang w:val="it-IT" w:eastAsia="en-US"/>
    </w:rPr>
  </w:style>
  <w:style w:type="paragraph" w:customStyle="1" w:styleId="Heading11">
    <w:name w:val="Heading 1: 1"/>
    <w:basedOn w:val="NoParagraphStyle"/>
    <w:next w:val="Normal"/>
    <w:uiPriority w:val="99"/>
    <w:rsid w:val="00D6621A"/>
    <w:pPr>
      <w:keepNext/>
      <w:tabs>
        <w:tab w:val="left" w:pos="680"/>
      </w:tabs>
      <w:suppressAutoHyphens/>
      <w:spacing w:before="227" w:after="227" w:line="520" w:lineRule="atLeast"/>
      <w:ind w:left="680" w:hanging="680"/>
    </w:pPr>
    <w:rPr>
      <w:rFonts w:ascii="HelveticaCYPlain" w:hAnsi="HelveticaCYPlain" w:cs="HelveticaCYPlain"/>
      <w:color w:val="4C4C4C"/>
      <w:sz w:val="52"/>
      <w:szCs w:val="52"/>
      <w:lang w:val="en-AU"/>
    </w:rPr>
  </w:style>
  <w:style w:type="paragraph" w:customStyle="1" w:styleId="Bulletsa">
    <w:name w:val="Bullets (a)"/>
    <w:basedOn w:val="NoParagraphStyle"/>
    <w:next w:val="NoParagraphStyle"/>
    <w:uiPriority w:val="99"/>
    <w:rsid w:val="006D72DA"/>
    <w:pPr>
      <w:keepLines/>
      <w:widowControl/>
      <w:suppressAutoHyphens/>
      <w:spacing w:after="200"/>
      <w:ind w:left="1854" w:hanging="567"/>
    </w:pPr>
    <w:rPr>
      <w:rFonts w:ascii="Arial" w:hAnsi="Arial" w:cs="HelveticaNeue"/>
      <w:szCs w:val="17"/>
    </w:rPr>
  </w:style>
  <w:style w:type="paragraph" w:customStyle="1" w:styleId="Heading211">
    <w:name w:val="Heading 2: 1.1"/>
    <w:basedOn w:val="Normal"/>
    <w:uiPriority w:val="99"/>
    <w:rsid w:val="00D6621A"/>
    <w:pPr>
      <w:keepNext/>
      <w:keepLines/>
      <w:widowControl w:val="0"/>
      <w:tabs>
        <w:tab w:val="left" w:pos="0"/>
        <w:tab w:val="left" w:pos="680"/>
      </w:tabs>
      <w:suppressAutoHyphens/>
      <w:autoSpaceDE w:val="0"/>
      <w:autoSpaceDN w:val="0"/>
      <w:adjustRightInd w:val="0"/>
      <w:spacing w:before="170" w:after="170" w:line="360" w:lineRule="atLeast"/>
      <w:ind w:left="680" w:hanging="680"/>
      <w:textAlignment w:val="center"/>
    </w:pPr>
    <w:rPr>
      <w:rFonts w:ascii="HelveticaCYPlain" w:hAnsi="HelveticaCYPlain" w:cs="HelveticaCYPlain"/>
      <w:color w:val="000000"/>
      <w:sz w:val="36"/>
      <w:szCs w:val="36"/>
      <w:lang w:val="en-AU" w:eastAsia="en-AU"/>
    </w:rPr>
  </w:style>
  <w:style w:type="paragraph" w:customStyle="1" w:styleId="Bulletsi">
    <w:name w:val="Bullets i)"/>
    <w:basedOn w:val="NoParagraphStyle"/>
    <w:next w:val="NoParagraphStyle"/>
    <w:uiPriority w:val="99"/>
    <w:rsid w:val="0003227F"/>
    <w:pPr>
      <w:keepLines/>
      <w:suppressAutoHyphens/>
      <w:spacing w:after="100"/>
      <w:ind w:left="2421" w:hanging="567"/>
    </w:pPr>
    <w:rPr>
      <w:rFonts w:ascii="Arial" w:hAnsi="Arial" w:cs="HelveticaNeue"/>
      <w:color w:val="auto"/>
      <w:szCs w:val="17"/>
    </w:rPr>
  </w:style>
  <w:style w:type="paragraph" w:customStyle="1" w:styleId="BodyQuote10mm2">
    <w:name w:val="Body Quote 10mm +2"/>
    <w:basedOn w:val="NoParagraphStyle"/>
    <w:uiPriority w:val="99"/>
    <w:rsid w:val="00D6621A"/>
    <w:pPr>
      <w:keepLines/>
      <w:suppressAutoHyphens/>
      <w:spacing w:after="113"/>
      <w:ind w:left="1247"/>
    </w:pPr>
    <w:rPr>
      <w:rFonts w:ascii="HelveticaNeue" w:hAnsi="HelveticaNeue" w:cs="HelveticaNeue"/>
      <w:sz w:val="17"/>
      <w:szCs w:val="17"/>
      <w:lang w:val="en-GB"/>
    </w:rPr>
  </w:style>
  <w:style w:type="paragraph" w:customStyle="1" w:styleId="Bullets1">
    <w:name w:val="Bullets 1."/>
    <w:basedOn w:val="NoParagraphStyle"/>
    <w:next w:val="NoParagraphStyle"/>
    <w:uiPriority w:val="99"/>
    <w:rsid w:val="00D6621A"/>
    <w:pPr>
      <w:tabs>
        <w:tab w:val="left" w:pos="850"/>
      </w:tabs>
      <w:suppressAutoHyphens/>
      <w:spacing w:after="113"/>
      <w:ind w:left="1247" w:hanging="283"/>
    </w:pPr>
    <w:rPr>
      <w:rFonts w:ascii="HelveticaNeue" w:hAnsi="HelveticaNeue" w:cs="HelveticaNeue"/>
      <w:sz w:val="17"/>
      <w:szCs w:val="17"/>
    </w:rPr>
  </w:style>
  <w:style w:type="paragraph" w:customStyle="1" w:styleId="BodyTextIndent12mm">
    <w:name w:val="Body Text Indent 12mm"/>
    <w:basedOn w:val="BodyTextIndent"/>
    <w:uiPriority w:val="99"/>
    <w:rsid w:val="00D6621A"/>
    <w:pPr>
      <w:widowControl w:val="0"/>
      <w:tabs>
        <w:tab w:val="left" w:pos="567"/>
      </w:tabs>
      <w:suppressAutoHyphens/>
      <w:autoSpaceDE w:val="0"/>
      <w:autoSpaceDN w:val="0"/>
      <w:adjustRightInd w:val="0"/>
      <w:spacing w:after="113"/>
      <w:ind w:left="680"/>
      <w:textAlignment w:val="center"/>
    </w:pPr>
    <w:rPr>
      <w:rFonts w:ascii="HelveticaNeue" w:hAnsi="HelveticaNeue" w:cs="HelveticaNeue"/>
      <w:color w:val="000000"/>
      <w:sz w:val="17"/>
      <w:szCs w:val="17"/>
      <w:lang w:val="en-US" w:eastAsia="en-AU"/>
    </w:rPr>
  </w:style>
  <w:style w:type="character" w:customStyle="1" w:styleId="Pantone300C">
    <w:name w:val="Pantone 300 C"/>
    <w:uiPriority w:val="99"/>
    <w:rsid w:val="00D6621A"/>
    <w:rPr>
      <w:color w:val="008EFF"/>
    </w:rPr>
  </w:style>
  <w:style w:type="paragraph" w:styleId="Revision">
    <w:name w:val="Revision"/>
    <w:hidden/>
    <w:uiPriority w:val="99"/>
    <w:semiHidden/>
    <w:rsid w:val="00651527"/>
    <w:rPr>
      <w:rFonts w:ascii="Arial" w:hAnsi="Arial"/>
      <w:sz w:val="24"/>
      <w:szCs w:val="24"/>
      <w:lang w:val="it-IT" w:eastAsia="en-US"/>
    </w:rPr>
  </w:style>
  <w:style w:type="paragraph" w:styleId="DocumentMap">
    <w:name w:val="Document Map"/>
    <w:basedOn w:val="Normal"/>
    <w:link w:val="DocumentMapChar"/>
    <w:uiPriority w:val="99"/>
    <w:semiHidden/>
    <w:unhideWhenUsed/>
    <w:rsid w:val="00651527"/>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651527"/>
    <w:rPr>
      <w:rFonts w:ascii="Lucida Grande" w:hAnsi="Lucida Grande" w:cs="Lucida Grande"/>
      <w:sz w:val="24"/>
      <w:szCs w:val="24"/>
      <w:lang w:val="it-IT" w:eastAsia="en-US"/>
    </w:rPr>
  </w:style>
  <w:style w:type="paragraph" w:styleId="TOC3">
    <w:name w:val="toc 3"/>
    <w:basedOn w:val="Normal"/>
    <w:next w:val="Normal"/>
    <w:autoRedefine/>
    <w:uiPriority w:val="39"/>
    <w:unhideWhenUsed/>
    <w:rsid w:val="004C31E4"/>
    <w:pPr>
      <w:ind w:left="480"/>
    </w:pPr>
  </w:style>
  <w:style w:type="paragraph" w:styleId="TOC4">
    <w:name w:val="toc 4"/>
    <w:basedOn w:val="Normal"/>
    <w:next w:val="Normal"/>
    <w:autoRedefine/>
    <w:uiPriority w:val="39"/>
    <w:unhideWhenUsed/>
    <w:rsid w:val="004C31E4"/>
    <w:pPr>
      <w:ind w:left="720"/>
    </w:pPr>
  </w:style>
  <w:style w:type="paragraph" w:styleId="TOC5">
    <w:name w:val="toc 5"/>
    <w:basedOn w:val="Normal"/>
    <w:next w:val="Normal"/>
    <w:autoRedefine/>
    <w:uiPriority w:val="39"/>
    <w:unhideWhenUsed/>
    <w:rsid w:val="004C31E4"/>
    <w:pPr>
      <w:ind w:left="960"/>
    </w:pPr>
  </w:style>
  <w:style w:type="paragraph" w:styleId="TOC6">
    <w:name w:val="toc 6"/>
    <w:basedOn w:val="Normal"/>
    <w:next w:val="Normal"/>
    <w:autoRedefine/>
    <w:uiPriority w:val="39"/>
    <w:unhideWhenUsed/>
    <w:rsid w:val="004C31E4"/>
    <w:pPr>
      <w:ind w:left="1200"/>
    </w:pPr>
  </w:style>
  <w:style w:type="paragraph" w:styleId="TOC7">
    <w:name w:val="toc 7"/>
    <w:basedOn w:val="Normal"/>
    <w:next w:val="Normal"/>
    <w:autoRedefine/>
    <w:uiPriority w:val="39"/>
    <w:unhideWhenUsed/>
    <w:rsid w:val="004C31E4"/>
    <w:pPr>
      <w:ind w:left="1440"/>
    </w:pPr>
  </w:style>
  <w:style w:type="paragraph" w:styleId="TOC8">
    <w:name w:val="toc 8"/>
    <w:basedOn w:val="Normal"/>
    <w:next w:val="Normal"/>
    <w:autoRedefine/>
    <w:uiPriority w:val="39"/>
    <w:unhideWhenUsed/>
    <w:rsid w:val="004C31E4"/>
    <w:pPr>
      <w:ind w:left="1680"/>
    </w:pPr>
  </w:style>
  <w:style w:type="paragraph" w:styleId="TOC9">
    <w:name w:val="toc 9"/>
    <w:basedOn w:val="Normal"/>
    <w:next w:val="Normal"/>
    <w:autoRedefine/>
    <w:uiPriority w:val="39"/>
    <w:unhideWhenUsed/>
    <w:rsid w:val="004C31E4"/>
    <w:pPr>
      <w:ind w:left="1920"/>
    </w:pPr>
  </w:style>
  <w:style w:type="paragraph" w:customStyle="1" w:styleId="BodyListParagraph">
    <w:name w:val="Body List Paragraph"/>
    <w:basedOn w:val="BulletsList"/>
    <w:uiPriority w:val="99"/>
    <w:rsid w:val="00C95492"/>
    <w:pPr>
      <w:tabs>
        <w:tab w:val="clear" w:pos="567"/>
        <w:tab w:val="clear" w:pos="964"/>
        <w:tab w:val="left" w:pos="680"/>
      </w:tabs>
      <w:spacing w:after="113"/>
      <w:ind w:left="680" w:hanging="680"/>
    </w:pPr>
    <w:rPr>
      <w:rFonts w:ascii="HelveticaNeue" w:hAnsi="HelveticaNeue"/>
      <w:sz w:val="17"/>
    </w:rPr>
  </w:style>
  <w:style w:type="paragraph" w:customStyle="1" w:styleId="Bulletsa0">
    <w:name w:val="Bullets a)"/>
    <w:basedOn w:val="NoParagraphStyle"/>
    <w:next w:val="NoParagraphStyle"/>
    <w:uiPriority w:val="99"/>
    <w:rsid w:val="00D82B60"/>
    <w:pPr>
      <w:suppressAutoHyphens/>
      <w:spacing w:after="200"/>
      <w:ind w:left="1644" w:hanging="357"/>
    </w:pPr>
    <w:rPr>
      <w:rFonts w:ascii="Arial" w:hAnsi="Arial" w:cs="HelveticaNeue"/>
      <w:szCs w:val="17"/>
    </w:rPr>
  </w:style>
  <w:style w:type="paragraph" w:customStyle="1" w:styleId="BasicParagraph">
    <w:name w:val="[Basic Paragraph]"/>
    <w:basedOn w:val="NoParagraphStyle"/>
    <w:uiPriority w:val="99"/>
    <w:rsid w:val="00C95492"/>
  </w:style>
  <w:style w:type="paragraph" w:customStyle="1" w:styleId="EndnoteFirst">
    <w:name w:val="Endnote (First)"/>
    <w:basedOn w:val="EndnoteText"/>
    <w:uiPriority w:val="99"/>
    <w:rsid w:val="00C95492"/>
    <w:pPr>
      <w:keepLines w:val="0"/>
      <w:widowControl w:val="0"/>
      <w:pBdr>
        <w:top w:val="single" w:sz="8" w:space="11" w:color="4C4C4C"/>
      </w:pBdr>
      <w:tabs>
        <w:tab w:val="left" w:pos="567"/>
      </w:tabs>
      <w:suppressAutoHyphens/>
      <w:autoSpaceDE w:val="0"/>
      <w:autoSpaceDN w:val="0"/>
      <w:adjustRightInd w:val="0"/>
      <w:spacing w:before="567" w:line="288" w:lineRule="auto"/>
      <w:ind w:left="340" w:hanging="340"/>
      <w:textAlignment w:val="center"/>
    </w:pPr>
    <w:rPr>
      <w:rFonts w:ascii="HelveticaNeue" w:hAnsi="HelveticaNeue" w:cs="HelveticaNeue"/>
      <w:color w:val="000000"/>
      <w:sz w:val="14"/>
      <w:szCs w:val="14"/>
      <w:lang w:val="en-US" w:eastAsia="en-AU"/>
    </w:rPr>
  </w:style>
  <w:style w:type="character" w:customStyle="1" w:styleId="EndnoteReference1">
    <w:name w:val="Endnote Reference1"/>
    <w:uiPriority w:val="99"/>
    <w:rsid w:val="00C95492"/>
    <w:rPr>
      <w:rFonts w:ascii="ArialMT" w:hAnsi="ArialMT" w:cs="ArialMT"/>
      <w:w w:val="100"/>
      <w:sz w:val="20"/>
      <w:szCs w:val="20"/>
      <w:vertAlign w:val="superscript"/>
    </w:rPr>
  </w:style>
  <w:style w:type="paragraph" w:customStyle="1" w:styleId="Heading3a">
    <w:name w:val="Heading 3: (a)"/>
    <w:basedOn w:val="NoParagraphStyle"/>
    <w:next w:val="Normal"/>
    <w:uiPriority w:val="99"/>
    <w:rsid w:val="00A43AB6"/>
    <w:pPr>
      <w:keepNext/>
      <w:tabs>
        <w:tab w:val="left" w:pos="0"/>
        <w:tab w:val="left" w:pos="680"/>
      </w:tabs>
      <w:suppressAutoHyphens/>
      <w:spacing w:before="170" w:after="170"/>
      <w:ind w:left="680" w:hanging="680"/>
    </w:pPr>
    <w:rPr>
      <w:rFonts w:ascii="HelveticaCYBold" w:hAnsi="HelveticaCYBold" w:cs="HelveticaCYBold"/>
      <w:b/>
      <w:bCs/>
      <w:sz w:val="20"/>
      <w:szCs w:val="20"/>
      <w:lang w:val="en-AU"/>
    </w:rPr>
  </w:style>
  <w:style w:type="paragraph" w:customStyle="1" w:styleId="BodyQuote10mm1">
    <w:name w:val="Body Quote 10mm +1"/>
    <w:basedOn w:val="BodyQuote10mm2"/>
    <w:uiPriority w:val="99"/>
    <w:rsid w:val="00A43AB6"/>
    <w:pPr>
      <w:spacing w:after="57"/>
    </w:pPr>
  </w:style>
  <w:style w:type="paragraph" w:customStyle="1" w:styleId="Nessunostileparagrafo">
    <w:name w:val="[Nessuno stile paragrafo]"/>
    <w:rsid w:val="009F3D05"/>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Paragrafobase">
    <w:name w:val="[Paragrafo base]"/>
    <w:basedOn w:val="Nessunostileparagrafo"/>
    <w:uiPriority w:val="99"/>
    <w:rsid w:val="00415667"/>
  </w:style>
  <w:style w:type="paragraph" w:customStyle="1" w:styleId="ListParagraphBullets">
    <w:name w:val="List Paragraph (Bullets)"/>
    <w:basedOn w:val="ListParagraph"/>
    <w:qFormat/>
    <w:rsid w:val="00D61731"/>
    <w:pPr>
      <w:ind w:left="1797" w:hanging="357"/>
      <w:contextualSpacing/>
    </w:pPr>
    <w:rPr>
      <w:lang w:val="en-US" w:eastAsia="en-AU"/>
    </w:rPr>
  </w:style>
  <w:style w:type="paragraph" w:customStyle="1" w:styleId="ListParagraphBullets1">
    <w:name w:val="List Paragraph [Bullets 1.]"/>
    <w:basedOn w:val="Normal"/>
    <w:qFormat/>
    <w:rsid w:val="000433C2"/>
    <w:pPr>
      <w:ind w:left="1797" w:hanging="357"/>
      <w:contextualSpacing/>
    </w:pPr>
    <w:rPr>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umanrights.gov.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humanrights.gov.au/publications/index.html" TargetMode="External"/><Relationship Id="rId17" Type="http://schemas.openxmlformats.org/officeDocument/2006/relationships/hyperlink" Target="http://www.humanrights.gov.au"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ces/by/3.0/au" TargetMode="Externa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image" Target="media/image2.em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communications@humanright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CD6F6-25B9-4824-AE78-D3E5F40FA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4282</Words>
  <Characters>24411</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Jo Clark</Company>
  <LinksUpToDate>false</LinksUpToDate>
  <CharactersWithSpaces>28636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Clark</dc:creator>
  <cp:lastModifiedBy>Lara Emery</cp:lastModifiedBy>
  <cp:revision>2</cp:revision>
  <dcterms:created xsi:type="dcterms:W3CDTF">2014-10-07T22:24:00Z</dcterms:created>
  <dcterms:modified xsi:type="dcterms:W3CDTF">2014-10-07T22:24:00Z</dcterms:modified>
</cp:coreProperties>
</file>