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line style="position:absolute;mso-position-horizontal-relative:page;mso-position-vertical-relative:page;z-index:1072" from="270.436188pt,83.731117pt" to="270.436188pt,83.731117pt" stroked="true" strokeweight="1pt" strokecolor="#0079c1">
            <v:stroke dashstyle="solid"/>
            <w10:wrap type="none"/>
          </v:line>
        </w:pict>
      </w:r>
      <w:r>
        <w:rPr/>
        <w:pict>
          <v:group style="position:absolute;margin-left:518.973938pt;margin-top:.000015pt;width:76.350pt;height:841.9pt;mso-position-horizontal-relative:page;mso-position-vertical-relative:page;z-index:-20056" coordorigin="10379,0" coordsize="1527,16838">
            <v:line style="position:absolute" from="11445,1675" to="11445,1675" stroked="true" strokeweight="1pt" strokecolor="#0079c1">
              <v:stroke dashstyle="solid"/>
            </v:line>
            <v:line style="position:absolute" from="11445,2327" to="11445,2327" stroked="true" strokeweight="1pt" strokecolor="#0079c1">
              <v:stroke dashstyle="solid"/>
            </v:line>
            <v:line style="position:absolute" from="11445,2979" to="11445,2979" stroked="true" strokeweight="1pt" strokecolor="#0079c1">
              <v:stroke dashstyle="solid"/>
            </v:line>
            <v:line style="position:absolute" from="11445,3631" to="11445,3631" stroked="true" strokeweight="1pt" strokecolor="#0079c1">
              <v:stroke dashstyle="solid"/>
            </v:line>
            <v:line style="position:absolute" from="11445,4282" to="11445,4282" stroked="true" strokeweight="1pt" strokecolor="#0079c1">
              <v:stroke dashstyle="solid"/>
            </v:line>
            <v:line style="position:absolute" from="11445,5020" to="11445,5020" stroked="true" strokeweight="1pt" strokecolor="#0079c1">
              <v:stroke dashstyle="solid"/>
            </v:line>
            <v:shape style="position:absolute;left:10379;top:0;width:1527;height:16838" coordorigin="10379,0" coordsize="1527,16838" path="m11906,0l10379,0,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ed="true" fillcolor="#0079c1" stroked="false">
              <v:path arrowok="t"/>
              <v:fill type="solid"/>
            </v:shape>
            <w10:wrap type="none"/>
          </v:group>
        </w:pict>
      </w:r>
      <w:r>
        <w:rPr/>
        <w:pict>
          <v:line style="position:absolute;mso-position-horizontal-relative:page;mso-position-vertical-relative:page;z-index:1120" from="270.436188pt,116.329613pt" to="270.436188pt,116.329613pt" stroked="true" strokeweight="1pt" strokecolor="#0079c1">
            <v:stroke dashstyle="solid"/>
            <w10:wrap type="none"/>
          </v:line>
        </w:pict>
      </w:r>
      <w:r>
        <w:rPr/>
        <w:pict>
          <v:line style="position:absolute;mso-position-horizontal-relative:page;mso-position-vertical-relative:page;z-index:1144" from="270.436188pt,148.928009pt" to="270.436188pt,148.928009pt" stroked="true" strokeweight="1pt" strokecolor="#0079c1">
            <v:stroke dashstyle="solid"/>
            <w10:wrap type="none"/>
          </v:line>
        </w:pict>
      </w:r>
      <w:r>
        <w:rPr/>
        <w:pict>
          <v:line style="position:absolute;mso-position-horizontal-relative:page;mso-position-vertical-relative:page;z-index:1168" from="270.436188pt,181.526413pt" to="270.436188pt,181.526413pt" stroked="true" strokeweight="1pt" strokecolor="#0079c1">
            <v:stroke dashstyle="solid"/>
            <w10:wrap type="none"/>
          </v:line>
        </w:pict>
      </w:r>
      <w:r>
        <w:rPr/>
        <w:pict>
          <v:line style="position:absolute;mso-position-horizontal-relative:page;mso-position-vertical-relative:page;z-index:1192" from="270.436188pt,214.124908pt" to="270.436188pt,214.124908pt" stroked="true" strokeweight="1pt" strokecolor="#0079c1">
            <v:stroke dashstyle="solid"/>
            <w10:wrap type="none"/>
          </v:line>
        </w:pict>
      </w:r>
      <w:r>
        <w:rPr/>
        <w:pict>
          <v:line style="position:absolute;mso-position-horizontal-relative:page;mso-position-vertical-relative:page;z-index:1216" from="270.436188pt,250.97522pt" to="270.436188pt,250.97522pt" stroked="true" strokeweight="1pt" strokecolor="#0079c1">
            <v:stroke dashstyle="solid"/>
            <w10:wrap type="none"/>
          </v:line>
        </w:pict>
      </w:r>
    </w:p>
    <w:p>
      <w:pPr>
        <w:pStyle w:val="BodyText"/>
        <w:spacing w:before="8"/>
        <w:rPr>
          <w:rFonts w:ascii="Times New Roman"/>
          <w:sz w:val="27"/>
        </w:rPr>
      </w:pPr>
    </w:p>
    <w:p>
      <w:pPr>
        <w:spacing w:line="240" w:lineRule="auto"/>
        <w:ind w:left="106" w:right="0" w:firstLine="0"/>
        <w:rPr>
          <w:rFonts w:ascii="Times New Roman"/>
          <w:sz w:val="20"/>
        </w:rPr>
      </w:pPr>
      <w:r>
        <w:rPr>
          <w:rFonts w:ascii="Times New Roman"/>
          <w:sz w:val="20"/>
        </w:rPr>
        <w:pict>
          <v:group style="width:44.5pt;height:44.35pt;mso-position-horizontal-relative:char;mso-position-vertical-relative:line" coordorigin="0,0" coordsize="890,887">
            <v:shape style="position:absolute;left:72;top:0;width:790;height:407" type="#_x0000_t75" stroked="false">
              <v:imagedata r:id="rId5" o:title=""/>
            </v:shape>
            <v:shape style="position:absolute;left:3;top:250;width:886;height:295" type="#_x0000_t75" stroked="false">
              <v:imagedata r:id="rId6" o:title=""/>
            </v:shape>
            <v:shape style="position:absolute;left:3;top:250;width:886;height:295" type="#_x0000_t75" stroked="false">
              <v:imagedata r:id="rId7" o:title=""/>
            </v:shape>
            <v:shape style="position:absolute;left:0;top:447;width:889;height:252" type="#_x0000_t75" stroked="false">
              <v:imagedata r:id="rId8" o:title=""/>
            </v:shape>
            <v:shape style="position:absolute;left:0;top:447;width:889;height:252" type="#_x0000_t75" stroked="false">
              <v:imagedata r:id="rId9" o:title=""/>
            </v:shape>
            <v:shape style="position:absolute;left:46;top:625;width:805;height:262" type="#_x0000_t75" stroked="false">
              <v:imagedata r:id="rId10" o:title=""/>
            </v:shape>
            <v:shape style="position:absolute;left:46;top:625;width:805;height:262" type="#_x0000_t75" stroked="false">
              <v:imagedata r:id="rId11" o:title=""/>
            </v:shape>
          </v:group>
        </w:pict>
      </w:r>
      <w:r>
        <w:rPr>
          <w:rFonts w:ascii="Times New Roman"/>
          <w:sz w:val="20"/>
        </w:rPr>
      </w:r>
      <w:r>
        <w:rPr>
          <w:rFonts w:ascii="Times New Roman"/>
          <w:spacing w:val="85"/>
          <w:sz w:val="20"/>
        </w:rPr>
        <w:t> </w:t>
      </w:r>
      <w:r>
        <w:rPr>
          <w:rFonts w:ascii="Times New Roman"/>
          <w:spacing w:val="85"/>
          <w:position w:val="11"/>
          <w:sz w:val="20"/>
        </w:rPr>
        <w:pict>
          <v:group style="width:77.8pt;height:33.550pt;mso-position-horizontal-relative:char;mso-position-vertical-relative:line" coordorigin="0,0" coordsize="1556,671">
            <v:shape style="position:absolute;left:0;top:16;width:741;height:171" type="#_x0000_t75" stroked="false">
              <v:imagedata r:id="rId12" o:title=""/>
            </v:shape>
            <v:shape style="position:absolute;left:760;top:0;width:359;height:201" type="#_x0000_t75" stroked="false">
              <v:imagedata r:id="rId13" o:title=""/>
            </v:shape>
            <v:shape style="position:absolute;left:17;top:251;width:743;height:171" type="#_x0000_t75" stroked="false">
              <v:imagedata r:id="rId14" o:title=""/>
            </v:shape>
            <v:shape style="position:absolute;left:860;top:251;width:695;height:218" type="#_x0000_t75" stroked="false">
              <v:imagedata r:id="rId15" o:title=""/>
            </v:shape>
            <v:shape style="position:absolute;left:11;top:484;width:1349;height:187" type="#_x0000_t75" stroked="false">
              <v:imagedata r:id="rId16" o:title=""/>
            </v:shape>
          </v:group>
        </w:pict>
      </w:r>
      <w:r>
        <w:rPr>
          <w:rFonts w:ascii="Times New Roman"/>
          <w:spacing w:val="85"/>
          <w:position w:val="11"/>
          <w:sz w:val="20"/>
        </w:rPr>
      </w:r>
    </w:p>
    <w:p>
      <w:pPr>
        <w:pStyle w:val="BodyText"/>
        <w:spacing w:before="5"/>
        <w:rPr>
          <w:rFonts w:ascii="Times New Roman"/>
          <w:sz w:val="17"/>
        </w:rPr>
      </w:pPr>
    </w:p>
    <w:tbl>
      <w:tblPr>
        <w:tblW w:w="0" w:type="auto"/>
        <w:jc w:val="left"/>
        <w:tblInd w:w="498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977"/>
      </w:tblGrid>
      <w:tr>
        <w:trPr>
          <w:trHeight w:val="652" w:hRule="exact"/>
        </w:trPr>
        <w:tc>
          <w:tcPr>
            <w:tcW w:w="5977" w:type="dxa"/>
            <w:tcBorders>
              <w:top w:val="dotted" w:sz="8" w:space="0" w:color="0079C1"/>
              <w:bottom w:val="dotted" w:sz="8" w:space="0" w:color="0079C1"/>
            </w:tcBorders>
          </w:tcPr>
          <w:p>
            <w:pPr>
              <w:pStyle w:val="TableParagraph"/>
              <w:rPr>
                <w:b/>
                <w:sz w:val="48"/>
              </w:rPr>
            </w:pPr>
            <w:r>
              <w:rPr>
                <w:b/>
                <w:color w:val="0079C1"/>
                <w:sz w:val="48"/>
              </w:rPr>
              <w:t>Mr BF on behalf of</w:t>
            </w:r>
          </w:p>
        </w:tc>
      </w:tr>
      <w:tr>
        <w:trPr>
          <w:trHeight w:val="652" w:hRule="exact"/>
        </w:trPr>
        <w:tc>
          <w:tcPr>
            <w:tcW w:w="5977" w:type="dxa"/>
            <w:tcBorders>
              <w:top w:val="dotted" w:sz="8" w:space="0" w:color="0079C1"/>
              <w:bottom w:val="dotted" w:sz="8" w:space="0" w:color="0079C1"/>
            </w:tcBorders>
          </w:tcPr>
          <w:p>
            <w:pPr>
              <w:pStyle w:val="TableParagraph"/>
              <w:ind w:right="1102"/>
              <w:rPr>
                <w:b/>
                <w:sz w:val="48"/>
              </w:rPr>
            </w:pPr>
            <w:r>
              <w:rPr>
                <w:b/>
                <w:color w:val="0079C1"/>
                <w:sz w:val="48"/>
              </w:rPr>
              <w:t>Master BG v</w:t>
            </w:r>
          </w:p>
        </w:tc>
      </w:tr>
      <w:tr>
        <w:trPr>
          <w:trHeight w:val="652" w:hRule="exact"/>
        </w:trPr>
        <w:tc>
          <w:tcPr>
            <w:tcW w:w="5977" w:type="dxa"/>
            <w:tcBorders>
              <w:top w:val="dotted" w:sz="8" w:space="0" w:color="0079C1"/>
              <w:bottom w:val="dotted" w:sz="8" w:space="0" w:color="0079C1"/>
            </w:tcBorders>
          </w:tcPr>
          <w:p>
            <w:pPr>
              <w:pStyle w:val="TableParagraph"/>
              <w:rPr>
                <w:b/>
                <w:sz w:val="48"/>
              </w:rPr>
            </w:pPr>
            <w:r>
              <w:rPr>
                <w:b/>
                <w:color w:val="0079C1"/>
                <w:sz w:val="48"/>
              </w:rPr>
              <w:t>Commonwealth of</w:t>
            </w:r>
          </w:p>
        </w:tc>
      </w:tr>
      <w:tr>
        <w:trPr>
          <w:trHeight w:val="652" w:hRule="exact"/>
        </w:trPr>
        <w:tc>
          <w:tcPr>
            <w:tcW w:w="5977" w:type="dxa"/>
            <w:tcBorders>
              <w:top w:val="dotted" w:sz="8" w:space="0" w:color="0079C1"/>
              <w:bottom w:val="dotted" w:sz="8" w:space="0" w:color="0079C1"/>
            </w:tcBorders>
          </w:tcPr>
          <w:p>
            <w:pPr>
              <w:pStyle w:val="TableParagraph"/>
              <w:rPr>
                <w:b/>
                <w:sz w:val="48"/>
              </w:rPr>
            </w:pPr>
            <w:r>
              <w:rPr>
                <w:b/>
                <w:color w:val="0079C1"/>
                <w:sz w:val="48"/>
              </w:rPr>
              <w:t>Australia (DIBP)</w:t>
            </w:r>
          </w:p>
        </w:tc>
      </w:tr>
      <w:tr>
        <w:trPr>
          <w:trHeight w:val="737" w:hRule="exact"/>
        </w:trPr>
        <w:tc>
          <w:tcPr>
            <w:tcW w:w="5977" w:type="dxa"/>
            <w:tcBorders>
              <w:top w:val="dotted" w:sz="8" w:space="0" w:color="0079C1"/>
              <w:bottom w:val="dotted" w:sz="8" w:space="0" w:color="0079C1"/>
            </w:tcBorders>
          </w:tcPr>
          <w:p>
            <w:pPr>
              <w:pStyle w:val="TableParagraph"/>
              <w:spacing w:before="225"/>
              <w:rPr>
                <w:rFonts w:ascii="HelveticaNeueLTPro-Cn"/>
                <w:sz w:val="24"/>
              </w:rPr>
            </w:pPr>
            <w:r>
              <w:rPr>
                <w:rFonts w:ascii="HelveticaNeueLTPro-Cn"/>
                <w:color w:val="231F20"/>
                <w:sz w:val="24"/>
              </w:rPr>
              <w:t>[2017] AusHRC 114</w:t>
            </w:r>
          </w:p>
        </w:tc>
      </w:tr>
    </w:tbl>
    <w:p>
      <w:pPr>
        <w:spacing w:after="0"/>
        <w:rPr>
          <w:rFonts w:ascii="HelveticaNeueLTPro-Cn"/>
          <w:sz w:val="24"/>
        </w:rPr>
        <w:sectPr>
          <w:type w:val="continuous"/>
          <w:pgSz w:w="11910" w:h="16840"/>
          <w:pgMar w:top="0" w:bottom="0" w:left="46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spacing w:before="94"/>
        <w:ind w:left="117" w:right="0" w:firstLine="0"/>
        <w:jc w:val="left"/>
        <w:rPr>
          <w:sz w:val="18"/>
        </w:rPr>
      </w:pPr>
      <w:r>
        <w:rPr>
          <w:color w:val="231F20"/>
          <w:sz w:val="18"/>
        </w:rPr>
        <w:t>© Australian Human Rights Commission 2017.</w:t>
      </w:r>
    </w:p>
    <w:p>
      <w:pPr>
        <w:spacing w:line="249" w:lineRule="auto" w:before="122"/>
        <w:ind w:left="117" w:right="619" w:firstLine="0"/>
        <w:jc w:val="left"/>
        <w:rPr>
          <w:sz w:val="18"/>
        </w:rPr>
      </w:pPr>
      <w:r>
        <w:rPr>
          <w:color w:val="231F20"/>
          <w:sz w:val="18"/>
        </w:rPr>
        <w:t>The Australian Human Rights Commission encourages the dissemination and exchange of information presented in this publication and endorses the use of the </w:t>
      </w:r>
      <w:r>
        <w:rPr>
          <w:color w:val="0079C1"/>
          <w:sz w:val="18"/>
        </w:rPr>
        <w:t>Australian Governments Open Access and Licensing Framework </w:t>
      </w:r>
      <w:r>
        <w:rPr>
          <w:color w:val="231F20"/>
          <w:sz w:val="18"/>
        </w:rPr>
        <w:t>(AusGOAL).</w:t>
      </w:r>
    </w:p>
    <w:p>
      <w:pPr>
        <w:pStyle w:val="BodyText"/>
        <w:spacing w:before="6"/>
        <w:rPr>
          <w:sz w:val="10"/>
        </w:rPr>
      </w:pPr>
      <w:r>
        <w:rPr/>
        <w:pict>
          <v:group style="position:absolute;margin-left:87.873802pt;margin-top:8.0036pt;width:55.65pt;height:19.5pt;mso-position-horizontal-relative:page;mso-position-vertical-relative:paragraph;z-index:1240;mso-wrap-distance-left:0;mso-wrap-distance-right:0" coordorigin="1757,160" coordsize="1113,390">
            <v:shape style="position:absolute;left:1760;top:165;width:1106;height:378" coordorigin="1760,165" coordsize="1106,378" path="m1787,165l1762,165,1760,178,1760,542,2864,542,2865,196,2863,178,2857,169,2848,167,2838,167,1787,165xe" filled="true" fillcolor="#aab2ab" stroked="false">
              <v:path arrowok="t"/>
              <v:fill type="solid"/>
            </v:shape>
            <v:shape style="position:absolute;left:1757;top:160;width:1113;height:390" coordorigin="1757,160" coordsize="1113,390" path="m2861,160l1767,160,1757,169,1757,547,1760,549,2868,549,2870,547,2870,519,1949,519,1904,513,1864,495,1830,468,1804,434,1767,434,1767,175,1772,169,2870,169,2870,169,2861,160xm2870,169l2856,169,2861,175,2861,434,2093,434,2067,469,2033,495,1993,513,1949,519,2870,519,2870,169xe" filled="true" fillcolor="#010202" stroked="false">
              <v:path arrowok="t"/>
              <v:fill type="solid"/>
            </v:shape>
            <v:shape style="position:absolute;left:2413;top:464;width:52;height:62" coordorigin="2413,464" coordsize="52,62" path="m2445,464l2413,464,2413,525,2445,525,2448,525,2453,523,2456,522,2460,519,2461,518,2463,515,2426,515,2426,498,2462,498,2460,495,2457,493,2453,492,2456,490,2458,489,2458,489,2426,489,2426,474,2461,474,2461,474,2459,470,2458,468,2454,466,2452,465,2447,464,2445,464xm2462,498l2444,498,2446,498,2450,501,2451,503,2451,508,2451,509,2450,511,2449,512,2447,514,2446,514,2443,514,2441,515,2463,515,2464,513,2464,510,2464,503,2463,500,2462,498xm2461,474l2426,474,2441,474,2444,475,2445,475,2446,476,2447,477,2448,479,2448,480,2448,484,2448,486,2444,488,2442,489,2458,489,2461,485,2461,482,2461,475,2461,474xe" filled="true" fillcolor="#ffffff" stroked="false">
              <v:path arrowok="t"/>
              <v:fill type="solid"/>
            </v:shape>
            <v:shape style="position:absolute;left:2467;top:464;width:59;height:62" coordorigin="2467,464" coordsize="59,62" path="m2482,464l2467,464,2489,501,2489,525,2503,525,2503,502,2511,488,2496,488,2482,464xm2526,464l2511,464,2496,488,2511,488,2526,464xe" filled="true" fillcolor="#ffffff" stroked="false">
              <v:path arrowok="t"/>
              <v:fill type="solid"/>
            </v:shape>
            <v:shape style="position:absolute;left:1804;top:197;width:290;height:290" type="#_x0000_t75" stroked="false">
              <v:imagedata r:id="rId17" o:title=""/>
            </v:shape>
            <v:shape style="position:absolute;left:2357;top:191;width:215;height:215" type="#_x0000_t75" stroked="false">
              <v:imagedata r:id="rId18" o:title=""/>
            </v:shape>
            <w10:wrap type="topAndBottom"/>
          </v:group>
        </w:pict>
      </w:r>
    </w:p>
    <w:p>
      <w:pPr>
        <w:pStyle w:val="BodyText"/>
        <w:spacing w:before="2"/>
        <w:rPr>
          <w:sz w:val="8"/>
        </w:rPr>
      </w:pPr>
    </w:p>
    <w:p>
      <w:pPr>
        <w:spacing w:line="249" w:lineRule="auto" w:before="94"/>
        <w:ind w:left="117" w:right="619" w:firstLine="0"/>
        <w:jc w:val="left"/>
        <w:rPr>
          <w:sz w:val="18"/>
        </w:rPr>
      </w:pPr>
      <w:r>
        <w:rPr>
          <w:color w:val="231F20"/>
          <w:sz w:val="18"/>
        </w:rPr>
        <w:t>All material presented in this publication is licensed under the </w:t>
      </w:r>
      <w:r>
        <w:rPr>
          <w:b/>
          <w:color w:val="231F20"/>
          <w:sz w:val="18"/>
        </w:rPr>
        <w:t>Creative Commons Attribution 4.0 International Licence</w:t>
      </w:r>
      <w:r>
        <w:rPr>
          <w:color w:val="231F20"/>
          <w:sz w:val="18"/>
        </w:rPr>
        <w:t>, with the exception of:</w:t>
      </w:r>
    </w:p>
    <w:p>
      <w:pPr>
        <w:pStyle w:val="ListParagraph"/>
        <w:numPr>
          <w:ilvl w:val="0"/>
          <w:numId w:val="1"/>
        </w:numPr>
        <w:tabs>
          <w:tab w:pos="401" w:val="left" w:leader="none"/>
        </w:tabs>
        <w:spacing w:line="240" w:lineRule="auto" w:before="57" w:after="0"/>
        <w:ind w:left="400" w:right="0" w:hanging="113"/>
        <w:jc w:val="left"/>
        <w:rPr>
          <w:sz w:val="18"/>
        </w:rPr>
      </w:pPr>
      <w:r>
        <w:rPr>
          <w:color w:val="231F20"/>
          <w:sz w:val="18"/>
        </w:rPr>
        <w:t>the Commission’s logo, any branding or trademarks;</w:t>
      </w:r>
      <w:r>
        <w:rPr>
          <w:color w:val="231F20"/>
          <w:spacing w:val="-32"/>
          <w:sz w:val="18"/>
        </w:rPr>
        <w:t> </w:t>
      </w:r>
      <w:r>
        <w:rPr>
          <w:color w:val="231F20"/>
          <w:sz w:val="18"/>
        </w:rPr>
        <w:t>and</w:t>
      </w:r>
    </w:p>
    <w:p>
      <w:pPr>
        <w:pStyle w:val="ListParagraph"/>
        <w:numPr>
          <w:ilvl w:val="0"/>
          <w:numId w:val="1"/>
        </w:numPr>
        <w:tabs>
          <w:tab w:pos="401" w:val="left" w:leader="none"/>
        </w:tabs>
        <w:spacing w:line="240" w:lineRule="auto" w:before="8" w:after="0"/>
        <w:ind w:left="400" w:right="0" w:hanging="113"/>
        <w:jc w:val="left"/>
        <w:rPr>
          <w:sz w:val="18"/>
        </w:rPr>
      </w:pPr>
      <w:r>
        <w:rPr>
          <w:color w:val="231F20"/>
          <w:sz w:val="18"/>
        </w:rPr>
        <w:t>where otherwise</w:t>
      </w:r>
      <w:r>
        <w:rPr>
          <w:color w:val="231F20"/>
          <w:spacing w:val="-21"/>
          <w:sz w:val="18"/>
        </w:rPr>
        <w:t> </w:t>
      </w:r>
      <w:r>
        <w:rPr>
          <w:color w:val="231F20"/>
          <w:sz w:val="18"/>
        </w:rPr>
        <w:t>indicated.</w:t>
      </w:r>
    </w:p>
    <w:p>
      <w:pPr>
        <w:spacing w:before="121"/>
        <w:ind w:left="117" w:right="0" w:firstLine="0"/>
        <w:jc w:val="left"/>
        <w:rPr>
          <w:sz w:val="18"/>
        </w:rPr>
      </w:pPr>
      <w:r>
        <w:rPr>
          <w:color w:val="231F20"/>
          <w:sz w:val="18"/>
        </w:rPr>
        <w:t>To view a copy of this licence, visit </w:t>
      </w:r>
      <w:hyperlink r:id="rId19">
        <w:r>
          <w:rPr>
            <w:color w:val="0079C1"/>
            <w:sz w:val="18"/>
          </w:rPr>
          <w:t>http://creativecommons.org/licenses/by/4.0/legalcode</w:t>
        </w:r>
        <w:r>
          <w:rPr>
            <w:color w:val="231F20"/>
            <w:sz w:val="18"/>
          </w:rPr>
          <w:t>.</w:t>
        </w:r>
      </w:hyperlink>
    </w:p>
    <w:p>
      <w:pPr>
        <w:spacing w:line="249" w:lineRule="auto" w:before="121"/>
        <w:ind w:left="117" w:right="619" w:firstLine="0"/>
        <w:jc w:val="left"/>
        <w:rPr>
          <w:sz w:val="18"/>
        </w:rPr>
      </w:pPr>
      <w:r>
        <w:rPr>
          <w:color w:val="231F20"/>
          <w:sz w:val="18"/>
        </w:rPr>
        <w:t>In essence, you are free to copy, communicate and adapt the publication, as long as you attribute the Australian Human Rights Commission and abide by the other licence terms.</w:t>
      </w:r>
    </w:p>
    <w:p>
      <w:pPr>
        <w:spacing w:before="113"/>
        <w:ind w:left="117" w:right="0" w:firstLine="0"/>
        <w:jc w:val="left"/>
        <w:rPr>
          <w:b/>
          <w:sz w:val="18"/>
        </w:rPr>
      </w:pPr>
      <w:r>
        <w:rPr>
          <w:b/>
          <w:color w:val="231F20"/>
          <w:sz w:val="18"/>
        </w:rPr>
        <w:t>Please give attribution to:</w:t>
      </w:r>
    </w:p>
    <w:p>
      <w:pPr>
        <w:spacing w:before="8"/>
        <w:ind w:left="117" w:right="0" w:firstLine="0"/>
        <w:jc w:val="left"/>
        <w:rPr>
          <w:sz w:val="18"/>
        </w:rPr>
      </w:pPr>
      <w:r>
        <w:rPr>
          <w:color w:val="231F20"/>
          <w:sz w:val="18"/>
        </w:rPr>
        <w:t>© Australian Human Rights Commission 2017.</w:t>
      </w:r>
    </w:p>
    <w:p>
      <w:pPr>
        <w:spacing w:before="179"/>
        <w:ind w:left="117" w:right="0" w:firstLine="0"/>
        <w:jc w:val="left"/>
        <w:rPr>
          <w:b/>
          <w:sz w:val="18"/>
        </w:rPr>
      </w:pPr>
      <w:r>
        <w:rPr>
          <w:b/>
          <w:color w:val="231F20"/>
          <w:sz w:val="18"/>
        </w:rPr>
        <w:t>ISSN 1837-1183</w:t>
      </w:r>
    </w:p>
    <w:p>
      <w:pPr>
        <w:spacing w:before="122"/>
        <w:ind w:left="117" w:right="0" w:firstLine="0"/>
        <w:jc w:val="left"/>
        <w:rPr>
          <w:b/>
          <w:sz w:val="18"/>
        </w:rPr>
      </w:pPr>
      <w:r>
        <w:rPr>
          <w:b/>
          <w:color w:val="231F20"/>
          <w:sz w:val="18"/>
        </w:rPr>
        <w:t>Further information</w:t>
      </w:r>
    </w:p>
    <w:p>
      <w:pPr>
        <w:spacing w:line="249" w:lineRule="auto" w:before="65"/>
        <w:ind w:left="117" w:right="619" w:firstLine="0"/>
        <w:jc w:val="left"/>
        <w:rPr>
          <w:sz w:val="18"/>
        </w:rPr>
      </w:pPr>
      <w:r>
        <w:rPr>
          <w:color w:val="231F20"/>
          <w:sz w:val="18"/>
        </w:rPr>
        <w:t>For further information about the Australian Human Rights Commission or copyright in this publication, please contact:</w:t>
      </w:r>
    </w:p>
    <w:p>
      <w:pPr>
        <w:spacing w:before="57"/>
        <w:ind w:left="117" w:right="0" w:firstLine="0"/>
        <w:jc w:val="left"/>
        <w:rPr>
          <w:sz w:val="18"/>
        </w:rPr>
      </w:pPr>
      <w:r>
        <w:rPr>
          <w:color w:val="231F20"/>
          <w:sz w:val="18"/>
        </w:rPr>
        <w:t>Communications Unit</w:t>
      </w:r>
    </w:p>
    <w:p>
      <w:pPr>
        <w:spacing w:line="249" w:lineRule="auto" w:before="8"/>
        <w:ind w:left="117" w:right="5421" w:firstLine="0"/>
        <w:jc w:val="left"/>
        <w:rPr>
          <w:sz w:val="18"/>
        </w:rPr>
      </w:pPr>
      <w:r>
        <w:rPr>
          <w:color w:val="231F20"/>
          <w:sz w:val="18"/>
        </w:rPr>
        <w:t>Australian Human Rights Commission GPO Box 5218</w:t>
      </w:r>
    </w:p>
    <w:p>
      <w:pPr>
        <w:spacing w:before="0"/>
        <w:ind w:left="117" w:right="0" w:firstLine="0"/>
        <w:jc w:val="left"/>
        <w:rPr>
          <w:sz w:val="18"/>
        </w:rPr>
      </w:pPr>
      <w:r>
        <w:rPr>
          <w:color w:val="231F20"/>
          <w:sz w:val="18"/>
        </w:rPr>
        <w:t>SYDNEY NSW 2001</w:t>
      </w:r>
    </w:p>
    <w:p>
      <w:pPr>
        <w:spacing w:before="8"/>
        <w:ind w:left="117" w:right="0" w:firstLine="0"/>
        <w:jc w:val="left"/>
        <w:rPr>
          <w:sz w:val="18"/>
        </w:rPr>
      </w:pPr>
      <w:r>
        <w:rPr>
          <w:color w:val="231F20"/>
          <w:sz w:val="18"/>
        </w:rPr>
        <w:t>Telephone: (02) 9284 9600</w:t>
      </w:r>
    </w:p>
    <w:p>
      <w:pPr>
        <w:spacing w:before="8"/>
        <w:ind w:left="117" w:right="0" w:firstLine="0"/>
        <w:jc w:val="left"/>
        <w:rPr>
          <w:sz w:val="18"/>
        </w:rPr>
      </w:pPr>
      <w:r>
        <w:rPr>
          <w:color w:val="231F20"/>
          <w:sz w:val="18"/>
        </w:rPr>
        <w:t>Email: </w:t>
      </w:r>
      <w:hyperlink r:id="rId20">
        <w:r>
          <w:rPr>
            <w:color w:val="0079C1"/>
            <w:sz w:val="18"/>
          </w:rPr>
          <w:t>communications@humanrights.gov.au</w:t>
        </w:r>
        <w:r>
          <w:rPr>
            <w:color w:val="231F20"/>
            <w:sz w:val="18"/>
          </w:rPr>
          <w:t>.</w:t>
        </w:r>
      </w:hyperlink>
    </w:p>
    <w:p>
      <w:pPr>
        <w:spacing w:before="122"/>
        <w:ind w:left="117" w:right="0" w:firstLine="0"/>
        <w:jc w:val="left"/>
        <w:rPr>
          <w:sz w:val="18"/>
        </w:rPr>
      </w:pPr>
      <w:r>
        <w:rPr>
          <w:b/>
          <w:color w:val="231F20"/>
          <w:sz w:val="18"/>
        </w:rPr>
        <w:t>Design and layout </w:t>
      </w:r>
      <w:r>
        <w:rPr>
          <w:color w:val="231F20"/>
          <w:sz w:val="18"/>
        </w:rPr>
        <w:t>Dancingirl Designs</w:t>
      </w:r>
    </w:p>
    <w:p>
      <w:pPr>
        <w:spacing w:before="65"/>
        <w:ind w:left="117" w:right="0" w:firstLine="0"/>
        <w:jc w:val="left"/>
        <w:rPr>
          <w:sz w:val="18"/>
        </w:rPr>
      </w:pPr>
      <w:r>
        <w:rPr>
          <w:b/>
          <w:color w:val="231F20"/>
          <w:sz w:val="18"/>
        </w:rPr>
        <w:t>Printing </w:t>
      </w:r>
      <w:r>
        <w:rPr>
          <w:color w:val="231F20"/>
          <w:sz w:val="18"/>
        </w:rPr>
        <w:t>Masterprint Pty Limited</w:t>
      </w:r>
    </w:p>
    <w:p>
      <w:pPr>
        <w:spacing w:after="0"/>
        <w:jc w:val="left"/>
        <w:rPr>
          <w:sz w:val="18"/>
        </w:rPr>
        <w:sectPr>
          <w:pgSz w:w="11910" w:h="16840"/>
          <w:pgMar w:top="1580" w:bottom="280" w:left="164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line="400" w:lineRule="exact" w:before="106"/>
        <w:ind w:left="1826" w:right="1643" w:firstLine="0"/>
        <w:jc w:val="left"/>
        <w:rPr>
          <w:b/>
          <w:sz w:val="36"/>
        </w:rPr>
      </w:pPr>
      <w:r>
        <w:rPr>
          <w:b/>
          <w:color w:val="6D6E71"/>
          <w:sz w:val="36"/>
        </w:rPr>
        <w:t>Mr BF on behalf of Master BG v Commonwealth of Australia (Department of Immigration and Border Protection)</w:t>
      </w:r>
    </w:p>
    <w:p>
      <w:pPr>
        <w:spacing w:before="263"/>
        <w:ind w:left="1826" w:right="0" w:firstLine="0"/>
        <w:jc w:val="left"/>
        <w:rPr>
          <w:sz w:val="32"/>
        </w:rPr>
      </w:pPr>
      <w:r>
        <w:rPr>
          <w:color w:val="6D6E71"/>
          <w:sz w:val="32"/>
        </w:rPr>
        <w:t>[2017] AusHRC 114</w:t>
      </w:r>
    </w:p>
    <w:p>
      <w:pPr>
        <w:pStyle w:val="BodyText"/>
        <w:spacing w:before="7"/>
        <w:rPr>
          <w:sz w:val="49"/>
        </w:rPr>
      </w:pPr>
    </w:p>
    <w:p>
      <w:pPr>
        <w:spacing w:line="360" w:lineRule="exact" w:before="0"/>
        <w:ind w:left="1826" w:right="1847" w:firstLine="0"/>
        <w:jc w:val="left"/>
        <w:rPr>
          <w:sz w:val="32"/>
        </w:rPr>
      </w:pPr>
      <w:r>
        <w:rPr>
          <w:color w:val="6D6E71"/>
          <w:sz w:val="32"/>
        </w:rPr>
        <w:t>Report into arbitrary detention and protection of the best interests of the child</w:t>
      </w:r>
    </w:p>
    <w:p>
      <w:pPr>
        <w:pStyle w:val="BodyText"/>
        <w:rPr>
          <w:sz w:val="36"/>
        </w:rPr>
      </w:pPr>
    </w:p>
    <w:p>
      <w:pPr>
        <w:pStyle w:val="BodyText"/>
        <w:rPr>
          <w:sz w:val="36"/>
        </w:rPr>
      </w:pPr>
    </w:p>
    <w:p>
      <w:pPr>
        <w:pStyle w:val="Heading3"/>
        <w:spacing w:before="296"/>
        <w:ind w:left="1826" w:firstLine="0"/>
      </w:pPr>
      <w:r>
        <w:rPr>
          <w:color w:val="6D6E71"/>
        </w:rPr>
        <w:t>Australian Human Rights Commission 2017</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6"/>
        </w:rPr>
      </w:pPr>
      <w:r>
        <w:rPr/>
        <w:pict>
          <v:group style="position:absolute;margin-left:175.666pt;margin-top:11.309974pt;width:43.65pt;height:43.5pt;mso-position-horizontal-relative:page;mso-position-vertical-relative:paragraph;z-index:1264;mso-wrap-distance-left:0;mso-wrap-distance-right:0" coordorigin="3513,226" coordsize="873,870">
            <v:shape style="position:absolute;left:3584;top:226;width:775;height:399" type="#_x0000_t75" stroked="false">
              <v:imagedata r:id="rId21" o:title=""/>
            </v:shape>
            <v:shape style="position:absolute;left:3517;top:471;width:869;height:290" type="#_x0000_t75" stroked="false">
              <v:imagedata r:id="rId22" o:title=""/>
            </v:shape>
            <v:shape style="position:absolute;left:3517;top:471;width:869;height:290" type="#_x0000_t75" stroked="false">
              <v:imagedata r:id="rId23" o:title=""/>
            </v:shape>
            <v:shape style="position:absolute;left:3513;top:664;width:872;height:248" type="#_x0000_t75" stroked="false">
              <v:imagedata r:id="rId24" o:title=""/>
            </v:shape>
            <v:shape style="position:absolute;left:3513;top:664;width:872;height:248" type="#_x0000_t75" stroked="false">
              <v:imagedata r:id="rId25" o:title=""/>
            </v:shape>
            <v:shape style="position:absolute;left:3558;top:839;width:789;height:256" type="#_x0000_t75" stroked="false">
              <v:imagedata r:id="rId26" o:title=""/>
            </v:shape>
            <v:shape style="position:absolute;left:3558;top:839;width:789;height:256" type="#_x0000_t75" stroked="false">
              <v:imagedata r:id="rId27" o:title=""/>
            </v:shape>
            <w10:wrap type="topAndBottom"/>
          </v:group>
        </w:pict>
      </w:r>
      <w:r>
        <w:rPr/>
        <w:pict>
          <v:group style="position:absolute;margin-left:226.423996pt;margin-top:16.586473pt;width:76.25pt;height:32.9pt;mso-position-horizontal-relative:page;mso-position-vertical-relative:paragraph;z-index:1288;mso-wrap-distance-left:0;mso-wrap-distance-right:0" coordorigin="4528,332" coordsize="1525,658">
            <v:shape style="position:absolute;left:4528;top:348;width:726;height:168" type="#_x0000_t75" stroked="false">
              <v:imagedata r:id="rId28" o:title=""/>
            </v:shape>
            <v:shape style="position:absolute;left:5274;top:332;width:352;height:197" type="#_x0000_t75" stroked="false">
              <v:imagedata r:id="rId29" o:title=""/>
            </v:shape>
            <v:shape style="position:absolute;left:4545;top:578;width:728;height:168" type="#_x0000_t75" stroked="false">
              <v:imagedata r:id="rId30" o:title=""/>
            </v:shape>
            <v:shape style="position:absolute;left:5372;top:578;width:681;height:214" type="#_x0000_t75" stroked="false">
              <v:imagedata r:id="rId31" o:title=""/>
            </v:shape>
            <v:shape style="position:absolute;left:4539;top:806;width:144;height:171" coordorigin="4539,806" coordsize="144,171" path="m4617,806l4600,807,4585,812,4572,819,4561,829,4551,841,4545,856,4541,873,4539,893,4541,911,4545,927,4551,942,4561,954,4572,964,4585,971,4599,975,4615,977,4627,976,4639,973,4649,969,4658,963,4666,956,4672,948,4602,948,4592,944,4585,935,4580,927,4577,917,4574,905,4574,890,4574,876,4577,865,4580,855,4585,848,4593,839,4603,834,4675,834,4673,831,4666,824,4656,816,4644,810,4631,807,4617,806xm4651,913l4648,925,4644,934,4631,945,4623,948,4672,948,4673,947,4679,936,4683,923,4651,913xm4675,834l4624,834,4631,837,4644,847,4648,853,4650,862,4683,854,4679,841,4675,834xe" filled="true" fillcolor="#6d6e71" stroked="false">
              <v:path arrowok="t"/>
              <v:fill type="solid"/>
            </v:shape>
            <v:shape style="position:absolute;left:4700;top:851;width:124;height:125" coordorigin="4700,851" coordsize="124,125" path="m4762,851l4750,851,4740,854,4721,864,4713,872,4703,892,4701,901,4700,927,4703,938,4713,957,4721,964,4741,974,4751,976,4762,976,4775,975,4786,972,4797,966,4806,959,4813,951,4754,951,4747,947,4736,935,4733,926,4733,902,4736,893,4747,880,4754,877,4813,877,4806,869,4797,861,4787,856,4775,853,4762,851xm4813,877l4770,877,4777,880,4788,893,4791,902,4791,926,4788,935,4777,947,4770,951,4813,951,4814,949,4819,938,4823,927,4824,914,4824,912,4823,901,4819,889,4814,878,4813,877xe" filled="true" fillcolor="#6d6e71" stroked="false">
              <v:path arrowok="t"/>
              <v:fill type="solid"/>
            </v:shape>
            <v:shape style="position:absolute;left:4840;top:851;width:176;height:123" coordorigin="4840,851" coordsize="176,123" path="m4869,854l4840,854,4840,974,4871,974,4871,904,4872,896,4875,886,4878,882,4886,877,4890,876,5013,876,5011,870,4869,870,4869,854xm4963,876l4899,876,4902,876,4907,880,4909,882,4909,882,4911,889,4912,896,4912,974,4943,974,4944,904,4944,897,4948,886,4951,882,4958,877,4963,876xm5013,876l4973,876,4978,878,4980,882,4983,886,4984,894,4984,974,5015,974,5015,886,5014,878,5013,876xm4914,851l4906,851,4896,853,4886,856,4877,862,4869,870,4940,870,4936,864,4931,859,4920,853,4914,851xm4985,851l4969,851,4963,853,4951,859,4945,864,4940,870,5011,870,5009,866,5005,860,4992,853,4985,851xe" filled="true" fillcolor="#6d6e71" stroked="false">
              <v:path arrowok="t"/>
              <v:fill type="solid"/>
            </v:shape>
            <v:shape style="position:absolute;left:5042;top:851;width:176;height:123" coordorigin="5042,851" coordsize="176,123" path="m5071,854l5042,854,5042,974,5073,974,5073,904,5074,896,5076,891,5078,886,5080,882,5088,877,5093,876,5216,876,5214,870,5071,870,5071,854xm5165,876l5102,876,5105,876,5110,880,5111,882,5111,882,5114,889,5114,896,5114,974,5146,974,5146,904,5147,897,5150,886,5153,882,5161,877,5165,876xm5216,876l5175,876,5180,878,5183,882,5185,886,5186,894,5186,974,5218,974,5218,886,5217,878,5216,876xm5116,851l5108,851,5098,853,5088,856,5079,862,5071,870,5142,870,5138,864,5134,859,5123,853,5116,851xm5187,851l5172,851,5165,853,5153,859,5147,864,5142,870,5214,870,5211,866,5207,860,5195,853,5187,851xe" filled="true" fillcolor="#6d6e71" stroked="false">
              <v:path arrowok="t"/>
              <v:fill type="solid"/>
            </v:shape>
            <v:line style="position:absolute" from="5259,854" to="5259,974" stroked="true" strokeweight="1.582pt" strokecolor="#6d6e71">
              <v:stroke dashstyle="solid"/>
            </v:line>
            <v:line style="position:absolute" from="5243,823" to="5275,823" stroked="true" strokeweight="1.464pt" strokecolor="#6d6e71">
              <v:stroke dashstyle="solid"/>
            </v:line>
            <v:shape style="position:absolute;left:5294;top:851;width:112;height:125" coordorigin="5294,851" coordsize="112,125" path="m5326,935l5294,940,5297,951,5303,960,5322,973,5335,976,5352,976,5364,976,5375,973,5385,970,5392,965,5401,957,5403,954,5344,954,5338,952,5330,946,5327,941,5326,935xm5365,851l5332,851,5319,855,5303,869,5299,878,5299,900,5303,909,5313,915,5320,919,5330,922,5344,926,5367,932,5370,933,5372,935,5373,936,5374,938,5374,944,5373,947,5370,949,5366,952,5360,954,5403,954,5406,947,5406,926,5403,918,5396,913,5389,907,5378,903,5344,895,5334,892,5329,888,5328,886,5328,881,5329,879,5332,878,5335,875,5341,874,5399,874,5399,873,5393,865,5378,854,5365,851xm5399,874l5356,874,5361,875,5368,880,5371,884,5372,889,5402,883,5399,874xe" filled="true" fillcolor="#6d6e71" stroked="false">
              <v:path arrowok="t"/>
              <v:fill type="solid"/>
            </v:shape>
            <v:shape style="position:absolute;left:5422;top:851;width:112;height:125" coordorigin="5422,851" coordsize="112,125" path="m5454,935l5422,940,5425,951,5431,960,5450,973,5463,976,5479,976,5492,976,5503,973,5512,970,5520,965,5529,957,5531,954,5472,954,5466,952,5458,946,5455,941,5454,935xm5493,851l5460,851,5447,855,5431,869,5427,878,5427,900,5431,909,5441,915,5448,919,5458,922,5472,926,5495,932,5498,933,5500,935,5501,936,5502,938,5502,944,5501,947,5498,949,5494,952,5488,954,5531,954,5534,947,5534,926,5531,918,5524,913,5517,907,5505,903,5472,895,5462,892,5457,888,5456,886,5456,881,5457,879,5460,878,5463,875,5469,874,5527,874,5527,873,5521,865,5505,854,5493,851xm5527,874l5484,874,5489,875,5496,880,5499,884,5500,889,5530,883,5527,874xe" filled="true" fillcolor="#6d6e71" stroked="false">
              <v:path arrowok="t"/>
              <v:fill type="solid"/>
            </v:shape>
            <v:line style="position:absolute" from="5571,854" to="5571,974" stroked="true" strokeweight="1.582pt" strokecolor="#6d6e71">
              <v:stroke dashstyle="solid"/>
            </v:line>
            <v:line style="position:absolute" from="5555,823" to="5587,823" stroked="true" strokeweight="1.464pt" strokecolor="#6d6e71">
              <v:stroke dashstyle="solid"/>
            </v:line>
            <v:shape style="position:absolute;left:5609;top:851;width:124;height:125" coordorigin="5609,851" coordsize="124,125" path="m5671,851l5659,851,5649,854,5630,864,5622,872,5612,892,5610,901,5609,927,5612,938,5622,957,5630,964,5650,974,5660,976,5671,976,5684,975,5695,972,5706,966,5715,959,5722,951,5663,951,5656,947,5645,935,5642,926,5642,902,5645,893,5656,880,5663,877,5722,877,5715,869,5706,861,5696,856,5684,853,5671,851xm5722,877l5679,877,5686,880,5697,893,5700,902,5700,926,5697,935,5686,947,5679,951,5722,951,5723,949,5728,938,5732,927,5733,914,5733,912,5732,901,5728,889,5723,878,5722,877xe" filled="true" fillcolor="#6d6e71" stroked="false">
              <v:path arrowok="t"/>
              <v:fill type="solid"/>
            </v:shape>
            <v:shape style="position:absolute;left:5753;top:851;width:109;height:123" coordorigin="5753,851" coordsize="109,123" path="m5783,854l5753,854,5753,974,5785,974,5785,906,5786,897,5789,887,5792,883,5801,877,5806,876,5860,876,5859,873,5859,872,5783,872,5783,854xm5860,876l5815,876,5819,877,5825,881,5827,884,5830,891,5831,900,5831,974,5862,974,5862,890,5862,883,5860,876xm5829,851l5822,851,5811,853,5800,856,5791,863,5783,872,5859,872,5857,869,5851,861,5847,858,5836,853,5829,851xe" filled="true" fillcolor="#6d6e71" stroked="false">
              <v:path arrowok="t"/>
              <v:fill type="solid"/>
            </v:shape>
            <w10:wrap type="topAndBottom"/>
          </v:group>
        </w:pict>
      </w:r>
    </w:p>
    <w:p>
      <w:pPr>
        <w:spacing w:after="0"/>
        <w:rPr>
          <w:sz w:val="16"/>
        </w:rPr>
        <w:sectPr>
          <w:pgSz w:w="11910" w:h="16840"/>
          <w:pgMar w:top="1580" w:bottom="280" w:left="1680" w:right="1680"/>
        </w:sectPr>
      </w:pPr>
    </w:p>
    <w:p>
      <w:pPr>
        <w:spacing w:before="79"/>
        <w:ind w:left="1251" w:right="0" w:firstLine="0"/>
        <w:jc w:val="left"/>
        <w:rPr>
          <w:sz w:val="52"/>
        </w:rPr>
      </w:pPr>
      <w:r>
        <w:rPr>
          <w:color w:val="231F20"/>
          <w:sz w:val="52"/>
        </w:rPr>
        <w:t>Contents</w:t>
      </w:r>
    </w:p>
    <w:p>
      <w:pPr>
        <w:pStyle w:val="BodyText"/>
        <w:rPr>
          <w:sz w:val="20"/>
        </w:rPr>
      </w:pPr>
    </w:p>
    <w:p>
      <w:pPr>
        <w:pStyle w:val="BodyText"/>
        <w:rPr>
          <w:sz w:val="20"/>
        </w:rPr>
      </w:pPr>
    </w:p>
    <w:p>
      <w:pPr>
        <w:pStyle w:val="BodyText"/>
        <w:spacing w:before="7"/>
        <w:rPr>
          <w:sz w:val="26"/>
        </w:rPr>
      </w:pPr>
    </w:p>
    <w:sdt>
      <w:sdtPr>
        <w:docPartObj>
          <w:docPartGallery w:val="Table of Contents"/>
          <w:docPartUnique/>
        </w:docPartObj>
      </w:sdtPr>
      <w:sdtEndPr/>
      <w:sdtContent>
        <w:p>
          <w:pPr>
            <w:pStyle w:val="TOC1"/>
            <w:numPr>
              <w:ilvl w:val="1"/>
              <w:numId w:val="1"/>
            </w:numPr>
            <w:tabs>
              <w:tab w:pos="1647" w:val="left" w:leader="none"/>
              <w:tab w:pos="1649" w:val="left" w:leader="none"/>
              <w:tab w:pos="7430" w:val="right" w:leader="none"/>
            </w:tabs>
            <w:spacing w:line="240" w:lineRule="auto" w:before="93" w:after="0"/>
            <w:ind w:left="1648" w:right="0" w:hanging="397"/>
            <w:jc w:val="left"/>
          </w:pPr>
          <w:hyperlink w:history="true" w:anchor="_bookmark0">
            <w:r>
              <w:rPr>
                <w:color w:val="231F20"/>
              </w:rPr>
              <w:t>Introduction</w:t>
              <w:tab/>
              <w:t>2</w:t>
            </w:r>
          </w:hyperlink>
        </w:p>
        <w:p>
          <w:pPr>
            <w:pStyle w:val="TOC1"/>
            <w:numPr>
              <w:ilvl w:val="1"/>
              <w:numId w:val="1"/>
            </w:numPr>
            <w:tabs>
              <w:tab w:pos="1647" w:val="left" w:leader="none"/>
              <w:tab w:pos="1649" w:val="left" w:leader="none"/>
              <w:tab w:pos="7430" w:val="right" w:leader="none"/>
            </w:tabs>
            <w:spacing w:line="240" w:lineRule="auto" w:before="237" w:after="0"/>
            <w:ind w:left="1648" w:right="0" w:hanging="397"/>
            <w:jc w:val="left"/>
          </w:pPr>
          <w:hyperlink w:history="true" w:anchor="_bookmark1">
            <w:r>
              <w:rPr>
                <w:color w:val="231F20"/>
              </w:rPr>
              <w:t>Background</w:t>
              <w:tab/>
              <w:t>3</w:t>
            </w:r>
          </w:hyperlink>
        </w:p>
        <w:p>
          <w:pPr>
            <w:pStyle w:val="TOC1"/>
            <w:numPr>
              <w:ilvl w:val="1"/>
              <w:numId w:val="1"/>
            </w:numPr>
            <w:tabs>
              <w:tab w:pos="1647" w:val="left" w:leader="none"/>
              <w:tab w:pos="1649" w:val="left" w:leader="none"/>
              <w:tab w:pos="7430" w:val="right" w:leader="none"/>
            </w:tabs>
            <w:spacing w:line="240" w:lineRule="auto" w:before="237" w:after="0"/>
            <w:ind w:left="1648" w:right="0" w:hanging="397"/>
            <w:jc w:val="left"/>
          </w:pPr>
          <w:hyperlink w:history="true" w:anchor="_bookmark1">
            <w:r>
              <w:rPr>
                <w:color w:val="231F20"/>
              </w:rPr>
              <w:t>Legislative</w:t>
            </w:r>
            <w:r>
              <w:rPr>
                <w:color w:val="231F20"/>
                <w:spacing w:val="-1"/>
              </w:rPr>
              <w:t> </w:t>
            </w:r>
            <w:r>
              <w:rPr>
                <w:color w:val="231F20"/>
              </w:rPr>
              <w:t>Framework</w:t>
              <w:tab/>
              <w:t>3</w:t>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1">
            <w:r>
              <w:rPr>
                <w:color w:val="231F20"/>
              </w:rPr>
              <w:t>Functions of</w:t>
            </w:r>
            <w:r>
              <w:rPr>
                <w:color w:val="231F20"/>
                <w:spacing w:val="-2"/>
              </w:rPr>
              <w:t> </w:t>
            </w:r>
            <w:r>
              <w:rPr>
                <w:color w:val="231F20"/>
              </w:rPr>
              <w:t>the</w:t>
            </w:r>
            <w:r>
              <w:rPr>
                <w:color w:val="231F20"/>
                <w:spacing w:val="-2"/>
              </w:rPr>
              <w:t> </w:t>
            </w:r>
            <w:r>
              <w:rPr>
                <w:color w:val="231F20"/>
              </w:rPr>
              <w:t>Commission</w:t>
              <w:tab/>
              <w:t>3</w:t>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1">
            <w:r>
              <w:rPr>
                <w:color w:val="231F20"/>
              </w:rPr>
              <w:t>What is an ‘act’ or</w:t>
            </w:r>
            <w:r>
              <w:rPr>
                <w:color w:val="231F20"/>
                <w:spacing w:val="-11"/>
              </w:rPr>
              <w:t> </w:t>
            </w:r>
            <w:r>
              <w:rPr>
                <w:color w:val="231F20"/>
              </w:rPr>
              <w:t>a</w:t>
            </w:r>
            <w:r>
              <w:rPr>
                <w:color w:val="231F20"/>
                <w:spacing w:val="-1"/>
              </w:rPr>
              <w:t> </w:t>
            </w:r>
            <w:r>
              <w:rPr>
                <w:color w:val="231F20"/>
              </w:rPr>
              <w:t>‘practice’?</w:t>
              <w:tab/>
              <w:t>3</w:t>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2">
            <w:r>
              <w:rPr>
                <w:color w:val="231F20"/>
              </w:rPr>
              <w:t>What is a</w:t>
            </w:r>
            <w:r>
              <w:rPr>
                <w:color w:val="231F20"/>
                <w:spacing w:val="-2"/>
              </w:rPr>
              <w:t> </w:t>
            </w:r>
            <w:r>
              <w:rPr>
                <w:color w:val="231F20"/>
              </w:rPr>
              <w:t>human</w:t>
            </w:r>
            <w:r>
              <w:rPr>
                <w:color w:val="231F20"/>
                <w:spacing w:val="-1"/>
              </w:rPr>
              <w:t> </w:t>
            </w:r>
            <w:r>
              <w:rPr>
                <w:color w:val="231F20"/>
              </w:rPr>
              <w:t>right?</w:t>
              <w:tab/>
              <w:t>4</w:t>
            </w:r>
          </w:hyperlink>
        </w:p>
        <w:p>
          <w:pPr>
            <w:pStyle w:val="TOC3"/>
            <w:numPr>
              <w:ilvl w:val="3"/>
              <w:numId w:val="1"/>
            </w:numPr>
            <w:tabs>
              <w:tab w:pos="2442" w:val="left" w:leader="none"/>
              <w:tab w:pos="7430" w:val="right" w:leader="none"/>
            </w:tabs>
            <w:spacing w:line="240" w:lineRule="auto" w:before="39" w:after="0"/>
            <w:ind w:left="2441" w:right="0" w:hanging="397"/>
            <w:jc w:val="left"/>
          </w:pPr>
          <w:hyperlink w:history="true" w:anchor="_bookmark2">
            <w:r>
              <w:rPr>
                <w:color w:val="231F20"/>
              </w:rPr>
              <w:t>Relevant human rights under</w:t>
            </w:r>
            <w:r>
              <w:rPr>
                <w:color w:val="231F20"/>
                <w:spacing w:val="-3"/>
              </w:rPr>
              <w:t> </w:t>
            </w:r>
            <w:r>
              <w:rPr>
                <w:color w:val="231F20"/>
              </w:rPr>
              <w:t>the</w:t>
            </w:r>
            <w:r>
              <w:rPr>
                <w:color w:val="231F20"/>
                <w:spacing w:val="-2"/>
              </w:rPr>
              <w:t> </w:t>
            </w:r>
            <w:r>
              <w:rPr>
                <w:color w:val="231F20"/>
              </w:rPr>
              <w:t>ICCPR</w:t>
              <w:tab/>
              <w:t>4</w:t>
            </w:r>
          </w:hyperlink>
        </w:p>
        <w:p>
          <w:pPr>
            <w:pStyle w:val="TOC3"/>
            <w:numPr>
              <w:ilvl w:val="3"/>
              <w:numId w:val="1"/>
            </w:numPr>
            <w:tabs>
              <w:tab w:pos="2442" w:val="left" w:leader="none"/>
              <w:tab w:pos="7430" w:val="right" w:leader="none"/>
            </w:tabs>
            <w:spacing w:line="240" w:lineRule="auto" w:before="10" w:after="0"/>
            <w:ind w:left="2441" w:right="0" w:hanging="397"/>
            <w:jc w:val="left"/>
          </w:pPr>
          <w:hyperlink w:history="true" w:anchor="_bookmark2">
            <w:r>
              <w:rPr>
                <w:color w:val="231F20"/>
              </w:rPr>
              <w:t>Relevant human rights under</w:t>
            </w:r>
            <w:r>
              <w:rPr>
                <w:color w:val="231F20"/>
                <w:spacing w:val="-3"/>
              </w:rPr>
              <w:t> </w:t>
            </w:r>
            <w:r>
              <w:rPr>
                <w:color w:val="231F20"/>
              </w:rPr>
              <w:t>the</w:t>
            </w:r>
            <w:r>
              <w:rPr>
                <w:color w:val="231F20"/>
                <w:spacing w:val="-2"/>
              </w:rPr>
              <w:t> </w:t>
            </w:r>
            <w:r>
              <w:rPr>
                <w:color w:val="231F20"/>
              </w:rPr>
              <w:t>CRC</w:t>
              <w:tab/>
              <w:t>4</w:t>
            </w:r>
          </w:hyperlink>
        </w:p>
        <w:p>
          <w:pPr>
            <w:pStyle w:val="TOC1"/>
            <w:numPr>
              <w:ilvl w:val="1"/>
              <w:numId w:val="1"/>
            </w:numPr>
            <w:tabs>
              <w:tab w:pos="1647" w:val="left" w:leader="none"/>
              <w:tab w:pos="1649" w:val="left" w:leader="none"/>
              <w:tab w:pos="7430" w:val="right" w:leader="none"/>
            </w:tabs>
            <w:spacing w:line="240" w:lineRule="auto" w:before="180" w:after="0"/>
            <w:ind w:left="1648" w:right="0" w:hanging="397"/>
            <w:jc w:val="left"/>
          </w:pPr>
          <w:hyperlink w:history="true" w:anchor="_bookmark3">
            <w:r>
              <w:rPr>
                <w:color w:val="231F20"/>
              </w:rPr>
              <w:t>Detention in an immigration</w:t>
            </w:r>
            <w:r>
              <w:rPr>
                <w:color w:val="231F20"/>
                <w:spacing w:val="-4"/>
              </w:rPr>
              <w:t> </w:t>
            </w:r>
            <w:r>
              <w:rPr>
                <w:color w:val="231F20"/>
              </w:rPr>
              <w:t>detention</w:t>
            </w:r>
            <w:r>
              <w:rPr>
                <w:color w:val="231F20"/>
                <w:spacing w:val="-1"/>
              </w:rPr>
              <w:t> </w:t>
            </w:r>
            <w:r>
              <w:rPr>
                <w:color w:val="231F20"/>
              </w:rPr>
              <w:t>centre</w:t>
              <w:tab/>
              <w:t>5</w:t>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3">
            <w:r>
              <w:rPr>
                <w:color w:val="231F20"/>
              </w:rPr>
              <w:t>Law</w:t>
              <w:tab/>
              <w:t>5</w:t>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4">
            <w:r>
              <w:rPr>
                <w:color w:val="231F20"/>
              </w:rPr>
              <w:t>Act or practice of</w:t>
            </w:r>
            <w:r>
              <w:rPr>
                <w:color w:val="231F20"/>
                <w:spacing w:val="-3"/>
              </w:rPr>
              <w:t> </w:t>
            </w:r>
            <w:r>
              <w:rPr>
                <w:color w:val="231F20"/>
              </w:rPr>
              <w:t>the</w:t>
            </w:r>
            <w:r>
              <w:rPr>
                <w:color w:val="231F20"/>
                <w:spacing w:val="-2"/>
              </w:rPr>
              <w:t> </w:t>
            </w:r>
            <w:r>
              <w:rPr>
                <w:color w:val="231F20"/>
              </w:rPr>
              <w:t>Commonwealth?</w:t>
              <w:tab/>
              <w:t>6</w:t>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5">
            <w:r>
              <w:rPr>
                <w:color w:val="231F20"/>
              </w:rPr>
              <w:t>The</w:t>
            </w:r>
            <w:r>
              <w:rPr>
                <w:color w:val="231F20"/>
                <w:spacing w:val="-2"/>
              </w:rPr>
              <w:t> </w:t>
            </w:r>
            <w:r>
              <w:rPr>
                <w:color w:val="231F20"/>
              </w:rPr>
              <w:t>department’s</w:t>
            </w:r>
            <w:r>
              <w:rPr>
                <w:color w:val="231F20"/>
                <w:spacing w:val="-1"/>
              </w:rPr>
              <w:t> </w:t>
            </w:r>
            <w:r>
              <w:rPr>
                <w:color w:val="231F20"/>
              </w:rPr>
              <w:t>response</w:t>
              <w:tab/>
              <w:t>7</w:t>
            </w:r>
          </w:hyperlink>
        </w:p>
        <w:p>
          <w:pPr>
            <w:pStyle w:val="TOC1"/>
            <w:numPr>
              <w:ilvl w:val="1"/>
              <w:numId w:val="1"/>
            </w:numPr>
            <w:tabs>
              <w:tab w:pos="1647" w:val="left" w:leader="none"/>
              <w:tab w:pos="1649" w:val="left" w:leader="none"/>
              <w:tab w:pos="7430" w:val="right" w:leader="none"/>
            </w:tabs>
            <w:spacing w:line="240" w:lineRule="auto" w:before="209" w:after="0"/>
            <w:ind w:left="1648" w:right="0" w:hanging="397"/>
            <w:jc w:val="left"/>
          </w:pPr>
          <w:hyperlink w:history="true" w:anchor="_bookmark6">
            <w:r>
              <w:rPr>
                <w:color w:val="231F20"/>
              </w:rPr>
              <w:t>Findings</w:t>
              <w:tab/>
              <w:t>9</w:t>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6">
            <w:r>
              <w:rPr>
                <w:color w:val="231F20"/>
              </w:rPr>
              <w:t>Finding –</w:t>
            </w:r>
            <w:r>
              <w:rPr>
                <w:color w:val="231F20"/>
                <w:spacing w:val="-2"/>
              </w:rPr>
              <w:t> </w:t>
            </w:r>
            <w:r>
              <w:rPr>
                <w:color w:val="231F20"/>
              </w:rPr>
              <w:t>arbitrary</w:t>
            </w:r>
            <w:r>
              <w:rPr>
                <w:color w:val="231F20"/>
                <w:spacing w:val="-1"/>
              </w:rPr>
              <w:t> </w:t>
            </w:r>
            <w:r>
              <w:rPr>
                <w:color w:val="231F20"/>
              </w:rPr>
              <w:t>detention</w:t>
              <w:tab/>
              <w:t>9</w:t>
            </w:r>
          </w:hyperlink>
        </w:p>
        <w:p>
          <w:pPr>
            <w:pStyle w:val="TOC2"/>
            <w:numPr>
              <w:ilvl w:val="2"/>
              <w:numId w:val="1"/>
            </w:numPr>
            <w:tabs>
              <w:tab w:pos="2045" w:val="left" w:leader="none"/>
              <w:tab w:pos="7430" w:val="right" w:leader="none"/>
            </w:tabs>
            <w:spacing w:line="240" w:lineRule="auto" w:before="39" w:after="0"/>
            <w:ind w:left="2044" w:right="0" w:hanging="396"/>
            <w:jc w:val="left"/>
          </w:pPr>
          <w:hyperlink w:history="true" w:anchor="_bookmark7">
            <w:r>
              <w:rPr>
                <w:color w:val="231F20"/>
              </w:rPr>
              <w:t>Finding – best interests of</w:t>
            </w:r>
            <w:r>
              <w:rPr>
                <w:color w:val="231F20"/>
                <w:spacing w:val="-3"/>
              </w:rPr>
              <w:t> </w:t>
            </w:r>
            <w:r>
              <w:rPr>
                <w:color w:val="231F20"/>
              </w:rPr>
              <w:t>the</w:t>
            </w:r>
            <w:r>
              <w:rPr>
                <w:color w:val="231F20"/>
                <w:spacing w:val="-2"/>
              </w:rPr>
              <w:t> </w:t>
            </w:r>
            <w:r>
              <w:rPr>
                <w:color w:val="231F20"/>
              </w:rPr>
              <w:t>child</w:t>
              <w:tab/>
            </w:r>
            <w:r>
              <w:rPr>
                <w:color w:val="231F20"/>
                <w:spacing w:val="-9"/>
              </w:rPr>
              <w:t>11</w:t>
            </w:r>
          </w:hyperlink>
        </w:p>
        <w:p>
          <w:pPr>
            <w:pStyle w:val="TOC1"/>
            <w:numPr>
              <w:ilvl w:val="1"/>
              <w:numId w:val="1"/>
            </w:numPr>
            <w:tabs>
              <w:tab w:pos="1647" w:val="left" w:leader="none"/>
              <w:tab w:pos="1649" w:val="left" w:leader="none"/>
              <w:tab w:pos="7430" w:val="right" w:leader="none"/>
            </w:tabs>
            <w:spacing w:line="240" w:lineRule="auto" w:before="209" w:after="0"/>
            <w:ind w:left="1648" w:right="0" w:hanging="397"/>
            <w:jc w:val="left"/>
          </w:pPr>
          <w:hyperlink w:history="true" w:anchor="_bookmark8">
            <w:r>
              <w:rPr>
                <w:color w:val="231F20"/>
              </w:rPr>
              <w:t>Recommendations</w:t>
              <w:tab/>
              <w:t>12</w:t>
            </w:r>
          </w:hyperlink>
        </w:p>
        <w:p>
          <w:pPr>
            <w:pStyle w:val="TOC2"/>
            <w:numPr>
              <w:ilvl w:val="2"/>
              <w:numId w:val="1"/>
            </w:numPr>
            <w:tabs>
              <w:tab w:pos="2045" w:val="left" w:leader="none"/>
              <w:tab w:pos="7430" w:val="right" w:leader="none"/>
            </w:tabs>
            <w:spacing w:line="240" w:lineRule="auto" w:before="67" w:after="0"/>
            <w:ind w:left="2044" w:right="0" w:hanging="396"/>
            <w:jc w:val="left"/>
          </w:pPr>
          <w:hyperlink w:history="true" w:anchor="_bookmark8">
            <w:r>
              <w:rPr>
                <w:color w:val="231F20"/>
              </w:rPr>
              <w:t>Compensation</w:t>
              <w:tab/>
              <w:t>12</w:t>
            </w:r>
          </w:hyperlink>
        </w:p>
        <w:p>
          <w:pPr>
            <w:pStyle w:val="TOC3"/>
            <w:numPr>
              <w:ilvl w:val="3"/>
              <w:numId w:val="1"/>
            </w:numPr>
            <w:tabs>
              <w:tab w:pos="2442" w:val="left" w:leader="none"/>
              <w:tab w:pos="7430" w:val="right" w:leader="none"/>
            </w:tabs>
            <w:spacing w:line="240" w:lineRule="auto" w:before="39" w:after="0"/>
            <w:ind w:left="2441" w:right="0" w:hanging="397"/>
            <w:jc w:val="left"/>
          </w:pPr>
          <w:hyperlink w:history="true" w:anchor="_bookmark9">
            <w:r>
              <w:rPr>
                <w:color w:val="231F20"/>
              </w:rPr>
              <w:t>Compensation</w:t>
              <w:tab/>
              <w:t>13</w:t>
            </w:r>
          </w:hyperlink>
        </w:p>
        <w:p>
          <w:pPr>
            <w:pStyle w:val="TOC3"/>
            <w:numPr>
              <w:ilvl w:val="3"/>
              <w:numId w:val="1"/>
            </w:numPr>
            <w:tabs>
              <w:tab w:pos="2442" w:val="left" w:leader="none"/>
              <w:tab w:pos="7430" w:val="right" w:leader="none"/>
            </w:tabs>
            <w:spacing w:line="240" w:lineRule="auto" w:before="11" w:after="0"/>
            <w:ind w:left="2441" w:right="0" w:hanging="397"/>
            <w:jc w:val="left"/>
          </w:pPr>
          <w:hyperlink w:history="true" w:anchor="_bookmark10">
            <w:r>
              <w:rPr>
                <w:color w:val="231F20"/>
              </w:rPr>
              <w:t>Recommendation that compensation</w:t>
            </w:r>
            <w:r>
              <w:rPr>
                <w:color w:val="231F20"/>
                <w:spacing w:val="-8"/>
              </w:rPr>
              <w:t> </w:t>
            </w:r>
            <w:r>
              <w:rPr>
                <w:color w:val="231F20"/>
              </w:rPr>
              <w:t>be</w:t>
            </w:r>
            <w:r>
              <w:rPr>
                <w:color w:val="231F20"/>
                <w:spacing w:val="-2"/>
              </w:rPr>
              <w:t> </w:t>
            </w:r>
            <w:r>
              <w:rPr>
                <w:color w:val="231F20"/>
              </w:rPr>
              <w:t>paid</w:t>
              <w:tab/>
              <w:t>15</w:t>
            </w:r>
          </w:hyperlink>
        </w:p>
        <w:p>
          <w:pPr>
            <w:pStyle w:val="TOC1"/>
            <w:tabs>
              <w:tab w:pos="1647" w:val="left" w:leader="none"/>
              <w:tab w:pos="7430" w:val="right" w:leader="none"/>
            </w:tabs>
            <w:spacing w:line="249" w:lineRule="auto" w:before="181"/>
            <w:ind w:right="1492"/>
          </w:pPr>
          <w:hyperlink w:history="true" w:anchor="_bookmark11">
            <w:r>
              <w:rPr>
                <w:color w:val="231F20"/>
              </w:rPr>
              <w:t>7</w:t>
              <w:tab/>
              <w:t>The department’s response to my</w:t>
            </w:r>
            <w:r>
              <w:rPr>
                <w:color w:val="231F20"/>
                <w:spacing w:val="-4"/>
              </w:rPr>
              <w:t> </w:t>
            </w:r>
            <w:r>
              <w:rPr>
                <w:color w:val="231F20"/>
              </w:rPr>
              <w:t>findings</w:t>
            </w:r>
            <w:r>
              <w:rPr>
                <w:color w:val="231F20"/>
                <w:spacing w:val="-1"/>
              </w:rPr>
              <w:t> </w:t>
            </w:r>
            <w:r>
              <w:rPr>
                <w:color w:val="231F20"/>
              </w:rPr>
              <w:t>and</w:t>
            </w:r>
            <w:r>
              <w:rPr>
                <w:color w:val="231F20"/>
                <w:w w:val="100"/>
              </w:rPr>
              <w:t> </w:t>
            </w:r>
          </w:hyperlink>
          <w:hyperlink w:history="true" w:anchor="_bookmark11">
            <w:r>
              <w:rPr>
                <w:color w:val="231F20"/>
              </w:rPr>
              <w:t>recommendations</w:t>
              <w:tab/>
              <w:t>16</w:t>
            </w:r>
          </w:hyperlink>
        </w:p>
      </w:sdtContent>
    </w:sdt>
    <w:p>
      <w:pPr>
        <w:spacing w:after="0" w:line="249" w:lineRule="auto"/>
        <w:sectPr>
          <w:footerReference w:type="even" r:id="rId32"/>
          <w:footerReference w:type="default" r:id="rId33"/>
          <w:pgSz w:w="11910" w:h="16840"/>
          <w:pgMar w:footer="692" w:header="0" w:top="1580" w:bottom="880" w:left="1300" w:right="1680"/>
        </w:sectPr>
      </w:pPr>
    </w:p>
    <w:p>
      <w:pPr>
        <w:pStyle w:val="BodyText"/>
        <w:spacing w:before="4"/>
        <w:rPr>
          <w:sz w:val="16"/>
        </w:rPr>
      </w:pPr>
    </w:p>
    <w:p>
      <w:pPr>
        <w:spacing w:line="240" w:lineRule="auto"/>
        <w:ind w:left="174" w:right="0" w:firstLine="0"/>
        <w:rPr>
          <w:sz w:val="20"/>
        </w:rPr>
      </w:pPr>
      <w:r>
        <w:rPr>
          <w:sz w:val="20"/>
        </w:rPr>
        <w:pict>
          <v:group style="width:43.65pt;height:43.5pt;mso-position-horizontal-relative:char;mso-position-vertical-relative:line" coordorigin="0,0" coordsize="873,870">
            <v:shape style="position:absolute;left:71;top:0;width:775;height:399" type="#_x0000_t75" stroked="false">
              <v:imagedata r:id="rId34" o:title=""/>
            </v:shape>
            <v:shape style="position:absolute;left:3;top:245;width:869;height:289" type="#_x0000_t75" stroked="false">
              <v:imagedata r:id="rId35" o:title=""/>
            </v:shape>
            <v:shape style="position:absolute;left:3;top:245;width:869;height:289" type="#_x0000_t75" stroked="false">
              <v:imagedata r:id="rId36" o:title=""/>
            </v:shape>
            <v:shape style="position:absolute;left:0;top:438;width:872;height:248" type="#_x0000_t75" stroked="false">
              <v:imagedata r:id="rId37" o:title=""/>
            </v:shape>
            <v:shape style="position:absolute;left:0;top:438;width:872;height:248" type="#_x0000_t75" stroked="false">
              <v:imagedata r:id="rId38" o:title=""/>
            </v:shape>
            <v:shape style="position:absolute;left:45;top:613;width:789;height:256" type="#_x0000_t75" stroked="false">
              <v:imagedata r:id="rId26" o:title=""/>
            </v:shape>
            <v:shape style="position:absolute;left:45;top:613;width:789;height:256" type="#_x0000_t75" stroked="false">
              <v:imagedata r:id="rId27" o:title=""/>
            </v:shape>
          </v:group>
        </w:pict>
      </w:r>
      <w:r>
        <w:rPr>
          <w:sz w:val="20"/>
        </w:rPr>
      </w:r>
      <w:r>
        <w:rPr>
          <w:rFonts w:ascii="Times New Roman"/>
          <w:spacing w:val="82"/>
          <w:sz w:val="20"/>
        </w:rPr>
        <w:t> </w:t>
      </w:r>
      <w:r>
        <w:rPr>
          <w:spacing w:val="82"/>
          <w:position w:val="11"/>
          <w:sz w:val="20"/>
        </w:rPr>
        <w:pict>
          <v:group style="width:76.25pt;height:32.9pt;mso-position-horizontal-relative:char;mso-position-vertical-relative:line" coordorigin="0,0" coordsize="1525,658">
            <v:shape style="position:absolute;left:0;top:16;width:726;height:168" type="#_x0000_t75" stroked="false">
              <v:imagedata r:id="rId39" o:title=""/>
            </v:shape>
            <v:shape style="position:absolute;left:745;top:0;width:352;height:197" type="#_x0000_t75" stroked="false">
              <v:imagedata r:id="rId40" o:title=""/>
            </v:shape>
            <v:shape style="position:absolute;left:17;top:246;width:728;height:168" type="#_x0000_t75" stroked="false">
              <v:imagedata r:id="rId41" o:title=""/>
            </v:shape>
            <v:shape style="position:absolute;left:844;top:246;width:681;height:214" type="#_x0000_t75" stroked="false">
              <v:imagedata r:id="rId42" o:title=""/>
            </v:shape>
            <v:shape style="position:absolute;left:11;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ed="true" fillcolor="#6d6e71" stroked="false">
              <v:path arrowok="t"/>
              <v:fill type="solid"/>
            </v:shape>
            <v:shape style="position:absolute;left:172;top:520;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ed="true" fillcolor="#6d6e71" stroked="false">
              <v:path arrowok="t"/>
              <v:fill type="solid"/>
            </v:shape>
            <v:shape style="position:absolute;left:311;top:520;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ed="true" fillcolor="#6d6e71" stroked="false">
              <v:path arrowok="t"/>
              <v:fill type="solid"/>
            </v:shape>
            <v:shape style="position:absolute;left:513;top:520;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ed="true" fillcolor="#6d6e71" stroked="false">
              <v:path arrowok="t"/>
              <v:fill type="solid"/>
            </v:shape>
            <v:line style="position:absolute" from="730,522" to="730,642" stroked="true" strokeweight="1.582pt" strokecolor="#6d6e71">
              <v:stroke dashstyle="solid"/>
            </v:line>
            <v:line style="position:absolute" from="714,492" to="746,492" stroked="true" strokeweight="1.464pt" strokecolor="#6d6e71">
              <v:stroke dashstyle="solid"/>
            </v:line>
            <v:shape style="position:absolute;left:766;top:520;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ed="true" fillcolor="#6d6e71" stroked="false">
              <v:path arrowok="t"/>
              <v:fill type="solid"/>
            </v:shape>
            <v:shape style="position:absolute;left:894;top:520;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ed="true" fillcolor="#6d6e71" stroked="false">
              <v:path arrowok="t"/>
              <v:fill type="solid"/>
            </v:shape>
            <v:line style="position:absolute" from="1043,522" to="1043,642" stroked="true" strokeweight="1.582pt" strokecolor="#6d6e71">
              <v:stroke dashstyle="solid"/>
            </v:line>
            <v:line style="position:absolute" from="1027,492" to="1058,492" stroked="true" strokeweight="1.464pt" strokecolor="#6d6e71">
              <v:stroke dashstyle="solid"/>
            </v:line>
            <v:shape style="position:absolute;left:1081;top:520;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ed="true" fillcolor="#6d6e71" stroked="false">
              <v:path arrowok="t"/>
              <v:fill type="solid"/>
            </v:shape>
            <v:shape style="position:absolute;left:1225;top:520;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ed="true" fillcolor="#6d6e71" stroked="false">
              <v:path arrowok="t"/>
              <v:fill type="solid"/>
            </v:shape>
          </v:group>
        </w:pict>
      </w:r>
      <w:r>
        <w:rPr>
          <w:spacing w:val="82"/>
          <w:position w:val="11"/>
          <w:sz w:val="20"/>
        </w:rPr>
      </w:r>
    </w:p>
    <w:p>
      <w:pPr>
        <w:pStyle w:val="BodyText"/>
        <w:spacing w:before="2"/>
        <w:rPr>
          <w:sz w:val="8"/>
        </w:rPr>
      </w:pPr>
      <w:r>
        <w:rPr/>
        <w:pict>
          <v:group style="position:absolute;margin-left:70.866096pt;margin-top:6.6905pt;width:453.55pt;height:1pt;mso-position-horizontal-relative:page;mso-position-vertical-relative:paragraph;z-index:1360;mso-wrap-distance-left:0;mso-wrap-distance-right:0" coordorigin="1417,134" coordsize="9071,20">
            <v:line style="position:absolute" from="1467,144" to="10458,144" stroked="true" strokeweight="1pt" strokecolor="#6d6e71">
              <v:stroke dashstyle="dot"/>
            </v:line>
            <v:line style="position:absolute" from="1427,144" to="1427,144" stroked="true" strokeweight="1pt" strokecolor="#6d6e71">
              <v:stroke dashstyle="solid"/>
            </v:line>
            <v:line style="position:absolute" from="10478,144" to="10478,144" stroked="true" strokeweight="1pt" strokecolor="#6d6e71">
              <v:stroke dashstyle="solid"/>
            </v:line>
            <w10:wrap type="topAndBottom"/>
          </v:group>
        </w:pict>
      </w:r>
    </w:p>
    <w:p>
      <w:pPr>
        <w:pStyle w:val="BodyText"/>
        <w:spacing w:before="1"/>
        <w:rPr>
          <w:sz w:val="23"/>
        </w:rPr>
      </w:pPr>
    </w:p>
    <w:p>
      <w:pPr>
        <w:pStyle w:val="BodyText"/>
        <w:spacing w:before="1"/>
        <w:ind w:left="107"/>
      </w:pPr>
      <w:r>
        <w:rPr>
          <w:color w:val="231F20"/>
        </w:rPr>
        <w:t>March 2017</w:t>
      </w:r>
    </w:p>
    <w:p>
      <w:pPr>
        <w:pStyle w:val="BodyText"/>
        <w:spacing w:line="249" w:lineRule="auto" w:before="125"/>
        <w:ind w:left="107" w:right="5206"/>
      </w:pPr>
      <w:r>
        <w:rPr>
          <w:color w:val="231F20"/>
        </w:rPr>
        <w:t>Senator the Hon. George Brandis QC Attorney-General</w:t>
      </w:r>
    </w:p>
    <w:p>
      <w:pPr>
        <w:pStyle w:val="BodyText"/>
        <w:spacing w:line="249" w:lineRule="auto"/>
        <w:ind w:left="107" w:right="6314"/>
      </w:pPr>
      <w:r>
        <w:rPr>
          <w:color w:val="231F20"/>
        </w:rPr>
        <w:t>Parliament House Canberra ACT 2600</w:t>
      </w:r>
    </w:p>
    <w:p>
      <w:pPr>
        <w:pStyle w:val="BodyText"/>
        <w:spacing w:before="114"/>
        <w:ind w:left="107"/>
      </w:pPr>
      <w:r>
        <w:rPr>
          <w:color w:val="231F20"/>
        </w:rPr>
        <w:t>Dear Attorney,</w:t>
      </w:r>
    </w:p>
    <w:p>
      <w:pPr>
        <w:spacing w:line="249" w:lineRule="auto" w:before="125"/>
        <w:ind w:left="107" w:right="338" w:firstLine="0"/>
        <w:jc w:val="left"/>
        <w:rPr>
          <w:sz w:val="24"/>
        </w:rPr>
      </w:pPr>
      <w:r>
        <w:rPr>
          <w:color w:val="231F20"/>
          <w:sz w:val="24"/>
        </w:rPr>
        <w:t>I have completed my report pursuant to section 11(1)(f)(ii) of the </w:t>
      </w:r>
      <w:r>
        <w:rPr>
          <w:i/>
          <w:color w:val="231F20"/>
          <w:sz w:val="24"/>
        </w:rPr>
        <w:t>Australian Human Rights Commission Act 1986 </w:t>
      </w:r>
      <w:r>
        <w:rPr>
          <w:color w:val="231F20"/>
          <w:sz w:val="24"/>
        </w:rPr>
        <w:t>(Cth) into the complaint by Mr BF on behalf of himself and his son, Master BG against the Commonwealth of Australia (Department of Immigration and Border Protection) alleging a breach of their human rights under article 9 of the </w:t>
      </w:r>
      <w:r>
        <w:rPr>
          <w:i/>
          <w:color w:val="231F20"/>
          <w:sz w:val="24"/>
        </w:rPr>
        <w:t>International Covenant on Civil and Political Rights </w:t>
      </w:r>
      <w:r>
        <w:rPr>
          <w:color w:val="231F20"/>
          <w:sz w:val="24"/>
        </w:rPr>
        <w:t>(ICCPR) and article 37(b) of the </w:t>
      </w:r>
      <w:r>
        <w:rPr>
          <w:i/>
          <w:color w:val="231F20"/>
          <w:sz w:val="24"/>
        </w:rPr>
        <w:t>Convention on the Rights of the Child </w:t>
      </w:r>
      <w:r>
        <w:rPr>
          <w:color w:val="231F20"/>
          <w:sz w:val="24"/>
        </w:rPr>
        <w:t>(CRC).</w:t>
      </w:r>
    </w:p>
    <w:p>
      <w:pPr>
        <w:pStyle w:val="BodyText"/>
        <w:spacing w:line="249" w:lineRule="auto" w:before="97"/>
        <w:ind w:left="107" w:right="338"/>
      </w:pPr>
      <w:r>
        <w:rPr>
          <w:color w:val="231F20"/>
        </w:rPr>
        <w:t>I have found that, whether required by a policy decision of the Minister or whether resulting from a failure by the department to refer Mr BF and his son’s case to the Minister pursuant to the community detention guidelines, the department’s failure to assess Mr BF and his son for community detention resulted in their detention being arbitrary, contrary to article 9 of the ICCPR and article 37(b) of the CRC.</w:t>
      </w:r>
    </w:p>
    <w:p>
      <w:pPr>
        <w:pStyle w:val="BodyText"/>
        <w:spacing w:line="249" w:lineRule="auto" w:before="97"/>
        <w:ind w:left="107" w:right="165"/>
      </w:pPr>
      <w:r>
        <w:rPr>
          <w:color w:val="231F20"/>
        </w:rPr>
        <w:t>Further, I have found that the department breached article 3 of the CRC through its failure to consider Master BG’s best interests and to take these interests into account as a primary consideration in the decision on whether to refer his and his father’s case to the Minister for consideration of a residence determination.</w:t>
      </w:r>
    </w:p>
    <w:p>
      <w:pPr>
        <w:pStyle w:val="BodyText"/>
        <w:spacing w:line="249" w:lineRule="auto" w:before="97"/>
        <w:ind w:left="107" w:right="190"/>
      </w:pPr>
      <w:r>
        <w:rPr>
          <w:color w:val="231F20"/>
        </w:rPr>
        <w:t>In light of my findings, I have recommended that the Commonwealth pay to Mr BF appropriate compensation in relation to his and his son’s period of arbitrary detention and for the breach of article 3 of the CRC.</w:t>
      </w:r>
    </w:p>
    <w:p>
      <w:pPr>
        <w:pStyle w:val="BodyText"/>
        <w:spacing w:line="249" w:lineRule="auto" w:before="97"/>
        <w:ind w:left="107" w:right="204"/>
      </w:pPr>
      <w:r>
        <w:rPr>
          <w:color w:val="231F20"/>
        </w:rPr>
        <w:t>By letter dated 27 February 2017 the department provided a response to my findings and recommendations. I have set out the department’s response in part 7 of this report.</w:t>
      </w:r>
    </w:p>
    <w:p>
      <w:pPr>
        <w:pStyle w:val="BodyText"/>
        <w:spacing w:line="448" w:lineRule="auto" w:before="97"/>
        <w:ind w:left="107" w:right="6034"/>
      </w:pPr>
      <w:r>
        <w:rPr>
          <w:color w:val="231F20"/>
        </w:rPr>
        <w:t>I enclose a copy of my report. Yours sincerely,</w:t>
      </w:r>
    </w:p>
    <w:p>
      <w:pPr>
        <w:pStyle w:val="BodyText"/>
        <w:spacing w:line="273" w:lineRule="exact" w:before="214"/>
        <w:ind w:left="107"/>
      </w:pPr>
      <w:r>
        <w:rPr>
          <w:color w:val="231F20"/>
        </w:rPr>
        <w:t>Gillian Triggs</w:t>
      </w:r>
    </w:p>
    <w:p>
      <w:pPr>
        <w:pStyle w:val="Heading3"/>
        <w:spacing w:line="270" w:lineRule="exact"/>
        <w:ind w:left="107" w:firstLine="0"/>
      </w:pPr>
      <w:r>
        <w:rPr>
          <w:color w:val="231F20"/>
        </w:rPr>
        <w:t>President</w:t>
      </w:r>
    </w:p>
    <w:p>
      <w:pPr>
        <w:pStyle w:val="BodyText"/>
        <w:spacing w:line="273" w:lineRule="exact"/>
        <w:ind w:left="107"/>
      </w:pPr>
      <w:r>
        <w:rPr>
          <w:color w:val="231F20"/>
        </w:rPr>
        <w:t>Australian Human Rights Commission</w:t>
      </w:r>
    </w:p>
    <w:p>
      <w:pPr>
        <w:pStyle w:val="BodyText"/>
        <w:spacing w:before="5"/>
        <w:rPr>
          <w:sz w:val="21"/>
        </w:rPr>
      </w:pPr>
      <w:r>
        <w:rPr/>
        <w:pict>
          <v:group style="position:absolute;margin-left:70.866096pt;margin-top:14.291392pt;width:453.55pt;height:1pt;mso-position-horizontal-relative:page;mso-position-vertical-relative:paragraph;z-index:1384;mso-wrap-distance-left:0;mso-wrap-distance-right:0" coordorigin="1417,286" coordsize="9071,20">
            <v:line style="position:absolute" from="1467,296" to="10458,296" stroked="true" strokeweight="1pt" strokecolor="#6d6e71">
              <v:stroke dashstyle="dot"/>
            </v:line>
            <v:line style="position:absolute" from="1427,296" to="1427,296" stroked="true" strokeweight="1pt" strokecolor="#6d6e71">
              <v:stroke dashstyle="solid"/>
            </v:line>
            <v:line style="position:absolute" from="10478,296" to="10478,296" stroked="true" strokeweight="1pt" strokecolor="#6d6e71">
              <v:stroke dashstyle="solid"/>
            </v:line>
            <w10:wrap type="topAndBottom"/>
          </v:group>
        </w:pict>
      </w:r>
    </w:p>
    <w:p>
      <w:pPr>
        <w:spacing w:before="100"/>
        <w:ind w:left="117" w:right="0" w:firstLine="0"/>
        <w:jc w:val="left"/>
        <w:rPr>
          <w:b/>
          <w:sz w:val="15"/>
        </w:rPr>
      </w:pPr>
      <w:r>
        <w:rPr>
          <w:b/>
          <w:color w:val="231F20"/>
          <w:w w:val="90"/>
          <w:sz w:val="15"/>
        </w:rPr>
        <w:t>Australian Human Rights Commission</w:t>
      </w:r>
    </w:p>
    <w:p>
      <w:pPr>
        <w:spacing w:before="117"/>
        <w:ind w:left="117" w:right="0" w:firstLine="0"/>
        <w:jc w:val="left"/>
        <w:rPr>
          <w:sz w:val="14"/>
        </w:rPr>
      </w:pPr>
      <w:r>
        <w:rPr>
          <w:color w:val="231F20"/>
          <w:sz w:val="14"/>
        </w:rPr>
        <w:t>Level 3, 175 Pitt Street, Sydney NSW 2000</w:t>
      </w:r>
    </w:p>
    <w:p>
      <w:pPr>
        <w:spacing w:before="6"/>
        <w:ind w:left="117" w:right="0" w:firstLine="0"/>
        <w:jc w:val="left"/>
        <w:rPr>
          <w:sz w:val="14"/>
        </w:rPr>
      </w:pPr>
      <w:r>
        <w:rPr>
          <w:color w:val="231F20"/>
          <w:sz w:val="14"/>
        </w:rPr>
        <w:t>GPO Box 5218, Sydney NSW 2001</w:t>
      </w:r>
    </w:p>
    <w:p>
      <w:pPr>
        <w:spacing w:before="63"/>
        <w:ind w:left="117" w:right="0" w:firstLine="0"/>
        <w:jc w:val="left"/>
        <w:rPr>
          <w:sz w:val="14"/>
        </w:rPr>
      </w:pPr>
      <w:r>
        <w:rPr>
          <w:i/>
          <w:color w:val="231F20"/>
          <w:sz w:val="14"/>
        </w:rPr>
        <w:t>Telephone: </w:t>
      </w:r>
      <w:r>
        <w:rPr>
          <w:color w:val="231F20"/>
          <w:sz w:val="14"/>
        </w:rPr>
        <w:t>02 9284 9600</w:t>
      </w:r>
    </w:p>
    <w:p>
      <w:pPr>
        <w:spacing w:before="6"/>
        <w:ind w:left="117" w:right="0" w:firstLine="0"/>
        <w:jc w:val="left"/>
        <w:rPr>
          <w:sz w:val="14"/>
        </w:rPr>
      </w:pPr>
      <w:r>
        <w:rPr>
          <w:i/>
          <w:color w:val="231F20"/>
          <w:sz w:val="14"/>
        </w:rPr>
        <w:t>Facsimile: </w:t>
      </w:r>
      <w:r>
        <w:rPr>
          <w:color w:val="231F20"/>
          <w:sz w:val="14"/>
        </w:rPr>
        <w:t>02 9284 9611</w:t>
      </w:r>
    </w:p>
    <w:p>
      <w:pPr>
        <w:spacing w:before="6"/>
        <w:ind w:left="117" w:right="0" w:firstLine="0"/>
        <w:jc w:val="left"/>
        <w:rPr>
          <w:sz w:val="14"/>
        </w:rPr>
      </w:pPr>
      <w:r>
        <w:rPr>
          <w:i/>
          <w:color w:val="231F20"/>
          <w:sz w:val="14"/>
        </w:rPr>
        <w:t>Website: </w:t>
      </w:r>
      <w:hyperlink r:id="rId43">
        <w:r>
          <w:rPr>
            <w:color w:val="0079C1"/>
            <w:sz w:val="14"/>
          </w:rPr>
          <w:t>www.humanrights.gov.au</w:t>
        </w:r>
      </w:hyperlink>
    </w:p>
    <w:p>
      <w:pPr>
        <w:spacing w:after="0"/>
        <w:jc w:val="left"/>
        <w:rPr>
          <w:sz w:val="14"/>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2"/>
        </w:numPr>
        <w:tabs>
          <w:tab w:pos="797" w:val="left" w:leader="none"/>
          <w:tab w:pos="798" w:val="left" w:leader="none"/>
        </w:tabs>
        <w:spacing w:line="240" w:lineRule="auto" w:before="241" w:after="0"/>
        <w:ind w:left="797" w:right="0" w:hanging="680"/>
        <w:jc w:val="left"/>
      </w:pPr>
      <w:bookmarkStart w:name="_bookmark0" w:id="1"/>
      <w:bookmarkEnd w:id="1"/>
      <w:r>
        <w:rPr>
          <w:b w:val="0"/>
        </w:rPr>
      </w:r>
      <w:bookmarkStart w:name="_bookmark0" w:id="2"/>
      <w:bookmarkEnd w:id="2"/>
      <w:r>
        <w:rPr>
          <w:color w:val="231F20"/>
        </w:rPr>
        <w:t>Introduction</w:t>
      </w:r>
    </w:p>
    <w:p>
      <w:pPr>
        <w:pStyle w:val="ListParagraph"/>
        <w:numPr>
          <w:ilvl w:val="0"/>
          <w:numId w:val="3"/>
        </w:numPr>
        <w:tabs>
          <w:tab w:pos="797" w:val="left" w:leader="none"/>
          <w:tab w:pos="798" w:val="left" w:leader="none"/>
        </w:tabs>
        <w:spacing w:line="249" w:lineRule="auto" w:before="213" w:after="0"/>
        <w:ind w:left="797" w:right="123" w:hanging="680"/>
        <w:jc w:val="left"/>
        <w:rPr>
          <w:sz w:val="24"/>
        </w:rPr>
      </w:pPr>
      <w:r>
        <w:rPr>
          <w:color w:val="231F20"/>
          <w:sz w:val="24"/>
        </w:rPr>
        <w:t>This is a report setting out the findings of the Australian Human Rights Commission following an inquiry into a complaint by Mr BF on behalf of himself and his son, Master BG against the Commonwealth of Australia – Department of Immigration and Border Protection (department) alleging a breach of their human</w:t>
      </w:r>
      <w:r>
        <w:rPr>
          <w:color w:val="231F20"/>
          <w:spacing w:val="-4"/>
          <w:sz w:val="24"/>
        </w:rPr>
        <w:t> </w:t>
      </w:r>
      <w:r>
        <w:rPr>
          <w:color w:val="231F20"/>
          <w:sz w:val="24"/>
        </w:rPr>
        <w:t>rights.</w:t>
      </w:r>
    </w:p>
    <w:p>
      <w:pPr>
        <w:pStyle w:val="ListParagraph"/>
        <w:numPr>
          <w:ilvl w:val="0"/>
          <w:numId w:val="3"/>
        </w:numPr>
        <w:tabs>
          <w:tab w:pos="797" w:val="left" w:leader="none"/>
          <w:tab w:pos="798" w:val="left" w:leader="none"/>
        </w:tabs>
        <w:spacing w:line="249" w:lineRule="auto" w:before="114" w:after="0"/>
        <w:ind w:left="797" w:right="242" w:hanging="680"/>
        <w:jc w:val="left"/>
        <w:rPr>
          <w:sz w:val="24"/>
        </w:rPr>
      </w:pPr>
      <w:r>
        <w:rPr>
          <w:color w:val="231F20"/>
          <w:sz w:val="24"/>
        </w:rPr>
        <w:t>Mr BF’s complaint is about his and his son’s detention on Christmas Island from 23 July 2013 to 28 March 2014. His complaint raises for consideration the right to liberty protected by article 9 of the </w:t>
      </w:r>
      <w:r>
        <w:rPr>
          <w:i/>
          <w:color w:val="231F20"/>
          <w:sz w:val="24"/>
        </w:rPr>
        <w:t>International Covenant on Civil and Political Rights </w:t>
      </w:r>
      <w:r>
        <w:rPr>
          <w:color w:val="231F20"/>
          <w:sz w:val="24"/>
        </w:rPr>
        <w:t>(ICCPR) and article 37(b) of the </w:t>
      </w:r>
      <w:r>
        <w:rPr>
          <w:i/>
          <w:color w:val="231F20"/>
          <w:sz w:val="24"/>
        </w:rPr>
        <w:t>Convention on the Rights of the Child </w:t>
      </w:r>
      <w:r>
        <w:rPr>
          <w:color w:val="231F20"/>
          <w:sz w:val="24"/>
        </w:rPr>
        <w:t>(CRC). I have also considered article 3 of the CRC, which places a requirement on decision makers to make the best interests of the child a primary consideration in all actions concerning</w:t>
      </w:r>
      <w:r>
        <w:rPr>
          <w:color w:val="231F20"/>
          <w:spacing w:val="-17"/>
          <w:sz w:val="24"/>
        </w:rPr>
        <w:t> </w:t>
      </w:r>
      <w:r>
        <w:rPr>
          <w:color w:val="231F20"/>
          <w:sz w:val="24"/>
        </w:rPr>
        <w:t>them.</w:t>
      </w:r>
    </w:p>
    <w:p>
      <w:pPr>
        <w:pStyle w:val="ListParagraph"/>
        <w:numPr>
          <w:ilvl w:val="0"/>
          <w:numId w:val="3"/>
        </w:numPr>
        <w:tabs>
          <w:tab w:pos="797" w:val="left" w:leader="none"/>
          <w:tab w:pos="798" w:val="left" w:leader="none"/>
        </w:tabs>
        <w:spacing w:line="249" w:lineRule="auto" w:before="114" w:after="0"/>
        <w:ind w:left="797" w:right="295" w:hanging="680"/>
        <w:jc w:val="left"/>
        <w:rPr>
          <w:sz w:val="24"/>
        </w:rPr>
      </w:pPr>
      <w:r>
        <w:rPr>
          <w:color w:val="231F20"/>
          <w:sz w:val="24"/>
        </w:rPr>
        <w:t>I consider that the preservation of the anonymity of Mr BF and Master BG is necessary to protect their </w:t>
      </w:r>
      <w:r>
        <w:rPr>
          <w:color w:val="231F20"/>
          <w:spacing w:val="-3"/>
          <w:sz w:val="24"/>
        </w:rPr>
        <w:t>privacy. </w:t>
      </w:r>
      <w:r>
        <w:rPr>
          <w:color w:val="231F20"/>
          <w:sz w:val="24"/>
        </w:rPr>
        <w:t>Accordingly, I have given a direction under s</w:t>
      </w:r>
      <w:r>
        <w:rPr>
          <w:color w:val="231F20"/>
          <w:spacing w:val="-2"/>
          <w:sz w:val="24"/>
        </w:rPr>
        <w:t> </w:t>
      </w:r>
      <w:r>
        <w:rPr>
          <w:color w:val="231F20"/>
          <w:sz w:val="24"/>
        </w:rPr>
        <w:t>14(2)</w:t>
      </w:r>
      <w:r>
        <w:rPr>
          <w:color w:val="231F20"/>
          <w:spacing w:val="-2"/>
          <w:sz w:val="24"/>
        </w:rPr>
        <w:t> </w:t>
      </w:r>
      <w:r>
        <w:rPr>
          <w:color w:val="231F20"/>
          <w:sz w:val="24"/>
        </w:rPr>
        <w:t>of</w:t>
      </w:r>
      <w:r>
        <w:rPr>
          <w:color w:val="231F20"/>
          <w:spacing w:val="-2"/>
          <w:sz w:val="24"/>
        </w:rPr>
        <w:t> </w:t>
      </w:r>
      <w:r>
        <w:rPr>
          <w:color w:val="231F20"/>
          <w:sz w:val="24"/>
        </w:rPr>
        <w:t>the</w:t>
      </w:r>
      <w:r>
        <w:rPr>
          <w:color w:val="231F20"/>
          <w:spacing w:val="-15"/>
          <w:sz w:val="24"/>
        </w:rPr>
        <w:t> </w:t>
      </w:r>
      <w:r>
        <w:rPr>
          <w:color w:val="231F20"/>
          <w:sz w:val="24"/>
        </w:rPr>
        <w:t>AHRC</w:t>
      </w:r>
      <w:r>
        <w:rPr>
          <w:color w:val="231F20"/>
          <w:spacing w:val="-15"/>
          <w:sz w:val="24"/>
        </w:rPr>
        <w:t> </w:t>
      </w:r>
      <w:r>
        <w:rPr>
          <w:color w:val="231F20"/>
          <w:sz w:val="24"/>
        </w:rPr>
        <w:t>Act</w:t>
      </w:r>
      <w:r>
        <w:rPr>
          <w:color w:val="231F20"/>
          <w:spacing w:val="-2"/>
          <w:sz w:val="24"/>
        </w:rPr>
        <w:t> </w:t>
      </w:r>
      <w:r>
        <w:rPr>
          <w:color w:val="231F20"/>
          <w:sz w:val="24"/>
        </w:rPr>
        <w:t>and</w:t>
      </w:r>
      <w:r>
        <w:rPr>
          <w:color w:val="231F20"/>
          <w:spacing w:val="-2"/>
          <w:sz w:val="24"/>
        </w:rPr>
        <w:t> </w:t>
      </w:r>
      <w:r>
        <w:rPr>
          <w:color w:val="231F20"/>
          <w:sz w:val="24"/>
        </w:rPr>
        <w:t>referred</w:t>
      </w:r>
      <w:r>
        <w:rPr>
          <w:color w:val="231F20"/>
          <w:spacing w:val="-3"/>
          <w:sz w:val="24"/>
        </w:rPr>
        <w:t> </w:t>
      </w:r>
      <w:r>
        <w:rPr>
          <w:color w:val="231F20"/>
          <w:sz w:val="24"/>
        </w:rPr>
        <w:t>to</w:t>
      </w:r>
      <w:r>
        <w:rPr>
          <w:color w:val="231F20"/>
          <w:spacing w:val="-3"/>
          <w:sz w:val="24"/>
        </w:rPr>
        <w:t> </w:t>
      </w:r>
      <w:r>
        <w:rPr>
          <w:color w:val="231F20"/>
          <w:sz w:val="24"/>
        </w:rPr>
        <w:t>them</w:t>
      </w:r>
      <w:r>
        <w:rPr>
          <w:color w:val="231F20"/>
          <w:spacing w:val="-3"/>
          <w:sz w:val="24"/>
        </w:rPr>
        <w:t> </w:t>
      </w:r>
      <w:r>
        <w:rPr>
          <w:color w:val="231F20"/>
          <w:sz w:val="24"/>
        </w:rPr>
        <w:t>by</w:t>
      </w:r>
      <w:r>
        <w:rPr>
          <w:color w:val="231F20"/>
          <w:spacing w:val="-2"/>
          <w:sz w:val="24"/>
        </w:rPr>
        <w:t> </w:t>
      </w:r>
      <w:r>
        <w:rPr>
          <w:color w:val="231F20"/>
          <w:sz w:val="24"/>
        </w:rPr>
        <w:t>the</w:t>
      </w:r>
      <w:r>
        <w:rPr>
          <w:color w:val="231F20"/>
          <w:spacing w:val="-3"/>
          <w:sz w:val="24"/>
        </w:rPr>
        <w:t> </w:t>
      </w:r>
      <w:r>
        <w:rPr>
          <w:color w:val="231F20"/>
          <w:sz w:val="24"/>
        </w:rPr>
        <w:t>pseudonyms</w:t>
      </w:r>
      <w:r>
        <w:rPr>
          <w:color w:val="231F20"/>
          <w:spacing w:val="-2"/>
          <w:sz w:val="24"/>
        </w:rPr>
        <w:t> </w:t>
      </w:r>
      <w:r>
        <w:rPr>
          <w:color w:val="231F20"/>
          <w:sz w:val="24"/>
        </w:rPr>
        <w:t>BF</w:t>
      </w:r>
      <w:r>
        <w:rPr>
          <w:color w:val="231F20"/>
          <w:spacing w:val="-2"/>
          <w:sz w:val="24"/>
        </w:rPr>
        <w:t> </w:t>
      </w:r>
      <w:r>
        <w:rPr>
          <w:color w:val="231F20"/>
          <w:sz w:val="24"/>
        </w:rPr>
        <w:t>and</w:t>
      </w:r>
      <w:r>
        <w:rPr>
          <w:color w:val="231F20"/>
          <w:spacing w:val="-2"/>
          <w:sz w:val="24"/>
        </w:rPr>
        <w:t> </w:t>
      </w:r>
      <w:r>
        <w:rPr>
          <w:color w:val="231F20"/>
          <w:sz w:val="24"/>
        </w:rPr>
        <w:t>BG in this</w:t>
      </w:r>
      <w:r>
        <w:rPr>
          <w:color w:val="231F20"/>
          <w:spacing w:val="-11"/>
          <w:sz w:val="24"/>
        </w:rPr>
        <w:t> </w:t>
      </w:r>
      <w:r>
        <w:rPr>
          <w:color w:val="231F20"/>
          <w:sz w:val="24"/>
        </w:rPr>
        <w:t>document.</w:t>
      </w:r>
    </w:p>
    <w:p>
      <w:pPr>
        <w:pStyle w:val="ListParagraph"/>
        <w:numPr>
          <w:ilvl w:val="0"/>
          <w:numId w:val="3"/>
        </w:numPr>
        <w:tabs>
          <w:tab w:pos="797" w:val="left" w:leader="none"/>
          <w:tab w:pos="798" w:val="left" w:leader="none"/>
        </w:tabs>
        <w:spacing w:line="249" w:lineRule="auto" w:before="114" w:after="0"/>
        <w:ind w:left="797" w:right="846" w:hanging="680"/>
        <w:jc w:val="left"/>
        <w:rPr>
          <w:sz w:val="24"/>
        </w:rPr>
      </w:pPr>
      <w:r>
        <w:rPr>
          <w:color w:val="231F20"/>
          <w:sz w:val="24"/>
        </w:rPr>
        <w:t>This inquiry has been undertaken pursuant to s </w:t>
      </w:r>
      <w:r>
        <w:rPr>
          <w:color w:val="231F20"/>
          <w:spacing w:val="-3"/>
          <w:sz w:val="24"/>
        </w:rPr>
        <w:t>11(1)(f) </w:t>
      </w:r>
      <w:r>
        <w:rPr>
          <w:color w:val="231F20"/>
          <w:sz w:val="24"/>
        </w:rPr>
        <w:t>of the </w:t>
      </w:r>
      <w:r>
        <w:rPr>
          <w:i/>
          <w:color w:val="231F20"/>
          <w:sz w:val="24"/>
        </w:rPr>
        <w:t>Australian Human Rights Commission Act 1986 </w:t>
      </w:r>
      <w:r>
        <w:rPr>
          <w:color w:val="231F20"/>
          <w:sz w:val="24"/>
        </w:rPr>
        <w:t>(Cth) (AHRC</w:t>
      </w:r>
      <w:r>
        <w:rPr>
          <w:color w:val="231F20"/>
          <w:spacing w:val="-43"/>
          <w:sz w:val="24"/>
        </w:rPr>
        <w:t> </w:t>
      </w:r>
      <w:r>
        <w:rPr>
          <w:color w:val="231F20"/>
          <w:sz w:val="24"/>
        </w:rPr>
        <w:t>Act).</w:t>
      </w:r>
    </w:p>
    <w:p>
      <w:pPr>
        <w:pStyle w:val="ListParagraph"/>
        <w:numPr>
          <w:ilvl w:val="0"/>
          <w:numId w:val="3"/>
        </w:numPr>
        <w:tabs>
          <w:tab w:pos="797" w:val="left" w:leader="none"/>
          <w:tab w:pos="798" w:val="left" w:leader="none"/>
        </w:tabs>
        <w:spacing w:line="249" w:lineRule="auto" w:before="114" w:after="0"/>
        <w:ind w:left="797" w:right="509" w:hanging="680"/>
        <w:jc w:val="left"/>
        <w:rPr>
          <w:sz w:val="24"/>
        </w:rPr>
      </w:pPr>
      <w:r>
        <w:rPr>
          <w:color w:val="231F20"/>
          <w:sz w:val="24"/>
        </w:rPr>
        <w:t>As a result of the </w:t>
      </w:r>
      <w:r>
        <w:rPr>
          <w:color w:val="231F20"/>
          <w:spacing w:val="-3"/>
          <w:sz w:val="24"/>
        </w:rPr>
        <w:t>inquiry, </w:t>
      </w:r>
      <w:r>
        <w:rPr>
          <w:color w:val="231F20"/>
          <w:sz w:val="24"/>
        </w:rPr>
        <w:t>I find that, whether required by a policy decision of the Minister or whether resulting from a failure by the department to</w:t>
      </w:r>
      <w:r>
        <w:rPr>
          <w:color w:val="231F20"/>
          <w:spacing w:val="-25"/>
          <w:sz w:val="24"/>
        </w:rPr>
        <w:t> </w:t>
      </w:r>
      <w:r>
        <w:rPr>
          <w:color w:val="231F20"/>
          <w:sz w:val="24"/>
        </w:rPr>
        <w:t>refer</w:t>
      </w:r>
    </w:p>
    <w:p>
      <w:pPr>
        <w:pStyle w:val="BodyText"/>
        <w:spacing w:line="249" w:lineRule="auto" w:before="1"/>
        <w:ind w:left="797" w:right="99"/>
      </w:pPr>
      <w:r>
        <w:rPr>
          <w:color w:val="231F20"/>
        </w:rPr>
        <w:t>Mr BF and his son’s case to the Minister pursuant to the community detention guidelines, the failure to assess Mr BF and his son for community detention has resulted in their detention being </w:t>
      </w:r>
      <w:r>
        <w:rPr>
          <w:color w:val="231F20"/>
          <w:spacing w:val="-3"/>
        </w:rPr>
        <w:t>arbitrary, </w:t>
      </w:r>
      <w:r>
        <w:rPr>
          <w:color w:val="231F20"/>
        </w:rPr>
        <w:t>contrary to article 9 of the ICCPR and article 37(b) of the</w:t>
      </w:r>
      <w:r>
        <w:rPr>
          <w:color w:val="231F20"/>
          <w:spacing w:val="-18"/>
        </w:rPr>
        <w:t> </w:t>
      </w:r>
      <w:r>
        <w:rPr>
          <w:color w:val="231F20"/>
        </w:rPr>
        <w:t>CRC.</w:t>
      </w:r>
    </w:p>
    <w:p>
      <w:pPr>
        <w:pStyle w:val="ListParagraph"/>
        <w:numPr>
          <w:ilvl w:val="0"/>
          <w:numId w:val="3"/>
        </w:numPr>
        <w:tabs>
          <w:tab w:pos="797" w:val="left" w:leader="none"/>
          <w:tab w:pos="798" w:val="left" w:leader="none"/>
        </w:tabs>
        <w:spacing w:line="249" w:lineRule="auto" w:before="114" w:after="0"/>
        <w:ind w:left="797" w:right="236" w:hanging="680"/>
        <w:jc w:val="left"/>
        <w:rPr>
          <w:sz w:val="24"/>
        </w:rPr>
      </w:pPr>
      <w:r>
        <w:rPr>
          <w:color w:val="231F20"/>
          <w:sz w:val="24"/>
        </w:rPr>
        <w:t>Further,</w:t>
      </w:r>
      <w:r>
        <w:rPr>
          <w:color w:val="231F20"/>
          <w:spacing w:val="-6"/>
          <w:sz w:val="24"/>
        </w:rPr>
        <w:t> </w:t>
      </w:r>
      <w:r>
        <w:rPr>
          <w:color w:val="231F20"/>
          <w:sz w:val="24"/>
        </w:rPr>
        <w:t>the</w:t>
      </w:r>
      <w:r>
        <w:rPr>
          <w:color w:val="231F20"/>
          <w:spacing w:val="-6"/>
          <w:sz w:val="24"/>
        </w:rPr>
        <w:t> </w:t>
      </w:r>
      <w:r>
        <w:rPr>
          <w:color w:val="231F20"/>
          <w:sz w:val="24"/>
        </w:rPr>
        <w:t>department</w:t>
      </w:r>
      <w:r>
        <w:rPr>
          <w:color w:val="231F20"/>
          <w:spacing w:val="-6"/>
          <w:sz w:val="24"/>
        </w:rPr>
        <w:t> </w:t>
      </w:r>
      <w:r>
        <w:rPr>
          <w:color w:val="231F20"/>
          <w:sz w:val="24"/>
        </w:rPr>
        <w:t>has</w:t>
      </w:r>
      <w:r>
        <w:rPr>
          <w:color w:val="231F20"/>
          <w:spacing w:val="-6"/>
          <w:sz w:val="24"/>
        </w:rPr>
        <w:t> </w:t>
      </w:r>
      <w:r>
        <w:rPr>
          <w:color w:val="231F20"/>
          <w:sz w:val="24"/>
        </w:rPr>
        <w:t>not</w:t>
      </w:r>
      <w:r>
        <w:rPr>
          <w:color w:val="231F20"/>
          <w:spacing w:val="-6"/>
          <w:sz w:val="24"/>
        </w:rPr>
        <w:t> </w:t>
      </w:r>
      <w:r>
        <w:rPr>
          <w:color w:val="231F20"/>
          <w:sz w:val="24"/>
        </w:rPr>
        <w:t>demonstrated</w:t>
      </w:r>
      <w:r>
        <w:rPr>
          <w:color w:val="231F20"/>
          <w:spacing w:val="-6"/>
          <w:sz w:val="24"/>
        </w:rPr>
        <w:t> </w:t>
      </w:r>
      <w:r>
        <w:rPr>
          <w:color w:val="231F20"/>
          <w:sz w:val="24"/>
        </w:rPr>
        <w:t>that</w:t>
      </w:r>
      <w:r>
        <w:rPr>
          <w:color w:val="231F20"/>
          <w:spacing w:val="-6"/>
          <w:sz w:val="24"/>
        </w:rPr>
        <w:t> </w:t>
      </w:r>
      <w:r>
        <w:rPr>
          <w:color w:val="231F20"/>
          <w:sz w:val="24"/>
        </w:rPr>
        <w:t>Master</w:t>
      </w:r>
      <w:r>
        <w:rPr>
          <w:color w:val="231F20"/>
          <w:spacing w:val="-6"/>
          <w:sz w:val="24"/>
        </w:rPr>
        <w:t> </w:t>
      </w:r>
      <w:r>
        <w:rPr>
          <w:color w:val="231F20"/>
          <w:sz w:val="24"/>
        </w:rPr>
        <w:t>BG’s</w:t>
      </w:r>
      <w:r>
        <w:rPr>
          <w:color w:val="231F20"/>
          <w:spacing w:val="-6"/>
          <w:sz w:val="24"/>
        </w:rPr>
        <w:t> </w:t>
      </w:r>
      <w:r>
        <w:rPr>
          <w:color w:val="231F20"/>
          <w:sz w:val="24"/>
        </w:rPr>
        <w:t>best</w:t>
      </w:r>
      <w:r>
        <w:rPr>
          <w:color w:val="231F20"/>
          <w:spacing w:val="-6"/>
          <w:sz w:val="24"/>
        </w:rPr>
        <w:t> </w:t>
      </w:r>
      <w:r>
        <w:rPr>
          <w:color w:val="231F20"/>
          <w:sz w:val="24"/>
        </w:rPr>
        <w:t>interests were explored and taken into account as a primary consideration when it decided not to refer his and his father’s cases to the Minister for consideration of a residence determination. I therefore find that there has been a breach of article 3 of the</w:t>
      </w:r>
      <w:r>
        <w:rPr>
          <w:color w:val="231F20"/>
          <w:spacing w:val="-12"/>
          <w:sz w:val="24"/>
        </w:rPr>
        <w:t> </w:t>
      </w:r>
      <w:r>
        <w:rPr>
          <w:color w:val="231F20"/>
          <w:sz w:val="24"/>
        </w:rPr>
        <w:t>CRC.</w:t>
      </w:r>
    </w:p>
    <w:p>
      <w:pPr>
        <w:pStyle w:val="ListParagraph"/>
        <w:numPr>
          <w:ilvl w:val="0"/>
          <w:numId w:val="3"/>
        </w:numPr>
        <w:tabs>
          <w:tab w:pos="797" w:val="left" w:leader="none"/>
          <w:tab w:pos="798" w:val="left" w:leader="none"/>
        </w:tabs>
        <w:spacing w:line="249" w:lineRule="auto" w:before="114" w:after="0"/>
        <w:ind w:left="797" w:right="312" w:hanging="680"/>
        <w:jc w:val="left"/>
        <w:rPr>
          <w:sz w:val="24"/>
        </w:rPr>
      </w:pPr>
      <w:r>
        <w:rPr>
          <w:color w:val="231F20"/>
          <w:sz w:val="24"/>
        </w:rPr>
        <w:t>I have recommended that the Commonwealth pay to Mr BF appropriate compensation in relation to his and his son’s period of arbitrary detention and for the breach of article 3 of the</w:t>
      </w:r>
      <w:r>
        <w:rPr>
          <w:color w:val="231F20"/>
          <w:spacing w:val="-20"/>
          <w:sz w:val="24"/>
        </w:rPr>
        <w:t> </w:t>
      </w:r>
      <w:r>
        <w:rPr>
          <w:color w:val="231F20"/>
          <w:sz w:val="24"/>
        </w:rPr>
        <w:t>CRC.</w:t>
      </w:r>
    </w:p>
    <w:p>
      <w:pPr>
        <w:spacing w:after="0" w:line="249" w:lineRule="auto"/>
        <w:jc w:val="left"/>
        <w:rPr>
          <w:sz w:val="24"/>
        </w:rPr>
        <w:sectPr>
          <w:footerReference w:type="even" r:id="rId44"/>
          <w:footerReference w:type="default" r:id="rId45"/>
          <w:pgSz w:w="11910" w:h="16840"/>
          <w:pgMar w:footer="692" w:header="0" w:top="1580" w:bottom="880" w:left="1300" w:right="132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2"/>
        </w:numPr>
        <w:tabs>
          <w:tab w:pos="797" w:val="left" w:leader="none"/>
          <w:tab w:pos="798" w:val="left" w:leader="none"/>
        </w:tabs>
        <w:spacing w:line="240" w:lineRule="auto" w:before="241" w:after="0"/>
        <w:ind w:left="797" w:right="0" w:hanging="680"/>
        <w:jc w:val="left"/>
      </w:pPr>
      <w:bookmarkStart w:name="_bookmark1" w:id="3"/>
      <w:bookmarkEnd w:id="3"/>
      <w:r>
        <w:rPr>
          <w:b w:val="0"/>
        </w:rPr>
      </w:r>
      <w:bookmarkStart w:name="_bookmark1" w:id="4"/>
      <w:bookmarkEnd w:id="4"/>
      <w:r>
        <w:rPr>
          <w:color w:val="231F20"/>
        </w:rPr>
        <w:t>Background</w:t>
      </w:r>
    </w:p>
    <w:p>
      <w:pPr>
        <w:pStyle w:val="ListParagraph"/>
        <w:numPr>
          <w:ilvl w:val="0"/>
          <w:numId w:val="3"/>
        </w:numPr>
        <w:tabs>
          <w:tab w:pos="797" w:val="left" w:leader="none"/>
          <w:tab w:pos="798" w:val="left" w:leader="none"/>
        </w:tabs>
        <w:spacing w:line="249" w:lineRule="auto" w:before="213" w:after="0"/>
        <w:ind w:left="797" w:right="296" w:hanging="680"/>
        <w:jc w:val="left"/>
        <w:rPr>
          <w:sz w:val="24"/>
        </w:rPr>
      </w:pPr>
      <w:r>
        <w:rPr>
          <w:color w:val="231F20"/>
          <w:sz w:val="24"/>
        </w:rPr>
        <w:t>Mr BF and his 17-year-old son, Master BG, are Iranian nationals, who arrived in Australia by boat on 24 July 2013. They arrived without a visa, seeking asylum. Mr BF alleges that he and his son had to leave Iran because</w:t>
      </w:r>
      <w:r>
        <w:rPr>
          <w:color w:val="231F20"/>
          <w:spacing w:val="-35"/>
          <w:sz w:val="24"/>
        </w:rPr>
        <w:t> </w:t>
      </w:r>
      <w:r>
        <w:rPr>
          <w:color w:val="231F20"/>
          <w:sz w:val="24"/>
        </w:rPr>
        <w:t>of</w:t>
      </w:r>
    </w:p>
    <w:p>
      <w:pPr>
        <w:pStyle w:val="BodyText"/>
        <w:spacing w:line="249" w:lineRule="auto" w:before="1"/>
        <w:ind w:left="797" w:right="348"/>
      </w:pPr>
      <w:r>
        <w:rPr>
          <w:color w:val="231F20"/>
        </w:rPr>
        <w:t>Mr BF’s involvement in political protests in Iran and his son’s complaints about the Iranian government in the music he made. When they arrived in Australia, the department immediately detained them in the Christmas Island Immigration Detention Centre pursuant to s 189(3) of the </w:t>
      </w:r>
      <w:r>
        <w:rPr>
          <w:i/>
          <w:color w:val="231F20"/>
        </w:rPr>
        <w:t>Migration Act 1958 </w:t>
      </w:r>
      <w:r>
        <w:rPr>
          <w:color w:val="231F20"/>
        </w:rPr>
        <w:t>(Cth) (Migration Act).</w:t>
      </w:r>
    </w:p>
    <w:p>
      <w:pPr>
        <w:pStyle w:val="ListParagraph"/>
        <w:numPr>
          <w:ilvl w:val="0"/>
          <w:numId w:val="3"/>
        </w:numPr>
        <w:tabs>
          <w:tab w:pos="797" w:val="left" w:leader="none"/>
          <w:tab w:pos="798" w:val="left" w:leader="none"/>
        </w:tabs>
        <w:spacing w:line="249" w:lineRule="auto" w:before="114" w:after="0"/>
        <w:ind w:left="797" w:right="414" w:hanging="680"/>
        <w:jc w:val="left"/>
        <w:rPr>
          <w:sz w:val="24"/>
        </w:rPr>
      </w:pPr>
      <w:r>
        <w:rPr>
          <w:color w:val="231F20"/>
          <w:sz w:val="24"/>
        </w:rPr>
        <w:t>As Mr BF and his son arrived after 19 July 2013, they were subject to the Australian Government’s ‘no advantage’ policy and were to be transferred</w:t>
      </w:r>
      <w:r>
        <w:rPr>
          <w:color w:val="231F20"/>
          <w:spacing w:val="-38"/>
          <w:sz w:val="24"/>
        </w:rPr>
        <w:t> </w:t>
      </w:r>
      <w:r>
        <w:rPr>
          <w:color w:val="231F20"/>
          <w:sz w:val="24"/>
        </w:rPr>
        <w:t>to a Regional Processing Centre, such as Nauru, pursuant to s 198AD of</w:t>
      </w:r>
      <w:r>
        <w:rPr>
          <w:color w:val="231F20"/>
          <w:spacing w:val="-34"/>
          <w:sz w:val="24"/>
        </w:rPr>
        <w:t> </w:t>
      </w:r>
      <w:r>
        <w:rPr>
          <w:color w:val="231F20"/>
          <w:sz w:val="24"/>
        </w:rPr>
        <w:t>the</w:t>
      </w:r>
    </w:p>
    <w:p>
      <w:pPr>
        <w:pStyle w:val="BodyText"/>
        <w:spacing w:line="249" w:lineRule="auto" w:before="1"/>
        <w:ind w:left="797" w:right="122"/>
      </w:pPr>
      <w:r>
        <w:rPr>
          <w:color w:val="231F20"/>
        </w:rPr>
        <w:t>Migration Act. Further, under s 46A of the Migration Act, they were barred from making a valid visa application, including a Protection Visa, in Australia.</w:t>
      </w:r>
    </w:p>
    <w:p>
      <w:pPr>
        <w:pStyle w:val="ListParagraph"/>
        <w:numPr>
          <w:ilvl w:val="0"/>
          <w:numId w:val="3"/>
        </w:numPr>
        <w:tabs>
          <w:tab w:pos="797" w:val="left" w:leader="none"/>
          <w:tab w:pos="798" w:val="left" w:leader="none"/>
        </w:tabs>
        <w:spacing w:line="249" w:lineRule="auto" w:before="114" w:after="0"/>
        <w:ind w:left="797" w:right="160" w:hanging="680"/>
        <w:jc w:val="left"/>
        <w:rPr>
          <w:sz w:val="24"/>
        </w:rPr>
      </w:pPr>
      <w:r>
        <w:rPr>
          <w:color w:val="231F20"/>
          <w:sz w:val="24"/>
        </w:rPr>
        <w:t>Mr BF states that although he and his son were under threat of persecution if they returned to Iran, they agreed to be voluntarily returned to Iran so that they would no longer be held in detention. They made separate written</w:t>
      </w:r>
      <w:r>
        <w:rPr>
          <w:color w:val="231F20"/>
          <w:spacing w:val="-37"/>
          <w:sz w:val="24"/>
        </w:rPr>
        <w:t> </w:t>
      </w:r>
      <w:r>
        <w:rPr>
          <w:color w:val="231F20"/>
          <w:sz w:val="24"/>
        </w:rPr>
        <w:t>requests</w:t>
      </w:r>
    </w:p>
    <w:p>
      <w:pPr>
        <w:pStyle w:val="BodyText"/>
        <w:spacing w:line="249" w:lineRule="auto"/>
        <w:ind w:left="797" w:right="122"/>
      </w:pPr>
      <w:r>
        <w:rPr>
          <w:color w:val="231F20"/>
        </w:rPr>
        <w:t>for removal from Australia on 26 March 2014 and 27 March 2014 respectively. As a result of their decision to depart Australia, they were exempt from being transferred to a Regional Processing Centre and taken to have withdrawn any claims for Australia’s protection that they may have made.</w:t>
      </w:r>
    </w:p>
    <w:p>
      <w:pPr>
        <w:pStyle w:val="ListParagraph"/>
        <w:numPr>
          <w:ilvl w:val="0"/>
          <w:numId w:val="3"/>
        </w:numPr>
        <w:tabs>
          <w:tab w:pos="797" w:val="left" w:leader="none"/>
          <w:tab w:pos="798" w:val="left" w:leader="none"/>
        </w:tabs>
        <w:spacing w:line="249" w:lineRule="auto" w:before="114" w:after="0"/>
        <w:ind w:left="797" w:right="441" w:hanging="680"/>
        <w:jc w:val="left"/>
        <w:rPr>
          <w:sz w:val="24"/>
        </w:rPr>
      </w:pPr>
      <w:r>
        <w:rPr>
          <w:color w:val="231F20"/>
          <w:sz w:val="24"/>
        </w:rPr>
        <w:t>On 28 March 2014 Mr BF and his son were transferred to Perth Immigration Transit</w:t>
      </w:r>
      <w:r>
        <w:rPr>
          <w:color w:val="231F20"/>
          <w:spacing w:val="-16"/>
          <w:sz w:val="24"/>
        </w:rPr>
        <w:t> </w:t>
      </w:r>
      <w:r>
        <w:rPr>
          <w:color w:val="231F20"/>
          <w:sz w:val="24"/>
        </w:rPr>
        <w:t>Accommodation.</w:t>
      </w:r>
      <w:r>
        <w:rPr>
          <w:color w:val="231F20"/>
          <w:spacing w:val="-4"/>
          <w:sz w:val="24"/>
        </w:rPr>
        <w:t> </w:t>
      </w:r>
      <w:r>
        <w:rPr>
          <w:color w:val="231F20"/>
          <w:sz w:val="24"/>
        </w:rPr>
        <w:t>On</w:t>
      </w:r>
      <w:r>
        <w:rPr>
          <w:color w:val="231F20"/>
          <w:spacing w:val="-4"/>
          <w:sz w:val="24"/>
        </w:rPr>
        <w:t> </w:t>
      </w:r>
      <w:r>
        <w:rPr>
          <w:color w:val="231F20"/>
          <w:sz w:val="24"/>
        </w:rPr>
        <w:t>2</w:t>
      </w:r>
      <w:r>
        <w:rPr>
          <w:color w:val="231F20"/>
          <w:spacing w:val="-16"/>
          <w:sz w:val="24"/>
        </w:rPr>
        <w:t> </w:t>
      </w:r>
      <w:r>
        <w:rPr>
          <w:color w:val="231F20"/>
          <w:sz w:val="24"/>
        </w:rPr>
        <w:t>April</w:t>
      </w:r>
      <w:r>
        <w:rPr>
          <w:color w:val="231F20"/>
          <w:spacing w:val="-4"/>
          <w:sz w:val="24"/>
        </w:rPr>
        <w:t> </w:t>
      </w:r>
      <w:r>
        <w:rPr>
          <w:color w:val="231F20"/>
          <w:sz w:val="24"/>
        </w:rPr>
        <w:t>2014</w:t>
      </w:r>
      <w:r>
        <w:rPr>
          <w:color w:val="231F20"/>
          <w:spacing w:val="-3"/>
          <w:sz w:val="24"/>
        </w:rPr>
        <w:t> </w:t>
      </w:r>
      <w:r>
        <w:rPr>
          <w:color w:val="231F20"/>
          <w:sz w:val="24"/>
        </w:rPr>
        <w:t>they</w:t>
      </w:r>
      <w:r>
        <w:rPr>
          <w:color w:val="231F20"/>
          <w:spacing w:val="-4"/>
          <w:sz w:val="24"/>
        </w:rPr>
        <w:t> </w:t>
      </w:r>
      <w:r>
        <w:rPr>
          <w:color w:val="231F20"/>
          <w:sz w:val="24"/>
        </w:rPr>
        <w:t>voluntarily</w:t>
      </w:r>
      <w:r>
        <w:rPr>
          <w:color w:val="231F20"/>
          <w:spacing w:val="-4"/>
          <w:sz w:val="24"/>
        </w:rPr>
        <w:t> </w:t>
      </w:r>
      <w:r>
        <w:rPr>
          <w:color w:val="231F20"/>
          <w:sz w:val="24"/>
        </w:rPr>
        <w:t>departed</w:t>
      </w:r>
      <w:r>
        <w:rPr>
          <w:color w:val="231F20"/>
          <w:spacing w:val="-15"/>
          <w:sz w:val="24"/>
        </w:rPr>
        <w:t> </w:t>
      </w:r>
      <w:r>
        <w:rPr>
          <w:color w:val="231F20"/>
          <w:sz w:val="24"/>
        </w:rPr>
        <w:t>Australia.</w:t>
      </w:r>
    </w:p>
    <w:p>
      <w:pPr>
        <w:pStyle w:val="BodyText"/>
        <w:spacing w:before="4"/>
        <w:rPr>
          <w:sz w:val="32"/>
        </w:rPr>
      </w:pPr>
    </w:p>
    <w:p>
      <w:pPr>
        <w:pStyle w:val="Heading1"/>
        <w:numPr>
          <w:ilvl w:val="0"/>
          <w:numId w:val="2"/>
        </w:numPr>
        <w:tabs>
          <w:tab w:pos="797" w:val="left" w:leader="none"/>
          <w:tab w:pos="798" w:val="left" w:leader="none"/>
        </w:tabs>
        <w:spacing w:line="240" w:lineRule="auto" w:before="0" w:after="0"/>
        <w:ind w:left="797" w:right="0" w:hanging="680"/>
        <w:jc w:val="left"/>
      </w:pPr>
      <w:r>
        <w:rPr>
          <w:color w:val="231F20"/>
        </w:rPr>
        <w:t>Legislative</w:t>
      </w:r>
      <w:r>
        <w:rPr>
          <w:color w:val="231F20"/>
          <w:spacing w:val="-2"/>
        </w:rPr>
        <w:t> </w:t>
      </w:r>
      <w:r>
        <w:rPr>
          <w:color w:val="231F20"/>
        </w:rPr>
        <w:t>Framework</w:t>
      </w:r>
    </w:p>
    <w:p>
      <w:pPr>
        <w:pStyle w:val="BodyText"/>
        <w:spacing w:before="2"/>
        <w:rPr>
          <w:b/>
          <w:sz w:val="34"/>
        </w:rPr>
      </w:pPr>
    </w:p>
    <w:p>
      <w:pPr>
        <w:pStyle w:val="Heading2"/>
        <w:numPr>
          <w:ilvl w:val="1"/>
          <w:numId w:val="2"/>
        </w:numPr>
        <w:tabs>
          <w:tab w:pos="797" w:val="left" w:leader="none"/>
          <w:tab w:pos="798" w:val="left" w:leader="none"/>
        </w:tabs>
        <w:spacing w:line="240" w:lineRule="auto" w:before="0" w:after="0"/>
        <w:ind w:left="797" w:right="0" w:hanging="680"/>
        <w:jc w:val="left"/>
      </w:pPr>
      <w:r>
        <w:rPr>
          <w:color w:val="231F20"/>
        </w:rPr>
        <w:t>Functions of the</w:t>
      </w:r>
      <w:r>
        <w:rPr>
          <w:color w:val="231F20"/>
          <w:spacing w:val="-11"/>
        </w:rPr>
        <w:t> </w:t>
      </w:r>
      <w:r>
        <w:rPr>
          <w:color w:val="231F20"/>
        </w:rPr>
        <w:t>Commission</w:t>
      </w:r>
    </w:p>
    <w:p>
      <w:pPr>
        <w:pStyle w:val="ListParagraph"/>
        <w:numPr>
          <w:ilvl w:val="0"/>
          <w:numId w:val="3"/>
        </w:numPr>
        <w:tabs>
          <w:tab w:pos="797" w:val="left" w:leader="none"/>
          <w:tab w:pos="798" w:val="left" w:leader="none"/>
        </w:tabs>
        <w:spacing w:line="249" w:lineRule="auto" w:before="173" w:after="0"/>
        <w:ind w:left="797" w:right="682" w:hanging="680"/>
        <w:jc w:val="left"/>
        <w:rPr>
          <w:sz w:val="24"/>
        </w:rPr>
      </w:pPr>
      <w:r>
        <w:rPr>
          <w:color w:val="231F20"/>
          <w:sz w:val="24"/>
        </w:rPr>
        <w:t>Section </w:t>
      </w:r>
      <w:r>
        <w:rPr>
          <w:color w:val="231F20"/>
          <w:spacing w:val="-3"/>
          <w:sz w:val="24"/>
        </w:rPr>
        <w:t>11(1)(f) </w:t>
      </w:r>
      <w:r>
        <w:rPr>
          <w:color w:val="231F20"/>
          <w:sz w:val="24"/>
        </w:rPr>
        <w:t>of the AHRC Act provides that the Commission has the function to inquire into any act or practice that may be inconsistent with or contrary to any human</w:t>
      </w:r>
      <w:r>
        <w:rPr>
          <w:color w:val="231F20"/>
          <w:spacing w:val="-8"/>
          <w:sz w:val="24"/>
        </w:rPr>
        <w:t> </w:t>
      </w:r>
      <w:r>
        <w:rPr>
          <w:color w:val="231F20"/>
          <w:sz w:val="24"/>
        </w:rPr>
        <w:t>right.</w:t>
      </w:r>
    </w:p>
    <w:p>
      <w:pPr>
        <w:pStyle w:val="ListParagraph"/>
        <w:numPr>
          <w:ilvl w:val="0"/>
          <w:numId w:val="3"/>
        </w:numPr>
        <w:tabs>
          <w:tab w:pos="797" w:val="left" w:leader="none"/>
          <w:tab w:pos="798" w:val="left" w:leader="none"/>
        </w:tabs>
        <w:spacing w:line="249" w:lineRule="auto" w:before="114" w:after="0"/>
        <w:ind w:left="797" w:right="615" w:hanging="680"/>
        <w:jc w:val="left"/>
        <w:rPr>
          <w:sz w:val="24"/>
        </w:rPr>
      </w:pPr>
      <w:r>
        <w:rPr>
          <w:color w:val="231F20"/>
          <w:sz w:val="24"/>
        </w:rPr>
        <w:t>Section</w:t>
      </w:r>
      <w:r>
        <w:rPr>
          <w:color w:val="231F20"/>
          <w:spacing w:val="-4"/>
          <w:sz w:val="24"/>
        </w:rPr>
        <w:t> </w:t>
      </w:r>
      <w:r>
        <w:rPr>
          <w:color w:val="231F20"/>
          <w:sz w:val="24"/>
        </w:rPr>
        <w:t>20(1)(b)</w:t>
      </w:r>
      <w:r>
        <w:rPr>
          <w:color w:val="231F20"/>
          <w:spacing w:val="-3"/>
          <w:sz w:val="24"/>
        </w:rPr>
        <w:t> </w:t>
      </w:r>
      <w:r>
        <w:rPr>
          <w:color w:val="231F20"/>
          <w:sz w:val="24"/>
        </w:rPr>
        <w:t>of</w:t>
      </w:r>
      <w:r>
        <w:rPr>
          <w:color w:val="231F20"/>
          <w:spacing w:val="-3"/>
          <w:sz w:val="24"/>
        </w:rPr>
        <w:t> </w:t>
      </w:r>
      <w:r>
        <w:rPr>
          <w:color w:val="231F20"/>
          <w:sz w:val="24"/>
        </w:rPr>
        <w:t>the</w:t>
      </w:r>
      <w:r>
        <w:rPr>
          <w:color w:val="231F20"/>
          <w:spacing w:val="-16"/>
          <w:sz w:val="24"/>
        </w:rPr>
        <w:t> </w:t>
      </w:r>
      <w:r>
        <w:rPr>
          <w:color w:val="231F20"/>
          <w:sz w:val="24"/>
        </w:rPr>
        <w:t>AHRC</w:t>
      </w:r>
      <w:r>
        <w:rPr>
          <w:color w:val="231F20"/>
          <w:spacing w:val="-16"/>
          <w:sz w:val="24"/>
        </w:rPr>
        <w:t> </w:t>
      </w:r>
      <w:r>
        <w:rPr>
          <w:color w:val="231F20"/>
          <w:sz w:val="24"/>
        </w:rPr>
        <w:t>Act</w:t>
      </w:r>
      <w:r>
        <w:rPr>
          <w:color w:val="231F20"/>
          <w:spacing w:val="-3"/>
          <w:sz w:val="24"/>
        </w:rPr>
        <w:t> </w:t>
      </w:r>
      <w:r>
        <w:rPr>
          <w:color w:val="231F20"/>
          <w:sz w:val="24"/>
        </w:rPr>
        <w:t>requires</w:t>
      </w:r>
      <w:r>
        <w:rPr>
          <w:color w:val="231F20"/>
          <w:spacing w:val="-4"/>
          <w:sz w:val="24"/>
        </w:rPr>
        <w:t> </w:t>
      </w:r>
      <w:r>
        <w:rPr>
          <w:color w:val="231F20"/>
          <w:sz w:val="24"/>
        </w:rPr>
        <w:t>the</w:t>
      </w:r>
      <w:r>
        <w:rPr>
          <w:color w:val="231F20"/>
          <w:spacing w:val="-4"/>
          <w:sz w:val="24"/>
        </w:rPr>
        <w:t> </w:t>
      </w:r>
      <w:r>
        <w:rPr>
          <w:color w:val="231F20"/>
          <w:sz w:val="24"/>
        </w:rPr>
        <w:t>Commission</w:t>
      </w:r>
      <w:r>
        <w:rPr>
          <w:color w:val="231F20"/>
          <w:spacing w:val="-3"/>
          <w:sz w:val="24"/>
        </w:rPr>
        <w:t> </w:t>
      </w:r>
      <w:r>
        <w:rPr>
          <w:color w:val="231F20"/>
          <w:sz w:val="24"/>
        </w:rPr>
        <w:t>to</w:t>
      </w:r>
      <w:r>
        <w:rPr>
          <w:color w:val="231F20"/>
          <w:spacing w:val="-4"/>
          <w:sz w:val="24"/>
        </w:rPr>
        <w:t> </w:t>
      </w:r>
      <w:r>
        <w:rPr>
          <w:color w:val="231F20"/>
          <w:sz w:val="24"/>
        </w:rPr>
        <w:t>perform</w:t>
      </w:r>
      <w:r>
        <w:rPr>
          <w:color w:val="231F20"/>
          <w:spacing w:val="-3"/>
          <w:sz w:val="24"/>
        </w:rPr>
        <w:t> </w:t>
      </w:r>
      <w:r>
        <w:rPr>
          <w:color w:val="231F20"/>
          <w:sz w:val="24"/>
        </w:rPr>
        <w:t>that function when a complaint is made to it in writing alleging such an act or practice.</w:t>
      </w:r>
    </w:p>
    <w:p>
      <w:pPr>
        <w:pStyle w:val="BodyText"/>
        <w:spacing w:before="7"/>
        <w:rPr>
          <w:sz w:val="25"/>
        </w:rPr>
      </w:pPr>
    </w:p>
    <w:p>
      <w:pPr>
        <w:pStyle w:val="Heading2"/>
        <w:numPr>
          <w:ilvl w:val="1"/>
          <w:numId w:val="2"/>
        </w:numPr>
        <w:tabs>
          <w:tab w:pos="797" w:val="left" w:leader="none"/>
          <w:tab w:pos="798" w:val="left" w:leader="none"/>
        </w:tabs>
        <w:spacing w:line="240" w:lineRule="auto" w:before="0" w:after="0"/>
        <w:ind w:left="797" w:right="0" w:hanging="680"/>
        <w:jc w:val="left"/>
      </w:pPr>
      <w:r>
        <w:rPr>
          <w:color w:val="231F20"/>
        </w:rPr>
        <w:t>What is an ‘act’ or a</w:t>
      </w:r>
      <w:r>
        <w:rPr>
          <w:color w:val="231F20"/>
          <w:spacing w:val="-20"/>
        </w:rPr>
        <w:t> </w:t>
      </w:r>
      <w:r>
        <w:rPr>
          <w:color w:val="231F20"/>
        </w:rPr>
        <w:t>‘practice’?</w:t>
      </w:r>
    </w:p>
    <w:p>
      <w:pPr>
        <w:pStyle w:val="ListParagraph"/>
        <w:numPr>
          <w:ilvl w:val="0"/>
          <w:numId w:val="3"/>
        </w:numPr>
        <w:tabs>
          <w:tab w:pos="797" w:val="left" w:leader="none"/>
          <w:tab w:pos="798" w:val="left" w:leader="none"/>
        </w:tabs>
        <w:spacing w:line="249" w:lineRule="auto" w:before="173" w:after="0"/>
        <w:ind w:left="797" w:right="254" w:hanging="680"/>
        <w:jc w:val="left"/>
        <w:rPr>
          <w:sz w:val="24"/>
        </w:rPr>
      </w:pPr>
      <w:r>
        <w:rPr>
          <w:color w:val="231F20"/>
          <w:sz w:val="24"/>
        </w:rPr>
        <w:t>The terms ‘act’ and ‘practice’ are defined in s 3(1) of the AHRC Act to include an act done or a practice engaged in by or on behalf of the Commonwealth or an authority of the Commonwealth or under an</w:t>
      </w:r>
      <w:r>
        <w:rPr>
          <w:color w:val="231F20"/>
          <w:spacing w:val="-38"/>
          <w:sz w:val="24"/>
        </w:rPr>
        <w:t> </w:t>
      </w:r>
      <w:r>
        <w:rPr>
          <w:color w:val="231F20"/>
          <w:sz w:val="24"/>
        </w:rPr>
        <w:t>enactment.</w:t>
      </w:r>
    </w:p>
    <w:p>
      <w:pPr>
        <w:spacing w:after="0" w:line="249" w:lineRule="auto"/>
        <w:jc w:val="left"/>
        <w:rPr>
          <w:sz w:val="24"/>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335" w:hanging="680"/>
        <w:jc w:val="left"/>
        <w:rPr>
          <w:sz w:val="24"/>
        </w:rPr>
      </w:pPr>
      <w:bookmarkStart w:name="_bookmark2" w:id="5"/>
      <w:bookmarkEnd w:id="5"/>
      <w:r>
        <w:rPr/>
      </w:r>
      <w:bookmarkStart w:name="_bookmark2" w:id="6"/>
      <w:bookmarkEnd w:id="6"/>
      <w:r>
        <w:rPr>
          <w:color w:val="231F20"/>
          <w:sz w:val="24"/>
        </w:rPr>
        <w:t>Section</w:t>
      </w:r>
      <w:r>
        <w:rPr>
          <w:color w:val="231F20"/>
          <w:sz w:val="24"/>
        </w:rPr>
        <w:t> 3(3) provides that the reference to, or to the doing of, an act includes a reference to a refusal or failure to do an</w:t>
      </w:r>
      <w:r>
        <w:rPr>
          <w:color w:val="231F20"/>
          <w:spacing w:val="-12"/>
          <w:sz w:val="24"/>
        </w:rPr>
        <w:t> </w:t>
      </w:r>
      <w:r>
        <w:rPr>
          <w:color w:val="231F20"/>
          <w:sz w:val="24"/>
        </w:rPr>
        <w:t>act.</w:t>
      </w:r>
    </w:p>
    <w:p>
      <w:pPr>
        <w:pStyle w:val="ListParagraph"/>
        <w:numPr>
          <w:ilvl w:val="0"/>
          <w:numId w:val="3"/>
        </w:numPr>
        <w:tabs>
          <w:tab w:pos="797" w:val="left" w:leader="none"/>
          <w:tab w:pos="798" w:val="left" w:leader="none"/>
        </w:tabs>
        <w:spacing w:line="249" w:lineRule="auto" w:before="114" w:after="0"/>
        <w:ind w:left="797" w:right="361" w:hanging="680"/>
        <w:jc w:val="left"/>
        <w:rPr>
          <w:sz w:val="14"/>
        </w:rPr>
      </w:pPr>
      <w:r>
        <w:rPr>
          <w:color w:val="231F20"/>
          <w:sz w:val="24"/>
        </w:rPr>
        <w:t>The functions of the Commission identified in s </w:t>
      </w:r>
      <w:r>
        <w:rPr>
          <w:color w:val="231F20"/>
          <w:spacing w:val="-3"/>
          <w:sz w:val="24"/>
        </w:rPr>
        <w:t>11(1)(f) </w:t>
      </w:r>
      <w:r>
        <w:rPr>
          <w:color w:val="231F20"/>
          <w:sz w:val="24"/>
        </w:rPr>
        <w:t>of the AHRC Act are only engaged where the act complained of is not one required by law to be taken, that is, where the relevant act or practice is within the discretion of the Commonwealth.</w:t>
      </w:r>
      <w:hyperlink w:history="true" w:anchor="_bookmark12">
        <w:r>
          <w:rPr>
            <w:color w:val="231F20"/>
            <w:position w:val="8"/>
            <w:sz w:val="14"/>
          </w:rPr>
          <w:t>1</w:t>
        </w:r>
      </w:hyperlink>
    </w:p>
    <w:p>
      <w:pPr>
        <w:pStyle w:val="BodyText"/>
        <w:spacing w:before="7"/>
        <w:rPr>
          <w:sz w:val="25"/>
        </w:rPr>
      </w:pPr>
    </w:p>
    <w:p>
      <w:pPr>
        <w:pStyle w:val="Heading2"/>
        <w:numPr>
          <w:ilvl w:val="1"/>
          <w:numId w:val="2"/>
        </w:numPr>
        <w:tabs>
          <w:tab w:pos="797" w:val="left" w:leader="none"/>
          <w:tab w:pos="798" w:val="left" w:leader="none"/>
        </w:tabs>
        <w:spacing w:line="240" w:lineRule="auto" w:before="0" w:after="0"/>
        <w:ind w:left="797" w:right="0" w:hanging="680"/>
        <w:jc w:val="left"/>
      </w:pPr>
      <w:r>
        <w:rPr>
          <w:color w:val="231F20"/>
        </w:rPr>
        <w:t>What is a human</w:t>
      </w:r>
      <w:r>
        <w:rPr>
          <w:color w:val="231F20"/>
          <w:spacing w:val="-9"/>
        </w:rPr>
        <w:t> </w:t>
      </w:r>
      <w:r>
        <w:rPr>
          <w:color w:val="231F20"/>
        </w:rPr>
        <w:t>right?</w:t>
      </w:r>
    </w:p>
    <w:p>
      <w:pPr>
        <w:pStyle w:val="ListParagraph"/>
        <w:numPr>
          <w:ilvl w:val="0"/>
          <w:numId w:val="3"/>
        </w:numPr>
        <w:tabs>
          <w:tab w:pos="797" w:val="left" w:leader="none"/>
          <w:tab w:pos="798" w:val="left" w:leader="none"/>
        </w:tabs>
        <w:spacing w:line="249" w:lineRule="auto" w:before="173" w:after="0"/>
        <w:ind w:left="797" w:right="330" w:hanging="680"/>
        <w:jc w:val="left"/>
        <w:rPr>
          <w:sz w:val="24"/>
        </w:rPr>
      </w:pPr>
      <w:r>
        <w:rPr>
          <w:color w:val="231F20"/>
          <w:sz w:val="24"/>
        </w:rPr>
        <w:t>The</w:t>
      </w:r>
      <w:r>
        <w:rPr>
          <w:color w:val="231F20"/>
          <w:spacing w:val="-3"/>
          <w:sz w:val="24"/>
        </w:rPr>
        <w:t> </w:t>
      </w:r>
      <w:r>
        <w:rPr>
          <w:color w:val="231F20"/>
          <w:sz w:val="24"/>
        </w:rPr>
        <w:t>phrase</w:t>
      </w:r>
      <w:r>
        <w:rPr>
          <w:color w:val="231F20"/>
          <w:spacing w:val="-2"/>
          <w:sz w:val="24"/>
        </w:rPr>
        <w:t> </w:t>
      </w:r>
      <w:r>
        <w:rPr>
          <w:color w:val="231F20"/>
          <w:sz w:val="24"/>
        </w:rPr>
        <w:t>‘human</w:t>
      </w:r>
      <w:r>
        <w:rPr>
          <w:color w:val="231F20"/>
          <w:spacing w:val="-2"/>
          <w:sz w:val="24"/>
        </w:rPr>
        <w:t> </w:t>
      </w:r>
      <w:r>
        <w:rPr>
          <w:color w:val="231F20"/>
          <w:sz w:val="24"/>
        </w:rPr>
        <w:t>rights’</w:t>
      </w:r>
      <w:r>
        <w:rPr>
          <w:color w:val="231F20"/>
          <w:spacing w:val="-11"/>
          <w:sz w:val="24"/>
        </w:rPr>
        <w:t> </w:t>
      </w:r>
      <w:r>
        <w:rPr>
          <w:color w:val="231F20"/>
          <w:sz w:val="24"/>
        </w:rPr>
        <w:t>is</w:t>
      </w:r>
      <w:r>
        <w:rPr>
          <w:color w:val="231F20"/>
          <w:spacing w:val="-2"/>
          <w:sz w:val="24"/>
        </w:rPr>
        <w:t> </w:t>
      </w:r>
      <w:r>
        <w:rPr>
          <w:color w:val="231F20"/>
          <w:sz w:val="24"/>
        </w:rPr>
        <w:t>defined</w:t>
      </w:r>
      <w:r>
        <w:rPr>
          <w:color w:val="231F20"/>
          <w:spacing w:val="-2"/>
          <w:sz w:val="24"/>
        </w:rPr>
        <w:t> </w:t>
      </w:r>
      <w:r>
        <w:rPr>
          <w:color w:val="231F20"/>
          <w:sz w:val="24"/>
        </w:rPr>
        <w:t>by</w:t>
      </w:r>
      <w:r>
        <w:rPr>
          <w:color w:val="231F20"/>
          <w:spacing w:val="-2"/>
          <w:sz w:val="24"/>
        </w:rPr>
        <w:t> </w:t>
      </w:r>
      <w:r>
        <w:rPr>
          <w:color w:val="231F20"/>
          <w:sz w:val="24"/>
        </w:rPr>
        <w:t>s</w:t>
      </w:r>
      <w:r>
        <w:rPr>
          <w:color w:val="231F20"/>
          <w:spacing w:val="-2"/>
          <w:sz w:val="24"/>
        </w:rPr>
        <w:t> </w:t>
      </w:r>
      <w:r>
        <w:rPr>
          <w:color w:val="231F20"/>
          <w:sz w:val="24"/>
        </w:rPr>
        <w:t>3(1)</w:t>
      </w:r>
      <w:r>
        <w:rPr>
          <w:color w:val="231F20"/>
          <w:spacing w:val="-2"/>
          <w:sz w:val="24"/>
        </w:rPr>
        <w:t> </w:t>
      </w:r>
      <w:r>
        <w:rPr>
          <w:color w:val="231F20"/>
          <w:sz w:val="24"/>
        </w:rPr>
        <w:t>of</w:t>
      </w:r>
      <w:r>
        <w:rPr>
          <w:color w:val="231F20"/>
          <w:spacing w:val="-2"/>
          <w:sz w:val="24"/>
        </w:rPr>
        <w:t> </w:t>
      </w:r>
      <w:r>
        <w:rPr>
          <w:color w:val="231F20"/>
          <w:sz w:val="24"/>
        </w:rPr>
        <w:t>the</w:t>
      </w:r>
      <w:r>
        <w:rPr>
          <w:color w:val="231F20"/>
          <w:spacing w:val="-16"/>
          <w:sz w:val="24"/>
        </w:rPr>
        <w:t> </w:t>
      </w:r>
      <w:r>
        <w:rPr>
          <w:color w:val="231F20"/>
          <w:sz w:val="24"/>
        </w:rPr>
        <w:t>AHRC</w:t>
      </w:r>
      <w:r>
        <w:rPr>
          <w:color w:val="231F20"/>
          <w:spacing w:val="-16"/>
          <w:sz w:val="24"/>
        </w:rPr>
        <w:t> </w:t>
      </w:r>
      <w:r>
        <w:rPr>
          <w:color w:val="231F20"/>
          <w:sz w:val="24"/>
        </w:rPr>
        <w:t>Act</w:t>
      </w:r>
      <w:r>
        <w:rPr>
          <w:color w:val="231F20"/>
          <w:spacing w:val="-2"/>
          <w:sz w:val="24"/>
        </w:rPr>
        <w:t> </w:t>
      </w:r>
      <w:r>
        <w:rPr>
          <w:color w:val="231F20"/>
          <w:sz w:val="24"/>
        </w:rPr>
        <w:t>to</w:t>
      </w:r>
      <w:r>
        <w:rPr>
          <w:color w:val="231F20"/>
          <w:spacing w:val="-3"/>
          <w:sz w:val="24"/>
        </w:rPr>
        <w:t> </w:t>
      </w:r>
      <w:r>
        <w:rPr>
          <w:color w:val="231F20"/>
          <w:sz w:val="24"/>
        </w:rPr>
        <w:t>include</w:t>
      </w:r>
      <w:r>
        <w:rPr>
          <w:color w:val="231F20"/>
          <w:spacing w:val="-2"/>
          <w:sz w:val="24"/>
        </w:rPr>
        <w:t> </w:t>
      </w:r>
      <w:r>
        <w:rPr>
          <w:color w:val="231F20"/>
          <w:sz w:val="24"/>
        </w:rPr>
        <w:t>the rights and freedoms recognised in the ICCPR, or recognised or declared by any relevant international</w:t>
      </w:r>
      <w:r>
        <w:rPr>
          <w:color w:val="231F20"/>
          <w:spacing w:val="-26"/>
          <w:sz w:val="24"/>
        </w:rPr>
        <w:t> </w:t>
      </w:r>
      <w:r>
        <w:rPr>
          <w:color w:val="231F20"/>
          <w:sz w:val="24"/>
        </w:rPr>
        <w:t>instrument.</w:t>
      </w:r>
    </w:p>
    <w:p>
      <w:pPr>
        <w:pStyle w:val="ListParagraph"/>
        <w:numPr>
          <w:ilvl w:val="0"/>
          <w:numId w:val="3"/>
        </w:numPr>
        <w:tabs>
          <w:tab w:pos="797" w:val="left" w:leader="none"/>
          <w:tab w:pos="798" w:val="left" w:leader="none"/>
        </w:tabs>
        <w:spacing w:line="249" w:lineRule="auto" w:before="114" w:after="0"/>
        <w:ind w:left="797" w:right="628" w:hanging="680"/>
        <w:jc w:val="left"/>
        <w:rPr>
          <w:sz w:val="24"/>
        </w:rPr>
      </w:pPr>
      <w:r>
        <w:rPr>
          <w:color w:val="231F20"/>
          <w:sz w:val="24"/>
        </w:rPr>
        <w:t>There are a number of human rights relevant to this inquiry under both the ICCPR and the</w:t>
      </w:r>
      <w:r>
        <w:rPr>
          <w:color w:val="231F20"/>
          <w:spacing w:val="-8"/>
          <w:sz w:val="24"/>
        </w:rPr>
        <w:t> </w:t>
      </w:r>
      <w:r>
        <w:rPr>
          <w:color w:val="231F20"/>
          <w:sz w:val="24"/>
        </w:rPr>
        <w:t>CRC.</w:t>
      </w:r>
    </w:p>
    <w:p>
      <w:pPr>
        <w:pStyle w:val="BodyText"/>
        <w:spacing w:before="8"/>
      </w:pPr>
    </w:p>
    <w:p>
      <w:pPr>
        <w:pStyle w:val="Heading3"/>
        <w:numPr>
          <w:ilvl w:val="0"/>
          <w:numId w:val="4"/>
        </w:numPr>
        <w:tabs>
          <w:tab w:pos="797" w:val="left" w:leader="none"/>
          <w:tab w:pos="798" w:val="left" w:leader="none"/>
        </w:tabs>
        <w:spacing w:line="240" w:lineRule="auto" w:before="0" w:after="0"/>
        <w:ind w:left="797" w:right="0" w:hanging="680"/>
        <w:jc w:val="left"/>
      </w:pPr>
      <w:r>
        <w:rPr>
          <w:color w:val="231F20"/>
        </w:rPr>
        <w:t>Relevant human rights under the</w:t>
      </w:r>
      <w:r>
        <w:rPr>
          <w:color w:val="231F20"/>
          <w:spacing w:val="-14"/>
        </w:rPr>
        <w:t> </w:t>
      </w:r>
      <w:r>
        <w:rPr>
          <w:color w:val="231F20"/>
        </w:rPr>
        <w:t>ICCPR</w:t>
      </w:r>
    </w:p>
    <w:p>
      <w:pPr>
        <w:pStyle w:val="ListParagraph"/>
        <w:numPr>
          <w:ilvl w:val="0"/>
          <w:numId w:val="3"/>
        </w:numPr>
        <w:tabs>
          <w:tab w:pos="797" w:val="left" w:leader="none"/>
          <w:tab w:pos="798" w:val="left" w:leader="none"/>
        </w:tabs>
        <w:spacing w:line="240" w:lineRule="auto" w:before="181" w:after="0"/>
        <w:ind w:left="797" w:right="0" w:hanging="680"/>
        <w:jc w:val="left"/>
        <w:rPr>
          <w:sz w:val="24"/>
        </w:rPr>
      </w:pPr>
      <w:r>
        <w:rPr>
          <w:color w:val="231F20"/>
          <w:sz w:val="24"/>
        </w:rPr>
        <w:t>Article 9(1) of the ICCPR</w:t>
      </w:r>
      <w:r>
        <w:rPr>
          <w:color w:val="231F20"/>
          <w:spacing w:val="-16"/>
          <w:sz w:val="24"/>
        </w:rPr>
        <w:t> </w:t>
      </w:r>
      <w:r>
        <w:rPr>
          <w:color w:val="231F20"/>
          <w:sz w:val="24"/>
        </w:rPr>
        <w:t>provides:</w:t>
      </w:r>
    </w:p>
    <w:p>
      <w:pPr>
        <w:spacing w:line="249" w:lineRule="auto" w:before="176"/>
        <w:ind w:left="1364" w:right="360" w:firstLine="0"/>
        <w:jc w:val="left"/>
        <w:rPr>
          <w:sz w:val="22"/>
        </w:rPr>
      </w:pPr>
      <w:r>
        <w:rPr>
          <w:color w:val="231F20"/>
          <w:sz w:val="22"/>
        </w:rPr>
        <w:t>Everyone has the right to liberty and security of person. No one shall be subjected to arbitrary arrest or detention. No one shall be deprived of his liberty except on such grounds and in accordance with such procedure as are established by law.</w:t>
      </w:r>
    </w:p>
    <w:p>
      <w:pPr>
        <w:pStyle w:val="BodyText"/>
        <w:spacing w:before="1"/>
        <w:rPr>
          <w:sz w:val="30"/>
        </w:rPr>
      </w:pPr>
    </w:p>
    <w:p>
      <w:pPr>
        <w:pStyle w:val="Heading3"/>
        <w:numPr>
          <w:ilvl w:val="0"/>
          <w:numId w:val="4"/>
        </w:numPr>
        <w:tabs>
          <w:tab w:pos="797" w:val="left" w:leader="none"/>
          <w:tab w:pos="798" w:val="left" w:leader="none"/>
        </w:tabs>
        <w:spacing w:line="240" w:lineRule="auto" w:before="0" w:after="0"/>
        <w:ind w:left="797" w:right="0" w:hanging="680"/>
        <w:jc w:val="left"/>
      </w:pPr>
      <w:r>
        <w:rPr>
          <w:color w:val="231F20"/>
        </w:rPr>
        <w:t>Relevant human rights under the</w:t>
      </w:r>
      <w:r>
        <w:rPr>
          <w:color w:val="231F20"/>
          <w:spacing w:val="-17"/>
        </w:rPr>
        <w:t> </w:t>
      </w:r>
      <w:r>
        <w:rPr>
          <w:color w:val="231F20"/>
        </w:rPr>
        <w:t>CRC</w:t>
      </w:r>
    </w:p>
    <w:p>
      <w:pPr>
        <w:pStyle w:val="ListParagraph"/>
        <w:numPr>
          <w:ilvl w:val="0"/>
          <w:numId w:val="3"/>
        </w:numPr>
        <w:tabs>
          <w:tab w:pos="797" w:val="left" w:leader="none"/>
          <w:tab w:pos="798" w:val="left" w:leader="none"/>
        </w:tabs>
        <w:spacing w:line="240" w:lineRule="auto" w:before="182" w:after="0"/>
        <w:ind w:left="797" w:right="0" w:hanging="680"/>
        <w:jc w:val="left"/>
        <w:rPr>
          <w:sz w:val="24"/>
        </w:rPr>
      </w:pPr>
      <w:r>
        <w:rPr>
          <w:color w:val="231F20"/>
          <w:sz w:val="24"/>
        </w:rPr>
        <w:t>Article 37(b) of the CRC relevantly</w:t>
      </w:r>
      <w:r>
        <w:rPr>
          <w:color w:val="231F20"/>
          <w:spacing w:val="-19"/>
          <w:sz w:val="24"/>
        </w:rPr>
        <w:t> </w:t>
      </w:r>
      <w:r>
        <w:rPr>
          <w:color w:val="231F20"/>
          <w:sz w:val="24"/>
        </w:rPr>
        <w:t>provides:</w:t>
      </w:r>
    </w:p>
    <w:p>
      <w:pPr>
        <w:spacing w:before="177"/>
        <w:ind w:left="1364" w:right="0" w:firstLine="0"/>
        <w:jc w:val="left"/>
        <w:rPr>
          <w:sz w:val="22"/>
        </w:rPr>
      </w:pPr>
      <w:r>
        <w:rPr>
          <w:color w:val="231F20"/>
          <w:sz w:val="22"/>
        </w:rPr>
        <w:t>State parties shall ensure that:</w:t>
      </w:r>
    </w:p>
    <w:p>
      <w:pPr>
        <w:spacing w:line="249" w:lineRule="auto" w:before="181"/>
        <w:ind w:left="1761" w:right="306" w:hanging="397"/>
        <w:jc w:val="left"/>
        <w:rPr>
          <w:sz w:val="22"/>
        </w:rPr>
      </w:pPr>
      <w:r>
        <w:rPr>
          <w:color w:val="231F20"/>
          <w:sz w:val="22"/>
        </w:rPr>
        <w:t>(b) No child shall be deprived of his or her liberty unlawfully or arbitrarily. The arrest, detention or imprisonment of a child shall be in conformity with the law and shall be used only as a measure of last resort and for the shortest appropriate period of time.</w:t>
      </w:r>
    </w:p>
    <w:p>
      <w:pPr>
        <w:pStyle w:val="ListParagraph"/>
        <w:numPr>
          <w:ilvl w:val="0"/>
          <w:numId w:val="3"/>
        </w:numPr>
        <w:tabs>
          <w:tab w:pos="797" w:val="left" w:leader="none"/>
          <w:tab w:pos="798" w:val="left" w:leader="none"/>
        </w:tabs>
        <w:spacing w:line="249" w:lineRule="auto" w:before="176" w:after="0"/>
        <w:ind w:left="797" w:right="113" w:hanging="680"/>
        <w:jc w:val="left"/>
        <w:rPr>
          <w:sz w:val="24"/>
        </w:rPr>
      </w:pPr>
      <w:r>
        <w:rPr>
          <w:color w:val="231F20"/>
          <w:sz w:val="24"/>
        </w:rPr>
        <w:t>Similarly,</w:t>
      </w:r>
      <w:r>
        <w:rPr>
          <w:color w:val="231F20"/>
          <w:spacing w:val="-3"/>
          <w:sz w:val="24"/>
        </w:rPr>
        <w:t> </w:t>
      </w:r>
      <w:r>
        <w:rPr>
          <w:color w:val="231F20"/>
          <w:sz w:val="24"/>
        </w:rPr>
        <w:t>section</w:t>
      </w:r>
      <w:r>
        <w:rPr>
          <w:color w:val="231F20"/>
          <w:spacing w:val="-4"/>
          <w:sz w:val="24"/>
        </w:rPr>
        <w:t> </w:t>
      </w:r>
      <w:r>
        <w:rPr>
          <w:color w:val="231F20"/>
          <w:sz w:val="24"/>
        </w:rPr>
        <w:t>4AA</w:t>
      </w:r>
      <w:r>
        <w:rPr>
          <w:color w:val="231F20"/>
          <w:spacing w:val="-16"/>
          <w:sz w:val="24"/>
        </w:rPr>
        <w:t> </w:t>
      </w:r>
      <w:r>
        <w:rPr>
          <w:color w:val="231F20"/>
          <w:sz w:val="24"/>
        </w:rPr>
        <w:t>of</w:t>
      </w:r>
      <w:r>
        <w:rPr>
          <w:color w:val="231F20"/>
          <w:spacing w:val="-3"/>
          <w:sz w:val="24"/>
        </w:rPr>
        <w:t> </w:t>
      </w:r>
      <w:r>
        <w:rPr>
          <w:color w:val="231F20"/>
          <w:sz w:val="24"/>
        </w:rPr>
        <w:t>the</w:t>
      </w:r>
      <w:r>
        <w:rPr>
          <w:color w:val="231F20"/>
          <w:spacing w:val="-4"/>
          <w:sz w:val="24"/>
        </w:rPr>
        <w:t> </w:t>
      </w:r>
      <w:r>
        <w:rPr>
          <w:color w:val="231F20"/>
          <w:sz w:val="24"/>
        </w:rPr>
        <w:t>Migration</w:t>
      </w:r>
      <w:r>
        <w:rPr>
          <w:color w:val="231F20"/>
          <w:spacing w:val="-16"/>
          <w:sz w:val="24"/>
        </w:rPr>
        <w:t> </w:t>
      </w:r>
      <w:r>
        <w:rPr>
          <w:color w:val="231F20"/>
          <w:sz w:val="24"/>
        </w:rPr>
        <w:t>Act</w:t>
      </w:r>
      <w:r>
        <w:rPr>
          <w:color w:val="231F20"/>
          <w:spacing w:val="-3"/>
          <w:sz w:val="24"/>
        </w:rPr>
        <w:t> </w:t>
      </w:r>
      <w:r>
        <w:rPr>
          <w:color w:val="231F20"/>
          <w:sz w:val="24"/>
        </w:rPr>
        <w:t>confirms</w:t>
      </w:r>
      <w:r>
        <w:rPr>
          <w:color w:val="231F20"/>
          <w:spacing w:val="-4"/>
          <w:sz w:val="24"/>
        </w:rPr>
        <w:t> </w:t>
      </w:r>
      <w:r>
        <w:rPr>
          <w:color w:val="231F20"/>
          <w:sz w:val="24"/>
        </w:rPr>
        <w:t>that</w:t>
      </w:r>
      <w:r>
        <w:rPr>
          <w:color w:val="231F20"/>
          <w:spacing w:val="-4"/>
          <w:sz w:val="24"/>
        </w:rPr>
        <w:t> </w:t>
      </w:r>
      <w:r>
        <w:rPr>
          <w:color w:val="231F20"/>
          <w:sz w:val="24"/>
        </w:rPr>
        <w:t>children</w:t>
      </w:r>
      <w:r>
        <w:rPr>
          <w:color w:val="231F20"/>
          <w:spacing w:val="-4"/>
          <w:sz w:val="24"/>
        </w:rPr>
        <w:t> </w:t>
      </w:r>
      <w:r>
        <w:rPr>
          <w:color w:val="231F20"/>
          <w:sz w:val="24"/>
        </w:rPr>
        <w:t>should</w:t>
      </w:r>
      <w:r>
        <w:rPr>
          <w:color w:val="231F20"/>
          <w:spacing w:val="-4"/>
          <w:sz w:val="24"/>
        </w:rPr>
        <w:t> </w:t>
      </w:r>
      <w:r>
        <w:rPr>
          <w:color w:val="231F20"/>
          <w:sz w:val="24"/>
        </w:rPr>
        <w:t>only</w:t>
      </w:r>
      <w:r>
        <w:rPr>
          <w:color w:val="231F20"/>
          <w:spacing w:val="-3"/>
          <w:sz w:val="24"/>
        </w:rPr>
        <w:t> </w:t>
      </w:r>
      <w:r>
        <w:rPr>
          <w:color w:val="231F20"/>
          <w:sz w:val="24"/>
        </w:rPr>
        <w:t>be detained as a measure of last</w:t>
      </w:r>
      <w:r>
        <w:rPr>
          <w:color w:val="231F20"/>
          <w:spacing w:val="-13"/>
          <w:sz w:val="24"/>
        </w:rPr>
        <w:t> </w:t>
      </w:r>
      <w:r>
        <w:rPr>
          <w:color w:val="231F20"/>
          <w:sz w:val="24"/>
        </w:rPr>
        <w:t>resort.</w:t>
      </w:r>
    </w:p>
    <w:p>
      <w:pPr>
        <w:pStyle w:val="ListParagraph"/>
        <w:numPr>
          <w:ilvl w:val="0"/>
          <w:numId w:val="3"/>
        </w:numPr>
        <w:tabs>
          <w:tab w:pos="797" w:val="left" w:leader="none"/>
          <w:tab w:pos="798" w:val="left" w:leader="none"/>
        </w:tabs>
        <w:spacing w:line="240" w:lineRule="auto" w:before="114" w:after="0"/>
        <w:ind w:left="797" w:right="0" w:hanging="680"/>
        <w:jc w:val="left"/>
        <w:rPr>
          <w:sz w:val="24"/>
        </w:rPr>
      </w:pPr>
      <w:r>
        <w:rPr>
          <w:color w:val="231F20"/>
          <w:sz w:val="24"/>
        </w:rPr>
        <w:t>Article 3(1) of the CRC relevantly</w:t>
      </w:r>
      <w:r>
        <w:rPr>
          <w:color w:val="231F20"/>
          <w:spacing w:val="-18"/>
          <w:sz w:val="24"/>
        </w:rPr>
        <w:t> </w:t>
      </w:r>
      <w:r>
        <w:rPr>
          <w:color w:val="231F20"/>
          <w:sz w:val="24"/>
        </w:rPr>
        <w:t>provides:</w:t>
      </w:r>
    </w:p>
    <w:p>
      <w:pPr>
        <w:spacing w:line="249" w:lineRule="auto" w:before="176"/>
        <w:ind w:left="1364" w:right="129" w:firstLine="0"/>
        <w:jc w:val="both"/>
        <w:rPr>
          <w:sz w:val="22"/>
        </w:rPr>
      </w:pPr>
      <w:r>
        <w:rPr>
          <w:color w:val="231F20"/>
          <w:sz w:val="22"/>
        </w:rPr>
        <w:t>In all actions concerning children, whether undertaken by public or private social welfare institutions, courts of law, administrative authorities or legislative bodies, the best interests of the child shall be a primary consideration.</w:t>
      </w:r>
    </w:p>
    <w:p>
      <w:pPr>
        <w:spacing w:after="0" w:line="249" w:lineRule="auto"/>
        <w:jc w:val="both"/>
        <w:rPr>
          <w:sz w:val="22"/>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2"/>
        </w:numPr>
        <w:tabs>
          <w:tab w:pos="797" w:val="left" w:leader="none"/>
          <w:tab w:pos="798" w:val="left" w:leader="none"/>
        </w:tabs>
        <w:spacing w:line="240" w:lineRule="auto" w:before="241" w:after="0"/>
        <w:ind w:left="797" w:right="0" w:hanging="680"/>
        <w:jc w:val="left"/>
      </w:pPr>
      <w:bookmarkStart w:name="_bookmark3" w:id="7"/>
      <w:bookmarkEnd w:id="7"/>
      <w:r>
        <w:rPr>
          <w:b w:val="0"/>
        </w:rPr>
      </w:r>
      <w:bookmarkStart w:name="_bookmark3" w:id="8"/>
      <w:bookmarkEnd w:id="8"/>
      <w:r>
        <w:rPr>
          <w:color w:val="231F20"/>
        </w:rPr>
        <w:t>Detentio</w:t>
      </w:r>
      <w:r>
        <w:rPr>
          <w:color w:val="231F20"/>
        </w:rPr>
        <w:t>n in an immigration detention</w:t>
      </w:r>
      <w:r>
        <w:rPr>
          <w:color w:val="231F20"/>
          <w:spacing w:val="-17"/>
        </w:rPr>
        <w:t> </w:t>
      </w:r>
      <w:r>
        <w:rPr>
          <w:color w:val="231F20"/>
        </w:rPr>
        <w:t>centre</w:t>
      </w:r>
    </w:p>
    <w:p>
      <w:pPr>
        <w:pStyle w:val="ListParagraph"/>
        <w:numPr>
          <w:ilvl w:val="0"/>
          <w:numId w:val="3"/>
        </w:numPr>
        <w:tabs>
          <w:tab w:pos="797" w:val="left" w:leader="none"/>
          <w:tab w:pos="798" w:val="left" w:leader="none"/>
        </w:tabs>
        <w:spacing w:line="249" w:lineRule="auto" w:before="213" w:after="0"/>
        <w:ind w:left="797" w:right="1172" w:hanging="680"/>
        <w:jc w:val="left"/>
        <w:rPr>
          <w:sz w:val="24"/>
        </w:rPr>
      </w:pPr>
      <w:r>
        <w:rPr>
          <w:color w:val="231F20"/>
          <w:sz w:val="24"/>
        </w:rPr>
        <w:t>Mr BF complains about the length of his and his son’s detention in an immigration detention centre on Christmas Island. He</w:t>
      </w:r>
      <w:r>
        <w:rPr>
          <w:color w:val="231F20"/>
          <w:spacing w:val="-30"/>
          <w:sz w:val="24"/>
        </w:rPr>
        <w:t> </w:t>
      </w:r>
      <w:r>
        <w:rPr>
          <w:color w:val="231F20"/>
          <w:sz w:val="24"/>
        </w:rPr>
        <w:t>states:</w:t>
      </w:r>
    </w:p>
    <w:p>
      <w:pPr>
        <w:spacing w:line="249" w:lineRule="auto" w:before="166"/>
        <w:ind w:left="1364" w:right="283" w:firstLine="0"/>
        <w:jc w:val="left"/>
        <w:rPr>
          <w:sz w:val="22"/>
        </w:rPr>
      </w:pPr>
      <w:r>
        <w:rPr>
          <w:color w:val="231F20"/>
          <w:sz w:val="22"/>
        </w:rPr>
        <w:t>There are high electrified fences around the compound and more than 100 cameras. It feels like we are in prison for dangerous criminals. There are many children in this negative environment. It is not suitable for them to play, there is limited space and things to play with. The children are sad and nervous.</w:t>
      </w:r>
    </w:p>
    <w:p>
      <w:pPr>
        <w:spacing w:before="171"/>
        <w:ind w:left="1364" w:right="0" w:firstLine="0"/>
        <w:jc w:val="left"/>
        <w:rPr>
          <w:sz w:val="22"/>
        </w:rPr>
      </w:pPr>
      <w:r>
        <w:rPr>
          <w:color w:val="231F20"/>
          <w:sz w:val="22"/>
        </w:rPr>
        <w:t>…</w:t>
      </w:r>
    </w:p>
    <w:p>
      <w:pPr>
        <w:spacing w:line="249" w:lineRule="auto" w:before="181"/>
        <w:ind w:left="1364" w:right="116" w:firstLine="0"/>
        <w:jc w:val="left"/>
        <w:rPr>
          <w:sz w:val="22"/>
        </w:rPr>
      </w:pPr>
      <w:r>
        <w:rPr>
          <w:color w:val="231F20"/>
          <w:sz w:val="22"/>
        </w:rPr>
        <w:t>I would like for my son [Master BG] and I (as well as other people who have been here for 6 months) to be transferred to the mainland of Australia. We</w:t>
      </w:r>
      <w:r>
        <w:rPr>
          <w:color w:val="231F20"/>
          <w:spacing w:val="-36"/>
          <w:sz w:val="22"/>
        </w:rPr>
        <w:t> </w:t>
      </w:r>
      <w:r>
        <w:rPr>
          <w:color w:val="231F20"/>
          <w:sz w:val="22"/>
        </w:rPr>
        <w:t>would like to be put in the community, however if this is not possible, either to be given a bridging visa or to be placed in community</w:t>
      </w:r>
      <w:r>
        <w:rPr>
          <w:color w:val="231F20"/>
          <w:spacing w:val="-28"/>
          <w:sz w:val="22"/>
        </w:rPr>
        <w:t> </w:t>
      </w:r>
      <w:r>
        <w:rPr>
          <w:color w:val="231F20"/>
          <w:sz w:val="22"/>
        </w:rPr>
        <w:t>detention.</w:t>
      </w:r>
    </w:p>
    <w:p>
      <w:pPr>
        <w:pStyle w:val="ListParagraph"/>
        <w:numPr>
          <w:ilvl w:val="0"/>
          <w:numId w:val="3"/>
        </w:numPr>
        <w:tabs>
          <w:tab w:pos="797" w:val="left" w:leader="none"/>
          <w:tab w:pos="798" w:val="left" w:leader="none"/>
        </w:tabs>
        <w:spacing w:line="249" w:lineRule="auto" w:before="176" w:after="0"/>
        <w:ind w:left="797" w:right="1249" w:hanging="680"/>
        <w:jc w:val="left"/>
        <w:rPr>
          <w:sz w:val="24"/>
        </w:rPr>
      </w:pPr>
      <w:r>
        <w:rPr>
          <w:color w:val="231F20"/>
          <w:sz w:val="24"/>
        </w:rPr>
        <w:t>Mr BF and his son were detained on Christmas Island for a period of approximately 8 months from 23 July 2013 to 28 March</w:t>
      </w:r>
      <w:r>
        <w:rPr>
          <w:color w:val="231F20"/>
          <w:spacing w:val="-26"/>
          <w:sz w:val="24"/>
        </w:rPr>
        <w:t> </w:t>
      </w:r>
      <w:r>
        <w:rPr>
          <w:color w:val="231F20"/>
          <w:sz w:val="24"/>
        </w:rPr>
        <w:t>2014.</w:t>
      </w:r>
    </w:p>
    <w:p>
      <w:pPr>
        <w:pStyle w:val="ListParagraph"/>
        <w:numPr>
          <w:ilvl w:val="0"/>
          <w:numId w:val="3"/>
        </w:numPr>
        <w:tabs>
          <w:tab w:pos="798" w:val="left" w:leader="none"/>
        </w:tabs>
        <w:spacing w:line="249" w:lineRule="auto" w:before="114" w:after="0"/>
        <w:ind w:left="797" w:right="737" w:hanging="680"/>
        <w:jc w:val="both"/>
        <w:rPr>
          <w:sz w:val="24"/>
        </w:rPr>
      </w:pPr>
      <w:r>
        <w:rPr>
          <w:color w:val="231F20"/>
          <w:sz w:val="24"/>
        </w:rPr>
        <w:t>This raises for consideration whether Mr BF and his son’s detention was arbitrary within the meaning of article 9(1) of the ICCPR and additionally whether Master BG’s detention was a measure of ‘last resort’ and for the ‘shortest</w:t>
      </w:r>
      <w:r>
        <w:rPr>
          <w:color w:val="231F20"/>
          <w:spacing w:val="-4"/>
          <w:sz w:val="24"/>
        </w:rPr>
        <w:t> </w:t>
      </w:r>
      <w:r>
        <w:rPr>
          <w:color w:val="231F20"/>
          <w:sz w:val="24"/>
        </w:rPr>
        <w:t>appropriate</w:t>
      </w:r>
      <w:r>
        <w:rPr>
          <w:color w:val="231F20"/>
          <w:spacing w:val="-4"/>
          <w:sz w:val="24"/>
        </w:rPr>
        <w:t> </w:t>
      </w:r>
      <w:r>
        <w:rPr>
          <w:color w:val="231F20"/>
          <w:sz w:val="24"/>
        </w:rPr>
        <w:t>period</w:t>
      </w:r>
      <w:r>
        <w:rPr>
          <w:color w:val="231F20"/>
          <w:spacing w:val="-4"/>
          <w:sz w:val="24"/>
        </w:rPr>
        <w:t> </w:t>
      </w:r>
      <w:r>
        <w:rPr>
          <w:color w:val="231F20"/>
          <w:sz w:val="24"/>
        </w:rPr>
        <w:t>of</w:t>
      </w:r>
      <w:r>
        <w:rPr>
          <w:color w:val="231F20"/>
          <w:spacing w:val="-4"/>
          <w:sz w:val="24"/>
        </w:rPr>
        <w:t> </w:t>
      </w:r>
      <w:r>
        <w:rPr>
          <w:color w:val="231F20"/>
          <w:sz w:val="24"/>
        </w:rPr>
        <w:t>time’</w:t>
      </w:r>
      <w:r>
        <w:rPr>
          <w:color w:val="231F20"/>
          <w:spacing w:val="-12"/>
          <w:sz w:val="24"/>
        </w:rPr>
        <w:t> </w:t>
      </w:r>
      <w:r>
        <w:rPr>
          <w:color w:val="231F20"/>
          <w:sz w:val="24"/>
        </w:rPr>
        <w:t>as</w:t>
      </w:r>
      <w:r>
        <w:rPr>
          <w:color w:val="231F20"/>
          <w:spacing w:val="-4"/>
          <w:sz w:val="24"/>
        </w:rPr>
        <w:t> </w:t>
      </w:r>
      <w:r>
        <w:rPr>
          <w:color w:val="231F20"/>
          <w:sz w:val="24"/>
        </w:rPr>
        <w:t>set</w:t>
      </w:r>
      <w:r>
        <w:rPr>
          <w:color w:val="231F20"/>
          <w:spacing w:val="-4"/>
          <w:sz w:val="24"/>
        </w:rPr>
        <w:t> </w:t>
      </w:r>
      <w:r>
        <w:rPr>
          <w:color w:val="231F20"/>
          <w:sz w:val="24"/>
        </w:rPr>
        <w:t>out</w:t>
      </w:r>
      <w:r>
        <w:rPr>
          <w:color w:val="231F20"/>
          <w:spacing w:val="-4"/>
          <w:sz w:val="24"/>
        </w:rPr>
        <w:t> </w:t>
      </w:r>
      <w:r>
        <w:rPr>
          <w:color w:val="231F20"/>
          <w:sz w:val="24"/>
        </w:rPr>
        <w:t>in</w:t>
      </w:r>
      <w:r>
        <w:rPr>
          <w:color w:val="231F20"/>
          <w:spacing w:val="-4"/>
          <w:sz w:val="24"/>
        </w:rPr>
        <w:t> </w:t>
      </w:r>
      <w:r>
        <w:rPr>
          <w:color w:val="231F20"/>
          <w:sz w:val="24"/>
        </w:rPr>
        <w:t>article</w:t>
      </w:r>
      <w:r>
        <w:rPr>
          <w:color w:val="231F20"/>
          <w:spacing w:val="-4"/>
          <w:sz w:val="24"/>
        </w:rPr>
        <w:t> </w:t>
      </w:r>
      <w:r>
        <w:rPr>
          <w:color w:val="231F20"/>
          <w:sz w:val="24"/>
        </w:rPr>
        <w:t>37(b)</w:t>
      </w:r>
      <w:r>
        <w:rPr>
          <w:color w:val="231F20"/>
          <w:spacing w:val="-4"/>
          <w:sz w:val="24"/>
        </w:rPr>
        <w:t> </w:t>
      </w:r>
      <w:r>
        <w:rPr>
          <w:color w:val="231F20"/>
          <w:sz w:val="24"/>
        </w:rPr>
        <w:t>of</w:t>
      </w:r>
      <w:r>
        <w:rPr>
          <w:color w:val="231F20"/>
          <w:spacing w:val="-4"/>
          <w:sz w:val="24"/>
        </w:rPr>
        <w:t> </w:t>
      </w:r>
      <w:r>
        <w:rPr>
          <w:color w:val="231F20"/>
          <w:sz w:val="24"/>
        </w:rPr>
        <w:t>the</w:t>
      </w:r>
      <w:r>
        <w:rPr>
          <w:color w:val="231F20"/>
          <w:spacing w:val="-5"/>
          <w:sz w:val="24"/>
        </w:rPr>
        <w:t> </w:t>
      </w:r>
      <w:r>
        <w:rPr>
          <w:color w:val="231F20"/>
          <w:sz w:val="24"/>
        </w:rPr>
        <w:t>CRC.</w:t>
      </w:r>
    </w:p>
    <w:p>
      <w:pPr>
        <w:pStyle w:val="ListParagraph"/>
        <w:numPr>
          <w:ilvl w:val="0"/>
          <w:numId w:val="3"/>
        </w:numPr>
        <w:tabs>
          <w:tab w:pos="797" w:val="left" w:leader="none"/>
          <w:tab w:pos="798" w:val="left" w:leader="none"/>
        </w:tabs>
        <w:spacing w:line="249" w:lineRule="auto" w:before="114" w:after="0"/>
        <w:ind w:left="797" w:right="610" w:hanging="680"/>
        <w:jc w:val="left"/>
        <w:rPr>
          <w:sz w:val="24"/>
        </w:rPr>
      </w:pPr>
      <w:r>
        <w:rPr>
          <w:color w:val="231F20"/>
          <w:sz w:val="24"/>
        </w:rPr>
        <w:t>I will also consider whether the best interests of Master BG were a primary consideration during his detention in accordance with article 3 of the</w:t>
      </w:r>
      <w:r>
        <w:rPr>
          <w:color w:val="231F20"/>
          <w:spacing w:val="-41"/>
          <w:sz w:val="24"/>
        </w:rPr>
        <w:t> </w:t>
      </w:r>
      <w:r>
        <w:rPr>
          <w:color w:val="231F20"/>
          <w:sz w:val="24"/>
        </w:rPr>
        <w:t>CRC.</w:t>
      </w:r>
    </w:p>
    <w:p>
      <w:pPr>
        <w:pStyle w:val="BodyText"/>
        <w:spacing w:before="7"/>
        <w:rPr>
          <w:sz w:val="25"/>
        </w:rPr>
      </w:pPr>
    </w:p>
    <w:p>
      <w:pPr>
        <w:pStyle w:val="Heading2"/>
        <w:numPr>
          <w:ilvl w:val="1"/>
          <w:numId w:val="5"/>
        </w:numPr>
        <w:tabs>
          <w:tab w:pos="797" w:val="left" w:leader="none"/>
          <w:tab w:pos="798" w:val="left" w:leader="none"/>
        </w:tabs>
        <w:spacing w:line="240" w:lineRule="auto" w:before="0" w:after="0"/>
        <w:ind w:left="797" w:right="0" w:hanging="680"/>
        <w:jc w:val="left"/>
      </w:pPr>
      <w:r>
        <w:rPr>
          <w:color w:val="231F20"/>
        </w:rPr>
        <w:t>Law</w:t>
      </w:r>
    </w:p>
    <w:p>
      <w:pPr>
        <w:pStyle w:val="ListParagraph"/>
        <w:numPr>
          <w:ilvl w:val="0"/>
          <w:numId w:val="3"/>
        </w:numPr>
        <w:tabs>
          <w:tab w:pos="797" w:val="left" w:leader="none"/>
          <w:tab w:pos="798" w:val="left" w:leader="none"/>
        </w:tabs>
        <w:spacing w:line="249" w:lineRule="auto" w:before="173" w:after="0"/>
        <w:ind w:left="797" w:right="556" w:hanging="680"/>
        <w:jc w:val="left"/>
        <w:rPr>
          <w:sz w:val="24"/>
        </w:rPr>
      </w:pPr>
      <w:r>
        <w:rPr>
          <w:color w:val="231F20"/>
          <w:sz w:val="24"/>
        </w:rPr>
        <w:t>The following principles relating to arbitrary detention within the meaning of article 9 of the ICCPR arise from international human rights</w:t>
      </w:r>
      <w:r>
        <w:rPr>
          <w:color w:val="231F20"/>
          <w:spacing w:val="-44"/>
          <w:sz w:val="24"/>
        </w:rPr>
        <w:t> </w:t>
      </w:r>
      <w:r>
        <w:rPr>
          <w:color w:val="231F20"/>
          <w:sz w:val="24"/>
        </w:rPr>
        <w:t>jurisprudence:</w:t>
      </w:r>
    </w:p>
    <w:p>
      <w:pPr>
        <w:pStyle w:val="ListParagraph"/>
        <w:numPr>
          <w:ilvl w:val="1"/>
          <w:numId w:val="3"/>
        </w:numPr>
        <w:tabs>
          <w:tab w:pos="1762" w:val="left" w:leader="none"/>
        </w:tabs>
        <w:spacing w:line="240" w:lineRule="auto" w:before="171" w:after="0"/>
        <w:ind w:left="1761" w:right="0" w:hanging="397"/>
        <w:jc w:val="left"/>
        <w:rPr>
          <w:color w:val="231F20"/>
          <w:sz w:val="24"/>
        </w:rPr>
      </w:pPr>
      <w:r>
        <w:rPr>
          <w:rFonts w:ascii="HelveticaNeueLTPro-Roman" w:hAnsi="HelveticaNeueLTPro-Roman"/>
          <w:color w:val="231F20"/>
          <w:sz w:val="24"/>
        </w:rPr>
        <w:t>‘detention’ includes immigration</w:t>
      </w:r>
      <w:r>
        <w:rPr>
          <w:rFonts w:ascii="HelveticaNeueLTPro-Roman" w:hAnsi="HelveticaNeueLTPro-Roman"/>
          <w:color w:val="231F20"/>
          <w:spacing w:val="-1"/>
          <w:sz w:val="24"/>
        </w:rPr>
        <w:t> </w:t>
      </w:r>
      <w:r>
        <w:rPr>
          <w:rFonts w:ascii="HelveticaNeueLTPro-Roman" w:hAnsi="HelveticaNeueLTPro-Roman"/>
          <w:color w:val="231F20"/>
          <w:sz w:val="24"/>
        </w:rPr>
        <w:t>detention;</w:t>
      </w:r>
      <w:hyperlink w:history="true" w:anchor="_bookmark13">
        <w:r>
          <w:rPr>
            <w:color w:val="231F20"/>
            <w:position w:val="8"/>
            <w:sz w:val="14"/>
          </w:rPr>
          <w:t>2</w:t>
        </w:r>
      </w:hyperlink>
    </w:p>
    <w:p>
      <w:pPr>
        <w:pStyle w:val="ListParagraph"/>
        <w:numPr>
          <w:ilvl w:val="1"/>
          <w:numId w:val="3"/>
        </w:numPr>
        <w:tabs>
          <w:tab w:pos="1762" w:val="left" w:leader="none"/>
        </w:tabs>
        <w:spacing w:line="240" w:lineRule="auto" w:before="113" w:after="0"/>
        <w:ind w:left="1761" w:right="332" w:hanging="397"/>
        <w:jc w:val="left"/>
        <w:rPr>
          <w:rFonts w:ascii="HelveticaNeueLTPro-Roman" w:hAnsi="HelveticaNeueLTPro-Roman"/>
          <w:color w:val="231F20"/>
          <w:sz w:val="24"/>
        </w:rPr>
      </w:pPr>
      <w:r>
        <w:rPr>
          <w:rFonts w:ascii="HelveticaNeueLTPro-Roman" w:hAnsi="HelveticaNeueLTPro-Roman"/>
          <w:color w:val="231F20"/>
          <w:sz w:val="24"/>
        </w:rPr>
        <w:t>lawful detention may become arbitrary when a person’s deprivation of liberty becomes unjust, unreasonable or disproportionate to the Commonwealth’s legitimate aim of ensuring the effective operation of Australia’s migration</w:t>
      </w:r>
      <w:r>
        <w:rPr>
          <w:rFonts w:ascii="HelveticaNeueLTPro-Roman" w:hAnsi="HelveticaNeueLTPro-Roman"/>
          <w:color w:val="231F20"/>
          <w:spacing w:val="-1"/>
          <w:sz w:val="24"/>
        </w:rPr>
        <w:t> </w:t>
      </w:r>
      <w:r>
        <w:rPr>
          <w:rFonts w:ascii="HelveticaNeueLTPro-Roman" w:hAnsi="HelveticaNeueLTPro-Roman"/>
          <w:color w:val="231F20"/>
          <w:sz w:val="24"/>
        </w:rPr>
        <w:t>system;</w:t>
      </w:r>
      <w:hyperlink w:history="true" w:anchor="_bookmark14">
        <w:r>
          <w:rPr>
            <w:color w:val="231F20"/>
            <w:position w:val="8"/>
            <w:sz w:val="14"/>
          </w:rPr>
          <w:t>3</w:t>
        </w:r>
      </w:hyperlink>
    </w:p>
    <w:p>
      <w:pPr>
        <w:pStyle w:val="ListParagraph"/>
        <w:numPr>
          <w:ilvl w:val="1"/>
          <w:numId w:val="3"/>
        </w:numPr>
        <w:tabs>
          <w:tab w:pos="1762" w:val="left" w:leader="none"/>
        </w:tabs>
        <w:spacing w:line="240" w:lineRule="auto" w:before="113" w:after="0"/>
        <w:ind w:left="1761" w:right="385" w:hanging="397"/>
        <w:jc w:val="left"/>
        <w:rPr>
          <w:rFonts w:ascii="HelveticaNeueLTPro-Roman" w:hAnsi="HelveticaNeueLTPro-Roman"/>
          <w:color w:val="231F20"/>
          <w:sz w:val="24"/>
        </w:rPr>
      </w:pPr>
      <w:r>
        <w:rPr>
          <w:rFonts w:ascii="HelveticaNeueLTPro-Roman" w:hAnsi="HelveticaNeueLTPro-Roman"/>
          <w:color w:val="231F20"/>
          <w:sz w:val="24"/>
        </w:rPr>
        <w:t>arbitrariness is not to be equated with ‘against the law’; it must be interpreted more broadly to include elements of inappropriateness, injustice or lack of predictability;</w:t>
      </w:r>
      <w:hyperlink w:history="true" w:anchor="_bookmark15">
        <w:r>
          <w:rPr>
            <w:color w:val="231F20"/>
            <w:position w:val="8"/>
            <w:sz w:val="14"/>
          </w:rPr>
          <w:t>4</w:t>
        </w:r>
      </w:hyperlink>
      <w:r>
        <w:rPr>
          <w:color w:val="231F20"/>
          <w:spacing w:val="-1"/>
          <w:position w:val="8"/>
          <w:sz w:val="14"/>
        </w:rPr>
        <w:t> </w:t>
      </w:r>
      <w:r>
        <w:rPr>
          <w:rFonts w:ascii="HelveticaNeueLTPro-Roman" w:hAnsi="HelveticaNeueLTPro-Roman"/>
          <w:color w:val="231F20"/>
          <w:sz w:val="24"/>
        </w:rPr>
        <w:t>and</w:t>
      </w:r>
    </w:p>
    <w:p>
      <w:pPr>
        <w:pStyle w:val="ListParagraph"/>
        <w:numPr>
          <w:ilvl w:val="1"/>
          <w:numId w:val="3"/>
        </w:numPr>
        <w:tabs>
          <w:tab w:pos="1762" w:val="left" w:leader="none"/>
        </w:tabs>
        <w:spacing w:line="240" w:lineRule="auto" w:before="113" w:after="0"/>
        <w:ind w:left="1761" w:right="433" w:hanging="397"/>
        <w:jc w:val="left"/>
        <w:rPr>
          <w:rFonts w:ascii="HelveticaNeueLTPro-Roman"/>
          <w:color w:val="231F20"/>
          <w:sz w:val="24"/>
        </w:rPr>
      </w:pPr>
      <w:r>
        <w:rPr>
          <w:rFonts w:ascii="HelveticaNeueLTPro-Roman"/>
          <w:color w:val="231F20"/>
          <w:sz w:val="24"/>
        </w:rPr>
        <w:t>detention should not continue beyond the period for which a State party can provide appropriate</w:t>
      </w:r>
      <w:r>
        <w:rPr>
          <w:rFonts w:ascii="HelveticaNeueLTPro-Roman"/>
          <w:color w:val="231F20"/>
          <w:spacing w:val="-1"/>
          <w:sz w:val="24"/>
        </w:rPr>
        <w:t> </w:t>
      </w:r>
      <w:r>
        <w:rPr>
          <w:rFonts w:ascii="HelveticaNeueLTPro-Roman"/>
          <w:color w:val="231F20"/>
          <w:sz w:val="24"/>
        </w:rPr>
        <w:t>justification.</w:t>
      </w:r>
      <w:hyperlink w:history="true" w:anchor="_bookmark16">
        <w:r>
          <w:rPr>
            <w:color w:val="231F20"/>
            <w:position w:val="8"/>
            <w:sz w:val="14"/>
          </w:rPr>
          <w:t>5</w:t>
        </w:r>
      </w:hyperlink>
    </w:p>
    <w:p>
      <w:pPr>
        <w:spacing w:after="0" w:line="240" w:lineRule="auto"/>
        <w:jc w:val="left"/>
        <w:rPr>
          <w:rFonts w:ascii="HelveticaNeueLTPro-Roman"/>
          <w:sz w:val="24"/>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267" w:hanging="680"/>
        <w:jc w:val="left"/>
        <w:rPr>
          <w:sz w:val="14"/>
        </w:rPr>
      </w:pPr>
      <w:bookmarkStart w:name="_bookmark4" w:id="9"/>
      <w:bookmarkEnd w:id="9"/>
      <w:r>
        <w:rPr/>
      </w:r>
      <w:bookmarkStart w:name="_bookmark4" w:id="10"/>
      <w:bookmarkEnd w:id="10"/>
      <w:r>
        <w:rPr>
          <w:color w:val="231F20"/>
          <w:sz w:val="24"/>
        </w:rPr>
        <w:t>In</w:t>
      </w:r>
      <w:r>
        <w:rPr>
          <w:color w:val="231F20"/>
          <w:sz w:val="24"/>
        </w:rPr>
        <w:t> </w:t>
      </w:r>
      <w:r>
        <w:rPr>
          <w:i/>
          <w:color w:val="231F20"/>
          <w:spacing w:val="-4"/>
          <w:sz w:val="24"/>
        </w:rPr>
        <w:t>Van </w:t>
      </w:r>
      <w:r>
        <w:rPr>
          <w:i/>
          <w:color w:val="231F20"/>
          <w:sz w:val="24"/>
        </w:rPr>
        <w:t>Alphen v The Netherlands </w:t>
      </w:r>
      <w:r>
        <w:rPr>
          <w:color w:val="231F20"/>
          <w:sz w:val="24"/>
        </w:rPr>
        <w:t>the UN Human Rights Committee (UNHRC) found detention for a period of two months to be arbitrary because the State Party did not show that remand in custody was necessary to prevent flight, interference with evidence or recurrence of</w:t>
      </w:r>
      <w:r>
        <w:rPr>
          <w:color w:val="231F20"/>
          <w:spacing w:val="-24"/>
          <w:sz w:val="24"/>
        </w:rPr>
        <w:t> </w:t>
      </w:r>
      <w:r>
        <w:rPr>
          <w:color w:val="231F20"/>
          <w:sz w:val="24"/>
        </w:rPr>
        <w:t>crime.</w:t>
      </w:r>
      <w:hyperlink w:history="true" w:anchor="_bookmark17">
        <w:r>
          <w:rPr>
            <w:color w:val="231F20"/>
            <w:position w:val="8"/>
            <w:sz w:val="14"/>
          </w:rPr>
          <w:t>6</w:t>
        </w:r>
      </w:hyperlink>
    </w:p>
    <w:p>
      <w:pPr>
        <w:pStyle w:val="ListParagraph"/>
        <w:numPr>
          <w:ilvl w:val="0"/>
          <w:numId w:val="3"/>
        </w:numPr>
        <w:tabs>
          <w:tab w:pos="797" w:val="left" w:leader="none"/>
          <w:tab w:pos="798" w:val="left" w:leader="none"/>
        </w:tabs>
        <w:spacing w:line="249" w:lineRule="auto" w:before="114" w:after="0"/>
        <w:ind w:left="797" w:right="332" w:hanging="680"/>
        <w:jc w:val="left"/>
        <w:rPr>
          <w:sz w:val="24"/>
        </w:rPr>
      </w:pPr>
      <w:r>
        <w:rPr>
          <w:color w:val="231F20"/>
          <w:sz w:val="24"/>
        </w:rPr>
        <w:t>The UNHRC has held in several communications that there is an obligation on the State Party to demonstrate that there was not a less invasive way than detention to achieve the ends of the State Party’s immigration policy</w:t>
      </w:r>
      <w:r>
        <w:rPr>
          <w:color w:val="231F20"/>
          <w:spacing w:val="-42"/>
          <w:sz w:val="24"/>
        </w:rPr>
        <w:t> </w:t>
      </w:r>
      <w:r>
        <w:rPr>
          <w:color w:val="231F20"/>
          <w:sz w:val="24"/>
        </w:rPr>
        <w:t>(for</w:t>
      </w:r>
    </w:p>
    <w:p>
      <w:pPr>
        <w:pStyle w:val="BodyText"/>
        <w:spacing w:line="249" w:lineRule="auto"/>
        <w:ind w:left="797" w:right="195"/>
        <w:rPr>
          <w:sz w:val="14"/>
        </w:rPr>
      </w:pPr>
      <w:r>
        <w:rPr>
          <w:color w:val="231F20"/>
        </w:rPr>
        <w:t>example the imposition of reporting obligations, sureties or other conditions) in order to avoid the conclusion that detention was arbitrary.</w:t>
      </w:r>
      <w:hyperlink w:history="true" w:anchor="_bookmark18">
        <w:r>
          <w:rPr>
            <w:color w:val="231F20"/>
            <w:position w:val="8"/>
            <w:sz w:val="14"/>
          </w:rPr>
          <w:t>7</w:t>
        </w:r>
      </w:hyperlink>
    </w:p>
    <w:p>
      <w:pPr>
        <w:pStyle w:val="ListParagraph"/>
        <w:numPr>
          <w:ilvl w:val="0"/>
          <w:numId w:val="3"/>
        </w:numPr>
        <w:tabs>
          <w:tab w:pos="797" w:val="left" w:leader="none"/>
          <w:tab w:pos="798" w:val="left" w:leader="none"/>
        </w:tabs>
        <w:spacing w:line="249" w:lineRule="auto" w:before="114" w:after="0"/>
        <w:ind w:left="797" w:right="115" w:hanging="680"/>
        <w:jc w:val="left"/>
        <w:rPr>
          <w:sz w:val="14"/>
        </w:rPr>
      </w:pPr>
      <w:r>
        <w:rPr>
          <w:color w:val="231F20"/>
          <w:sz w:val="24"/>
        </w:rPr>
        <w:t>Relevant jurisprudence of the UNHRC on the right to liberty is collected in a general comment on article 9 of the ICCPR published on 16 December 2014. It makes</w:t>
      </w:r>
      <w:r>
        <w:rPr>
          <w:color w:val="231F20"/>
          <w:spacing w:val="-6"/>
          <w:sz w:val="24"/>
        </w:rPr>
        <w:t> </w:t>
      </w:r>
      <w:r>
        <w:rPr>
          <w:color w:val="231F20"/>
          <w:sz w:val="24"/>
        </w:rPr>
        <w:t>the</w:t>
      </w:r>
      <w:r>
        <w:rPr>
          <w:color w:val="231F20"/>
          <w:spacing w:val="-7"/>
          <w:sz w:val="24"/>
        </w:rPr>
        <w:t> </w:t>
      </w:r>
      <w:r>
        <w:rPr>
          <w:color w:val="231F20"/>
          <w:sz w:val="24"/>
        </w:rPr>
        <w:t>following</w:t>
      </w:r>
      <w:r>
        <w:rPr>
          <w:color w:val="231F20"/>
          <w:spacing w:val="-7"/>
          <w:sz w:val="24"/>
        </w:rPr>
        <w:t> </w:t>
      </w:r>
      <w:r>
        <w:rPr>
          <w:color w:val="231F20"/>
          <w:sz w:val="24"/>
        </w:rPr>
        <w:t>comments</w:t>
      </w:r>
      <w:r>
        <w:rPr>
          <w:color w:val="231F20"/>
          <w:spacing w:val="-7"/>
          <w:sz w:val="24"/>
        </w:rPr>
        <w:t> </w:t>
      </w:r>
      <w:r>
        <w:rPr>
          <w:color w:val="231F20"/>
          <w:sz w:val="24"/>
        </w:rPr>
        <w:t>about</w:t>
      </w:r>
      <w:r>
        <w:rPr>
          <w:color w:val="231F20"/>
          <w:spacing w:val="-6"/>
          <w:sz w:val="24"/>
        </w:rPr>
        <w:t> </w:t>
      </w:r>
      <w:r>
        <w:rPr>
          <w:color w:val="231F20"/>
          <w:sz w:val="24"/>
        </w:rPr>
        <w:t>immigration</w:t>
      </w:r>
      <w:r>
        <w:rPr>
          <w:color w:val="231F20"/>
          <w:spacing w:val="-6"/>
          <w:sz w:val="24"/>
        </w:rPr>
        <w:t> </w:t>
      </w:r>
      <w:r>
        <w:rPr>
          <w:color w:val="231F20"/>
          <w:sz w:val="24"/>
        </w:rPr>
        <w:t>detention</w:t>
      </w:r>
      <w:r>
        <w:rPr>
          <w:color w:val="231F20"/>
          <w:spacing w:val="-6"/>
          <w:sz w:val="24"/>
        </w:rPr>
        <w:t> </w:t>
      </w:r>
      <w:r>
        <w:rPr>
          <w:color w:val="231F20"/>
          <w:sz w:val="24"/>
        </w:rPr>
        <w:t>in</w:t>
      </w:r>
      <w:r>
        <w:rPr>
          <w:color w:val="231F20"/>
          <w:spacing w:val="-6"/>
          <w:sz w:val="24"/>
        </w:rPr>
        <w:t> </w:t>
      </w:r>
      <w:r>
        <w:rPr>
          <w:color w:val="231F20"/>
          <w:sz w:val="24"/>
        </w:rPr>
        <w:t>particular,</w:t>
      </w:r>
      <w:r>
        <w:rPr>
          <w:color w:val="231F20"/>
          <w:spacing w:val="-7"/>
          <w:sz w:val="24"/>
        </w:rPr>
        <w:t> </w:t>
      </w:r>
      <w:r>
        <w:rPr>
          <w:color w:val="231F20"/>
          <w:sz w:val="24"/>
        </w:rPr>
        <w:t>based on previous decisions by the</w:t>
      </w:r>
      <w:r>
        <w:rPr>
          <w:color w:val="231F20"/>
          <w:spacing w:val="-27"/>
          <w:sz w:val="24"/>
        </w:rPr>
        <w:t> </w:t>
      </w:r>
      <w:r>
        <w:rPr>
          <w:color w:val="231F20"/>
          <w:sz w:val="24"/>
        </w:rPr>
        <w:t>Committee:</w:t>
      </w:r>
      <w:hyperlink w:history="true" w:anchor="_bookmark19">
        <w:r>
          <w:rPr>
            <w:color w:val="231F20"/>
            <w:position w:val="8"/>
            <w:sz w:val="14"/>
          </w:rPr>
          <w:t>8</w:t>
        </w:r>
      </w:hyperlink>
    </w:p>
    <w:p>
      <w:pPr>
        <w:spacing w:line="249" w:lineRule="auto" w:before="166"/>
        <w:ind w:left="1364" w:right="173" w:firstLine="0"/>
        <w:jc w:val="left"/>
        <w:rPr>
          <w:sz w:val="22"/>
        </w:rPr>
      </w:pPr>
      <w:r>
        <w:rPr>
          <w:color w:val="231F20"/>
          <w:sz w:val="22"/>
        </w:rPr>
        <w:t>Detention in the course of proceedings for the control of immigration is not per se arbitrary, but the detention must be justified as reasonable, necessary and proportionate in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w:t>
      </w:r>
    </w:p>
    <w:p>
      <w:pPr>
        <w:spacing w:line="249" w:lineRule="auto" w:before="1"/>
        <w:ind w:left="1364" w:right="321" w:firstLine="0"/>
        <w:jc w:val="left"/>
        <w:rPr>
          <w:sz w:val="22"/>
        </w:rPr>
      </w:pPr>
      <w:r>
        <w:rPr>
          <w:color w:val="231F20"/>
          <w:sz w:val="22"/>
        </w:rPr>
        <w:t>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 evaluation and judicial</w:t>
      </w:r>
      <w:r>
        <w:rPr>
          <w:color w:val="231F20"/>
          <w:spacing w:val="-30"/>
          <w:sz w:val="22"/>
        </w:rPr>
        <w:t> </w:t>
      </w:r>
      <w:r>
        <w:rPr>
          <w:color w:val="231F20"/>
          <w:sz w:val="22"/>
        </w:rPr>
        <w:t>review.</w:t>
      </w:r>
    </w:p>
    <w:p>
      <w:pPr>
        <w:pStyle w:val="ListParagraph"/>
        <w:numPr>
          <w:ilvl w:val="0"/>
          <w:numId w:val="3"/>
        </w:numPr>
        <w:tabs>
          <w:tab w:pos="797" w:val="left" w:leader="none"/>
          <w:tab w:pos="798" w:val="left" w:leader="none"/>
        </w:tabs>
        <w:spacing w:line="249" w:lineRule="auto" w:before="176" w:after="0"/>
        <w:ind w:left="797" w:right="280" w:hanging="680"/>
        <w:jc w:val="left"/>
        <w:rPr>
          <w:sz w:val="24"/>
        </w:rPr>
      </w:pPr>
      <w:r>
        <w:rPr>
          <w:color w:val="231F20"/>
          <w:sz w:val="24"/>
        </w:rPr>
        <w:t>Accordingly, where alternative places of detention that impose a lesser restriction on a person’s liberty are reasonably available, and where</w:t>
      </w:r>
      <w:r>
        <w:rPr>
          <w:color w:val="231F20"/>
          <w:spacing w:val="-43"/>
          <w:sz w:val="24"/>
        </w:rPr>
        <w:t> </w:t>
      </w:r>
      <w:r>
        <w:rPr>
          <w:color w:val="231F20"/>
          <w:sz w:val="24"/>
        </w:rPr>
        <w:t>detention in an immigration detention centre is not demonstrably </w:t>
      </w:r>
      <w:r>
        <w:rPr>
          <w:color w:val="231F20"/>
          <w:spacing w:val="-3"/>
          <w:sz w:val="24"/>
        </w:rPr>
        <w:t>necessary, </w:t>
      </w:r>
      <w:r>
        <w:rPr>
          <w:color w:val="231F20"/>
          <w:sz w:val="24"/>
        </w:rPr>
        <w:t>prolonged detention in an immigration detention centre may be disproportionate</w:t>
      </w:r>
      <w:r>
        <w:rPr>
          <w:color w:val="231F20"/>
          <w:spacing w:val="-45"/>
          <w:sz w:val="24"/>
        </w:rPr>
        <w:t> </w:t>
      </w:r>
      <w:r>
        <w:rPr>
          <w:color w:val="231F20"/>
          <w:sz w:val="24"/>
        </w:rPr>
        <w:t>to</w:t>
      </w:r>
    </w:p>
    <w:p>
      <w:pPr>
        <w:pStyle w:val="BodyText"/>
        <w:spacing w:line="249" w:lineRule="auto" w:before="1"/>
        <w:ind w:left="797"/>
      </w:pPr>
      <w:r>
        <w:rPr>
          <w:color w:val="231F20"/>
        </w:rPr>
        <w:t>the Commonwealth’s legitimate aim of ensuring the effective operation of Australia’s migration system.</w:t>
      </w:r>
    </w:p>
    <w:p>
      <w:pPr>
        <w:pStyle w:val="BodyText"/>
        <w:spacing w:before="7"/>
        <w:rPr>
          <w:sz w:val="25"/>
        </w:rPr>
      </w:pPr>
    </w:p>
    <w:p>
      <w:pPr>
        <w:pStyle w:val="Heading2"/>
        <w:numPr>
          <w:ilvl w:val="1"/>
          <w:numId w:val="5"/>
        </w:numPr>
        <w:tabs>
          <w:tab w:pos="797" w:val="left" w:leader="none"/>
          <w:tab w:pos="798" w:val="left" w:leader="none"/>
        </w:tabs>
        <w:spacing w:line="240" w:lineRule="auto" w:before="1" w:after="0"/>
        <w:ind w:left="797" w:right="0" w:hanging="680"/>
        <w:jc w:val="left"/>
      </w:pPr>
      <w:r>
        <w:rPr>
          <w:color w:val="231F20"/>
        </w:rPr>
        <w:t>Act or practice of the</w:t>
      </w:r>
      <w:r>
        <w:rPr>
          <w:color w:val="231F20"/>
          <w:spacing w:val="-17"/>
        </w:rPr>
        <w:t> </w:t>
      </w:r>
      <w:r>
        <w:rPr>
          <w:color w:val="231F20"/>
        </w:rPr>
        <w:t>Commonwealth?</w:t>
      </w:r>
    </w:p>
    <w:p>
      <w:pPr>
        <w:pStyle w:val="ListParagraph"/>
        <w:numPr>
          <w:ilvl w:val="0"/>
          <w:numId w:val="3"/>
        </w:numPr>
        <w:tabs>
          <w:tab w:pos="797" w:val="left" w:leader="none"/>
          <w:tab w:pos="798" w:val="left" w:leader="none"/>
        </w:tabs>
        <w:spacing w:line="249" w:lineRule="auto" w:before="173" w:after="0"/>
        <w:ind w:left="797" w:right="329" w:hanging="680"/>
        <w:jc w:val="left"/>
        <w:rPr>
          <w:sz w:val="24"/>
        </w:rPr>
      </w:pPr>
      <w:r>
        <w:rPr>
          <w:color w:val="231F20"/>
          <w:sz w:val="24"/>
        </w:rPr>
        <w:t>Section 197AB of the Migration Act permits the Minister, where he thinks that it is in the public interest to do so, to make a residence determination to allow a person to reside in a specified place instead of being detained in closed immigration detention. A ‘specified place’ may be a place in the community. This is commonly referred to as community</w:t>
      </w:r>
      <w:r>
        <w:rPr>
          <w:color w:val="231F20"/>
          <w:spacing w:val="-17"/>
          <w:sz w:val="24"/>
        </w:rPr>
        <w:t> </w:t>
      </w:r>
      <w:r>
        <w:rPr>
          <w:color w:val="231F20"/>
          <w:sz w:val="24"/>
        </w:rPr>
        <w:t>detention.</w:t>
      </w:r>
    </w:p>
    <w:p>
      <w:pPr>
        <w:spacing w:after="0" w:line="249" w:lineRule="auto"/>
        <w:jc w:val="left"/>
        <w:rPr>
          <w:sz w:val="24"/>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121" w:hanging="680"/>
        <w:jc w:val="left"/>
        <w:rPr>
          <w:sz w:val="24"/>
        </w:rPr>
      </w:pPr>
      <w:bookmarkStart w:name="_bookmark5" w:id="11"/>
      <w:bookmarkEnd w:id="11"/>
      <w:r>
        <w:rPr/>
      </w:r>
      <w:bookmarkStart w:name="_bookmark5" w:id="12"/>
      <w:bookmarkEnd w:id="12"/>
      <w:r>
        <w:rPr>
          <w:color w:val="231F20"/>
          <w:sz w:val="24"/>
        </w:rPr>
        <w:t>The</w:t>
      </w:r>
      <w:r>
        <w:rPr>
          <w:color w:val="231F20"/>
          <w:sz w:val="24"/>
        </w:rPr>
        <w:t> act of the Commonwealth to which I have given consideration is the failure by the department to make a submission to the Minister that he consider exercising his discretionary powers to make a residence determination in favour of Mr BF and his</w:t>
      </w:r>
      <w:r>
        <w:rPr>
          <w:color w:val="231F20"/>
          <w:spacing w:val="-6"/>
          <w:sz w:val="24"/>
        </w:rPr>
        <w:t> </w:t>
      </w:r>
      <w:r>
        <w:rPr>
          <w:color w:val="231F20"/>
          <w:sz w:val="24"/>
        </w:rPr>
        <w:t>son.</w:t>
      </w:r>
    </w:p>
    <w:p>
      <w:pPr>
        <w:pStyle w:val="BodyText"/>
        <w:spacing w:before="7"/>
        <w:rPr>
          <w:sz w:val="25"/>
        </w:rPr>
      </w:pPr>
    </w:p>
    <w:p>
      <w:pPr>
        <w:pStyle w:val="Heading2"/>
        <w:numPr>
          <w:ilvl w:val="1"/>
          <w:numId w:val="5"/>
        </w:numPr>
        <w:tabs>
          <w:tab w:pos="797" w:val="left" w:leader="none"/>
          <w:tab w:pos="798" w:val="left" w:leader="none"/>
        </w:tabs>
        <w:spacing w:line="240" w:lineRule="auto" w:before="0" w:after="0"/>
        <w:ind w:left="797" w:right="0" w:hanging="680"/>
        <w:jc w:val="left"/>
      </w:pPr>
      <w:r>
        <w:rPr>
          <w:color w:val="231F20"/>
        </w:rPr>
        <w:t>The department’s</w:t>
      </w:r>
      <w:r>
        <w:rPr>
          <w:color w:val="231F20"/>
          <w:spacing w:val="-20"/>
        </w:rPr>
        <w:t> </w:t>
      </w:r>
      <w:r>
        <w:rPr>
          <w:color w:val="231F20"/>
        </w:rPr>
        <w:t>response</w:t>
      </w:r>
    </w:p>
    <w:p>
      <w:pPr>
        <w:pStyle w:val="ListParagraph"/>
        <w:numPr>
          <w:ilvl w:val="0"/>
          <w:numId w:val="3"/>
        </w:numPr>
        <w:tabs>
          <w:tab w:pos="797" w:val="left" w:leader="none"/>
          <w:tab w:pos="798" w:val="left" w:leader="none"/>
        </w:tabs>
        <w:spacing w:line="249" w:lineRule="auto" w:before="173" w:after="0"/>
        <w:ind w:left="797" w:right="233" w:hanging="680"/>
        <w:jc w:val="left"/>
        <w:rPr>
          <w:sz w:val="24"/>
        </w:rPr>
      </w:pPr>
      <w:r>
        <w:rPr>
          <w:color w:val="231F20"/>
          <w:sz w:val="24"/>
        </w:rPr>
        <w:t>When the Commission asked the department the reason for the length of Mr BF and his son’s detention in an immigration detention centre, the</w:t>
      </w:r>
      <w:r>
        <w:rPr>
          <w:color w:val="231F20"/>
          <w:spacing w:val="-45"/>
          <w:sz w:val="24"/>
        </w:rPr>
        <w:t> </w:t>
      </w:r>
      <w:r>
        <w:rPr>
          <w:color w:val="231F20"/>
          <w:sz w:val="24"/>
        </w:rPr>
        <w:t>department responded</w:t>
      </w:r>
      <w:r>
        <w:rPr>
          <w:color w:val="231F20"/>
          <w:spacing w:val="-1"/>
          <w:sz w:val="24"/>
        </w:rPr>
        <w:t> </w:t>
      </w:r>
      <w:r>
        <w:rPr>
          <w:color w:val="231F20"/>
          <w:sz w:val="24"/>
        </w:rPr>
        <w:t>that:</w:t>
      </w:r>
    </w:p>
    <w:p>
      <w:pPr>
        <w:spacing w:line="249" w:lineRule="auto" w:before="109"/>
        <w:ind w:left="1364" w:right="178" w:firstLine="0"/>
        <w:jc w:val="left"/>
        <w:rPr>
          <w:sz w:val="22"/>
        </w:rPr>
      </w:pPr>
      <w:r>
        <w:rPr>
          <w:color w:val="231F20"/>
          <w:sz w:val="22"/>
        </w:rPr>
        <w:t>During their time in immigration detention, Mr [BF] and his son were unlawful non-citizens and were required under section 196 of the [Migration] Act to be detained until there was no longer reasonable suspicion that they were unlawful non-citizens, [or] they were granted a visa or removed from Australia.</w:t>
      </w:r>
    </w:p>
    <w:p>
      <w:pPr>
        <w:spacing w:before="170"/>
        <w:ind w:left="1364" w:right="0" w:firstLine="0"/>
        <w:jc w:val="left"/>
        <w:rPr>
          <w:sz w:val="22"/>
        </w:rPr>
      </w:pPr>
      <w:r>
        <w:rPr>
          <w:color w:val="231F20"/>
          <w:sz w:val="22"/>
        </w:rPr>
        <w:t>…Mr [BF] and his son voluntarily departed Australia on 2 April 2014.</w:t>
      </w:r>
    </w:p>
    <w:p>
      <w:pPr>
        <w:pStyle w:val="ListParagraph"/>
        <w:numPr>
          <w:ilvl w:val="0"/>
          <w:numId w:val="3"/>
        </w:numPr>
        <w:tabs>
          <w:tab w:pos="797" w:val="left" w:leader="none"/>
          <w:tab w:pos="798" w:val="left" w:leader="none"/>
        </w:tabs>
        <w:spacing w:line="249" w:lineRule="auto" w:before="185" w:after="0"/>
        <w:ind w:left="797" w:right="313" w:hanging="680"/>
        <w:jc w:val="left"/>
        <w:rPr>
          <w:sz w:val="24"/>
        </w:rPr>
      </w:pPr>
      <w:r>
        <w:rPr>
          <w:color w:val="231F20"/>
          <w:sz w:val="24"/>
        </w:rPr>
        <w:t>The department’s response states that Mr BF and his son’s detention was reviewed on eight occasions under case management processes by Case Management and at Detention Review Committee meetings. The department reported that ‘the outcome of these reviews had consistently found that their detention remained</w:t>
      </w:r>
      <w:r>
        <w:rPr>
          <w:color w:val="231F20"/>
          <w:spacing w:val="-22"/>
          <w:sz w:val="24"/>
        </w:rPr>
        <w:t> </w:t>
      </w:r>
      <w:r>
        <w:rPr>
          <w:color w:val="231F20"/>
          <w:sz w:val="24"/>
        </w:rPr>
        <w:t>appropriate’.</w:t>
      </w:r>
    </w:p>
    <w:p>
      <w:pPr>
        <w:pStyle w:val="ListParagraph"/>
        <w:numPr>
          <w:ilvl w:val="0"/>
          <w:numId w:val="3"/>
        </w:numPr>
        <w:tabs>
          <w:tab w:pos="797" w:val="left" w:leader="none"/>
          <w:tab w:pos="798" w:val="left" w:leader="none"/>
        </w:tabs>
        <w:spacing w:line="249" w:lineRule="auto" w:before="114" w:after="0"/>
        <w:ind w:left="797" w:right="539" w:hanging="680"/>
        <w:jc w:val="left"/>
        <w:rPr>
          <w:sz w:val="24"/>
        </w:rPr>
      </w:pPr>
      <w:r>
        <w:rPr>
          <w:color w:val="231F20"/>
          <w:sz w:val="24"/>
        </w:rPr>
        <w:t>I note that the department’s Case Review of Mr </w:t>
      </w:r>
      <w:r>
        <w:rPr>
          <w:color w:val="231F20"/>
          <w:spacing w:val="-9"/>
          <w:sz w:val="24"/>
        </w:rPr>
        <w:t>BF, </w:t>
      </w:r>
      <w:r>
        <w:rPr>
          <w:color w:val="231F20"/>
          <w:sz w:val="24"/>
        </w:rPr>
        <w:t>dated 31 October 2013 states:</w:t>
      </w:r>
    </w:p>
    <w:p>
      <w:pPr>
        <w:spacing w:line="249" w:lineRule="auto" w:before="166"/>
        <w:ind w:left="1364" w:right="654" w:firstLine="0"/>
        <w:jc w:val="left"/>
        <w:rPr>
          <w:sz w:val="22"/>
        </w:rPr>
      </w:pPr>
      <w:r>
        <w:rPr>
          <w:color w:val="231F20"/>
          <w:sz w:val="22"/>
        </w:rPr>
        <w:t>Mr [BF] and his son [Master BG] arrived after July 19, 2013 and as a result has had no case progression under the Australian Government’s ‘No</w:t>
      </w:r>
    </w:p>
    <w:p>
      <w:pPr>
        <w:spacing w:line="249" w:lineRule="auto" w:before="1"/>
        <w:ind w:left="1364" w:right="227" w:firstLine="0"/>
        <w:jc w:val="both"/>
        <w:rPr>
          <w:sz w:val="22"/>
        </w:rPr>
      </w:pPr>
      <w:r>
        <w:rPr>
          <w:color w:val="231F20"/>
          <w:sz w:val="22"/>
        </w:rPr>
        <w:t>Advantage’ policy. He has been notified of Regional Processing Country (RPC) arrangements as per the announcement made by the Minister on July 19, 2013 and related communication guides.</w:t>
      </w:r>
    </w:p>
    <w:p>
      <w:pPr>
        <w:spacing w:before="171"/>
        <w:ind w:left="1364" w:right="0" w:firstLine="0"/>
        <w:jc w:val="left"/>
        <w:rPr>
          <w:sz w:val="22"/>
        </w:rPr>
      </w:pPr>
      <w:r>
        <w:rPr>
          <w:color w:val="231F20"/>
          <w:sz w:val="22"/>
        </w:rPr>
        <w:t>…</w:t>
      </w:r>
    </w:p>
    <w:p>
      <w:pPr>
        <w:spacing w:line="249" w:lineRule="auto" w:before="181"/>
        <w:ind w:left="1364" w:right="306" w:firstLine="0"/>
        <w:jc w:val="left"/>
        <w:rPr>
          <w:sz w:val="22"/>
        </w:rPr>
      </w:pPr>
      <w:r>
        <w:rPr>
          <w:color w:val="231F20"/>
          <w:sz w:val="22"/>
        </w:rPr>
        <w:t>[Mr BF] and his son [Master BG] are identified as Unauthorised Maritime Arrivals (UMAs), who arrived after July 19, 2013. As per the policy they will be transferred to a Regional Processing Country when it is practical to do so.</w:t>
      </w:r>
    </w:p>
    <w:p>
      <w:pPr>
        <w:pStyle w:val="ListParagraph"/>
        <w:numPr>
          <w:ilvl w:val="0"/>
          <w:numId w:val="3"/>
        </w:numPr>
        <w:tabs>
          <w:tab w:pos="797" w:val="left" w:leader="none"/>
          <w:tab w:pos="798" w:val="left" w:leader="none"/>
        </w:tabs>
        <w:spacing w:line="249" w:lineRule="auto" w:before="176" w:after="0"/>
        <w:ind w:left="797" w:right="563" w:hanging="680"/>
        <w:jc w:val="left"/>
        <w:rPr>
          <w:sz w:val="24"/>
        </w:rPr>
      </w:pPr>
      <w:r>
        <w:rPr>
          <w:color w:val="231F20"/>
          <w:sz w:val="24"/>
        </w:rPr>
        <w:t>When the Commission asked whether alternative, less restrictive detention options were considered for Mr BF and his son, the department</w:t>
      </w:r>
      <w:r>
        <w:rPr>
          <w:color w:val="231F20"/>
          <w:spacing w:val="-25"/>
          <w:sz w:val="24"/>
        </w:rPr>
        <w:t> </w:t>
      </w:r>
      <w:r>
        <w:rPr>
          <w:color w:val="231F20"/>
          <w:sz w:val="24"/>
        </w:rPr>
        <w:t>replied:</w:t>
      </w:r>
    </w:p>
    <w:p>
      <w:pPr>
        <w:spacing w:line="249" w:lineRule="auto" w:before="165"/>
        <w:ind w:left="1364" w:right="289" w:firstLine="0"/>
        <w:jc w:val="left"/>
        <w:rPr>
          <w:sz w:val="22"/>
        </w:rPr>
      </w:pPr>
      <w:r>
        <w:rPr>
          <w:color w:val="231F20"/>
          <w:sz w:val="22"/>
        </w:rPr>
        <w:t>In line with Part 10 of the “</w:t>
      </w:r>
      <w:r>
        <w:rPr>
          <w:i/>
          <w:color w:val="231F20"/>
          <w:sz w:val="22"/>
        </w:rPr>
        <w:t>Minister for Immigration and Border Protection’s residence determination power under section 197AB and section 197AD of the Migration Act 1958</w:t>
      </w:r>
      <w:r>
        <w:rPr>
          <w:color w:val="231F20"/>
          <w:sz w:val="22"/>
        </w:rPr>
        <w:t>” instruction, less restrictive forms of detention were not considered an option for Mr [BF] and his son at that time as they arrived after 19 July 2013 as IMAs and no “exceptional reasons” (such as immediate health or welfare concerns) for consideration had been identified. On each</w:t>
      </w:r>
      <w:r>
        <w:rPr>
          <w:color w:val="231F20"/>
          <w:spacing w:val="-2"/>
          <w:sz w:val="22"/>
        </w:rPr>
        <w:t> </w:t>
      </w:r>
      <w:r>
        <w:rPr>
          <w:color w:val="231F20"/>
          <w:sz w:val="22"/>
        </w:rPr>
        <w:t>occasion</w:t>
      </w:r>
    </w:p>
    <w:p>
      <w:pPr>
        <w:spacing w:before="0"/>
        <w:ind w:left="1364" w:right="0" w:firstLine="0"/>
        <w:jc w:val="left"/>
        <w:rPr>
          <w:sz w:val="22"/>
        </w:rPr>
      </w:pPr>
      <w:r>
        <w:rPr>
          <w:color w:val="231F20"/>
          <w:sz w:val="22"/>
        </w:rPr>
        <w:t>where their case was reviewed, their placement was determined as appropriate.</w:t>
      </w:r>
    </w:p>
    <w:p>
      <w:pPr>
        <w:spacing w:after="0"/>
        <w:jc w:val="left"/>
        <w:rPr>
          <w:sz w:val="22"/>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126" w:hanging="680"/>
        <w:jc w:val="left"/>
        <w:rPr>
          <w:sz w:val="24"/>
        </w:rPr>
      </w:pPr>
      <w:r>
        <w:rPr>
          <w:color w:val="231F20"/>
          <w:sz w:val="24"/>
        </w:rPr>
        <w:t>The instruction referred to in the department’s response is the Guidelines issued by the Hon Scott Morrison </w:t>
      </w:r>
      <w:r>
        <w:rPr>
          <w:color w:val="231F20"/>
          <w:spacing w:val="-11"/>
          <w:sz w:val="24"/>
        </w:rPr>
        <w:t>MP, </w:t>
      </w:r>
      <w:r>
        <w:rPr>
          <w:color w:val="231F20"/>
          <w:sz w:val="24"/>
        </w:rPr>
        <w:t>then Minister for Immigration and Border Protection on 18 February 2014 (the 2014 Guidelines). These guidelines explain the circumstances in which the Minister may wish to consider exercising his discretionary powers under s 197AB of the Migration Act to make a residence</w:t>
      </w:r>
      <w:r>
        <w:rPr>
          <w:color w:val="231F20"/>
          <w:spacing w:val="-16"/>
          <w:sz w:val="24"/>
        </w:rPr>
        <w:t> </w:t>
      </w:r>
      <w:r>
        <w:rPr>
          <w:color w:val="231F20"/>
          <w:sz w:val="24"/>
        </w:rPr>
        <w:t>determination.</w:t>
      </w:r>
    </w:p>
    <w:p>
      <w:pPr>
        <w:pStyle w:val="ListParagraph"/>
        <w:numPr>
          <w:ilvl w:val="0"/>
          <w:numId w:val="3"/>
        </w:numPr>
        <w:tabs>
          <w:tab w:pos="797" w:val="left" w:leader="none"/>
          <w:tab w:pos="798" w:val="left" w:leader="none"/>
        </w:tabs>
        <w:spacing w:line="249" w:lineRule="auto" w:before="114" w:after="0"/>
        <w:ind w:left="797" w:right="774" w:hanging="680"/>
        <w:jc w:val="left"/>
        <w:rPr>
          <w:sz w:val="24"/>
        </w:rPr>
      </w:pPr>
      <w:r>
        <w:rPr>
          <w:color w:val="231F20"/>
          <w:sz w:val="24"/>
        </w:rPr>
        <w:t>The 2014 Guidelines contain the following important statement about the detention of</w:t>
      </w:r>
      <w:r>
        <w:rPr>
          <w:color w:val="231F20"/>
          <w:spacing w:val="-9"/>
          <w:sz w:val="24"/>
        </w:rPr>
        <w:t> </w:t>
      </w:r>
      <w:r>
        <w:rPr>
          <w:color w:val="231F20"/>
          <w:sz w:val="24"/>
        </w:rPr>
        <w:t>children:</w:t>
      </w:r>
    </w:p>
    <w:p>
      <w:pPr>
        <w:spacing w:line="249" w:lineRule="auto" w:before="165"/>
        <w:ind w:left="1364" w:right="372" w:firstLine="0"/>
        <w:jc w:val="left"/>
        <w:rPr>
          <w:sz w:val="22"/>
        </w:rPr>
      </w:pPr>
      <w:r>
        <w:rPr>
          <w:color w:val="231F20"/>
          <w:sz w:val="22"/>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pPr>
        <w:spacing w:line="249" w:lineRule="auto" w:before="170"/>
        <w:ind w:left="1364" w:right="92" w:firstLine="0"/>
        <w:jc w:val="left"/>
        <w:rPr>
          <w:sz w:val="22"/>
        </w:rPr>
      </w:pPr>
      <w:r>
        <w:rPr>
          <w:color w:val="231F20"/>
          <w:sz w:val="22"/>
        </w:rPr>
        <w:t>It is my expectation that the principle of family unity be maintained (including accompanying guardians or carers for a minor) unless there are significant circumstances that would warrant a Residence Determination being made which would split a family unit.</w:t>
      </w:r>
    </w:p>
    <w:p>
      <w:pPr>
        <w:pStyle w:val="ListParagraph"/>
        <w:numPr>
          <w:ilvl w:val="0"/>
          <w:numId w:val="3"/>
        </w:numPr>
        <w:tabs>
          <w:tab w:pos="797" w:val="left" w:leader="none"/>
          <w:tab w:pos="798" w:val="left" w:leader="none"/>
        </w:tabs>
        <w:spacing w:line="249" w:lineRule="auto" w:before="175" w:after="0"/>
        <w:ind w:left="797" w:right="100" w:hanging="680"/>
        <w:jc w:val="left"/>
        <w:rPr>
          <w:sz w:val="24"/>
        </w:rPr>
      </w:pPr>
      <w:r>
        <w:rPr>
          <w:color w:val="231F20"/>
          <w:sz w:val="24"/>
        </w:rPr>
        <w:t>The 2014 Guidelines followed the former Prime Minister Rudd’s announcement on 19 July 2013 that asylum seekers arriving after that date would be subject to offshore processing and would not be resettled in Australia. Accordingly, the 2014 guidelines relevantly</w:t>
      </w:r>
      <w:r>
        <w:rPr>
          <w:color w:val="231F20"/>
          <w:spacing w:val="-22"/>
          <w:sz w:val="24"/>
        </w:rPr>
        <w:t> </w:t>
      </w:r>
      <w:r>
        <w:rPr>
          <w:color w:val="231F20"/>
          <w:sz w:val="24"/>
        </w:rPr>
        <w:t>provided:</w:t>
      </w:r>
    </w:p>
    <w:p>
      <w:pPr>
        <w:spacing w:line="249" w:lineRule="auto" w:before="165"/>
        <w:ind w:left="1477" w:right="348" w:hanging="397"/>
        <w:jc w:val="left"/>
        <w:rPr>
          <w:b/>
          <w:sz w:val="22"/>
        </w:rPr>
      </w:pPr>
      <w:r>
        <w:rPr>
          <w:b/>
          <w:color w:val="231F20"/>
          <w:sz w:val="22"/>
        </w:rPr>
        <w:t>10 Cases generally not to be referred for my consideration under section 197AB</w:t>
      </w:r>
    </w:p>
    <w:p>
      <w:pPr>
        <w:spacing w:line="249" w:lineRule="auto" w:before="114"/>
        <w:ind w:left="1364" w:right="189" w:firstLine="0"/>
        <w:jc w:val="left"/>
        <w:rPr>
          <w:sz w:val="22"/>
        </w:rPr>
      </w:pPr>
      <w:r>
        <w:rPr>
          <w:color w:val="231F20"/>
          <w:sz w:val="22"/>
        </w:rPr>
        <w:t>I would not expect the department to refer to me for consideration of Residence Determination under section 197AB of the Act a specified person or persons</w:t>
      </w:r>
    </w:p>
    <w:p>
      <w:pPr>
        <w:spacing w:line="249" w:lineRule="auto" w:before="1"/>
        <w:ind w:left="1364" w:right="348" w:firstLine="0"/>
        <w:jc w:val="left"/>
        <w:rPr>
          <w:sz w:val="22"/>
        </w:rPr>
      </w:pPr>
      <w:r>
        <w:rPr>
          <w:color w:val="231F20"/>
          <w:sz w:val="22"/>
        </w:rPr>
        <w:t>in any of the following circumstances, unless there are exceptional reasons or I have requested it:</w:t>
      </w:r>
    </w:p>
    <w:p>
      <w:pPr>
        <w:pStyle w:val="ListParagraph"/>
        <w:numPr>
          <w:ilvl w:val="0"/>
          <w:numId w:val="6"/>
        </w:numPr>
        <w:tabs>
          <w:tab w:pos="1647" w:val="left" w:leader="none"/>
          <w:tab w:pos="1649" w:val="left" w:leader="none"/>
        </w:tabs>
        <w:spacing w:line="240" w:lineRule="auto" w:before="171" w:after="0"/>
        <w:ind w:left="1648" w:right="0" w:hanging="284"/>
        <w:jc w:val="left"/>
        <w:rPr>
          <w:sz w:val="22"/>
        </w:rPr>
      </w:pPr>
      <w:r>
        <w:rPr>
          <w:color w:val="231F20"/>
          <w:sz w:val="22"/>
        </w:rPr>
        <w:t>where a person arrived after 19 July 2013,</w:t>
      </w:r>
      <w:r>
        <w:rPr>
          <w:color w:val="231F20"/>
          <w:spacing w:val="-25"/>
          <w:sz w:val="22"/>
        </w:rPr>
        <w:t> </w:t>
      </w:r>
      <w:r>
        <w:rPr>
          <w:color w:val="231F20"/>
          <w:sz w:val="22"/>
        </w:rPr>
        <w:t>…</w:t>
      </w:r>
    </w:p>
    <w:p>
      <w:pPr>
        <w:pStyle w:val="ListParagraph"/>
        <w:numPr>
          <w:ilvl w:val="0"/>
          <w:numId w:val="3"/>
        </w:numPr>
        <w:tabs>
          <w:tab w:pos="797" w:val="left" w:leader="none"/>
          <w:tab w:pos="798" w:val="left" w:leader="none"/>
        </w:tabs>
        <w:spacing w:line="249" w:lineRule="auto" w:before="186" w:after="0"/>
        <w:ind w:left="797" w:right="215" w:hanging="680"/>
        <w:jc w:val="left"/>
        <w:rPr>
          <w:sz w:val="24"/>
        </w:rPr>
      </w:pPr>
      <w:r>
        <w:rPr>
          <w:color w:val="231F20"/>
          <w:sz w:val="24"/>
        </w:rPr>
        <w:t>That is, the Minister had decided that, in the absence of exceptional reasons, people who were subject to removal to a regional processing country because they arrived after 19 July 2013 would not be eligible for community detention prior to their</w:t>
      </w:r>
      <w:r>
        <w:rPr>
          <w:color w:val="231F20"/>
          <w:spacing w:val="-6"/>
          <w:sz w:val="24"/>
        </w:rPr>
        <w:t> </w:t>
      </w:r>
      <w:r>
        <w:rPr>
          <w:color w:val="231F20"/>
          <w:sz w:val="24"/>
        </w:rPr>
        <w:t>removal.</w:t>
      </w:r>
    </w:p>
    <w:p>
      <w:pPr>
        <w:spacing w:after="0" w:line="249" w:lineRule="auto"/>
        <w:jc w:val="left"/>
        <w:rPr>
          <w:sz w:val="24"/>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5"/>
        </w:numPr>
        <w:tabs>
          <w:tab w:pos="797" w:val="left" w:leader="none"/>
          <w:tab w:pos="798" w:val="left" w:leader="none"/>
        </w:tabs>
        <w:spacing w:line="240" w:lineRule="auto" w:before="241" w:after="0"/>
        <w:ind w:left="797" w:right="0" w:hanging="680"/>
        <w:jc w:val="left"/>
        <w:rPr>
          <w:color w:val="231F20"/>
        </w:rPr>
      </w:pPr>
      <w:bookmarkStart w:name="_bookmark6" w:id="13"/>
      <w:bookmarkEnd w:id="13"/>
      <w:r>
        <w:rPr>
          <w:b w:val="0"/>
        </w:rPr>
      </w:r>
      <w:bookmarkStart w:name="_bookmark6" w:id="14"/>
      <w:bookmarkEnd w:id="14"/>
      <w:r>
        <w:rPr>
          <w:color w:val="231F20"/>
        </w:rPr>
        <w:t>Findings</w:t>
      </w:r>
    </w:p>
    <w:p>
      <w:pPr>
        <w:pStyle w:val="BodyText"/>
        <w:spacing w:before="2"/>
        <w:rPr>
          <w:b/>
          <w:sz w:val="34"/>
        </w:rPr>
      </w:pPr>
    </w:p>
    <w:p>
      <w:pPr>
        <w:pStyle w:val="Heading2"/>
        <w:numPr>
          <w:ilvl w:val="1"/>
          <w:numId w:val="5"/>
        </w:numPr>
        <w:tabs>
          <w:tab w:pos="797" w:val="left" w:leader="none"/>
          <w:tab w:pos="798" w:val="left" w:leader="none"/>
        </w:tabs>
        <w:spacing w:line="240" w:lineRule="auto" w:before="0" w:after="0"/>
        <w:ind w:left="797" w:right="0" w:hanging="680"/>
        <w:jc w:val="left"/>
      </w:pPr>
      <w:r>
        <w:rPr>
          <w:color w:val="231F20"/>
        </w:rPr>
        <w:t>Finding – arbitrary</w:t>
      </w:r>
      <w:r>
        <w:rPr>
          <w:color w:val="231F20"/>
          <w:spacing w:val="-9"/>
        </w:rPr>
        <w:t> </w:t>
      </w:r>
      <w:r>
        <w:rPr>
          <w:color w:val="231F20"/>
        </w:rPr>
        <w:t>detention</w:t>
      </w:r>
    </w:p>
    <w:p>
      <w:pPr>
        <w:pStyle w:val="ListParagraph"/>
        <w:numPr>
          <w:ilvl w:val="0"/>
          <w:numId w:val="3"/>
        </w:numPr>
        <w:tabs>
          <w:tab w:pos="797" w:val="left" w:leader="none"/>
          <w:tab w:pos="798" w:val="left" w:leader="none"/>
        </w:tabs>
        <w:spacing w:line="249" w:lineRule="auto" w:before="173" w:after="0"/>
        <w:ind w:left="797" w:right="343" w:hanging="680"/>
        <w:jc w:val="left"/>
        <w:rPr>
          <w:sz w:val="24"/>
        </w:rPr>
      </w:pPr>
      <w:r>
        <w:rPr>
          <w:color w:val="231F20"/>
          <w:sz w:val="24"/>
        </w:rPr>
        <w:t>I am not satisfied that Mr BF and his son’s detention in an immigration detention centre on Christmas Island for 8 months was necessary or proportionate</w:t>
      </w:r>
      <w:r>
        <w:rPr>
          <w:color w:val="231F20"/>
          <w:spacing w:val="-6"/>
          <w:sz w:val="24"/>
        </w:rPr>
        <w:t> </w:t>
      </w:r>
      <w:r>
        <w:rPr>
          <w:color w:val="231F20"/>
          <w:sz w:val="24"/>
        </w:rPr>
        <w:t>to</w:t>
      </w:r>
      <w:r>
        <w:rPr>
          <w:color w:val="231F20"/>
          <w:spacing w:val="-7"/>
          <w:sz w:val="24"/>
        </w:rPr>
        <w:t> </w:t>
      </w:r>
      <w:r>
        <w:rPr>
          <w:color w:val="231F20"/>
          <w:sz w:val="24"/>
        </w:rPr>
        <w:t>the</w:t>
      </w:r>
      <w:r>
        <w:rPr>
          <w:color w:val="231F20"/>
          <w:spacing w:val="-7"/>
          <w:sz w:val="24"/>
        </w:rPr>
        <w:t> </w:t>
      </w:r>
      <w:r>
        <w:rPr>
          <w:color w:val="231F20"/>
          <w:sz w:val="24"/>
        </w:rPr>
        <w:t>Commonwealth’s</w:t>
      </w:r>
      <w:r>
        <w:rPr>
          <w:color w:val="231F20"/>
          <w:spacing w:val="-6"/>
          <w:sz w:val="24"/>
        </w:rPr>
        <w:t> </w:t>
      </w:r>
      <w:r>
        <w:rPr>
          <w:color w:val="231F20"/>
          <w:sz w:val="24"/>
        </w:rPr>
        <w:t>legitimate</w:t>
      </w:r>
      <w:r>
        <w:rPr>
          <w:color w:val="231F20"/>
          <w:spacing w:val="-6"/>
          <w:sz w:val="24"/>
        </w:rPr>
        <w:t> </w:t>
      </w:r>
      <w:r>
        <w:rPr>
          <w:color w:val="231F20"/>
          <w:sz w:val="24"/>
        </w:rPr>
        <w:t>aim</w:t>
      </w:r>
      <w:r>
        <w:rPr>
          <w:color w:val="231F20"/>
          <w:spacing w:val="-6"/>
          <w:sz w:val="24"/>
        </w:rPr>
        <w:t> </w:t>
      </w:r>
      <w:r>
        <w:rPr>
          <w:color w:val="231F20"/>
          <w:sz w:val="24"/>
        </w:rPr>
        <w:t>of</w:t>
      </w:r>
      <w:r>
        <w:rPr>
          <w:color w:val="231F20"/>
          <w:spacing w:val="-6"/>
          <w:sz w:val="24"/>
        </w:rPr>
        <w:t> </w:t>
      </w:r>
      <w:r>
        <w:rPr>
          <w:color w:val="231F20"/>
          <w:sz w:val="24"/>
        </w:rPr>
        <w:t>ensuring</w:t>
      </w:r>
      <w:r>
        <w:rPr>
          <w:color w:val="231F20"/>
          <w:spacing w:val="-6"/>
          <w:sz w:val="24"/>
        </w:rPr>
        <w:t> </w:t>
      </w:r>
      <w:r>
        <w:rPr>
          <w:color w:val="231F20"/>
          <w:sz w:val="24"/>
        </w:rPr>
        <w:t>the</w:t>
      </w:r>
      <w:r>
        <w:rPr>
          <w:color w:val="231F20"/>
          <w:spacing w:val="-7"/>
          <w:sz w:val="24"/>
        </w:rPr>
        <w:t> </w:t>
      </w:r>
      <w:r>
        <w:rPr>
          <w:color w:val="231F20"/>
          <w:sz w:val="24"/>
        </w:rPr>
        <w:t>effective operation of its migration</w:t>
      </w:r>
      <w:r>
        <w:rPr>
          <w:color w:val="231F20"/>
          <w:spacing w:val="-12"/>
          <w:sz w:val="24"/>
        </w:rPr>
        <w:t> </w:t>
      </w:r>
      <w:r>
        <w:rPr>
          <w:color w:val="231F20"/>
          <w:sz w:val="24"/>
        </w:rPr>
        <w:t>system.</w:t>
      </w:r>
    </w:p>
    <w:p>
      <w:pPr>
        <w:pStyle w:val="ListParagraph"/>
        <w:numPr>
          <w:ilvl w:val="0"/>
          <w:numId w:val="3"/>
        </w:numPr>
        <w:tabs>
          <w:tab w:pos="797" w:val="left" w:leader="none"/>
          <w:tab w:pos="798" w:val="left" w:leader="none"/>
        </w:tabs>
        <w:spacing w:line="249" w:lineRule="auto" w:before="114" w:after="0"/>
        <w:ind w:left="797" w:right="139" w:hanging="680"/>
        <w:jc w:val="left"/>
        <w:rPr>
          <w:sz w:val="24"/>
        </w:rPr>
      </w:pPr>
      <w:r>
        <w:rPr>
          <w:color w:val="231F20"/>
          <w:sz w:val="24"/>
        </w:rPr>
        <w:t>Apart from a brief initial period in order to document their </w:t>
      </w:r>
      <w:r>
        <w:rPr>
          <w:color w:val="231F20"/>
          <w:spacing w:val="-4"/>
          <w:sz w:val="24"/>
        </w:rPr>
        <w:t>entry, </w:t>
      </w:r>
      <w:r>
        <w:rPr>
          <w:color w:val="231F20"/>
          <w:sz w:val="24"/>
        </w:rPr>
        <w:t>record their claims and determine their </w:t>
      </w:r>
      <w:r>
        <w:rPr>
          <w:color w:val="231F20"/>
          <w:spacing w:val="-3"/>
          <w:sz w:val="24"/>
        </w:rPr>
        <w:t>identity, </w:t>
      </w:r>
      <w:r>
        <w:rPr>
          <w:color w:val="231F20"/>
          <w:sz w:val="24"/>
        </w:rPr>
        <w:t>their detention in Australian immigration detention centres has not been justified by the department. It has provided no particular reasons for their lengthy detention specific to their case such as an individualised risk of absconding or risk of crimes against others. There is no evidence</w:t>
      </w:r>
      <w:r>
        <w:rPr>
          <w:color w:val="231F20"/>
          <w:spacing w:val="-3"/>
          <w:sz w:val="24"/>
        </w:rPr>
        <w:t> </w:t>
      </w:r>
      <w:r>
        <w:rPr>
          <w:color w:val="231F20"/>
          <w:sz w:val="24"/>
        </w:rPr>
        <w:t>that</w:t>
      </w:r>
      <w:r>
        <w:rPr>
          <w:color w:val="231F20"/>
          <w:spacing w:val="-4"/>
          <w:sz w:val="24"/>
        </w:rPr>
        <w:t> </w:t>
      </w:r>
      <w:r>
        <w:rPr>
          <w:color w:val="231F20"/>
          <w:sz w:val="24"/>
        </w:rPr>
        <w:t>either</w:t>
      </w:r>
      <w:r>
        <w:rPr>
          <w:color w:val="231F20"/>
          <w:spacing w:val="-3"/>
          <w:sz w:val="24"/>
        </w:rPr>
        <w:t> </w:t>
      </w:r>
      <w:r>
        <w:rPr>
          <w:color w:val="231F20"/>
          <w:sz w:val="24"/>
        </w:rPr>
        <w:t>Mr</w:t>
      </w:r>
      <w:r>
        <w:rPr>
          <w:color w:val="231F20"/>
          <w:spacing w:val="-3"/>
          <w:sz w:val="24"/>
        </w:rPr>
        <w:t> </w:t>
      </w:r>
      <w:r>
        <w:rPr>
          <w:color w:val="231F20"/>
          <w:sz w:val="24"/>
        </w:rPr>
        <w:t>BF</w:t>
      </w:r>
      <w:r>
        <w:rPr>
          <w:color w:val="231F20"/>
          <w:spacing w:val="-3"/>
          <w:sz w:val="24"/>
        </w:rPr>
        <w:t> </w:t>
      </w:r>
      <w:r>
        <w:rPr>
          <w:color w:val="231F20"/>
          <w:sz w:val="24"/>
        </w:rPr>
        <w:t>or</w:t>
      </w:r>
      <w:r>
        <w:rPr>
          <w:color w:val="231F20"/>
          <w:spacing w:val="-3"/>
          <w:sz w:val="24"/>
        </w:rPr>
        <w:t> </w:t>
      </w:r>
      <w:r>
        <w:rPr>
          <w:color w:val="231F20"/>
          <w:sz w:val="24"/>
        </w:rPr>
        <w:t>his</w:t>
      </w:r>
      <w:r>
        <w:rPr>
          <w:color w:val="231F20"/>
          <w:spacing w:val="-3"/>
          <w:sz w:val="24"/>
        </w:rPr>
        <w:t> </w:t>
      </w:r>
      <w:r>
        <w:rPr>
          <w:color w:val="231F20"/>
          <w:sz w:val="24"/>
        </w:rPr>
        <w:t>son</w:t>
      </w:r>
      <w:r>
        <w:rPr>
          <w:color w:val="231F20"/>
          <w:spacing w:val="-4"/>
          <w:sz w:val="24"/>
        </w:rPr>
        <w:t> </w:t>
      </w:r>
      <w:r>
        <w:rPr>
          <w:color w:val="231F20"/>
          <w:sz w:val="24"/>
        </w:rPr>
        <w:t>posed</w:t>
      </w:r>
      <w:r>
        <w:rPr>
          <w:color w:val="231F20"/>
          <w:spacing w:val="-3"/>
          <w:sz w:val="24"/>
        </w:rPr>
        <w:t> </w:t>
      </w:r>
      <w:r>
        <w:rPr>
          <w:color w:val="231F20"/>
          <w:sz w:val="24"/>
        </w:rPr>
        <w:t>a</w:t>
      </w:r>
      <w:r>
        <w:rPr>
          <w:color w:val="231F20"/>
          <w:spacing w:val="-3"/>
          <w:sz w:val="24"/>
        </w:rPr>
        <w:t> </w:t>
      </w:r>
      <w:r>
        <w:rPr>
          <w:color w:val="231F20"/>
          <w:sz w:val="24"/>
        </w:rPr>
        <w:t>risk</w:t>
      </w:r>
      <w:r>
        <w:rPr>
          <w:color w:val="231F20"/>
          <w:spacing w:val="-3"/>
          <w:sz w:val="24"/>
        </w:rPr>
        <w:t> </w:t>
      </w:r>
      <w:r>
        <w:rPr>
          <w:color w:val="231F20"/>
          <w:sz w:val="24"/>
        </w:rPr>
        <w:t>to</w:t>
      </w:r>
      <w:r>
        <w:rPr>
          <w:color w:val="231F20"/>
          <w:spacing w:val="-4"/>
          <w:sz w:val="24"/>
        </w:rPr>
        <w:t> </w:t>
      </w:r>
      <w:r>
        <w:rPr>
          <w:color w:val="231F20"/>
          <w:sz w:val="24"/>
        </w:rPr>
        <w:t>the</w:t>
      </w:r>
      <w:r>
        <w:rPr>
          <w:color w:val="231F20"/>
          <w:spacing w:val="-17"/>
          <w:sz w:val="24"/>
        </w:rPr>
        <w:t> </w:t>
      </w:r>
      <w:r>
        <w:rPr>
          <w:color w:val="231F20"/>
          <w:sz w:val="24"/>
        </w:rPr>
        <w:t>Australian</w:t>
      </w:r>
      <w:r>
        <w:rPr>
          <w:color w:val="231F20"/>
          <w:spacing w:val="-4"/>
          <w:sz w:val="24"/>
        </w:rPr>
        <w:t> </w:t>
      </w:r>
      <w:r>
        <w:rPr>
          <w:color w:val="231F20"/>
          <w:sz w:val="24"/>
        </w:rPr>
        <w:t>community.</w:t>
      </w:r>
    </w:p>
    <w:p>
      <w:pPr>
        <w:pStyle w:val="ListParagraph"/>
        <w:numPr>
          <w:ilvl w:val="0"/>
          <w:numId w:val="3"/>
        </w:numPr>
        <w:tabs>
          <w:tab w:pos="797" w:val="left" w:leader="none"/>
          <w:tab w:pos="798" w:val="left" w:leader="none"/>
        </w:tabs>
        <w:spacing w:line="249" w:lineRule="auto" w:before="114" w:after="0"/>
        <w:ind w:left="797" w:right="134" w:hanging="680"/>
        <w:jc w:val="left"/>
        <w:rPr>
          <w:sz w:val="24"/>
        </w:rPr>
      </w:pPr>
      <w:r>
        <w:rPr>
          <w:color w:val="231F20"/>
          <w:sz w:val="24"/>
        </w:rPr>
        <w:t>I note that according to government </w:t>
      </w:r>
      <w:r>
        <w:rPr>
          <w:color w:val="231F20"/>
          <w:spacing w:val="-4"/>
          <w:sz w:val="24"/>
        </w:rPr>
        <w:t>policy, </w:t>
      </w:r>
      <w:r>
        <w:rPr>
          <w:color w:val="231F20"/>
          <w:sz w:val="24"/>
        </w:rPr>
        <w:t>Mr BF and his son were subject to regional resettlement arrangements. Pursuant to s 198AD(2) of the Migration Act, they were to be taken to a regional processing country ‘as soon as reasonably practicable’. </w:t>
      </w:r>
      <w:r>
        <w:rPr>
          <w:color w:val="231F20"/>
          <w:spacing w:val="-3"/>
          <w:sz w:val="24"/>
        </w:rPr>
        <w:t>However, </w:t>
      </w:r>
      <w:r>
        <w:rPr>
          <w:color w:val="231F20"/>
          <w:sz w:val="24"/>
        </w:rPr>
        <w:t>in the 8 months prior to Mr BF and his son’s decision to voluntarily return to Iran, the department had not made any transfer arrangements.</w:t>
      </w:r>
    </w:p>
    <w:p>
      <w:pPr>
        <w:pStyle w:val="ListParagraph"/>
        <w:numPr>
          <w:ilvl w:val="0"/>
          <w:numId w:val="3"/>
        </w:numPr>
        <w:tabs>
          <w:tab w:pos="797" w:val="left" w:leader="none"/>
          <w:tab w:pos="798" w:val="left" w:leader="none"/>
        </w:tabs>
        <w:spacing w:line="249" w:lineRule="auto" w:before="114" w:after="0"/>
        <w:ind w:left="797" w:right="660" w:hanging="680"/>
        <w:jc w:val="left"/>
        <w:rPr>
          <w:sz w:val="24"/>
        </w:rPr>
      </w:pPr>
      <w:r>
        <w:rPr>
          <w:color w:val="231F20"/>
          <w:sz w:val="24"/>
        </w:rPr>
        <w:t>Further, it is apparent that during this time, the department did not refer Mr BF and his son’s case to the Minister for him to consider exercising his discretionary power to make a residence determination under s 197AB</w:t>
      </w:r>
      <w:r>
        <w:rPr>
          <w:color w:val="231F20"/>
          <w:spacing w:val="-41"/>
          <w:sz w:val="24"/>
        </w:rPr>
        <w:t> </w:t>
      </w:r>
      <w:r>
        <w:rPr>
          <w:color w:val="231F20"/>
          <w:sz w:val="24"/>
        </w:rPr>
        <w:t>of</w:t>
      </w:r>
    </w:p>
    <w:p>
      <w:pPr>
        <w:pStyle w:val="BodyText"/>
        <w:spacing w:line="249" w:lineRule="auto"/>
        <w:ind w:left="797" w:right="122"/>
      </w:pPr>
      <w:r>
        <w:rPr>
          <w:color w:val="231F20"/>
        </w:rPr>
        <w:t>the Migration Act. The department’s response states that this was in line with Part 10 of the 2014 Guidelines.</w:t>
      </w:r>
    </w:p>
    <w:p>
      <w:pPr>
        <w:pStyle w:val="ListParagraph"/>
        <w:numPr>
          <w:ilvl w:val="0"/>
          <w:numId w:val="3"/>
        </w:numPr>
        <w:tabs>
          <w:tab w:pos="797" w:val="left" w:leader="none"/>
          <w:tab w:pos="798" w:val="left" w:leader="none"/>
        </w:tabs>
        <w:spacing w:line="249" w:lineRule="auto" w:before="114" w:after="0"/>
        <w:ind w:left="797" w:right="789" w:hanging="680"/>
        <w:jc w:val="left"/>
        <w:rPr>
          <w:sz w:val="24"/>
        </w:rPr>
      </w:pPr>
      <w:r>
        <w:rPr>
          <w:color w:val="231F20"/>
          <w:spacing w:val="-3"/>
          <w:sz w:val="24"/>
        </w:rPr>
        <w:t>However, </w:t>
      </w:r>
      <w:r>
        <w:rPr>
          <w:color w:val="231F20"/>
          <w:sz w:val="24"/>
        </w:rPr>
        <w:t>under the 2014 Guidelines, individuals who entered Australia after 19 July 2013 could still be referred to the Minister where there were ‘exceptional</w:t>
      </w:r>
      <w:r>
        <w:rPr>
          <w:color w:val="231F20"/>
          <w:spacing w:val="-11"/>
          <w:sz w:val="24"/>
        </w:rPr>
        <w:t> </w:t>
      </w:r>
      <w:r>
        <w:rPr>
          <w:color w:val="231F20"/>
          <w:sz w:val="24"/>
        </w:rPr>
        <w:t>reasons’.</w:t>
      </w:r>
    </w:p>
    <w:p>
      <w:pPr>
        <w:pStyle w:val="ListParagraph"/>
        <w:numPr>
          <w:ilvl w:val="0"/>
          <w:numId w:val="3"/>
        </w:numPr>
        <w:tabs>
          <w:tab w:pos="797" w:val="left" w:leader="none"/>
          <w:tab w:pos="798" w:val="left" w:leader="none"/>
        </w:tabs>
        <w:spacing w:line="249" w:lineRule="auto" w:before="114" w:after="0"/>
        <w:ind w:left="797" w:right="224" w:hanging="680"/>
        <w:jc w:val="left"/>
        <w:rPr>
          <w:sz w:val="24"/>
        </w:rPr>
      </w:pPr>
      <w:r>
        <w:rPr>
          <w:color w:val="231F20"/>
          <w:sz w:val="24"/>
        </w:rPr>
        <w:t>The phrase ‘exceptional reasons’ is not defined in the 2014 guidelines, however the phrase ‘unique or exceptional circumstances’ is defined in</w:t>
      </w:r>
      <w:r>
        <w:rPr>
          <w:color w:val="231F20"/>
          <w:spacing w:val="-44"/>
          <w:sz w:val="24"/>
        </w:rPr>
        <w:t> </w:t>
      </w:r>
      <w:r>
        <w:rPr>
          <w:color w:val="231F20"/>
          <w:sz w:val="24"/>
        </w:rPr>
        <w:t>similar guidelines relating to the Minister’s power to grant visas in the public interest.</w:t>
      </w:r>
      <w:hyperlink w:history="true" w:anchor="_bookmark20">
        <w:r>
          <w:rPr>
            <w:color w:val="231F20"/>
            <w:position w:val="8"/>
            <w:sz w:val="14"/>
          </w:rPr>
          <w:t>9</w:t>
        </w:r>
      </w:hyperlink>
      <w:r>
        <w:rPr>
          <w:color w:val="231F20"/>
          <w:position w:val="8"/>
          <w:sz w:val="14"/>
        </w:rPr>
        <w:t> </w:t>
      </w:r>
      <w:r>
        <w:rPr>
          <w:color w:val="231F20"/>
          <w:sz w:val="24"/>
        </w:rPr>
        <w:t>In those guidelines, factors that are relevant to an assessment of unique or exceptional circumstances</w:t>
      </w:r>
      <w:r>
        <w:rPr>
          <w:color w:val="231F20"/>
          <w:spacing w:val="-19"/>
          <w:sz w:val="24"/>
        </w:rPr>
        <w:t> </w:t>
      </w:r>
      <w:r>
        <w:rPr>
          <w:color w:val="231F20"/>
          <w:sz w:val="24"/>
        </w:rPr>
        <w:t>include:</w:t>
      </w:r>
    </w:p>
    <w:p>
      <w:pPr>
        <w:pStyle w:val="ListParagraph"/>
        <w:numPr>
          <w:ilvl w:val="0"/>
          <w:numId w:val="7"/>
        </w:numPr>
        <w:tabs>
          <w:tab w:pos="1649" w:val="left" w:leader="none"/>
        </w:tabs>
        <w:spacing w:line="249" w:lineRule="auto" w:before="170" w:after="0"/>
        <w:ind w:left="1648" w:right="756" w:hanging="227"/>
        <w:jc w:val="left"/>
        <w:rPr>
          <w:sz w:val="24"/>
        </w:rPr>
      </w:pPr>
      <w:r>
        <w:rPr>
          <w:color w:val="231F20"/>
          <w:sz w:val="24"/>
        </w:rPr>
        <w:t>circumstances that may bring Australia’s obligations as a party</w:t>
      </w:r>
      <w:r>
        <w:rPr>
          <w:color w:val="231F20"/>
          <w:spacing w:val="-38"/>
          <w:sz w:val="24"/>
        </w:rPr>
        <w:t> </w:t>
      </w:r>
      <w:r>
        <w:rPr>
          <w:color w:val="231F20"/>
          <w:sz w:val="24"/>
        </w:rPr>
        <w:t>to the ICCPR into</w:t>
      </w:r>
      <w:r>
        <w:rPr>
          <w:color w:val="231F20"/>
          <w:spacing w:val="-5"/>
          <w:sz w:val="24"/>
        </w:rPr>
        <w:t> </w:t>
      </w:r>
      <w:r>
        <w:rPr>
          <w:color w:val="231F20"/>
          <w:sz w:val="24"/>
        </w:rPr>
        <w:t>consideration;</w:t>
      </w:r>
    </w:p>
    <w:p>
      <w:pPr>
        <w:pStyle w:val="ListParagraph"/>
        <w:numPr>
          <w:ilvl w:val="0"/>
          <w:numId w:val="7"/>
        </w:numPr>
        <w:tabs>
          <w:tab w:pos="1649" w:val="left" w:leader="none"/>
        </w:tabs>
        <w:spacing w:line="249" w:lineRule="auto" w:before="114" w:after="0"/>
        <w:ind w:left="1648" w:right="756" w:hanging="227"/>
        <w:jc w:val="left"/>
        <w:rPr>
          <w:sz w:val="24"/>
        </w:rPr>
      </w:pPr>
      <w:r>
        <w:rPr>
          <w:color w:val="231F20"/>
          <w:sz w:val="24"/>
        </w:rPr>
        <w:t>circumstances that may bring Australia’s obligations as a party</w:t>
      </w:r>
      <w:r>
        <w:rPr>
          <w:color w:val="231F20"/>
          <w:spacing w:val="-38"/>
          <w:sz w:val="24"/>
        </w:rPr>
        <w:t> </w:t>
      </w:r>
      <w:r>
        <w:rPr>
          <w:color w:val="231F20"/>
          <w:sz w:val="24"/>
        </w:rPr>
        <w:t>to the CRC into consideration;</w:t>
      </w:r>
      <w:r>
        <w:rPr>
          <w:color w:val="231F20"/>
          <w:spacing w:val="-10"/>
          <w:sz w:val="24"/>
        </w:rPr>
        <w:t> </w:t>
      </w:r>
      <w:r>
        <w:rPr>
          <w:color w:val="231F20"/>
          <w:sz w:val="24"/>
        </w:rPr>
        <w:t>and</w:t>
      </w:r>
    </w:p>
    <w:p>
      <w:pPr>
        <w:pStyle w:val="ListParagraph"/>
        <w:numPr>
          <w:ilvl w:val="0"/>
          <w:numId w:val="7"/>
        </w:numPr>
        <w:tabs>
          <w:tab w:pos="1649" w:val="left" w:leader="none"/>
        </w:tabs>
        <w:spacing w:line="249" w:lineRule="auto" w:before="114" w:after="0"/>
        <w:ind w:left="1648" w:right="1431" w:hanging="227"/>
        <w:jc w:val="left"/>
        <w:rPr>
          <w:sz w:val="24"/>
        </w:rPr>
      </w:pPr>
      <w:r>
        <w:rPr>
          <w:color w:val="231F20"/>
          <w:sz w:val="24"/>
        </w:rPr>
        <w:t>the length of time the person has been present in</w:t>
      </w:r>
      <w:r>
        <w:rPr>
          <w:color w:val="231F20"/>
          <w:spacing w:val="-38"/>
          <w:sz w:val="24"/>
        </w:rPr>
        <w:t> </w:t>
      </w:r>
      <w:r>
        <w:rPr>
          <w:color w:val="231F20"/>
          <w:sz w:val="24"/>
        </w:rPr>
        <w:t>Australia (including time spent in</w:t>
      </w:r>
      <w:r>
        <w:rPr>
          <w:color w:val="231F20"/>
          <w:spacing w:val="-15"/>
          <w:sz w:val="24"/>
        </w:rPr>
        <w:t> </w:t>
      </w:r>
      <w:r>
        <w:rPr>
          <w:color w:val="231F20"/>
          <w:sz w:val="24"/>
        </w:rPr>
        <w:t>detention).</w:t>
      </w:r>
    </w:p>
    <w:p>
      <w:pPr>
        <w:spacing w:after="0" w:line="249" w:lineRule="auto"/>
        <w:jc w:val="left"/>
        <w:rPr>
          <w:sz w:val="24"/>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8" w:val="left" w:leader="none"/>
        </w:tabs>
        <w:spacing w:line="249" w:lineRule="auto" w:before="0" w:after="0"/>
        <w:ind w:left="797" w:right="266" w:hanging="680"/>
        <w:jc w:val="both"/>
        <w:rPr>
          <w:sz w:val="24"/>
        </w:rPr>
      </w:pPr>
      <w:r>
        <w:rPr>
          <w:color w:val="231F20"/>
          <w:sz w:val="24"/>
        </w:rPr>
        <w:t>The fact that Mr BF and his son were in immigration detention for a period of 8 months without any individualised assessment of risk of absconding or risk of</w:t>
      </w:r>
      <w:r>
        <w:rPr>
          <w:color w:val="231F20"/>
          <w:spacing w:val="-4"/>
          <w:sz w:val="24"/>
        </w:rPr>
        <w:t> </w:t>
      </w:r>
      <w:r>
        <w:rPr>
          <w:color w:val="231F20"/>
          <w:sz w:val="24"/>
        </w:rPr>
        <w:t>crimes</w:t>
      </w:r>
      <w:r>
        <w:rPr>
          <w:color w:val="231F20"/>
          <w:spacing w:val="-5"/>
          <w:sz w:val="24"/>
        </w:rPr>
        <w:t> </w:t>
      </w:r>
      <w:r>
        <w:rPr>
          <w:color w:val="231F20"/>
          <w:sz w:val="24"/>
        </w:rPr>
        <w:t>against</w:t>
      </w:r>
      <w:r>
        <w:rPr>
          <w:color w:val="231F20"/>
          <w:spacing w:val="-4"/>
          <w:sz w:val="24"/>
        </w:rPr>
        <w:t> </w:t>
      </w:r>
      <w:r>
        <w:rPr>
          <w:color w:val="231F20"/>
          <w:sz w:val="24"/>
        </w:rPr>
        <w:t>others</w:t>
      </w:r>
      <w:r>
        <w:rPr>
          <w:color w:val="231F20"/>
          <w:spacing w:val="-4"/>
          <w:sz w:val="24"/>
        </w:rPr>
        <w:t> </w:t>
      </w:r>
      <w:r>
        <w:rPr>
          <w:color w:val="231F20"/>
          <w:sz w:val="24"/>
        </w:rPr>
        <w:t>brings</w:t>
      </w:r>
      <w:r>
        <w:rPr>
          <w:color w:val="231F20"/>
          <w:spacing w:val="-16"/>
          <w:sz w:val="24"/>
        </w:rPr>
        <w:t> </w:t>
      </w:r>
      <w:r>
        <w:rPr>
          <w:color w:val="231F20"/>
          <w:sz w:val="24"/>
        </w:rPr>
        <w:t>Australia’s</w:t>
      </w:r>
      <w:r>
        <w:rPr>
          <w:color w:val="231F20"/>
          <w:spacing w:val="-4"/>
          <w:sz w:val="24"/>
        </w:rPr>
        <w:t> </w:t>
      </w:r>
      <w:r>
        <w:rPr>
          <w:color w:val="231F20"/>
          <w:sz w:val="24"/>
        </w:rPr>
        <w:t>obligations</w:t>
      </w:r>
      <w:r>
        <w:rPr>
          <w:color w:val="231F20"/>
          <w:spacing w:val="-4"/>
          <w:sz w:val="24"/>
        </w:rPr>
        <w:t> </w:t>
      </w:r>
      <w:r>
        <w:rPr>
          <w:color w:val="231F20"/>
          <w:sz w:val="24"/>
        </w:rPr>
        <w:t>as</w:t>
      </w:r>
      <w:r>
        <w:rPr>
          <w:color w:val="231F20"/>
          <w:spacing w:val="-4"/>
          <w:sz w:val="24"/>
        </w:rPr>
        <w:t> </w:t>
      </w:r>
      <w:r>
        <w:rPr>
          <w:color w:val="231F20"/>
          <w:sz w:val="24"/>
        </w:rPr>
        <w:t>a</w:t>
      </w:r>
      <w:r>
        <w:rPr>
          <w:color w:val="231F20"/>
          <w:spacing w:val="-4"/>
          <w:sz w:val="24"/>
        </w:rPr>
        <w:t> </w:t>
      </w:r>
      <w:r>
        <w:rPr>
          <w:color w:val="231F20"/>
          <w:sz w:val="24"/>
        </w:rPr>
        <w:t>party</w:t>
      </w:r>
      <w:r>
        <w:rPr>
          <w:color w:val="231F20"/>
          <w:spacing w:val="-4"/>
          <w:sz w:val="24"/>
        </w:rPr>
        <w:t> </w:t>
      </w:r>
      <w:r>
        <w:rPr>
          <w:color w:val="231F20"/>
          <w:sz w:val="24"/>
        </w:rPr>
        <w:t>to</w:t>
      </w:r>
      <w:r>
        <w:rPr>
          <w:color w:val="231F20"/>
          <w:spacing w:val="-5"/>
          <w:sz w:val="24"/>
        </w:rPr>
        <w:t> </w:t>
      </w:r>
      <w:r>
        <w:rPr>
          <w:color w:val="231F20"/>
          <w:sz w:val="24"/>
        </w:rPr>
        <w:t>the</w:t>
      </w:r>
      <w:r>
        <w:rPr>
          <w:color w:val="231F20"/>
          <w:spacing w:val="-5"/>
          <w:sz w:val="24"/>
        </w:rPr>
        <w:t> </w:t>
      </w:r>
      <w:r>
        <w:rPr>
          <w:color w:val="231F20"/>
          <w:sz w:val="24"/>
        </w:rPr>
        <w:t>ICCPR</w:t>
      </w:r>
    </w:p>
    <w:p>
      <w:pPr>
        <w:pStyle w:val="BodyText"/>
        <w:spacing w:line="249" w:lineRule="auto" w:before="1"/>
        <w:ind w:left="797" w:right="102"/>
      </w:pPr>
      <w:r>
        <w:rPr>
          <w:color w:val="231F20"/>
        </w:rPr>
        <w:t>into consideration and is therefore relevant to an assessment of whether Mr BF and his son’s case presents ‘exceptional’ circumstances.</w:t>
      </w:r>
    </w:p>
    <w:p>
      <w:pPr>
        <w:pStyle w:val="ListParagraph"/>
        <w:numPr>
          <w:ilvl w:val="0"/>
          <w:numId w:val="3"/>
        </w:numPr>
        <w:tabs>
          <w:tab w:pos="797" w:val="left" w:leader="none"/>
          <w:tab w:pos="798" w:val="left" w:leader="none"/>
        </w:tabs>
        <w:spacing w:line="249" w:lineRule="auto" w:before="114" w:after="0"/>
        <w:ind w:left="797" w:right="302" w:hanging="680"/>
        <w:jc w:val="left"/>
        <w:rPr>
          <w:sz w:val="24"/>
        </w:rPr>
      </w:pPr>
      <w:r>
        <w:rPr>
          <w:color w:val="231F20"/>
          <w:sz w:val="24"/>
        </w:rPr>
        <w:t>I note further that during their time in detention, Master BG was a child, which brings Australia’s obligations under the CRC into consideration. As set out above, the 2014 Guidelines acknowledge</w:t>
      </w:r>
      <w:r>
        <w:rPr>
          <w:color w:val="231F20"/>
          <w:spacing w:val="-20"/>
          <w:sz w:val="24"/>
        </w:rPr>
        <w:t> </w:t>
      </w:r>
      <w:r>
        <w:rPr>
          <w:color w:val="231F20"/>
          <w:sz w:val="24"/>
        </w:rPr>
        <w:t>that:</w:t>
      </w:r>
    </w:p>
    <w:p>
      <w:pPr>
        <w:spacing w:line="249" w:lineRule="auto" w:before="165"/>
        <w:ind w:left="1364" w:right="392" w:firstLine="0"/>
        <w:jc w:val="left"/>
        <w:rPr>
          <w:sz w:val="22"/>
        </w:rPr>
      </w:pPr>
      <w:r>
        <w:rPr>
          <w:color w:val="231F20"/>
          <w:sz w:val="22"/>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pPr>
        <w:pStyle w:val="ListParagraph"/>
        <w:numPr>
          <w:ilvl w:val="0"/>
          <w:numId w:val="3"/>
        </w:numPr>
        <w:tabs>
          <w:tab w:pos="797" w:val="left" w:leader="none"/>
          <w:tab w:pos="798" w:val="left" w:leader="none"/>
        </w:tabs>
        <w:spacing w:line="249" w:lineRule="auto" w:before="176" w:after="0"/>
        <w:ind w:left="797" w:right="154" w:hanging="680"/>
        <w:jc w:val="left"/>
        <w:rPr>
          <w:sz w:val="24"/>
        </w:rPr>
      </w:pPr>
      <w:r>
        <w:rPr>
          <w:color w:val="231F20"/>
          <w:sz w:val="24"/>
        </w:rPr>
        <w:t>I further note that the 2014 Guidelines were only in operation from 18 February 2014. Accordingly, for the majority of Mr BF and his son’s detention, the previous set of Guidelines were in force. These Guidelines were</w:t>
      </w:r>
      <w:r>
        <w:rPr>
          <w:color w:val="231F20"/>
          <w:spacing w:val="-32"/>
          <w:sz w:val="24"/>
        </w:rPr>
        <w:t> </w:t>
      </w:r>
      <w:r>
        <w:rPr>
          <w:color w:val="231F20"/>
          <w:sz w:val="24"/>
        </w:rPr>
        <w:t>published</w:t>
      </w:r>
    </w:p>
    <w:p>
      <w:pPr>
        <w:pStyle w:val="BodyText"/>
        <w:spacing w:line="249" w:lineRule="auto" w:before="1"/>
        <w:ind w:left="797" w:right="142"/>
      </w:pPr>
      <w:r>
        <w:rPr>
          <w:color w:val="231F20"/>
        </w:rPr>
        <w:t>by the Hon Brendan O’Connor MP and were in force from 30 May 2013 until 17 February 2014. These Guidelines did not prevent individuals who had arrived in Australia after 19 July 2013 from being referred to the Minister for the consideration of his residence determination power under s 197AB of the Migration Act. These guidelines also provided that the Minister would consider cases ‘where a person presents unique or exceptional circumstances’. Like the 2014 Guidelines, they also</w:t>
      </w:r>
      <w:r>
        <w:rPr>
          <w:color w:val="231F20"/>
          <w:spacing w:val="-8"/>
        </w:rPr>
        <w:t> </w:t>
      </w:r>
      <w:r>
        <w:rPr>
          <w:color w:val="231F20"/>
        </w:rPr>
        <w:t>stated:</w:t>
      </w:r>
    </w:p>
    <w:p>
      <w:pPr>
        <w:spacing w:line="249" w:lineRule="auto" w:before="165"/>
        <w:ind w:left="1364" w:right="515" w:firstLine="0"/>
        <w:jc w:val="left"/>
        <w:rPr>
          <w:sz w:val="22"/>
        </w:rPr>
      </w:pPr>
      <w:r>
        <w:rPr>
          <w:color w:val="231F20"/>
          <w:sz w:val="22"/>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pPr>
        <w:pStyle w:val="ListParagraph"/>
        <w:numPr>
          <w:ilvl w:val="0"/>
          <w:numId w:val="3"/>
        </w:numPr>
        <w:tabs>
          <w:tab w:pos="797" w:val="left" w:leader="none"/>
          <w:tab w:pos="798" w:val="left" w:leader="none"/>
        </w:tabs>
        <w:spacing w:line="249" w:lineRule="auto" w:before="176" w:after="0"/>
        <w:ind w:left="797" w:right="480" w:hanging="680"/>
        <w:jc w:val="left"/>
        <w:rPr>
          <w:sz w:val="24"/>
        </w:rPr>
      </w:pPr>
      <w:r>
        <w:rPr>
          <w:color w:val="231F20"/>
          <w:sz w:val="24"/>
        </w:rPr>
        <w:t>I find that, whether required by a policy decision of the Minister or whether resulting from a failure by the department to refer Mr BF and his son’s case to the Minister pursuant to the community detention guidelines, the failure to assess Mr BF and his son for community detention has resulted in their detention being </w:t>
      </w:r>
      <w:r>
        <w:rPr>
          <w:color w:val="231F20"/>
          <w:spacing w:val="-3"/>
          <w:sz w:val="24"/>
        </w:rPr>
        <w:t>arbitrary, </w:t>
      </w:r>
      <w:r>
        <w:rPr>
          <w:color w:val="231F20"/>
          <w:sz w:val="24"/>
        </w:rPr>
        <w:t>contrary to article 9 of the ICCPR and article 37(b) of the</w:t>
      </w:r>
      <w:r>
        <w:rPr>
          <w:color w:val="231F20"/>
          <w:spacing w:val="-6"/>
          <w:sz w:val="24"/>
        </w:rPr>
        <w:t> </w:t>
      </w:r>
      <w:r>
        <w:rPr>
          <w:color w:val="231F20"/>
          <w:sz w:val="24"/>
        </w:rPr>
        <w:t>CRC.</w:t>
      </w:r>
    </w:p>
    <w:p>
      <w:pPr>
        <w:spacing w:after="0" w:line="249" w:lineRule="auto"/>
        <w:jc w:val="left"/>
        <w:rPr>
          <w:sz w:val="24"/>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Heading2"/>
        <w:numPr>
          <w:ilvl w:val="1"/>
          <w:numId w:val="5"/>
        </w:numPr>
        <w:tabs>
          <w:tab w:pos="797" w:val="left" w:leader="none"/>
          <w:tab w:pos="798" w:val="left" w:leader="none"/>
        </w:tabs>
        <w:spacing w:line="240" w:lineRule="auto" w:before="258" w:after="0"/>
        <w:ind w:left="797" w:right="0" w:hanging="680"/>
        <w:jc w:val="left"/>
      </w:pPr>
      <w:bookmarkStart w:name="_bookmark7" w:id="15"/>
      <w:bookmarkEnd w:id="15"/>
      <w:r>
        <w:rPr>
          <w:b w:val="0"/>
        </w:rPr>
      </w:r>
      <w:bookmarkStart w:name="_bookmark7" w:id="16"/>
      <w:bookmarkEnd w:id="16"/>
      <w:r>
        <w:rPr>
          <w:color w:val="231F20"/>
        </w:rPr>
        <w:t>Finding</w:t>
      </w:r>
      <w:r>
        <w:rPr>
          <w:color w:val="231F20"/>
        </w:rPr>
        <w:t> – best interests of the</w:t>
      </w:r>
      <w:r>
        <w:rPr>
          <w:color w:val="231F20"/>
          <w:spacing w:val="-8"/>
        </w:rPr>
        <w:t> </w:t>
      </w:r>
      <w:r>
        <w:rPr>
          <w:color w:val="231F20"/>
        </w:rPr>
        <w:t>child</w:t>
      </w:r>
    </w:p>
    <w:p>
      <w:pPr>
        <w:pStyle w:val="ListParagraph"/>
        <w:numPr>
          <w:ilvl w:val="0"/>
          <w:numId w:val="3"/>
        </w:numPr>
        <w:tabs>
          <w:tab w:pos="797" w:val="left" w:leader="none"/>
          <w:tab w:pos="798" w:val="left" w:leader="none"/>
        </w:tabs>
        <w:spacing w:line="249" w:lineRule="auto" w:before="173" w:after="0"/>
        <w:ind w:left="797" w:right="309" w:hanging="680"/>
        <w:jc w:val="left"/>
        <w:rPr>
          <w:sz w:val="24"/>
        </w:rPr>
      </w:pPr>
      <w:r>
        <w:rPr>
          <w:color w:val="231F20"/>
          <w:sz w:val="24"/>
        </w:rPr>
        <w:t>Article 3 of the CRC requires that in all actions concerning children, their best interests must be a primary consideration of the decision</w:t>
      </w:r>
      <w:r>
        <w:rPr>
          <w:color w:val="231F20"/>
          <w:spacing w:val="-20"/>
          <w:sz w:val="24"/>
        </w:rPr>
        <w:t> </w:t>
      </w:r>
      <w:r>
        <w:rPr>
          <w:color w:val="231F20"/>
          <w:spacing w:val="-3"/>
          <w:sz w:val="24"/>
        </w:rPr>
        <w:t>maker.</w:t>
      </w:r>
    </w:p>
    <w:p>
      <w:pPr>
        <w:pStyle w:val="ListParagraph"/>
        <w:numPr>
          <w:ilvl w:val="0"/>
          <w:numId w:val="3"/>
        </w:numPr>
        <w:tabs>
          <w:tab w:pos="798" w:val="left" w:leader="none"/>
        </w:tabs>
        <w:spacing w:line="249" w:lineRule="auto" w:before="114" w:after="0"/>
        <w:ind w:left="797" w:right="295" w:hanging="680"/>
        <w:jc w:val="both"/>
        <w:rPr>
          <w:sz w:val="24"/>
        </w:rPr>
      </w:pPr>
      <w:r>
        <w:rPr>
          <w:color w:val="231F20"/>
          <w:sz w:val="24"/>
        </w:rPr>
        <w:t>The United Nations Children’s Fund (UNICEF) Implementation Handbook for the Convention on the Rights of the Child states that while ‘the best interests of the child will not always be the single, overriding factor to be</w:t>
      </w:r>
      <w:r>
        <w:rPr>
          <w:color w:val="231F20"/>
          <w:spacing w:val="-28"/>
          <w:sz w:val="24"/>
        </w:rPr>
        <w:t> </w:t>
      </w:r>
      <w:r>
        <w:rPr>
          <w:color w:val="231F20"/>
          <w:sz w:val="24"/>
        </w:rPr>
        <w:t>considered;…</w:t>
      </w:r>
    </w:p>
    <w:p>
      <w:pPr>
        <w:pStyle w:val="BodyText"/>
        <w:spacing w:line="249" w:lineRule="auto" w:before="1"/>
        <w:ind w:left="797" w:right="81"/>
        <w:rPr>
          <w:sz w:val="14"/>
        </w:rPr>
      </w:pPr>
      <w:r>
        <w:rPr>
          <w:color w:val="231F20"/>
        </w:rPr>
        <w:t>it must be demonstrated that children’s interests have been explored and taken into account as a primary consideration’.</w:t>
      </w:r>
      <w:hyperlink w:history="true" w:anchor="_bookmark21">
        <w:r>
          <w:rPr>
            <w:color w:val="231F20"/>
            <w:position w:val="8"/>
            <w:sz w:val="14"/>
          </w:rPr>
          <w:t>10</w:t>
        </w:r>
      </w:hyperlink>
    </w:p>
    <w:p>
      <w:pPr>
        <w:pStyle w:val="ListParagraph"/>
        <w:numPr>
          <w:ilvl w:val="0"/>
          <w:numId w:val="3"/>
        </w:numPr>
        <w:tabs>
          <w:tab w:pos="797" w:val="left" w:leader="none"/>
          <w:tab w:pos="798" w:val="left" w:leader="none"/>
        </w:tabs>
        <w:spacing w:line="249" w:lineRule="auto" w:before="114" w:after="0"/>
        <w:ind w:left="797" w:right="162" w:hanging="680"/>
        <w:jc w:val="left"/>
        <w:rPr>
          <w:sz w:val="24"/>
        </w:rPr>
      </w:pPr>
      <w:r>
        <w:rPr>
          <w:color w:val="231F20"/>
          <w:sz w:val="24"/>
        </w:rPr>
        <w:t>In </w:t>
      </w:r>
      <w:r>
        <w:rPr>
          <w:i/>
          <w:color w:val="231F20"/>
          <w:sz w:val="24"/>
        </w:rPr>
        <w:t>Wan v Minister for Immigration &amp; Multicultural Affairs</w:t>
      </w:r>
      <w:r>
        <w:rPr>
          <w:color w:val="231F20"/>
          <w:sz w:val="24"/>
        </w:rPr>
        <w:t>,</w:t>
      </w:r>
      <w:hyperlink w:history="true" w:anchor="_bookmark22">
        <w:r>
          <w:rPr>
            <w:color w:val="231F20"/>
            <w:position w:val="8"/>
            <w:sz w:val="14"/>
          </w:rPr>
          <w:t>11</w:t>
        </w:r>
      </w:hyperlink>
      <w:r>
        <w:rPr>
          <w:color w:val="231F20"/>
          <w:position w:val="8"/>
          <w:sz w:val="14"/>
        </w:rPr>
        <w:t> </w:t>
      </w:r>
      <w:r>
        <w:rPr>
          <w:color w:val="231F20"/>
          <w:sz w:val="24"/>
        </w:rPr>
        <w:t>the Full Court of the Federal Court considered the way in which a decision maker should assess the requirements of article 3 of the CRC. The starting point is to identify what the best interests of the child indicate that the decision maker should decide.</w:t>
      </w:r>
      <w:hyperlink w:history="true" w:anchor="_bookmark23">
        <w:r>
          <w:rPr>
            <w:color w:val="231F20"/>
            <w:position w:val="8"/>
            <w:sz w:val="14"/>
          </w:rPr>
          <w:t>12</w:t>
        </w:r>
      </w:hyperlink>
      <w:r>
        <w:rPr>
          <w:color w:val="231F20"/>
          <w:position w:val="8"/>
          <w:sz w:val="14"/>
        </w:rPr>
        <w:t> </w:t>
      </w:r>
      <w:r>
        <w:rPr>
          <w:color w:val="231F20"/>
          <w:sz w:val="24"/>
        </w:rPr>
        <w:t>It is open to the decision maker to depart from the best interests of Master BG. </w:t>
      </w:r>
      <w:r>
        <w:rPr>
          <w:color w:val="231F20"/>
          <w:spacing w:val="-3"/>
          <w:sz w:val="24"/>
        </w:rPr>
        <w:t>However, </w:t>
      </w:r>
      <w:r>
        <w:rPr>
          <w:color w:val="231F20"/>
          <w:sz w:val="24"/>
        </w:rPr>
        <w:t>in order to do so there are two</w:t>
      </w:r>
      <w:r>
        <w:rPr>
          <w:color w:val="231F20"/>
          <w:spacing w:val="-3"/>
          <w:sz w:val="24"/>
        </w:rPr>
        <w:t> </w:t>
      </w:r>
      <w:r>
        <w:rPr>
          <w:color w:val="231F20"/>
          <w:sz w:val="24"/>
        </w:rPr>
        <w:t>requirements:</w:t>
      </w:r>
    </w:p>
    <w:p>
      <w:pPr>
        <w:pStyle w:val="ListParagraph"/>
        <w:numPr>
          <w:ilvl w:val="0"/>
          <w:numId w:val="8"/>
        </w:numPr>
        <w:tabs>
          <w:tab w:pos="1649" w:val="left" w:leader="none"/>
        </w:tabs>
        <w:spacing w:line="249" w:lineRule="auto" w:before="114" w:after="0"/>
        <w:ind w:left="1648" w:right="926" w:hanging="227"/>
        <w:jc w:val="left"/>
        <w:rPr>
          <w:sz w:val="24"/>
        </w:rPr>
      </w:pPr>
      <w:r>
        <w:rPr>
          <w:color w:val="231F20"/>
          <w:sz w:val="24"/>
        </w:rPr>
        <w:t>the decision maker must not treat any other factor as inherently more significant than the best interests of Master</w:t>
      </w:r>
      <w:r>
        <w:rPr>
          <w:color w:val="231F20"/>
          <w:spacing w:val="-1"/>
          <w:sz w:val="24"/>
        </w:rPr>
        <w:t> </w:t>
      </w:r>
      <w:r>
        <w:rPr>
          <w:color w:val="231F20"/>
          <w:sz w:val="24"/>
        </w:rPr>
        <w:t>BG;</w:t>
      </w:r>
    </w:p>
    <w:p>
      <w:pPr>
        <w:pStyle w:val="ListParagraph"/>
        <w:numPr>
          <w:ilvl w:val="0"/>
          <w:numId w:val="8"/>
        </w:numPr>
        <w:tabs>
          <w:tab w:pos="1649" w:val="left" w:leader="none"/>
        </w:tabs>
        <w:spacing w:line="249" w:lineRule="auto" w:before="114" w:after="0"/>
        <w:ind w:left="1648" w:right="711" w:hanging="227"/>
        <w:jc w:val="left"/>
        <w:rPr>
          <w:sz w:val="24"/>
        </w:rPr>
      </w:pPr>
      <w:r>
        <w:rPr>
          <w:color w:val="231F20"/>
          <w:sz w:val="24"/>
        </w:rPr>
        <w:t>the strength of other relevant considerations must outweigh the consideration of the best interests of Master BG, understood as a primary</w:t>
      </w:r>
      <w:r>
        <w:rPr>
          <w:color w:val="231F20"/>
          <w:spacing w:val="-6"/>
          <w:sz w:val="24"/>
        </w:rPr>
        <w:t> </w:t>
      </w:r>
      <w:r>
        <w:rPr>
          <w:color w:val="231F20"/>
          <w:sz w:val="24"/>
        </w:rPr>
        <w:t>consideration.</w:t>
      </w:r>
    </w:p>
    <w:p>
      <w:pPr>
        <w:pStyle w:val="ListParagraph"/>
        <w:numPr>
          <w:ilvl w:val="0"/>
          <w:numId w:val="3"/>
        </w:numPr>
        <w:tabs>
          <w:tab w:pos="797" w:val="left" w:leader="none"/>
          <w:tab w:pos="798" w:val="left" w:leader="none"/>
        </w:tabs>
        <w:spacing w:line="249" w:lineRule="auto" w:before="114" w:after="0"/>
        <w:ind w:left="797" w:right="197" w:hanging="680"/>
        <w:jc w:val="left"/>
        <w:rPr>
          <w:sz w:val="24"/>
        </w:rPr>
      </w:pPr>
      <w:r>
        <w:rPr>
          <w:color w:val="231F20"/>
          <w:sz w:val="24"/>
        </w:rPr>
        <w:t>There is no evidence before me that the department undertook this exercise when deciding not to refer Master BG and his father’s cases to the Minister for consideration of a residence</w:t>
      </w:r>
      <w:r>
        <w:rPr>
          <w:color w:val="231F20"/>
          <w:spacing w:val="-17"/>
          <w:sz w:val="24"/>
        </w:rPr>
        <w:t> </w:t>
      </w:r>
      <w:r>
        <w:rPr>
          <w:color w:val="231F20"/>
          <w:sz w:val="24"/>
        </w:rPr>
        <w:t>determination.</w:t>
      </w:r>
    </w:p>
    <w:p>
      <w:pPr>
        <w:pStyle w:val="ListParagraph"/>
        <w:numPr>
          <w:ilvl w:val="0"/>
          <w:numId w:val="3"/>
        </w:numPr>
        <w:tabs>
          <w:tab w:pos="797" w:val="left" w:leader="none"/>
          <w:tab w:pos="798" w:val="left" w:leader="none"/>
        </w:tabs>
        <w:spacing w:line="249" w:lineRule="auto" w:before="114" w:after="0"/>
        <w:ind w:left="797" w:right="348" w:hanging="680"/>
        <w:jc w:val="left"/>
        <w:rPr>
          <w:sz w:val="24"/>
        </w:rPr>
      </w:pPr>
      <w:r>
        <w:rPr>
          <w:color w:val="231F20"/>
          <w:sz w:val="24"/>
        </w:rPr>
        <w:t>First, neither the Case Reviews provided by the department, nor its various responses to this inquiry demonstrate that the department identified Master BG’s best interests as the starting point in its decision making. For the purposes of this </w:t>
      </w:r>
      <w:r>
        <w:rPr>
          <w:color w:val="231F20"/>
          <w:spacing w:val="-3"/>
          <w:sz w:val="24"/>
        </w:rPr>
        <w:t>inquiry, </w:t>
      </w:r>
      <w:r>
        <w:rPr>
          <w:color w:val="231F20"/>
          <w:sz w:val="24"/>
        </w:rPr>
        <w:t>I consider that it was in the best interests of Master BG to be released with his father into the community pursuant to a residence determination, potentially with conditions</w:t>
      </w:r>
      <w:r>
        <w:rPr>
          <w:color w:val="231F20"/>
          <w:spacing w:val="-36"/>
          <w:sz w:val="24"/>
        </w:rPr>
        <w:t> </w:t>
      </w:r>
      <w:r>
        <w:rPr>
          <w:color w:val="231F20"/>
          <w:sz w:val="24"/>
        </w:rPr>
        <w:t>attached.</w:t>
      </w:r>
    </w:p>
    <w:p>
      <w:pPr>
        <w:pStyle w:val="ListParagraph"/>
        <w:numPr>
          <w:ilvl w:val="0"/>
          <w:numId w:val="3"/>
        </w:numPr>
        <w:tabs>
          <w:tab w:pos="798" w:val="left" w:leader="none"/>
        </w:tabs>
        <w:spacing w:line="249" w:lineRule="auto" w:before="114" w:after="0"/>
        <w:ind w:left="797" w:right="281" w:hanging="680"/>
        <w:jc w:val="both"/>
        <w:rPr>
          <w:sz w:val="24"/>
        </w:rPr>
      </w:pPr>
      <w:r>
        <w:rPr>
          <w:color w:val="231F20"/>
          <w:sz w:val="24"/>
        </w:rPr>
        <w:t>Further, it is apparent from the department’s responses to this inquiry that the overriding consideration in this case was the ‘no advantage policy’.</w:t>
      </w:r>
      <w:r>
        <w:rPr>
          <w:color w:val="231F20"/>
          <w:spacing w:val="-47"/>
          <w:sz w:val="24"/>
        </w:rPr>
        <w:t> </w:t>
      </w:r>
      <w:r>
        <w:rPr>
          <w:color w:val="231F20"/>
          <w:sz w:val="24"/>
        </w:rPr>
        <w:t>As set out at [36] above, the department’s view was</w:t>
      </w:r>
      <w:r>
        <w:rPr>
          <w:color w:val="231F20"/>
          <w:spacing w:val="-25"/>
          <w:sz w:val="24"/>
        </w:rPr>
        <w:t> </w:t>
      </w:r>
      <w:r>
        <w:rPr>
          <w:color w:val="231F20"/>
          <w:sz w:val="24"/>
        </w:rPr>
        <w:t>that:</w:t>
      </w:r>
    </w:p>
    <w:p>
      <w:pPr>
        <w:spacing w:line="249" w:lineRule="auto" w:before="166"/>
        <w:ind w:left="1364" w:right="508" w:firstLine="0"/>
        <w:jc w:val="left"/>
        <w:rPr>
          <w:sz w:val="22"/>
        </w:rPr>
      </w:pPr>
      <w:r>
        <w:rPr>
          <w:color w:val="231F20"/>
          <w:sz w:val="22"/>
        </w:rPr>
        <w:t>Less restrictive forms of detention were not considered an option for Mr [BF] and his son at that time as they arrived after 19 July 2013 as IMAs and no “exceptional reasons” (such as immediate health or welfare concerns) for consideration had been identified.</w:t>
      </w:r>
    </w:p>
    <w:p>
      <w:pPr>
        <w:pStyle w:val="ListParagraph"/>
        <w:numPr>
          <w:ilvl w:val="0"/>
          <w:numId w:val="3"/>
        </w:numPr>
        <w:tabs>
          <w:tab w:pos="797" w:val="left" w:leader="none"/>
          <w:tab w:pos="798" w:val="left" w:leader="none"/>
        </w:tabs>
        <w:spacing w:line="249" w:lineRule="auto" w:before="176" w:after="0"/>
        <w:ind w:left="797" w:right="486" w:hanging="680"/>
        <w:jc w:val="left"/>
        <w:rPr>
          <w:sz w:val="24"/>
        </w:rPr>
      </w:pPr>
      <w:r>
        <w:rPr>
          <w:color w:val="231F20"/>
          <w:sz w:val="24"/>
        </w:rPr>
        <w:t>The department’s submission suggests that the best interests of Master BG were not evaluated as an equally important consideration. Instead, the ‘no advantage’ policy was regarded as inherently more significant than the best interests of Master BG unless there were ‘exceptional</w:t>
      </w:r>
      <w:r>
        <w:rPr>
          <w:color w:val="231F20"/>
          <w:spacing w:val="-29"/>
          <w:sz w:val="24"/>
        </w:rPr>
        <w:t> </w:t>
      </w:r>
      <w:r>
        <w:rPr>
          <w:color w:val="231F20"/>
          <w:sz w:val="24"/>
        </w:rPr>
        <w:t>reasons’.</w:t>
      </w:r>
    </w:p>
    <w:p>
      <w:pPr>
        <w:spacing w:after="0" w:line="249" w:lineRule="auto"/>
        <w:jc w:val="left"/>
        <w:rPr>
          <w:sz w:val="24"/>
        </w:rPr>
        <w:sectPr>
          <w:footerReference w:type="default" r:id="rId46"/>
          <w:footerReference w:type="even" r:id="rId47"/>
          <w:pgSz w:w="11910" w:h="16840"/>
          <w:pgMar w:footer="692" w:header="0" w:top="1580" w:bottom="880" w:left="1300" w:right="1320"/>
          <w:pgNumType w:start="1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0" w:lineRule="auto" w:before="0" w:after="0"/>
        <w:ind w:left="797" w:right="0" w:hanging="680"/>
        <w:jc w:val="left"/>
        <w:rPr>
          <w:sz w:val="24"/>
        </w:rPr>
      </w:pPr>
      <w:bookmarkStart w:name="_bookmark8" w:id="17"/>
      <w:bookmarkEnd w:id="17"/>
      <w:r>
        <w:rPr/>
      </w:r>
      <w:bookmarkStart w:name="_bookmark8" w:id="18"/>
      <w:bookmarkEnd w:id="18"/>
      <w:r>
        <w:rPr>
          <w:color w:val="231F20"/>
          <w:sz w:val="24"/>
        </w:rPr>
        <w:t>In</w:t>
      </w:r>
      <w:r>
        <w:rPr>
          <w:color w:val="231F20"/>
          <w:sz w:val="24"/>
        </w:rPr>
        <w:t> the department’s response to my preliminary </w:t>
      </w:r>
      <w:r>
        <w:rPr>
          <w:color w:val="231F20"/>
          <w:spacing w:val="-3"/>
          <w:sz w:val="24"/>
        </w:rPr>
        <w:t>view, </w:t>
      </w:r>
      <w:r>
        <w:rPr>
          <w:color w:val="231F20"/>
          <w:sz w:val="24"/>
        </w:rPr>
        <w:t>it maintained</w:t>
      </w:r>
      <w:r>
        <w:rPr>
          <w:color w:val="231F20"/>
          <w:spacing w:val="-25"/>
          <w:sz w:val="24"/>
        </w:rPr>
        <w:t> </w:t>
      </w:r>
      <w:r>
        <w:rPr>
          <w:color w:val="231F20"/>
          <w:sz w:val="24"/>
        </w:rPr>
        <w:t>that:</w:t>
      </w:r>
    </w:p>
    <w:p>
      <w:pPr>
        <w:spacing w:line="249" w:lineRule="auto" w:before="176"/>
        <w:ind w:left="1364" w:right="340" w:firstLine="0"/>
        <w:jc w:val="left"/>
        <w:rPr>
          <w:sz w:val="22"/>
        </w:rPr>
      </w:pPr>
      <w:r>
        <w:rPr>
          <w:color w:val="231F20"/>
          <w:sz w:val="22"/>
        </w:rPr>
        <w:t>Mr [BF] and Master [BG’s] placement and ongoing detention was appropriate, reasonable and justified in the individual circumstances of their case and therefore not contrary to article 3 of the CRC.</w:t>
      </w:r>
    </w:p>
    <w:p>
      <w:pPr>
        <w:pStyle w:val="ListParagraph"/>
        <w:numPr>
          <w:ilvl w:val="0"/>
          <w:numId w:val="3"/>
        </w:numPr>
        <w:tabs>
          <w:tab w:pos="797" w:val="left" w:leader="none"/>
          <w:tab w:pos="798" w:val="left" w:leader="none"/>
        </w:tabs>
        <w:spacing w:line="249" w:lineRule="auto" w:before="175" w:after="0"/>
        <w:ind w:left="797" w:right="216" w:hanging="680"/>
        <w:jc w:val="left"/>
        <w:rPr>
          <w:sz w:val="24"/>
        </w:rPr>
      </w:pPr>
      <w:r>
        <w:rPr>
          <w:color w:val="231F20"/>
          <w:sz w:val="24"/>
        </w:rPr>
        <w:t>I find that the department has not demonstrated that Master BG’s interests were explored and taken into account as a primary consideration when it decided not to refer his and his father’s cases to the Minister for consideration of a residence determination. I therefore find that there has been a breach of article 3 of the</w:t>
      </w:r>
      <w:r>
        <w:rPr>
          <w:color w:val="231F20"/>
          <w:spacing w:val="-12"/>
          <w:sz w:val="24"/>
        </w:rPr>
        <w:t> </w:t>
      </w:r>
      <w:r>
        <w:rPr>
          <w:color w:val="231F20"/>
          <w:sz w:val="24"/>
        </w:rPr>
        <w:t>CRC.</w:t>
      </w:r>
    </w:p>
    <w:p>
      <w:pPr>
        <w:pStyle w:val="BodyText"/>
        <w:spacing w:before="4"/>
        <w:rPr>
          <w:sz w:val="32"/>
        </w:rPr>
      </w:pPr>
    </w:p>
    <w:p>
      <w:pPr>
        <w:pStyle w:val="Heading1"/>
        <w:numPr>
          <w:ilvl w:val="0"/>
          <w:numId w:val="5"/>
        </w:numPr>
        <w:tabs>
          <w:tab w:pos="797" w:val="left" w:leader="none"/>
          <w:tab w:pos="798" w:val="left" w:leader="none"/>
        </w:tabs>
        <w:spacing w:line="240" w:lineRule="auto" w:before="0" w:after="0"/>
        <w:ind w:left="797" w:right="0" w:hanging="680"/>
        <w:jc w:val="left"/>
        <w:rPr>
          <w:color w:val="231F20"/>
        </w:rPr>
      </w:pPr>
      <w:r>
        <w:rPr>
          <w:color w:val="231F20"/>
        </w:rPr>
        <w:t>Recommendations</w:t>
      </w:r>
    </w:p>
    <w:p>
      <w:pPr>
        <w:pStyle w:val="ListParagraph"/>
        <w:numPr>
          <w:ilvl w:val="0"/>
          <w:numId w:val="3"/>
        </w:numPr>
        <w:tabs>
          <w:tab w:pos="797" w:val="left" w:leader="none"/>
          <w:tab w:pos="798" w:val="left" w:leader="none"/>
        </w:tabs>
        <w:spacing w:line="249" w:lineRule="auto" w:before="213" w:after="0"/>
        <w:ind w:left="797" w:right="195" w:hanging="680"/>
        <w:jc w:val="left"/>
        <w:rPr>
          <w:sz w:val="24"/>
        </w:rPr>
      </w:pPr>
      <w:r>
        <w:rPr>
          <w:color w:val="231F20"/>
          <w:sz w:val="24"/>
        </w:rPr>
        <w:t>Where, after conducting an </w:t>
      </w:r>
      <w:r>
        <w:rPr>
          <w:color w:val="231F20"/>
          <w:spacing w:val="-3"/>
          <w:sz w:val="24"/>
        </w:rPr>
        <w:t>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history="true" w:anchor="_bookmark24">
        <w:r>
          <w:rPr>
            <w:color w:val="231F20"/>
            <w:position w:val="8"/>
            <w:sz w:val="14"/>
          </w:rPr>
          <w:t>13</w:t>
        </w:r>
      </w:hyperlink>
      <w:r>
        <w:rPr>
          <w:color w:val="231F20"/>
          <w:position w:val="8"/>
          <w:sz w:val="14"/>
        </w:rPr>
        <w:t> </w:t>
      </w:r>
      <w:r>
        <w:rPr>
          <w:color w:val="231F20"/>
          <w:sz w:val="24"/>
        </w:rPr>
        <w:t>The Commission may include in the notice any recommendation for preventing a repetition of the act or a continuation of the practice.</w:t>
      </w:r>
      <w:hyperlink w:history="true" w:anchor="_bookmark25">
        <w:r>
          <w:rPr>
            <w:color w:val="231F20"/>
            <w:position w:val="8"/>
            <w:sz w:val="14"/>
          </w:rPr>
          <w:t>14</w:t>
        </w:r>
      </w:hyperlink>
      <w:r>
        <w:rPr>
          <w:color w:val="231F20"/>
          <w:position w:val="8"/>
          <w:sz w:val="14"/>
        </w:rPr>
        <w:t> </w:t>
      </w:r>
      <w:r>
        <w:rPr>
          <w:color w:val="231F20"/>
          <w:sz w:val="24"/>
        </w:rPr>
        <w:t>The Commission may also</w:t>
      </w:r>
      <w:r>
        <w:rPr>
          <w:color w:val="231F20"/>
          <w:spacing w:val="-29"/>
          <w:sz w:val="24"/>
        </w:rPr>
        <w:t> </w:t>
      </w:r>
      <w:r>
        <w:rPr>
          <w:color w:val="231F20"/>
          <w:sz w:val="24"/>
        </w:rPr>
        <w:t>recommend:</w:t>
      </w:r>
    </w:p>
    <w:p>
      <w:pPr>
        <w:pStyle w:val="ListParagraph"/>
        <w:numPr>
          <w:ilvl w:val="0"/>
          <w:numId w:val="9"/>
        </w:numPr>
        <w:tabs>
          <w:tab w:pos="1649" w:val="left" w:leader="none"/>
        </w:tabs>
        <w:spacing w:line="249" w:lineRule="auto" w:before="114" w:after="0"/>
        <w:ind w:left="1648" w:right="825" w:hanging="227"/>
        <w:jc w:val="left"/>
        <w:rPr>
          <w:sz w:val="24"/>
        </w:rPr>
      </w:pPr>
      <w:r>
        <w:rPr>
          <w:color w:val="231F20"/>
          <w:sz w:val="24"/>
        </w:rPr>
        <w:t>The payment of compensation to, or in respect of, a person who has suffered loss or damage;</w:t>
      </w:r>
      <w:r>
        <w:rPr>
          <w:color w:val="231F20"/>
          <w:spacing w:val="-21"/>
          <w:sz w:val="24"/>
        </w:rPr>
        <w:t> </w:t>
      </w:r>
      <w:r>
        <w:rPr>
          <w:color w:val="231F20"/>
          <w:sz w:val="24"/>
        </w:rPr>
        <w:t>and</w:t>
      </w:r>
    </w:p>
    <w:p>
      <w:pPr>
        <w:pStyle w:val="ListParagraph"/>
        <w:numPr>
          <w:ilvl w:val="0"/>
          <w:numId w:val="9"/>
        </w:numPr>
        <w:tabs>
          <w:tab w:pos="1649" w:val="left" w:leader="none"/>
        </w:tabs>
        <w:spacing w:line="249" w:lineRule="auto" w:before="114" w:after="0"/>
        <w:ind w:left="1648" w:right="736" w:hanging="227"/>
        <w:jc w:val="left"/>
        <w:rPr>
          <w:sz w:val="14"/>
        </w:rPr>
      </w:pPr>
      <w:r>
        <w:rPr>
          <w:color w:val="231F20"/>
          <w:sz w:val="24"/>
        </w:rPr>
        <w:t>Other action to remedy or reduce the loss or damage suffered by a</w:t>
      </w:r>
      <w:r>
        <w:rPr>
          <w:color w:val="231F20"/>
          <w:spacing w:val="-8"/>
          <w:sz w:val="24"/>
        </w:rPr>
        <w:t> </w:t>
      </w:r>
      <w:r>
        <w:rPr>
          <w:color w:val="231F20"/>
          <w:sz w:val="24"/>
        </w:rPr>
        <w:t>person.</w:t>
      </w:r>
      <w:hyperlink w:history="true" w:anchor="_bookmark26">
        <w:r>
          <w:rPr>
            <w:color w:val="231F20"/>
            <w:position w:val="8"/>
            <w:sz w:val="14"/>
          </w:rPr>
          <w:t>15</w:t>
        </w:r>
      </w:hyperlink>
    </w:p>
    <w:p>
      <w:pPr>
        <w:pStyle w:val="BodyText"/>
        <w:spacing w:before="7"/>
        <w:rPr>
          <w:sz w:val="25"/>
        </w:rPr>
      </w:pPr>
    </w:p>
    <w:p>
      <w:pPr>
        <w:pStyle w:val="Heading2"/>
        <w:tabs>
          <w:tab w:pos="797" w:val="left" w:leader="none"/>
        </w:tabs>
        <w:ind w:left="117" w:firstLine="0"/>
      </w:pPr>
      <w:r>
        <w:rPr>
          <w:color w:val="231F20"/>
        </w:rPr>
        <w:t>6.1</w:t>
        <w:tab/>
        <w:t>Compensation</w:t>
      </w:r>
    </w:p>
    <w:p>
      <w:pPr>
        <w:pStyle w:val="ListParagraph"/>
        <w:numPr>
          <w:ilvl w:val="0"/>
          <w:numId w:val="3"/>
        </w:numPr>
        <w:tabs>
          <w:tab w:pos="797" w:val="left" w:leader="none"/>
          <w:tab w:pos="798" w:val="left" w:leader="none"/>
        </w:tabs>
        <w:spacing w:line="249" w:lineRule="auto" w:before="173" w:after="0"/>
        <w:ind w:left="797" w:right="102" w:hanging="680"/>
        <w:jc w:val="left"/>
        <w:rPr>
          <w:sz w:val="24"/>
        </w:rPr>
      </w:pPr>
      <w:r>
        <w:rPr>
          <w:color w:val="231F20"/>
          <w:sz w:val="24"/>
        </w:rPr>
        <w:t>There is no judicial guidance dealing with the assessment of recommendations for financial compensation for breaches of human rights under the AHRC</w:t>
      </w:r>
      <w:r>
        <w:rPr>
          <w:color w:val="231F20"/>
          <w:spacing w:val="-47"/>
          <w:sz w:val="24"/>
        </w:rPr>
        <w:t> </w:t>
      </w:r>
      <w:r>
        <w:rPr>
          <w:color w:val="231F20"/>
          <w:sz w:val="24"/>
        </w:rPr>
        <w:t>Act.</w:t>
      </w:r>
    </w:p>
    <w:p>
      <w:pPr>
        <w:pStyle w:val="ListParagraph"/>
        <w:numPr>
          <w:ilvl w:val="0"/>
          <w:numId w:val="3"/>
        </w:numPr>
        <w:tabs>
          <w:tab w:pos="797" w:val="left" w:leader="none"/>
          <w:tab w:pos="798" w:val="left" w:leader="none"/>
        </w:tabs>
        <w:spacing w:line="249" w:lineRule="auto" w:before="114" w:after="0"/>
        <w:ind w:left="797" w:right="596" w:hanging="680"/>
        <w:jc w:val="left"/>
        <w:rPr>
          <w:sz w:val="14"/>
        </w:rPr>
      </w:pPr>
      <w:r>
        <w:rPr>
          <w:color w:val="231F20"/>
          <w:spacing w:val="-3"/>
          <w:sz w:val="24"/>
        </w:rPr>
        <w:t>However, </w:t>
      </w:r>
      <w:r>
        <w:rPr>
          <w:color w:val="231F20"/>
          <w:sz w:val="24"/>
        </w:rPr>
        <w:t>in considering the assessment of a recommendation for compensation</w:t>
      </w:r>
      <w:r>
        <w:rPr>
          <w:color w:val="231F20"/>
          <w:spacing w:val="-3"/>
          <w:sz w:val="24"/>
        </w:rPr>
        <w:t> </w:t>
      </w:r>
      <w:r>
        <w:rPr>
          <w:color w:val="231F20"/>
          <w:sz w:val="24"/>
        </w:rPr>
        <w:t>under</w:t>
      </w:r>
      <w:r>
        <w:rPr>
          <w:color w:val="231F20"/>
          <w:spacing w:val="-2"/>
          <w:sz w:val="24"/>
        </w:rPr>
        <w:t> </w:t>
      </w:r>
      <w:r>
        <w:rPr>
          <w:color w:val="231F20"/>
          <w:sz w:val="24"/>
        </w:rPr>
        <w:t>section</w:t>
      </w:r>
      <w:r>
        <w:rPr>
          <w:color w:val="231F20"/>
          <w:spacing w:val="-3"/>
          <w:sz w:val="24"/>
        </w:rPr>
        <w:t> </w:t>
      </w:r>
      <w:r>
        <w:rPr>
          <w:color w:val="231F20"/>
          <w:sz w:val="24"/>
        </w:rPr>
        <w:t>35</w:t>
      </w:r>
      <w:r>
        <w:rPr>
          <w:color w:val="231F20"/>
          <w:spacing w:val="-2"/>
          <w:sz w:val="24"/>
        </w:rPr>
        <w:t> </w:t>
      </w:r>
      <w:r>
        <w:rPr>
          <w:color w:val="231F20"/>
          <w:sz w:val="24"/>
        </w:rPr>
        <w:t>of</w:t>
      </w:r>
      <w:r>
        <w:rPr>
          <w:color w:val="231F20"/>
          <w:spacing w:val="-2"/>
          <w:sz w:val="24"/>
        </w:rPr>
        <w:t> </w:t>
      </w:r>
      <w:r>
        <w:rPr>
          <w:color w:val="231F20"/>
          <w:sz w:val="24"/>
        </w:rPr>
        <w:t>the</w:t>
      </w:r>
      <w:r>
        <w:rPr>
          <w:color w:val="231F20"/>
          <w:spacing w:val="-15"/>
          <w:sz w:val="24"/>
        </w:rPr>
        <w:t> </w:t>
      </w:r>
      <w:r>
        <w:rPr>
          <w:color w:val="231F20"/>
          <w:sz w:val="24"/>
        </w:rPr>
        <w:t>AHRC</w:t>
      </w:r>
      <w:r>
        <w:rPr>
          <w:color w:val="231F20"/>
          <w:spacing w:val="-16"/>
          <w:sz w:val="24"/>
        </w:rPr>
        <w:t> </w:t>
      </w:r>
      <w:r>
        <w:rPr>
          <w:color w:val="231F20"/>
          <w:sz w:val="24"/>
        </w:rPr>
        <w:t>Act</w:t>
      </w:r>
      <w:r>
        <w:rPr>
          <w:color w:val="231F20"/>
          <w:spacing w:val="-2"/>
          <w:sz w:val="24"/>
        </w:rPr>
        <w:t> </w:t>
      </w:r>
      <w:r>
        <w:rPr>
          <w:color w:val="231F20"/>
          <w:sz w:val="24"/>
        </w:rPr>
        <w:t>(relating</w:t>
      </w:r>
      <w:r>
        <w:rPr>
          <w:color w:val="231F20"/>
          <w:spacing w:val="-3"/>
          <w:sz w:val="24"/>
        </w:rPr>
        <w:t> </w:t>
      </w:r>
      <w:r>
        <w:rPr>
          <w:color w:val="231F20"/>
          <w:sz w:val="24"/>
        </w:rPr>
        <w:t>to</w:t>
      </w:r>
      <w:r>
        <w:rPr>
          <w:color w:val="231F20"/>
          <w:spacing w:val="-3"/>
          <w:sz w:val="24"/>
        </w:rPr>
        <w:t> </w:t>
      </w:r>
      <w:r>
        <w:rPr>
          <w:color w:val="231F20"/>
          <w:sz w:val="24"/>
        </w:rPr>
        <w:t>discrimination matters under Part II, Division 4 of the AHRC Act), the Federal Court has indicated that tort principles for the assessment of damages should be </w:t>
      </w:r>
      <w:r>
        <w:rPr>
          <w:color w:val="231F20"/>
          <w:position w:val="-7"/>
          <w:sz w:val="24"/>
        </w:rPr>
        <w:t>applied.</w:t>
      </w:r>
      <w:hyperlink w:history="true" w:anchor="_bookmark27">
        <w:r>
          <w:rPr>
            <w:color w:val="231F20"/>
            <w:sz w:val="14"/>
          </w:rPr>
          <w:t>16</w:t>
        </w:r>
      </w:hyperlink>
    </w:p>
    <w:p>
      <w:pPr>
        <w:pStyle w:val="ListParagraph"/>
        <w:numPr>
          <w:ilvl w:val="0"/>
          <w:numId w:val="3"/>
        </w:numPr>
        <w:tabs>
          <w:tab w:pos="797" w:val="left" w:leader="none"/>
          <w:tab w:pos="798" w:val="left" w:leader="none"/>
        </w:tabs>
        <w:spacing w:line="249" w:lineRule="auto" w:before="114" w:after="0"/>
        <w:ind w:left="797" w:right="275" w:hanging="680"/>
        <w:jc w:val="left"/>
        <w:rPr>
          <w:sz w:val="14"/>
        </w:rPr>
      </w:pPr>
      <w:r>
        <w:rPr>
          <w:color w:val="231F20"/>
          <w:sz w:val="24"/>
        </w:rPr>
        <w:t>I am of the view that this is the appropriate approach to take to the present matter. For this reason, so far as is possible in the case of a</w:t>
      </w:r>
      <w:r>
        <w:rPr>
          <w:color w:val="231F20"/>
          <w:spacing w:val="-31"/>
          <w:sz w:val="24"/>
        </w:rPr>
        <w:t> </w:t>
      </w:r>
      <w:r>
        <w:rPr>
          <w:color w:val="231F20"/>
          <w:sz w:val="24"/>
        </w:rPr>
        <w:t>recommendation for compensation, the object should be to place the injured party in the same position as if the wrong had not</w:t>
      </w:r>
      <w:r>
        <w:rPr>
          <w:color w:val="231F20"/>
          <w:spacing w:val="-28"/>
          <w:sz w:val="24"/>
        </w:rPr>
        <w:t> </w:t>
      </w:r>
      <w:r>
        <w:rPr>
          <w:color w:val="231F20"/>
          <w:sz w:val="24"/>
        </w:rPr>
        <w:t>occurred.</w:t>
      </w:r>
      <w:hyperlink w:history="true" w:anchor="_bookmark28">
        <w:r>
          <w:rPr>
            <w:color w:val="231F20"/>
            <w:position w:val="8"/>
            <w:sz w:val="14"/>
          </w:rPr>
          <w:t>17</w:t>
        </w:r>
      </w:hyperlink>
    </w:p>
    <w:p>
      <w:pPr>
        <w:spacing w:after="0" w:line="249" w:lineRule="auto"/>
        <w:jc w:val="left"/>
        <w:rPr>
          <w:sz w:val="14"/>
        </w:rPr>
        <w:sectPr>
          <w:pgSz w:w="11910" w:h="16840"/>
          <w:pgMar w:header="0" w:footer="692" w:top="1580" w:bottom="880" w:left="13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Heading3"/>
        <w:numPr>
          <w:ilvl w:val="0"/>
          <w:numId w:val="10"/>
        </w:numPr>
        <w:tabs>
          <w:tab w:pos="797" w:val="left" w:leader="none"/>
          <w:tab w:pos="798" w:val="left" w:leader="none"/>
        </w:tabs>
        <w:spacing w:line="240" w:lineRule="auto" w:before="0" w:after="0"/>
        <w:ind w:left="797" w:right="0" w:hanging="680"/>
        <w:jc w:val="left"/>
      </w:pPr>
      <w:bookmarkStart w:name="_bookmark9" w:id="19"/>
      <w:bookmarkEnd w:id="19"/>
      <w:r>
        <w:rPr>
          <w:b w:val="0"/>
        </w:rPr>
      </w:r>
      <w:bookmarkStart w:name="_bookmark9" w:id="20"/>
      <w:bookmarkEnd w:id="20"/>
      <w:r>
        <w:rPr>
          <w:color w:val="231F20"/>
        </w:rPr>
        <w:t>Compensation</w:t>
      </w:r>
    </w:p>
    <w:p>
      <w:pPr>
        <w:pStyle w:val="ListParagraph"/>
        <w:numPr>
          <w:ilvl w:val="0"/>
          <w:numId w:val="3"/>
        </w:numPr>
        <w:tabs>
          <w:tab w:pos="797" w:val="left" w:leader="none"/>
          <w:tab w:pos="798" w:val="left" w:leader="none"/>
        </w:tabs>
        <w:spacing w:line="249" w:lineRule="auto" w:before="182" w:after="0"/>
        <w:ind w:left="797" w:right="309" w:hanging="680"/>
        <w:jc w:val="left"/>
        <w:rPr>
          <w:sz w:val="24"/>
        </w:rPr>
      </w:pPr>
      <w:r>
        <w:rPr>
          <w:color w:val="231F20"/>
          <w:sz w:val="24"/>
        </w:rPr>
        <w:t>I must now consider the appropriate compensation for Mr BF and his son for breaches of article 9(1) of the ICCPR and article 37(b) of the CRC, as well as article 3 of the</w:t>
      </w:r>
      <w:r>
        <w:rPr>
          <w:color w:val="231F20"/>
          <w:spacing w:val="-12"/>
          <w:sz w:val="24"/>
        </w:rPr>
        <w:t> </w:t>
      </w:r>
      <w:r>
        <w:rPr>
          <w:color w:val="231F20"/>
          <w:sz w:val="24"/>
        </w:rPr>
        <w:t>CRC.</w:t>
      </w:r>
    </w:p>
    <w:p>
      <w:pPr>
        <w:pStyle w:val="ListParagraph"/>
        <w:numPr>
          <w:ilvl w:val="0"/>
          <w:numId w:val="3"/>
        </w:numPr>
        <w:tabs>
          <w:tab w:pos="797" w:val="left" w:leader="none"/>
          <w:tab w:pos="798" w:val="left" w:leader="none"/>
        </w:tabs>
        <w:spacing w:line="249" w:lineRule="auto" w:before="114" w:after="0"/>
        <w:ind w:left="797" w:right="108" w:hanging="680"/>
        <w:jc w:val="left"/>
        <w:rPr>
          <w:sz w:val="24"/>
        </w:rPr>
      </w:pPr>
      <w:r>
        <w:rPr>
          <w:color w:val="231F20"/>
          <w:sz w:val="24"/>
        </w:rPr>
        <w:t>In the particular circumstances of this case, the ‘wrong’ that has occurred is that both Mr BF and his son were in immigration detention for a period of 8 months. I have found this length of detention to be disproportionate to any legitimate aim of the Commonwealth and therefore arbitrary under article 9(1) of the ICCPR and article 37(b) of the CRC. I have also found that there is no evidence that the department either identified Master BG’s best interests or took them into account as a primary consideration when deciding not to refer his and his father’s cases to the Minister for consideration of a residence determination in breach of article 3 of the CRC. Accordingly, in this case, there is a close relationship between the breach of article 3 of the CRC and the right to </w:t>
      </w:r>
      <w:r>
        <w:rPr>
          <w:color w:val="231F20"/>
          <w:spacing w:val="-3"/>
          <w:sz w:val="24"/>
        </w:rPr>
        <w:t>liberty. </w:t>
      </w:r>
      <w:r>
        <w:rPr>
          <w:color w:val="231F20"/>
          <w:sz w:val="24"/>
        </w:rPr>
        <w:t>I therefore consider that damages awarded in false imprisonment cases provide an appropriate guide for the award of compensation in this case. This is because the damages that are available in false imprisonment matters provide an indication of how the courts have considered it appropriate to compensate for loss of</w:t>
      </w:r>
      <w:r>
        <w:rPr>
          <w:color w:val="231F20"/>
          <w:spacing w:val="-6"/>
          <w:sz w:val="24"/>
        </w:rPr>
        <w:t> </w:t>
      </w:r>
      <w:r>
        <w:rPr>
          <w:color w:val="231F20"/>
          <w:spacing w:val="-3"/>
          <w:sz w:val="24"/>
        </w:rPr>
        <w:t>liberty.</w:t>
      </w:r>
    </w:p>
    <w:p>
      <w:pPr>
        <w:pStyle w:val="ListParagraph"/>
        <w:numPr>
          <w:ilvl w:val="0"/>
          <w:numId w:val="3"/>
        </w:numPr>
        <w:tabs>
          <w:tab w:pos="797" w:val="left" w:leader="none"/>
          <w:tab w:pos="798" w:val="left" w:leader="none"/>
        </w:tabs>
        <w:spacing w:line="249" w:lineRule="auto" w:before="114" w:after="0"/>
        <w:ind w:left="797" w:right="162" w:hanging="680"/>
        <w:jc w:val="left"/>
        <w:rPr>
          <w:sz w:val="24"/>
        </w:rPr>
      </w:pPr>
      <w:r>
        <w:rPr>
          <w:color w:val="231F20"/>
          <w:sz w:val="24"/>
        </w:rPr>
        <w:t>I note that the tort of false imprisonment is a more limited action than an action for breach of article 9(1) of the ICCPR (or articles 37(b) and 3 of the CRC). This is because an action for false imprisonment cannot succeed where there is lawful authority for the detention, whereas a breach of article 9(1) of the ICCPR or articles 37(b) or 3 of the CRC may be made out where it can be established that the detention was </w:t>
      </w:r>
      <w:r>
        <w:rPr>
          <w:color w:val="231F20"/>
          <w:spacing w:val="-3"/>
          <w:sz w:val="24"/>
        </w:rPr>
        <w:t>arbitrary, </w:t>
      </w:r>
      <w:r>
        <w:rPr>
          <w:color w:val="231F20"/>
          <w:sz w:val="24"/>
        </w:rPr>
        <w:t>irrespective of</w:t>
      </w:r>
      <w:r>
        <w:rPr>
          <w:color w:val="231F20"/>
          <w:spacing w:val="-25"/>
          <w:sz w:val="24"/>
        </w:rPr>
        <w:t> </w:t>
      </w:r>
      <w:r>
        <w:rPr>
          <w:color w:val="231F20"/>
          <w:spacing w:val="-3"/>
          <w:sz w:val="24"/>
        </w:rPr>
        <w:t>legality.</w:t>
      </w:r>
    </w:p>
    <w:p>
      <w:pPr>
        <w:pStyle w:val="ListParagraph"/>
        <w:numPr>
          <w:ilvl w:val="0"/>
          <w:numId w:val="3"/>
        </w:numPr>
        <w:tabs>
          <w:tab w:pos="797" w:val="left" w:leader="none"/>
          <w:tab w:pos="798" w:val="left" w:leader="none"/>
        </w:tabs>
        <w:spacing w:line="249" w:lineRule="auto" w:before="114" w:after="0"/>
        <w:ind w:left="797" w:right="224" w:hanging="680"/>
        <w:jc w:val="left"/>
        <w:rPr>
          <w:sz w:val="14"/>
        </w:rPr>
      </w:pPr>
      <w:r>
        <w:rPr>
          <w:color w:val="231F20"/>
          <w:sz w:val="24"/>
        </w:rPr>
        <w:t>The principle heads of damage for a tort of this nature are injury to liberty (the loss of freedom considered primarily from a non-pecuniary standpoint) and injury to feelings (the </w:t>
      </w:r>
      <w:r>
        <w:rPr>
          <w:color w:val="231F20"/>
          <w:spacing w:val="-3"/>
          <w:sz w:val="24"/>
        </w:rPr>
        <w:t>indignity, </w:t>
      </w:r>
      <w:r>
        <w:rPr>
          <w:color w:val="231F20"/>
          <w:sz w:val="24"/>
        </w:rPr>
        <w:t>mental suffering, disgrace and humiliation, with any attendant loss of social</w:t>
      </w:r>
      <w:r>
        <w:rPr>
          <w:color w:val="231F20"/>
          <w:spacing w:val="-17"/>
          <w:sz w:val="24"/>
        </w:rPr>
        <w:t> </w:t>
      </w:r>
      <w:r>
        <w:rPr>
          <w:color w:val="231F20"/>
          <w:sz w:val="24"/>
        </w:rPr>
        <w:t>status).</w:t>
      </w:r>
      <w:hyperlink w:history="true" w:anchor="_bookmark29">
        <w:r>
          <w:rPr>
            <w:color w:val="231F20"/>
            <w:position w:val="8"/>
            <w:sz w:val="14"/>
          </w:rPr>
          <w:t>18</w:t>
        </w:r>
      </w:hyperlink>
    </w:p>
    <w:p>
      <w:pPr>
        <w:spacing w:after="0" w:line="249" w:lineRule="auto"/>
        <w:jc w:val="left"/>
        <w:rPr>
          <w:sz w:val="14"/>
        </w:rPr>
        <w:sectPr>
          <w:pgSz w:w="11910" w:h="16840"/>
          <w:pgMar w:header="0" w:footer="692" w:top="1580" w:bottom="880" w:left="130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116" w:hanging="680"/>
        <w:jc w:val="left"/>
        <w:rPr>
          <w:sz w:val="14"/>
        </w:rPr>
      </w:pPr>
      <w:r>
        <w:rPr>
          <w:color w:val="231F20"/>
          <w:sz w:val="24"/>
        </w:rPr>
        <w:t>In the case of </w:t>
      </w:r>
      <w:r>
        <w:rPr>
          <w:i/>
          <w:color w:val="231F20"/>
          <w:sz w:val="24"/>
        </w:rPr>
        <w:t>Fernando v Commonwealth of Australia (No 5)</w:t>
      </w:r>
      <w:r>
        <w:rPr>
          <w:color w:val="231F20"/>
          <w:sz w:val="24"/>
        </w:rPr>
        <w:t>,</w:t>
      </w:r>
      <w:hyperlink w:history="true" w:anchor="_bookmark30">
        <w:r>
          <w:rPr>
            <w:color w:val="231F20"/>
            <w:position w:val="8"/>
            <w:sz w:val="14"/>
          </w:rPr>
          <w:t>19</w:t>
        </w:r>
      </w:hyperlink>
      <w:r>
        <w:rPr>
          <w:color w:val="231F20"/>
          <w:position w:val="8"/>
          <w:sz w:val="14"/>
        </w:rPr>
        <w:t> </w:t>
      </w:r>
      <w:r>
        <w:rPr>
          <w:color w:val="231F20"/>
          <w:sz w:val="24"/>
        </w:rPr>
        <w:t>Siopis J considered the judicial guidance available on the quantum of damages for loss of liberty for a long period arising from wrongful imprisonment. Siopis J referred to the case of </w:t>
      </w:r>
      <w:r>
        <w:rPr>
          <w:i/>
          <w:color w:val="231F20"/>
          <w:sz w:val="24"/>
        </w:rPr>
        <w:t>Nye v State of New South</w:t>
      </w:r>
      <w:r>
        <w:rPr>
          <w:i/>
          <w:color w:val="231F20"/>
          <w:spacing w:val="-20"/>
          <w:sz w:val="24"/>
        </w:rPr>
        <w:t> </w:t>
      </w:r>
      <w:r>
        <w:rPr>
          <w:i/>
          <w:color w:val="231F20"/>
          <w:sz w:val="24"/>
        </w:rPr>
        <w:t>Wales</w:t>
      </w:r>
      <w:r>
        <w:rPr>
          <w:color w:val="231F20"/>
          <w:sz w:val="24"/>
        </w:rPr>
        <w:t>:</w:t>
      </w:r>
      <w:hyperlink w:history="true" w:anchor="_bookmark31">
        <w:r>
          <w:rPr>
            <w:color w:val="231F20"/>
            <w:position w:val="8"/>
            <w:sz w:val="14"/>
          </w:rPr>
          <w:t>20</w:t>
        </w:r>
      </w:hyperlink>
    </w:p>
    <w:p>
      <w:pPr>
        <w:spacing w:line="249" w:lineRule="auto" w:before="166"/>
        <w:ind w:left="1364" w:right="197" w:firstLine="0"/>
        <w:jc w:val="left"/>
        <w:rPr>
          <w:sz w:val="22"/>
        </w:rPr>
      </w:pPr>
      <w:r>
        <w:rPr>
          <w:color w:val="231F20"/>
          <w:sz w:val="22"/>
        </w:rPr>
        <w:t>The </w:t>
      </w:r>
      <w:r>
        <w:rPr>
          <w:i/>
          <w:color w:val="231F20"/>
          <w:sz w:val="22"/>
        </w:rPr>
        <w:t>Nye </w:t>
      </w:r>
      <w:r>
        <w:rPr>
          <w:color w:val="231F20"/>
          <w:sz w:val="22"/>
        </w:rPr>
        <w:t>case is useful in one respect, namely, that the court was required to consider the quantum of damages to be awarded to Mr Nye in respect of his loss of liberty for a period of some 16 months which he spent in Long Bay Gaol. In doing so, consistently with the approach recognised by Spigelman CJ in </w:t>
      </w:r>
      <w:r>
        <w:rPr>
          <w:i/>
          <w:color w:val="231F20"/>
          <w:sz w:val="22"/>
        </w:rPr>
        <w:t>Ruddock </w:t>
      </w:r>
      <w:r>
        <w:rPr>
          <w:color w:val="231F20"/>
          <w:sz w:val="22"/>
        </w:rPr>
        <w:t>(NSWCA), the Court did not assess damages by application of a daily rate, but awarded Mr Nye the sum of $100,000 in general damages. It is also relevant to observe that in </w:t>
      </w:r>
      <w:r>
        <w:rPr>
          <w:i/>
          <w:color w:val="231F20"/>
          <w:sz w:val="22"/>
        </w:rPr>
        <w:t>Nye</w:t>
      </w:r>
      <w:r>
        <w:rPr>
          <w:color w:val="231F20"/>
          <w:sz w:val="22"/>
        </w:rPr>
        <w:t>, the court referred to the fact that for a period</w:t>
      </w:r>
    </w:p>
    <w:p>
      <w:pPr>
        <w:spacing w:line="249" w:lineRule="auto" w:before="1"/>
        <w:ind w:left="1364" w:right="405" w:firstLine="0"/>
        <w:jc w:val="left"/>
        <w:rPr>
          <w:sz w:val="13"/>
        </w:rPr>
      </w:pPr>
      <w:r>
        <w:rPr>
          <w:color w:val="231F20"/>
          <w:sz w:val="22"/>
        </w:rPr>
        <w:t>of time during his detention in Long Bay Gaol, Mr Nye feared for his life at the hands of other inmates of that gaol.</w:t>
      </w:r>
      <w:hyperlink w:history="true" w:anchor="_bookmark32">
        <w:r>
          <w:rPr>
            <w:color w:val="231F20"/>
            <w:position w:val="7"/>
            <w:sz w:val="13"/>
          </w:rPr>
          <w:t>21</w:t>
        </w:r>
      </w:hyperlink>
    </w:p>
    <w:p>
      <w:pPr>
        <w:pStyle w:val="ListParagraph"/>
        <w:numPr>
          <w:ilvl w:val="0"/>
          <w:numId w:val="3"/>
        </w:numPr>
        <w:tabs>
          <w:tab w:pos="797" w:val="left" w:leader="none"/>
          <w:tab w:pos="798" w:val="left" w:leader="none"/>
        </w:tabs>
        <w:spacing w:line="249" w:lineRule="auto" w:before="176" w:after="0"/>
        <w:ind w:left="797" w:right="489" w:hanging="680"/>
        <w:jc w:val="left"/>
        <w:rPr>
          <w:sz w:val="24"/>
        </w:rPr>
      </w:pPr>
      <w:r>
        <w:rPr>
          <w:color w:val="231F20"/>
          <w:sz w:val="24"/>
        </w:rPr>
        <w:t>Siopis J noted that further guidance on the quantum of damages for loss of liberty for a long period arising from wrongful imprisonment can be obtained from the case of </w:t>
      </w:r>
      <w:r>
        <w:rPr>
          <w:i/>
          <w:color w:val="231F20"/>
          <w:sz w:val="24"/>
        </w:rPr>
        <w:t>Ruddock </w:t>
      </w:r>
      <w:r>
        <w:rPr>
          <w:color w:val="231F20"/>
          <w:sz w:val="24"/>
        </w:rPr>
        <w:t>(NSWCA).</w:t>
      </w:r>
      <w:hyperlink w:history="true" w:anchor="_bookmark33">
        <w:r>
          <w:rPr>
            <w:color w:val="231F20"/>
            <w:position w:val="8"/>
            <w:sz w:val="14"/>
          </w:rPr>
          <w:t>22</w:t>
        </w:r>
      </w:hyperlink>
      <w:r>
        <w:rPr>
          <w:color w:val="231F20"/>
          <w:position w:val="8"/>
          <w:sz w:val="14"/>
        </w:rPr>
        <w:t> </w:t>
      </w:r>
      <w:r>
        <w:rPr>
          <w:color w:val="231F20"/>
          <w:sz w:val="24"/>
        </w:rPr>
        <w:t>In that case at first instance,</w:t>
      </w:r>
      <w:hyperlink w:history="true" w:anchor="_bookmark34">
        <w:r>
          <w:rPr>
            <w:color w:val="231F20"/>
            <w:position w:val="8"/>
            <w:sz w:val="14"/>
          </w:rPr>
          <w:t>23</w:t>
        </w:r>
      </w:hyperlink>
      <w:r>
        <w:rPr>
          <w:color w:val="231F20"/>
          <w:position w:val="8"/>
          <w:sz w:val="14"/>
        </w:rPr>
        <w:t> </w:t>
      </w:r>
      <w:r>
        <w:rPr>
          <w:color w:val="231F20"/>
          <w:sz w:val="24"/>
        </w:rPr>
        <w:t>the New South </w:t>
      </w:r>
      <w:r>
        <w:rPr>
          <w:color w:val="231F20"/>
          <w:spacing w:val="-3"/>
          <w:sz w:val="24"/>
        </w:rPr>
        <w:t>Wales </w:t>
      </w:r>
      <w:r>
        <w:rPr>
          <w:color w:val="231F20"/>
          <w:sz w:val="24"/>
        </w:rPr>
        <w:t>District Court awarded the plaintiff, Mr </w:t>
      </w:r>
      <w:r>
        <w:rPr>
          <w:color w:val="231F20"/>
          <w:spacing w:val="-7"/>
          <w:sz w:val="24"/>
        </w:rPr>
        <w:t>Taylor, </w:t>
      </w:r>
      <w:r>
        <w:rPr>
          <w:color w:val="231F20"/>
          <w:sz w:val="24"/>
        </w:rPr>
        <w:t>the sum</w:t>
      </w:r>
      <w:r>
        <w:rPr>
          <w:color w:val="231F20"/>
          <w:spacing w:val="-23"/>
          <w:sz w:val="24"/>
        </w:rPr>
        <w:t> </w:t>
      </w:r>
      <w:r>
        <w:rPr>
          <w:color w:val="231F20"/>
          <w:sz w:val="24"/>
        </w:rPr>
        <w:t>of</w:t>
      </w:r>
    </w:p>
    <w:p>
      <w:pPr>
        <w:pStyle w:val="BodyText"/>
        <w:spacing w:line="249" w:lineRule="auto" w:before="1"/>
        <w:ind w:left="797" w:right="338"/>
      </w:pPr>
      <w:r>
        <w:rPr>
          <w:color w:val="231F20"/>
        </w:rPr>
        <w:t>$116,000 in damages in respect of wrongful imprisonment, consequent upon his detention following the cancellation of his permanent residency visa on character grounds.</w:t>
      </w:r>
    </w:p>
    <w:p>
      <w:pPr>
        <w:pStyle w:val="ListParagraph"/>
        <w:numPr>
          <w:ilvl w:val="0"/>
          <w:numId w:val="3"/>
        </w:numPr>
        <w:tabs>
          <w:tab w:pos="797" w:val="left" w:leader="none"/>
          <w:tab w:pos="798" w:val="left" w:leader="none"/>
        </w:tabs>
        <w:spacing w:line="249" w:lineRule="auto" w:before="114" w:after="0"/>
        <w:ind w:left="797" w:right="764" w:hanging="680"/>
        <w:jc w:val="left"/>
        <w:rPr>
          <w:sz w:val="24"/>
        </w:rPr>
      </w:pPr>
      <w:r>
        <w:rPr>
          <w:color w:val="231F20"/>
          <w:sz w:val="24"/>
        </w:rPr>
        <w:t>Mr </w:t>
      </w:r>
      <w:r>
        <w:rPr>
          <w:color w:val="231F20"/>
          <w:spacing w:val="-6"/>
          <w:sz w:val="24"/>
        </w:rPr>
        <w:t>Taylor </w:t>
      </w:r>
      <w:r>
        <w:rPr>
          <w:color w:val="231F20"/>
          <w:sz w:val="24"/>
        </w:rPr>
        <w:t>was detained for two separate periods. The first was for 161 days and the second was for 155 days. In that case, because Mr </w:t>
      </w:r>
      <w:r>
        <w:rPr>
          <w:color w:val="231F20"/>
          <w:spacing w:val="-4"/>
          <w:sz w:val="24"/>
        </w:rPr>
        <w:t>Taylor’s </w:t>
      </w:r>
      <w:r>
        <w:rPr>
          <w:color w:val="231F20"/>
          <w:sz w:val="24"/>
        </w:rPr>
        <w:t>convictions were in relation to sexual offences against children, Mr</w:t>
      </w:r>
      <w:r>
        <w:rPr>
          <w:color w:val="231F20"/>
          <w:spacing w:val="-22"/>
          <w:sz w:val="24"/>
        </w:rPr>
        <w:t> </w:t>
      </w:r>
      <w:r>
        <w:rPr>
          <w:color w:val="231F20"/>
          <w:spacing w:val="-6"/>
          <w:sz w:val="24"/>
        </w:rPr>
        <w:t>Taylor</w:t>
      </w:r>
    </w:p>
    <w:p>
      <w:pPr>
        <w:pStyle w:val="BodyText"/>
        <w:spacing w:line="249" w:lineRule="auto"/>
        <w:ind w:left="797"/>
      </w:pPr>
      <w:r>
        <w:rPr>
          <w:color w:val="231F20"/>
        </w:rPr>
        <w:t>was detained in a state prison under a ‘strict protection’ regime and not in an immigration detention centre. The detention regime to which Mr Taylor was subjected was described as a ‘particularly harsh one’.</w:t>
      </w:r>
    </w:p>
    <w:p>
      <w:pPr>
        <w:pStyle w:val="ListParagraph"/>
        <w:numPr>
          <w:ilvl w:val="0"/>
          <w:numId w:val="3"/>
        </w:numPr>
        <w:tabs>
          <w:tab w:pos="797" w:val="left" w:leader="none"/>
          <w:tab w:pos="798" w:val="left" w:leader="none"/>
        </w:tabs>
        <w:spacing w:line="249" w:lineRule="auto" w:before="114" w:after="0"/>
        <w:ind w:left="797" w:right="275" w:hanging="680"/>
        <w:jc w:val="left"/>
        <w:rPr>
          <w:sz w:val="14"/>
        </w:rPr>
      </w:pPr>
      <w:r>
        <w:rPr>
          <w:color w:val="231F20"/>
          <w:sz w:val="24"/>
        </w:rPr>
        <w:t>The Court also took into account the fact that Mr </w:t>
      </w:r>
      <w:r>
        <w:rPr>
          <w:color w:val="231F20"/>
          <w:spacing w:val="-6"/>
          <w:sz w:val="24"/>
        </w:rPr>
        <w:t>Taylor </w:t>
      </w:r>
      <w:r>
        <w:rPr>
          <w:color w:val="231F20"/>
          <w:sz w:val="24"/>
        </w:rPr>
        <w:t>had a long criminal record and that this was not his first experience of a loss of </w:t>
      </w:r>
      <w:r>
        <w:rPr>
          <w:color w:val="231F20"/>
          <w:spacing w:val="-3"/>
          <w:sz w:val="24"/>
        </w:rPr>
        <w:t>liberty. </w:t>
      </w:r>
      <w:r>
        <w:rPr>
          <w:color w:val="231F20"/>
          <w:sz w:val="24"/>
        </w:rPr>
        <w:t>He was also considered to be a person of low repute who would not have felt the disgrace and humiliation experienced by a person of good character in similar </w:t>
      </w:r>
      <w:r>
        <w:rPr>
          <w:color w:val="231F20"/>
          <w:position w:val="-7"/>
          <w:sz w:val="24"/>
        </w:rPr>
        <w:t>circumstances.</w:t>
      </w:r>
      <w:hyperlink w:history="true" w:anchor="_bookmark35">
        <w:r>
          <w:rPr>
            <w:color w:val="231F20"/>
            <w:sz w:val="14"/>
          </w:rPr>
          <w:t>24</w:t>
        </w:r>
      </w:hyperlink>
    </w:p>
    <w:p>
      <w:pPr>
        <w:pStyle w:val="ListParagraph"/>
        <w:numPr>
          <w:ilvl w:val="0"/>
          <w:numId w:val="3"/>
        </w:numPr>
        <w:tabs>
          <w:tab w:pos="797" w:val="left" w:leader="none"/>
          <w:tab w:pos="798" w:val="left" w:leader="none"/>
        </w:tabs>
        <w:spacing w:line="249" w:lineRule="auto" w:before="114" w:after="0"/>
        <w:ind w:left="797" w:right="123" w:hanging="680"/>
        <w:jc w:val="left"/>
        <w:rPr>
          <w:sz w:val="24"/>
        </w:rPr>
      </w:pPr>
      <w:r>
        <w:rPr>
          <w:color w:val="231F20"/>
          <w:sz w:val="24"/>
        </w:rPr>
        <w:t>On appeal, in the New South </w:t>
      </w:r>
      <w:r>
        <w:rPr>
          <w:color w:val="231F20"/>
          <w:spacing w:val="-3"/>
          <w:sz w:val="24"/>
        </w:rPr>
        <w:t>Wales </w:t>
      </w:r>
      <w:r>
        <w:rPr>
          <w:color w:val="231F20"/>
          <w:sz w:val="24"/>
        </w:rPr>
        <w:t>Court of Appeal, Spigelman CJ considered the adequacy of the damages awarded to Mr </w:t>
      </w:r>
      <w:r>
        <w:rPr>
          <w:color w:val="231F20"/>
          <w:spacing w:val="-6"/>
          <w:sz w:val="24"/>
        </w:rPr>
        <w:t>Taylor </w:t>
      </w:r>
      <w:r>
        <w:rPr>
          <w:color w:val="231F20"/>
          <w:sz w:val="24"/>
        </w:rPr>
        <w:t>and observed that the quantum of damages was </w:t>
      </w:r>
      <w:r>
        <w:rPr>
          <w:color w:val="231F20"/>
          <w:spacing w:val="-4"/>
          <w:sz w:val="24"/>
        </w:rPr>
        <w:t>low, </w:t>
      </w:r>
      <w:r>
        <w:rPr>
          <w:color w:val="231F20"/>
          <w:sz w:val="24"/>
        </w:rPr>
        <w:t>but not so low as to amount to an appellable </w:t>
      </w:r>
      <w:r>
        <w:rPr>
          <w:color w:val="231F20"/>
          <w:spacing w:val="-3"/>
          <w:sz w:val="24"/>
        </w:rPr>
        <w:t>error.</w:t>
      </w:r>
      <w:hyperlink w:history="true" w:anchor="_bookmark36">
        <w:r>
          <w:rPr>
            <w:color w:val="231F20"/>
            <w:spacing w:val="-3"/>
            <w:position w:val="8"/>
            <w:sz w:val="14"/>
          </w:rPr>
          <w:t>25</w:t>
        </w:r>
      </w:hyperlink>
      <w:r>
        <w:rPr>
          <w:color w:val="231F20"/>
          <w:spacing w:val="-3"/>
          <w:position w:val="8"/>
          <w:sz w:val="14"/>
        </w:rPr>
        <w:t> </w:t>
      </w:r>
      <w:r>
        <w:rPr>
          <w:color w:val="231F20"/>
          <w:sz w:val="24"/>
        </w:rPr>
        <w:t>Spigelman CJ also observed</w:t>
      </w:r>
      <w:r>
        <w:rPr>
          <w:color w:val="231F20"/>
          <w:spacing w:val="-4"/>
          <w:sz w:val="24"/>
        </w:rPr>
        <w:t> </w:t>
      </w:r>
      <w:r>
        <w:rPr>
          <w:color w:val="231F20"/>
          <w:sz w:val="24"/>
        </w:rPr>
        <w:t>that:</w:t>
      </w:r>
    </w:p>
    <w:p>
      <w:pPr>
        <w:spacing w:line="249" w:lineRule="auto" w:before="165"/>
        <w:ind w:left="1364" w:right="308" w:firstLine="0"/>
        <w:jc w:val="left"/>
        <w:rPr>
          <w:sz w:val="22"/>
        </w:rPr>
      </w:pPr>
      <w:r>
        <w:rPr>
          <w:color w:val="231F20"/>
          <w:sz w:val="22"/>
        </w:rPr>
        <w:t>Damages for false imprisonment cannot be computed on the basis that there is some kind of applicable daily rate. A substantial proportion of the ultimate award must be given for what has been described as “the initial shock of being arrested”. (</w:t>
      </w:r>
      <w:r>
        <w:rPr>
          <w:i/>
          <w:color w:val="231F20"/>
          <w:sz w:val="22"/>
        </w:rPr>
        <w:t>Thompson; Hsu v Commissioner of Police of the Metropolis</w:t>
      </w:r>
      <w:r>
        <w:rPr>
          <w:i/>
          <w:color w:val="231F20"/>
          <w:spacing w:val="-27"/>
          <w:sz w:val="22"/>
        </w:rPr>
        <w:t> </w:t>
      </w:r>
      <w:r>
        <w:rPr>
          <w:color w:val="231F20"/>
          <w:sz w:val="22"/>
        </w:rPr>
        <w:t>[1998]</w:t>
      </w:r>
    </w:p>
    <w:p>
      <w:pPr>
        <w:spacing w:line="249" w:lineRule="auto" w:before="0"/>
        <w:ind w:left="1364" w:right="0" w:firstLine="0"/>
        <w:jc w:val="left"/>
        <w:rPr>
          <w:sz w:val="13"/>
        </w:rPr>
      </w:pPr>
      <w:r>
        <w:rPr>
          <w:color w:val="231F20"/>
          <w:sz w:val="22"/>
        </w:rPr>
        <w:t>QB 498 at 515). As the term of imprisonment extends the effect upon the person falsely imprisoned does progressively diminish.</w:t>
      </w:r>
      <w:hyperlink w:history="true" w:anchor="_bookmark37">
        <w:r>
          <w:rPr>
            <w:color w:val="231F20"/>
            <w:position w:val="7"/>
            <w:sz w:val="13"/>
          </w:rPr>
          <w:t>26</w:t>
        </w:r>
      </w:hyperlink>
    </w:p>
    <w:p>
      <w:pPr>
        <w:spacing w:after="0" w:line="249" w:lineRule="auto"/>
        <w:jc w:val="left"/>
        <w:rPr>
          <w:sz w:val="13"/>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3"/>
        </w:numPr>
        <w:tabs>
          <w:tab w:pos="797" w:val="left" w:leader="none"/>
          <w:tab w:pos="798" w:val="left" w:leader="none"/>
        </w:tabs>
        <w:spacing w:line="249" w:lineRule="auto" w:before="0" w:after="0"/>
        <w:ind w:left="797" w:right="245" w:hanging="680"/>
        <w:jc w:val="left"/>
        <w:rPr>
          <w:sz w:val="24"/>
        </w:rPr>
      </w:pPr>
      <w:bookmarkStart w:name="_bookmark10" w:id="21"/>
      <w:bookmarkEnd w:id="21"/>
      <w:r>
        <w:rPr/>
      </w:r>
      <w:bookmarkStart w:name="_bookmark10" w:id="22"/>
      <w:bookmarkEnd w:id="22"/>
      <w:r>
        <w:rPr>
          <w:color w:val="231F20"/>
          <w:sz w:val="24"/>
        </w:rPr>
        <w:t>Although</w:t>
      </w:r>
      <w:r>
        <w:rPr>
          <w:color w:val="231F20"/>
          <w:sz w:val="24"/>
        </w:rPr>
        <w:t> in </w:t>
      </w:r>
      <w:r>
        <w:rPr>
          <w:i/>
          <w:color w:val="231F20"/>
          <w:sz w:val="24"/>
        </w:rPr>
        <w:t>Fernando v Commonwealth of Australia (No 5)</w:t>
      </w:r>
      <w:r>
        <w:rPr>
          <w:color w:val="231F20"/>
          <w:sz w:val="24"/>
        </w:rPr>
        <w:t>, Siopis J</w:t>
      </w:r>
      <w:r>
        <w:rPr>
          <w:color w:val="231F20"/>
          <w:spacing w:val="-37"/>
          <w:sz w:val="24"/>
        </w:rPr>
        <w:t> </w:t>
      </w:r>
      <w:r>
        <w:rPr>
          <w:color w:val="231F20"/>
          <w:sz w:val="24"/>
        </w:rPr>
        <w:t>ultimately accepted the Commonwealth’s argument that Mr Fernando was only entitled to nominal damages,</w:t>
      </w:r>
      <w:hyperlink w:history="true" w:anchor="_bookmark38">
        <w:r>
          <w:rPr>
            <w:color w:val="231F20"/>
            <w:position w:val="8"/>
            <w:sz w:val="14"/>
          </w:rPr>
          <w:t>27</w:t>
        </w:r>
      </w:hyperlink>
      <w:r>
        <w:rPr>
          <w:color w:val="231F20"/>
          <w:position w:val="8"/>
          <w:sz w:val="14"/>
        </w:rPr>
        <w:t> </w:t>
      </w:r>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35"/>
          <w:sz w:val="24"/>
        </w:rPr>
        <w:t> </w:t>
      </w:r>
      <w:r>
        <w:rPr>
          <w:color w:val="231F20"/>
          <w:sz w:val="24"/>
        </w:rPr>
        <w:t>for</w:t>
      </w:r>
    </w:p>
    <w:p>
      <w:pPr>
        <w:pStyle w:val="BodyText"/>
        <w:spacing w:line="249" w:lineRule="auto" w:before="1"/>
        <w:ind w:left="797" w:right="115"/>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pPr>
        <w:pStyle w:val="BodyText"/>
        <w:spacing w:line="249" w:lineRule="auto" w:before="1"/>
        <w:ind w:left="797" w:right="137"/>
        <w:rPr>
          <w:sz w:val="14"/>
        </w:rPr>
      </w:pPr>
      <w:r>
        <w:rPr>
          <w:color w:val="231F20"/>
        </w:rPr>
        <w:t>the harsh ‘strict protection’ regime to which Mr </w:t>
      </w:r>
      <w:r>
        <w:rPr>
          <w:color w:val="231F20"/>
          <w:spacing w:val="-6"/>
        </w:rPr>
        <w:t>Taylor </w:t>
      </w:r>
      <w:r>
        <w:rPr>
          <w:color w:val="231F20"/>
        </w:rPr>
        <w:t>was subjected in a state prison, nor that Mr Fernando feared for his life at the hands of the inmates in the same way that Mr Nye did whilst he was detained at Long Bay Gaol.</w:t>
      </w:r>
      <w:r>
        <w:rPr>
          <w:color w:val="231F20"/>
          <w:spacing w:val="-40"/>
        </w:rPr>
        <w:t> </w:t>
      </w:r>
      <w:r>
        <w:rPr>
          <w:color w:val="231F20"/>
          <w:spacing w:val="-6"/>
        </w:rPr>
        <w:t>Taking </w:t>
      </w:r>
      <w:r>
        <w:rPr>
          <w:color w:val="231F20"/>
        </w:rPr>
        <w:t>all of these factors into account, Siopis J stated that he would have awarded Mr Fernando in respect of his 1,203 days in detention the sum of</w:t>
      </w:r>
      <w:r>
        <w:rPr>
          <w:color w:val="231F20"/>
          <w:spacing w:val="-33"/>
        </w:rPr>
        <w:t> </w:t>
      </w:r>
      <w:r>
        <w:rPr>
          <w:color w:val="231F20"/>
        </w:rPr>
        <w:t>$265,000.</w:t>
      </w:r>
      <w:hyperlink w:history="true" w:anchor="_bookmark39">
        <w:r>
          <w:rPr>
            <w:color w:val="231F20"/>
            <w:position w:val="8"/>
            <w:sz w:val="14"/>
          </w:rPr>
          <w:t>28</w:t>
        </w:r>
      </w:hyperlink>
    </w:p>
    <w:p>
      <w:pPr>
        <w:pStyle w:val="BodyText"/>
        <w:spacing w:before="8"/>
      </w:pPr>
    </w:p>
    <w:p>
      <w:pPr>
        <w:pStyle w:val="Heading3"/>
        <w:numPr>
          <w:ilvl w:val="0"/>
          <w:numId w:val="10"/>
        </w:numPr>
        <w:tabs>
          <w:tab w:pos="797" w:val="left" w:leader="none"/>
          <w:tab w:pos="798" w:val="left" w:leader="none"/>
        </w:tabs>
        <w:spacing w:line="240" w:lineRule="auto" w:before="0" w:after="0"/>
        <w:ind w:left="797" w:right="0" w:hanging="680"/>
        <w:jc w:val="left"/>
      </w:pPr>
      <w:r>
        <w:rPr>
          <w:color w:val="231F20"/>
        </w:rPr>
        <w:t>Recommendation that compensation be</w:t>
      </w:r>
      <w:r>
        <w:rPr>
          <w:color w:val="231F20"/>
          <w:spacing w:val="-24"/>
        </w:rPr>
        <w:t> </w:t>
      </w:r>
      <w:r>
        <w:rPr>
          <w:color w:val="231F20"/>
        </w:rPr>
        <w:t>paid</w:t>
      </w:r>
    </w:p>
    <w:p>
      <w:pPr>
        <w:pStyle w:val="ListParagraph"/>
        <w:numPr>
          <w:ilvl w:val="0"/>
          <w:numId w:val="3"/>
        </w:numPr>
        <w:tabs>
          <w:tab w:pos="797" w:val="left" w:leader="none"/>
          <w:tab w:pos="798" w:val="left" w:leader="none"/>
        </w:tabs>
        <w:spacing w:line="249" w:lineRule="auto" w:before="181" w:after="0"/>
        <w:ind w:left="797" w:right="529" w:hanging="680"/>
        <w:jc w:val="left"/>
        <w:rPr>
          <w:sz w:val="24"/>
        </w:rPr>
      </w:pPr>
      <w:r>
        <w:rPr>
          <w:color w:val="231F20"/>
          <w:sz w:val="24"/>
        </w:rPr>
        <w:t>As a result of the </w:t>
      </w:r>
      <w:r>
        <w:rPr>
          <w:color w:val="231F20"/>
          <w:spacing w:val="-3"/>
          <w:sz w:val="24"/>
        </w:rPr>
        <w:t>inquiry, </w:t>
      </w:r>
      <w:r>
        <w:rPr>
          <w:color w:val="231F20"/>
          <w:sz w:val="24"/>
        </w:rPr>
        <w:t>I find that, whether required by a policy decision of the Minister or whether resulting from a failure by the department to</w:t>
      </w:r>
      <w:r>
        <w:rPr>
          <w:color w:val="231F20"/>
          <w:spacing w:val="-25"/>
          <w:sz w:val="24"/>
        </w:rPr>
        <w:t> </w:t>
      </w:r>
      <w:r>
        <w:rPr>
          <w:color w:val="231F20"/>
          <w:sz w:val="24"/>
        </w:rPr>
        <w:t>refer</w:t>
      </w:r>
    </w:p>
    <w:p>
      <w:pPr>
        <w:pStyle w:val="BodyText"/>
        <w:spacing w:line="249" w:lineRule="auto" w:before="1"/>
        <w:ind w:left="797" w:right="119"/>
      </w:pPr>
      <w:r>
        <w:rPr>
          <w:color w:val="231F20"/>
        </w:rPr>
        <w:t>Mr BF and his son’s case to the Minister pursuant to the community detention guidelines, the failure to assess Mr BF and his son for community detention has resulted in their detention being </w:t>
      </w:r>
      <w:r>
        <w:rPr>
          <w:color w:val="231F20"/>
          <w:spacing w:val="-3"/>
        </w:rPr>
        <w:t>arbitrary, </w:t>
      </w:r>
      <w:r>
        <w:rPr>
          <w:color w:val="231F20"/>
        </w:rPr>
        <w:t>contrary to article 9 of the ICCPR and article 37(b) of the</w:t>
      </w:r>
      <w:r>
        <w:rPr>
          <w:color w:val="231F20"/>
          <w:spacing w:val="-18"/>
        </w:rPr>
        <w:t> </w:t>
      </w:r>
      <w:r>
        <w:rPr>
          <w:color w:val="231F20"/>
        </w:rPr>
        <w:t>CRC.</w:t>
      </w:r>
    </w:p>
    <w:p>
      <w:pPr>
        <w:pStyle w:val="ListParagraph"/>
        <w:numPr>
          <w:ilvl w:val="0"/>
          <w:numId w:val="3"/>
        </w:numPr>
        <w:tabs>
          <w:tab w:pos="797" w:val="left" w:leader="none"/>
          <w:tab w:pos="798" w:val="left" w:leader="none"/>
        </w:tabs>
        <w:spacing w:line="249" w:lineRule="auto" w:before="114" w:after="0"/>
        <w:ind w:left="797" w:right="141" w:hanging="680"/>
        <w:jc w:val="left"/>
        <w:rPr>
          <w:sz w:val="24"/>
        </w:rPr>
      </w:pPr>
      <w:r>
        <w:rPr>
          <w:color w:val="231F20"/>
          <w:sz w:val="24"/>
        </w:rPr>
        <w:t>I have also found that the department has not demonstrated that Master BG’s best interests were explored and taken into account as a primary consideration when it decided not to refer his and his father’s cases to the Minister for consideration of a residence determination, in breach of article 3 of the</w:t>
      </w:r>
      <w:r>
        <w:rPr>
          <w:color w:val="231F20"/>
          <w:spacing w:val="-35"/>
          <w:sz w:val="24"/>
        </w:rPr>
        <w:t> </w:t>
      </w:r>
      <w:r>
        <w:rPr>
          <w:color w:val="231F20"/>
          <w:sz w:val="24"/>
        </w:rPr>
        <w:t>CRC.</w:t>
      </w:r>
    </w:p>
    <w:p>
      <w:pPr>
        <w:pStyle w:val="ListParagraph"/>
        <w:numPr>
          <w:ilvl w:val="0"/>
          <w:numId w:val="3"/>
        </w:numPr>
        <w:tabs>
          <w:tab w:pos="797" w:val="left" w:leader="none"/>
          <w:tab w:pos="798" w:val="left" w:leader="none"/>
        </w:tabs>
        <w:spacing w:line="249" w:lineRule="auto" w:before="114" w:after="0"/>
        <w:ind w:left="797" w:right="369" w:hanging="680"/>
        <w:jc w:val="left"/>
        <w:rPr>
          <w:sz w:val="24"/>
        </w:rPr>
      </w:pPr>
      <w:r>
        <w:rPr>
          <w:color w:val="231F20"/>
          <w:sz w:val="24"/>
        </w:rPr>
        <w:t>There is no material before me that indicated that either Mr BF or his son had been previously imprisoned in</w:t>
      </w:r>
      <w:r>
        <w:rPr>
          <w:color w:val="231F20"/>
          <w:spacing w:val="-48"/>
          <w:sz w:val="24"/>
        </w:rPr>
        <w:t> </w:t>
      </w:r>
      <w:r>
        <w:rPr>
          <w:color w:val="231F20"/>
          <w:sz w:val="24"/>
        </w:rPr>
        <w:t>Australia and therefore it is likely that they would have felt the disgrace and humiliation experienced by persons of good character.</w:t>
      </w:r>
    </w:p>
    <w:p>
      <w:pPr>
        <w:pStyle w:val="ListParagraph"/>
        <w:numPr>
          <w:ilvl w:val="0"/>
          <w:numId w:val="3"/>
        </w:numPr>
        <w:tabs>
          <w:tab w:pos="797" w:val="left" w:leader="none"/>
          <w:tab w:pos="798" w:val="left" w:leader="none"/>
        </w:tabs>
        <w:spacing w:line="249" w:lineRule="auto" w:before="114" w:after="0"/>
        <w:ind w:left="797" w:right="169" w:hanging="680"/>
        <w:jc w:val="left"/>
        <w:rPr>
          <w:sz w:val="24"/>
        </w:rPr>
      </w:pPr>
      <w:r>
        <w:rPr>
          <w:color w:val="231F20"/>
          <w:sz w:val="24"/>
        </w:rPr>
        <w:t>I consider that the Commonwealth should pay to Mr BF an appropriate amount of compensation to reflect the loss of liberty caused by his and his son’s detention in accordance with the principles outlined</w:t>
      </w:r>
      <w:r>
        <w:rPr>
          <w:color w:val="231F20"/>
          <w:spacing w:val="-44"/>
          <w:sz w:val="24"/>
        </w:rPr>
        <w:t> </w:t>
      </w:r>
      <w:r>
        <w:rPr>
          <w:color w:val="231F20"/>
          <w:sz w:val="24"/>
        </w:rPr>
        <w:t>above.</w:t>
      </w:r>
    </w:p>
    <w:p>
      <w:pPr>
        <w:spacing w:after="0" w:line="249" w:lineRule="auto"/>
        <w:jc w:val="left"/>
        <w:rPr>
          <w:sz w:val="24"/>
        </w:rPr>
        <w:sectPr>
          <w:pgSz w:w="11910" w:h="16840"/>
          <w:pgMar w:header="0" w:footer="692" w:top="1580" w:bottom="88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5"/>
        </w:numPr>
        <w:tabs>
          <w:tab w:pos="797" w:val="left" w:leader="none"/>
          <w:tab w:pos="798" w:val="left" w:leader="none"/>
        </w:tabs>
        <w:spacing w:line="249" w:lineRule="auto" w:before="241" w:after="0"/>
        <w:ind w:left="797" w:right="437" w:hanging="680"/>
        <w:jc w:val="left"/>
        <w:rPr>
          <w:color w:val="231F20"/>
        </w:rPr>
      </w:pPr>
      <w:bookmarkStart w:name="_bookmark11" w:id="23"/>
      <w:bookmarkEnd w:id="23"/>
      <w:r>
        <w:rPr>
          <w:b w:val="0"/>
        </w:rPr>
      </w:r>
      <w:bookmarkStart w:name="_bookmark11" w:id="24"/>
      <w:bookmarkEnd w:id="24"/>
      <w:r>
        <w:rPr>
          <w:color w:val="231F20"/>
        </w:rPr>
        <w:t>The</w:t>
      </w:r>
      <w:r>
        <w:rPr>
          <w:color w:val="231F20"/>
        </w:rPr>
        <w:t> department’s response to my findings</w:t>
      </w:r>
      <w:r>
        <w:rPr>
          <w:color w:val="231F20"/>
          <w:spacing w:val="-14"/>
        </w:rPr>
        <w:t> </w:t>
      </w:r>
      <w:r>
        <w:rPr>
          <w:color w:val="231F20"/>
        </w:rPr>
        <w:t>and recommendations</w:t>
      </w:r>
    </w:p>
    <w:p>
      <w:pPr>
        <w:pStyle w:val="ListParagraph"/>
        <w:numPr>
          <w:ilvl w:val="0"/>
          <w:numId w:val="3"/>
        </w:numPr>
        <w:tabs>
          <w:tab w:pos="797" w:val="left" w:leader="none"/>
          <w:tab w:pos="798" w:val="left" w:leader="none"/>
        </w:tabs>
        <w:spacing w:line="249" w:lineRule="auto" w:before="197" w:after="0"/>
        <w:ind w:left="797" w:right="114" w:hanging="680"/>
        <w:jc w:val="left"/>
        <w:rPr>
          <w:sz w:val="24"/>
        </w:rPr>
      </w:pPr>
      <w:r>
        <w:rPr>
          <w:color w:val="231F20"/>
          <w:sz w:val="24"/>
        </w:rPr>
        <w:t>On 8 February 2017 I provided a notice to the Department of Immigration and Border Protection under section 29(2) of the AHRC Act settling out my</w:t>
      </w:r>
      <w:r>
        <w:rPr>
          <w:color w:val="231F20"/>
          <w:spacing w:val="-43"/>
          <w:sz w:val="24"/>
        </w:rPr>
        <w:t> </w:t>
      </w:r>
      <w:r>
        <w:rPr>
          <w:color w:val="231F20"/>
          <w:sz w:val="24"/>
        </w:rPr>
        <w:t>findings and recommendations in relation to the complaint dealt with in this</w:t>
      </w:r>
      <w:r>
        <w:rPr>
          <w:color w:val="231F20"/>
          <w:spacing w:val="-17"/>
          <w:sz w:val="24"/>
        </w:rPr>
        <w:t> </w:t>
      </w:r>
      <w:r>
        <w:rPr>
          <w:color w:val="231F20"/>
          <w:sz w:val="24"/>
        </w:rPr>
        <w:t>report.</w:t>
      </w:r>
    </w:p>
    <w:p>
      <w:pPr>
        <w:pStyle w:val="ListParagraph"/>
        <w:numPr>
          <w:ilvl w:val="0"/>
          <w:numId w:val="3"/>
        </w:numPr>
        <w:tabs>
          <w:tab w:pos="797" w:val="left" w:leader="none"/>
          <w:tab w:pos="798" w:val="left" w:leader="none"/>
        </w:tabs>
        <w:spacing w:line="249" w:lineRule="auto" w:before="114" w:after="0"/>
        <w:ind w:left="797" w:right="847" w:hanging="680"/>
        <w:jc w:val="left"/>
        <w:rPr>
          <w:sz w:val="24"/>
        </w:rPr>
      </w:pPr>
      <w:r>
        <w:rPr>
          <w:color w:val="231F20"/>
          <w:sz w:val="24"/>
        </w:rPr>
        <w:t>By letter dated 27 February 2017 the department provided the following response to my</w:t>
      </w:r>
      <w:r>
        <w:rPr>
          <w:color w:val="231F20"/>
          <w:spacing w:val="-2"/>
          <w:sz w:val="24"/>
        </w:rPr>
        <w:t> </w:t>
      </w:r>
      <w:r>
        <w:rPr>
          <w:color w:val="231F20"/>
          <w:sz w:val="24"/>
        </w:rPr>
        <w:t>findings:</w:t>
      </w:r>
    </w:p>
    <w:p>
      <w:pPr>
        <w:spacing w:before="165"/>
        <w:ind w:left="1364" w:right="0" w:firstLine="0"/>
        <w:jc w:val="left"/>
        <w:rPr>
          <w:b/>
          <w:sz w:val="22"/>
        </w:rPr>
      </w:pPr>
      <w:r>
        <w:rPr>
          <w:b/>
          <w:color w:val="231F20"/>
          <w:sz w:val="22"/>
        </w:rPr>
        <w:t>Response to Findings 1 and 2</w:t>
      </w:r>
    </w:p>
    <w:p>
      <w:pPr>
        <w:spacing w:line="249" w:lineRule="auto" w:before="180"/>
        <w:ind w:left="1364" w:right="116" w:firstLine="0"/>
        <w:jc w:val="left"/>
        <w:rPr>
          <w:sz w:val="22"/>
        </w:rPr>
      </w:pPr>
      <w:r>
        <w:rPr>
          <w:color w:val="231F20"/>
          <w:sz w:val="22"/>
        </w:rPr>
        <w:t>The Department considers that Mr [BF] and Master [BG’s] ongoing detention was in accordance with Australia’s immigration laws and procedures. Mr [BF] and his son were detained in accordance with a well-established and publicised policy regarding unauthorised arrivals which is aimed at the legitimate goal of controlling Australia’s borders.</w:t>
      </w:r>
    </w:p>
    <w:p>
      <w:pPr>
        <w:spacing w:before="170"/>
        <w:ind w:left="1364" w:right="0" w:firstLine="0"/>
        <w:jc w:val="left"/>
        <w:rPr>
          <w:b/>
          <w:sz w:val="22"/>
        </w:rPr>
      </w:pPr>
      <w:r>
        <w:rPr>
          <w:b/>
          <w:color w:val="231F20"/>
          <w:sz w:val="22"/>
        </w:rPr>
        <w:t>Response to Recommendation 1</w:t>
      </w:r>
    </w:p>
    <w:p>
      <w:pPr>
        <w:spacing w:line="249" w:lineRule="auto" w:before="180"/>
        <w:ind w:left="1364" w:right="117" w:firstLine="0"/>
        <w:jc w:val="left"/>
        <w:rPr>
          <w:sz w:val="22"/>
        </w:rPr>
      </w:pPr>
      <w:r>
        <w:rPr>
          <w:color w:val="231F20"/>
          <w:sz w:val="22"/>
        </w:rPr>
        <w:t>Any monetary claim for compensation against the Commonwealth can only be considered where it is consistent with the </w:t>
      </w:r>
      <w:r>
        <w:rPr>
          <w:i/>
          <w:color w:val="231F20"/>
          <w:sz w:val="22"/>
        </w:rPr>
        <w:t>Legal Services Directions 2005</w:t>
      </w:r>
      <w:r>
        <w:rPr>
          <w:color w:val="231F20"/>
          <w:sz w:val="22"/>
        </w:rPr>
        <w:t>. The </w:t>
      </w:r>
      <w:r>
        <w:rPr>
          <w:i/>
          <w:color w:val="231F20"/>
          <w:sz w:val="22"/>
        </w:rPr>
        <w:t>Legal Services Directions 2005 </w:t>
      </w:r>
      <w:r>
        <w:rPr>
          <w:color w:val="231F20"/>
          <w:sz w:val="22"/>
        </w:rPr>
        <w:t>provide that a matter may only be settled where there is at least a meaningful prospect of liability being established against the Commonwealth. Furthermore, the amount of compensation that is offered must be in accordance with legal principles and practice.</w:t>
      </w:r>
    </w:p>
    <w:p>
      <w:pPr>
        <w:spacing w:line="249" w:lineRule="auto" w:before="170"/>
        <w:ind w:left="1364" w:right="141" w:firstLine="0"/>
        <w:jc w:val="left"/>
        <w:rPr>
          <w:sz w:val="22"/>
        </w:rPr>
      </w:pPr>
      <w:r>
        <w:rPr>
          <w:color w:val="231F20"/>
          <w:sz w:val="22"/>
        </w:rPr>
        <w:t>The Department advises that it will not be taking any further action in relation to this recommendation.</w:t>
      </w:r>
    </w:p>
    <w:p>
      <w:pPr>
        <w:pStyle w:val="ListParagraph"/>
        <w:numPr>
          <w:ilvl w:val="0"/>
          <w:numId w:val="3"/>
        </w:numPr>
        <w:tabs>
          <w:tab w:pos="797" w:val="left" w:leader="none"/>
          <w:tab w:pos="798" w:val="left" w:leader="none"/>
        </w:tabs>
        <w:spacing w:line="240" w:lineRule="auto" w:before="175" w:after="0"/>
        <w:ind w:left="797" w:right="0" w:hanging="680"/>
        <w:jc w:val="left"/>
        <w:rPr>
          <w:sz w:val="24"/>
        </w:rPr>
      </w:pPr>
      <w:r>
        <w:rPr>
          <w:color w:val="231F20"/>
          <w:sz w:val="24"/>
        </w:rPr>
        <w:t>I report accordingly to the</w:t>
      </w:r>
      <w:r>
        <w:rPr>
          <w:color w:val="231F20"/>
          <w:spacing w:val="-25"/>
          <w:sz w:val="24"/>
        </w:rPr>
        <w:t> </w:t>
      </w:r>
      <w:r>
        <w:rPr>
          <w:color w:val="231F20"/>
          <w:sz w:val="24"/>
        </w:rPr>
        <w:t>Attorney-General.</w:t>
      </w:r>
    </w:p>
    <w:p>
      <w:pPr>
        <w:pStyle w:val="BodyText"/>
        <w:spacing w:before="7"/>
        <w:rPr>
          <w:sz w:val="25"/>
        </w:rPr>
      </w:pPr>
    </w:p>
    <w:p>
      <w:pPr>
        <w:pStyle w:val="BodyText"/>
        <w:spacing w:line="348" w:lineRule="auto"/>
        <w:ind w:left="117" w:right="5944"/>
      </w:pPr>
      <w:r>
        <w:rPr>
          <w:color w:val="231F20"/>
        </w:rPr>
        <w:t>I enclose a copy of my report. Yours sincerely,</w:t>
      </w:r>
    </w:p>
    <w:p>
      <w:pPr>
        <w:pStyle w:val="BodyText"/>
        <w:spacing w:before="174"/>
        <w:ind w:left="117"/>
      </w:pPr>
      <w:r>
        <w:rPr>
          <w:color w:val="231F20"/>
        </w:rPr>
        <w:t>Gillian Triggs</w:t>
      </w:r>
    </w:p>
    <w:p>
      <w:pPr>
        <w:pStyle w:val="Heading3"/>
        <w:spacing w:before="11"/>
        <w:ind w:left="117" w:firstLine="0"/>
      </w:pPr>
      <w:r>
        <w:rPr>
          <w:color w:val="231F20"/>
        </w:rPr>
        <w:t>President</w:t>
      </w:r>
    </w:p>
    <w:p>
      <w:pPr>
        <w:pStyle w:val="BodyText"/>
        <w:spacing w:line="398" w:lineRule="auto" w:before="11"/>
        <w:ind w:left="117" w:right="5051"/>
      </w:pPr>
      <w:r>
        <w:rPr>
          <w:color w:val="231F20"/>
        </w:rPr>
        <w:t>Australian Human Rights Commission March 2017</w:t>
      </w:r>
    </w:p>
    <w:p>
      <w:pPr>
        <w:spacing w:after="0" w:line="398" w:lineRule="auto"/>
        <w:sectPr>
          <w:pgSz w:w="11910" w:h="16840"/>
          <w:pgMar w:header="0" w:footer="692" w:top="1580" w:bottom="880" w:left="1300" w:right="1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pStyle w:val="ListParagraph"/>
        <w:numPr>
          <w:ilvl w:val="0"/>
          <w:numId w:val="11"/>
        </w:numPr>
        <w:tabs>
          <w:tab w:pos="457" w:val="left" w:leader="none"/>
          <w:tab w:pos="458" w:val="left" w:leader="none"/>
        </w:tabs>
        <w:spacing w:line="249" w:lineRule="auto" w:before="94" w:after="0"/>
        <w:ind w:left="457" w:right="164" w:hanging="340"/>
        <w:jc w:val="left"/>
        <w:rPr>
          <w:sz w:val="18"/>
        </w:rPr>
      </w:pPr>
      <w:r>
        <w:rPr>
          <w:color w:val="231F20"/>
          <w:sz w:val="18"/>
        </w:rPr>
        <w:t>See </w:t>
      </w:r>
      <w:bookmarkStart w:name="_bookmark12" w:id="25"/>
      <w:bookmarkEnd w:id="25"/>
      <w:r>
        <w:rPr>
          <w:color w:val="231F20"/>
          <w:sz w:val="18"/>
        </w:rPr>
      </w:r>
      <w:r>
        <w:rPr>
          <w:i/>
          <w:color w:val="231F20"/>
          <w:sz w:val="18"/>
        </w:rPr>
        <w:t>Secretary, Department of Defence v HREOC, Burgess &amp; Ors </w:t>
      </w:r>
      <w:r>
        <w:rPr>
          <w:color w:val="231F20"/>
          <w:sz w:val="18"/>
        </w:rPr>
        <w:t>(1997) 78 FCR 208, where Branson J found that the Commission could not, in conducting its </w:t>
      </w:r>
      <w:r>
        <w:rPr>
          <w:color w:val="231F20"/>
          <w:spacing w:val="-3"/>
          <w:sz w:val="18"/>
        </w:rPr>
        <w:t>inquiry, </w:t>
      </w:r>
      <w:r>
        <w:rPr>
          <w:color w:val="231F20"/>
          <w:sz w:val="18"/>
        </w:rPr>
        <w:t>disregard the legal obligations of the secretary in </w:t>
      </w:r>
      <w:bookmarkStart w:name="_bookmark13" w:id="26"/>
      <w:bookmarkEnd w:id="26"/>
      <w:r>
        <w:rPr>
          <w:color w:val="231F20"/>
          <w:sz w:val="18"/>
        </w:rPr>
        <w:t>exercisin</w:t>
      </w:r>
      <w:r>
        <w:rPr>
          <w:color w:val="231F20"/>
          <w:sz w:val="18"/>
        </w:rPr>
        <w:t>g a statutory </w:t>
      </w:r>
      <w:r>
        <w:rPr>
          <w:color w:val="231F20"/>
          <w:spacing w:val="-3"/>
          <w:sz w:val="18"/>
        </w:rPr>
        <w:t>power. </w:t>
      </w:r>
      <w:r>
        <w:rPr>
          <w:color w:val="231F20"/>
          <w:sz w:val="18"/>
        </w:rPr>
        <w:t>Note in particular 212-3 and</w:t>
      </w:r>
      <w:r>
        <w:rPr>
          <w:color w:val="231F20"/>
          <w:spacing w:val="-28"/>
          <w:sz w:val="18"/>
        </w:rPr>
        <w:t> </w:t>
      </w:r>
      <w:r>
        <w:rPr>
          <w:color w:val="231F20"/>
          <w:sz w:val="18"/>
        </w:rPr>
        <w:t>214-5.</w:t>
      </w:r>
    </w:p>
    <w:p>
      <w:pPr>
        <w:pStyle w:val="ListParagraph"/>
        <w:numPr>
          <w:ilvl w:val="0"/>
          <w:numId w:val="11"/>
        </w:numPr>
        <w:tabs>
          <w:tab w:pos="457" w:val="left" w:leader="none"/>
          <w:tab w:pos="458" w:val="left" w:leader="none"/>
        </w:tabs>
        <w:spacing w:line="249" w:lineRule="auto" w:before="1" w:after="0"/>
        <w:ind w:left="457" w:right="182" w:hanging="340"/>
        <w:jc w:val="left"/>
        <w:rPr>
          <w:sz w:val="18"/>
        </w:rPr>
      </w:pPr>
      <w:r>
        <w:rPr>
          <w:color w:val="231F20"/>
          <w:sz w:val="18"/>
        </w:rPr>
        <w:t>UN Human Rights Committee, General Comment 8 (1982</w:t>
      </w:r>
      <w:r>
        <w:rPr>
          <w:i/>
          <w:color w:val="231F20"/>
          <w:sz w:val="18"/>
        </w:rPr>
        <w:t>) Right to liberty and security of persons (Article 9)</w:t>
      </w:r>
      <w:r>
        <w:rPr>
          <w:color w:val="231F20"/>
          <w:sz w:val="18"/>
        </w:rPr>
        <w:t>. See also </w:t>
      </w:r>
      <w:r>
        <w:rPr>
          <w:i/>
          <w:color w:val="231F20"/>
          <w:sz w:val="18"/>
        </w:rPr>
        <w:t>A v Australia </w:t>
      </w:r>
      <w:r>
        <w:rPr>
          <w:color w:val="231F20"/>
          <w:sz w:val="18"/>
        </w:rPr>
        <w:t>[1997] UNHRC 7, UN Doc CCPR/C/59/D/560/1993; </w:t>
      </w:r>
      <w:r>
        <w:rPr>
          <w:i/>
          <w:color w:val="231F20"/>
          <w:sz w:val="18"/>
        </w:rPr>
        <w:t>C v Australia </w:t>
      </w:r>
      <w:r>
        <w:rPr>
          <w:color w:val="231F20"/>
          <w:sz w:val="18"/>
        </w:rPr>
        <w:t>[2002] UNHRC 52, UN</w:t>
      </w:r>
      <w:r>
        <w:rPr>
          <w:color w:val="231F20"/>
          <w:spacing w:val="-5"/>
          <w:sz w:val="18"/>
        </w:rPr>
        <w:t> </w:t>
      </w:r>
      <w:bookmarkStart w:name="_bookmark14" w:id="27"/>
      <w:bookmarkEnd w:id="27"/>
      <w:r>
        <w:rPr>
          <w:color w:val="231F20"/>
          <w:sz w:val="18"/>
        </w:rPr>
        <w:t>Do</w:t>
      </w:r>
      <w:r>
        <w:rPr>
          <w:color w:val="231F20"/>
          <w:sz w:val="18"/>
        </w:rPr>
        <w:t>c</w:t>
      </w:r>
      <w:r>
        <w:rPr>
          <w:color w:val="231F20"/>
          <w:spacing w:val="-5"/>
          <w:sz w:val="18"/>
        </w:rPr>
        <w:t> </w:t>
      </w:r>
      <w:r>
        <w:rPr>
          <w:color w:val="231F20"/>
          <w:sz w:val="18"/>
        </w:rPr>
        <w:t>CCPR/C/76/D/900/1999;</w:t>
      </w:r>
      <w:r>
        <w:rPr>
          <w:color w:val="231F20"/>
          <w:spacing w:val="-5"/>
          <w:sz w:val="18"/>
        </w:rPr>
        <w:t> </w:t>
      </w:r>
      <w:r>
        <w:rPr>
          <w:i/>
          <w:color w:val="231F20"/>
          <w:sz w:val="18"/>
        </w:rPr>
        <w:t>Baban</w:t>
      </w:r>
      <w:r>
        <w:rPr>
          <w:i/>
          <w:color w:val="231F20"/>
          <w:spacing w:val="-5"/>
          <w:sz w:val="18"/>
        </w:rPr>
        <w:t> </w:t>
      </w:r>
      <w:r>
        <w:rPr>
          <w:i/>
          <w:color w:val="231F20"/>
          <w:sz w:val="18"/>
        </w:rPr>
        <w:t>v</w:t>
      </w:r>
      <w:r>
        <w:rPr>
          <w:i/>
          <w:color w:val="231F20"/>
          <w:spacing w:val="-12"/>
          <w:sz w:val="18"/>
        </w:rPr>
        <w:t> </w:t>
      </w:r>
      <w:r>
        <w:rPr>
          <w:i/>
          <w:color w:val="231F20"/>
          <w:sz w:val="18"/>
        </w:rPr>
        <w:t>Australia</w:t>
      </w:r>
      <w:r>
        <w:rPr>
          <w:i/>
          <w:color w:val="231F20"/>
          <w:spacing w:val="-6"/>
          <w:sz w:val="18"/>
        </w:rPr>
        <w:t> </w:t>
      </w:r>
      <w:r>
        <w:rPr>
          <w:color w:val="231F20"/>
          <w:sz w:val="18"/>
        </w:rPr>
        <w:t>[2003]</w:t>
      </w:r>
      <w:r>
        <w:rPr>
          <w:color w:val="231F20"/>
          <w:spacing w:val="-6"/>
          <w:sz w:val="18"/>
        </w:rPr>
        <w:t> </w:t>
      </w:r>
      <w:r>
        <w:rPr>
          <w:color w:val="231F20"/>
          <w:sz w:val="18"/>
        </w:rPr>
        <w:t>UNHRC</w:t>
      </w:r>
      <w:r>
        <w:rPr>
          <w:color w:val="231F20"/>
          <w:spacing w:val="-5"/>
          <w:sz w:val="18"/>
        </w:rPr>
        <w:t> </w:t>
      </w:r>
      <w:r>
        <w:rPr>
          <w:color w:val="231F20"/>
          <w:sz w:val="18"/>
        </w:rPr>
        <w:t>22,</w:t>
      </w:r>
      <w:r>
        <w:rPr>
          <w:color w:val="231F20"/>
          <w:spacing w:val="-5"/>
          <w:sz w:val="18"/>
        </w:rPr>
        <w:t> </w:t>
      </w:r>
      <w:r>
        <w:rPr>
          <w:color w:val="231F20"/>
          <w:sz w:val="18"/>
        </w:rPr>
        <w:t>UN</w:t>
      </w:r>
      <w:r>
        <w:rPr>
          <w:color w:val="231F20"/>
          <w:spacing w:val="-5"/>
          <w:sz w:val="18"/>
        </w:rPr>
        <w:t> </w:t>
      </w:r>
      <w:r>
        <w:rPr>
          <w:color w:val="231F20"/>
          <w:sz w:val="18"/>
        </w:rPr>
        <w:t>Doc</w:t>
      </w:r>
      <w:r>
        <w:rPr>
          <w:color w:val="231F20"/>
          <w:spacing w:val="-5"/>
          <w:sz w:val="18"/>
        </w:rPr>
        <w:t> </w:t>
      </w:r>
      <w:r>
        <w:rPr>
          <w:color w:val="231F20"/>
          <w:sz w:val="18"/>
        </w:rPr>
        <w:t>CCPR/C/78/D/1014/2001.</w:t>
      </w:r>
    </w:p>
    <w:p>
      <w:pPr>
        <w:pStyle w:val="ListParagraph"/>
        <w:numPr>
          <w:ilvl w:val="0"/>
          <w:numId w:val="11"/>
        </w:numPr>
        <w:tabs>
          <w:tab w:pos="457" w:val="left" w:leader="none"/>
          <w:tab w:pos="458" w:val="left" w:leader="none"/>
        </w:tabs>
        <w:spacing w:line="249" w:lineRule="auto" w:before="1" w:after="0"/>
        <w:ind w:left="457" w:right="311" w:hanging="340"/>
        <w:jc w:val="left"/>
        <w:rPr>
          <w:sz w:val="18"/>
        </w:rPr>
      </w:pPr>
      <w:r>
        <w:rPr>
          <w:color w:val="231F20"/>
          <w:sz w:val="18"/>
        </w:rPr>
        <w:t>UN Human Rights Committee, General Comment 31 (2004) [6]. See also Joseph, Schultz and Castan, </w:t>
      </w:r>
      <w:r>
        <w:rPr>
          <w:i/>
          <w:color w:val="231F20"/>
          <w:sz w:val="18"/>
        </w:rPr>
        <w:t>The International Covenant on Civil and Political Rights Cases, Materials and Commentary </w:t>
      </w:r>
      <w:r>
        <w:rPr>
          <w:color w:val="231F20"/>
          <w:sz w:val="18"/>
        </w:rPr>
        <w:t>(Oxford University </w:t>
      </w:r>
      <w:bookmarkStart w:name="_bookmark15" w:id="28"/>
      <w:bookmarkEnd w:id="28"/>
      <w:r>
        <w:rPr>
          <w:color w:val="231F20"/>
          <w:sz w:val="18"/>
        </w:rPr>
      </w:r>
      <w:r>
        <w:rPr>
          <w:color w:val="231F20"/>
          <w:sz w:val="18"/>
        </w:rPr>
        <w:t>Press, 2nd ed, 2004) 308</w:t>
      </w:r>
      <w:r>
        <w:rPr>
          <w:color w:val="231F20"/>
          <w:spacing w:val="-6"/>
          <w:sz w:val="18"/>
        </w:rPr>
        <w:t> </w:t>
      </w:r>
      <w:r>
        <w:rPr>
          <w:color w:val="231F20"/>
          <w:spacing w:val="-3"/>
          <w:sz w:val="18"/>
        </w:rPr>
        <w:t>[11.10].</w:t>
      </w:r>
    </w:p>
    <w:p>
      <w:pPr>
        <w:pStyle w:val="ListParagraph"/>
        <w:numPr>
          <w:ilvl w:val="0"/>
          <w:numId w:val="11"/>
        </w:numPr>
        <w:tabs>
          <w:tab w:pos="457" w:val="left" w:leader="none"/>
          <w:tab w:pos="458" w:val="left" w:leader="none"/>
        </w:tabs>
        <w:spacing w:line="249" w:lineRule="auto" w:before="1" w:after="0"/>
        <w:ind w:left="457" w:right="359" w:hanging="340"/>
        <w:jc w:val="left"/>
        <w:rPr>
          <w:sz w:val="18"/>
        </w:rPr>
      </w:pPr>
      <w:r>
        <w:rPr>
          <w:i/>
          <w:color w:val="231F20"/>
          <w:sz w:val="18"/>
        </w:rPr>
        <w:t>Manga v Attorney-General </w:t>
      </w:r>
      <w:r>
        <w:rPr>
          <w:color w:val="231F20"/>
          <w:sz w:val="18"/>
        </w:rPr>
        <w:t>[2000] 2 NZLR 65 [40]-[42] (Hammond J). See also the views of the UN</w:t>
      </w:r>
      <w:r>
        <w:rPr>
          <w:color w:val="231F20"/>
          <w:spacing w:val="-29"/>
          <w:sz w:val="18"/>
        </w:rPr>
        <w:t> </w:t>
      </w:r>
      <w:r>
        <w:rPr>
          <w:color w:val="231F20"/>
          <w:sz w:val="18"/>
        </w:rPr>
        <w:t>Human Rights</w:t>
      </w:r>
      <w:r>
        <w:rPr>
          <w:color w:val="231F20"/>
          <w:spacing w:val="-4"/>
          <w:sz w:val="18"/>
        </w:rPr>
        <w:t> </w:t>
      </w:r>
      <w:r>
        <w:rPr>
          <w:color w:val="231F20"/>
          <w:sz w:val="18"/>
        </w:rPr>
        <w:t>Committee</w:t>
      </w:r>
      <w:r>
        <w:rPr>
          <w:color w:val="231F20"/>
          <w:spacing w:val="-4"/>
          <w:sz w:val="18"/>
        </w:rPr>
        <w:t> </w:t>
      </w:r>
      <w:r>
        <w:rPr>
          <w:color w:val="231F20"/>
          <w:sz w:val="18"/>
        </w:rPr>
        <w:t>in</w:t>
      </w:r>
      <w:r>
        <w:rPr>
          <w:color w:val="231F20"/>
          <w:spacing w:val="-4"/>
          <w:sz w:val="18"/>
        </w:rPr>
        <w:t> </w:t>
      </w:r>
      <w:r>
        <w:rPr>
          <w:i/>
          <w:color w:val="231F20"/>
          <w:spacing w:val="-3"/>
          <w:sz w:val="18"/>
        </w:rPr>
        <w:t>Van</w:t>
      </w:r>
      <w:r>
        <w:rPr>
          <w:i/>
          <w:color w:val="231F20"/>
          <w:spacing w:val="-11"/>
          <w:sz w:val="18"/>
        </w:rPr>
        <w:t> </w:t>
      </w:r>
      <w:r>
        <w:rPr>
          <w:i/>
          <w:color w:val="231F20"/>
          <w:sz w:val="18"/>
        </w:rPr>
        <w:t>Alphen</w:t>
      </w:r>
      <w:r>
        <w:rPr>
          <w:i/>
          <w:color w:val="231F20"/>
          <w:spacing w:val="-5"/>
          <w:sz w:val="18"/>
        </w:rPr>
        <w:t> </w:t>
      </w:r>
      <w:r>
        <w:rPr>
          <w:i/>
          <w:color w:val="231F20"/>
          <w:sz w:val="18"/>
        </w:rPr>
        <w:t>v</w:t>
      </w:r>
      <w:r>
        <w:rPr>
          <w:i/>
          <w:color w:val="231F20"/>
          <w:spacing w:val="-4"/>
          <w:sz w:val="18"/>
        </w:rPr>
        <w:t> </w:t>
      </w:r>
      <w:r>
        <w:rPr>
          <w:i/>
          <w:color w:val="231F20"/>
          <w:sz w:val="18"/>
        </w:rPr>
        <w:t>The</w:t>
      </w:r>
      <w:r>
        <w:rPr>
          <w:i/>
          <w:color w:val="231F20"/>
          <w:spacing w:val="-5"/>
          <w:sz w:val="18"/>
        </w:rPr>
        <w:t> </w:t>
      </w:r>
      <w:r>
        <w:rPr>
          <w:i/>
          <w:color w:val="231F20"/>
          <w:sz w:val="18"/>
        </w:rPr>
        <w:t>Netherlands</w:t>
      </w:r>
      <w:r>
        <w:rPr>
          <w:i/>
          <w:color w:val="231F20"/>
          <w:spacing w:val="-4"/>
          <w:sz w:val="18"/>
        </w:rPr>
        <w:t> </w:t>
      </w:r>
      <w:r>
        <w:rPr>
          <w:color w:val="231F20"/>
          <w:sz w:val="18"/>
        </w:rPr>
        <w:t>[1990]</w:t>
      </w:r>
      <w:r>
        <w:rPr>
          <w:color w:val="231F20"/>
          <w:spacing w:val="-5"/>
          <w:sz w:val="18"/>
        </w:rPr>
        <w:t> </w:t>
      </w:r>
      <w:r>
        <w:rPr>
          <w:color w:val="231F20"/>
          <w:sz w:val="18"/>
        </w:rPr>
        <w:t>UNHRC</w:t>
      </w:r>
      <w:r>
        <w:rPr>
          <w:color w:val="231F20"/>
          <w:spacing w:val="-4"/>
          <w:sz w:val="18"/>
        </w:rPr>
        <w:t> </w:t>
      </w:r>
      <w:r>
        <w:rPr>
          <w:color w:val="231F20"/>
          <w:sz w:val="18"/>
        </w:rPr>
        <w:t>22,</w:t>
      </w:r>
      <w:r>
        <w:rPr>
          <w:color w:val="231F20"/>
          <w:spacing w:val="-4"/>
          <w:sz w:val="18"/>
        </w:rPr>
        <w:t> </w:t>
      </w:r>
      <w:r>
        <w:rPr>
          <w:color w:val="231F20"/>
          <w:sz w:val="18"/>
        </w:rPr>
        <w:t>UN</w:t>
      </w:r>
      <w:r>
        <w:rPr>
          <w:color w:val="231F20"/>
          <w:spacing w:val="-4"/>
          <w:sz w:val="18"/>
        </w:rPr>
        <w:t> </w:t>
      </w:r>
      <w:r>
        <w:rPr>
          <w:color w:val="231F20"/>
          <w:sz w:val="18"/>
        </w:rPr>
        <w:t>Doc</w:t>
      </w:r>
      <w:r>
        <w:rPr>
          <w:color w:val="231F20"/>
          <w:spacing w:val="-4"/>
          <w:sz w:val="18"/>
        </w:rPr>
        <w:t> </w:t>
      </w:r>
      <w:r>
        <w:rPr>
          <w:color w:val="231F20"/>
          <w:sz w:val="18"/>
        </w:rPr>
        <w:t>CCPR/C/39/D/305/1988;</w:t>
      </w:r>
      <w:r>
        <w:rPr>
          <w:color w:val="231F20"/>
          <w:spacing w:val="-5"/>
          <w:sz w:val="18"/>
        </w:rPr>
        <w:t> </w:t>
      </w:r>
      <w:r>
        <w:rPr>
          <w:i/>
          <w:color w:val="231F20"/>
          <w:sz w:val="18"/>
        </w:rPr>
        <w:t>A v Australia </w:t>
      </w:r>
      <w:r>
        <w:rPr>
          <w:color w:val="231F20"/>
          <w:sz w:val="18"/>
        </w:rPr>
        <w:t>[1997] UNHRC 7, UN Doc CCPR/C/59/D/560/1993; </w:t>
      </w:r>
      <w:r>
        <w:rPr>
          <w:i/>
          <w:color w:val="231F20"/>
          <w:sz w:val="18"/>
        </w:rPr>
        <w:t>Spakmo v Norway </w:t>
      </w:r>
      <w:r>
        <w:rPr>
          <w:color w:val="231F20"/>
          <w:sz w:val="18"/>
        </w:rPr>
        <w:t>[1999] UNHRC 42, UN </w:t>
      </w:r>
      <w:bookmarkStart w:name="_bookmark16" w:id="29"/>
      <w:bookmarkEnd w:id="29"/>
      <w:r>
        <w:rPr>
          <w:color w:val="231F20"/>
          <w:sz w:val="18"/>
        </w:rPr>
        <w:t>Do</w:t>
      </w:r>
      <w:r>
        <w:rPr>
          <w:color w:val="231F20"/>
          <w:sz w:val="18"/>
        </w:rPr>
        <w:t>c</w:t>
      </w:r>
      <w:r>
        <w:rPr>
          <w:color w:val="231F20"/>
          <w:spacing w:val="-23"/>
          <w:sz w:val="18"/>
        </w:rPr>
        <w:t> </w:t>
      </w:r>
      <w:r>
        <w:rPr>
          <w:color w:val="231F20"/>
          <w:sz w:val="18"/>
        </w:rPr>
        <w:t>CCPR/C/67/D/631/1995.</w:t>
      </w:r>
    </w:p>
    <w:p>
      <w:pPr>
        <w:pStyle w:val="ListParagraph"/>
        <w:numPr>
          <w:ilvl w:val="0"/>
          <w:numId w:val="11"/>
        </w:numPr>
        <w:tabs>
          <w:tab w:pos="457" w:val="left" w:leader="none"/>
          <w:tab w:pos="458" w:val="left" w:leader="none"/>
        </w:tabs>
        <w:spacing w:line="249" w:lineRule="auto" w:before="1" w:after="0"/>
        <w:ind w:left="457" w:right="122" w:hanging="340"/>
        <w:jc w:val="left"/>
        <w:rPr>
          <w:sz w:val="18"/>
        </w:rPr>
      </w:pPr>
      <w:r>
        <w:rPr>
          <w:i/>
          <w:color w:val="231F20"/>
          <w:sz w:val="18"/>
        </w:rPr>
        <w:t>A v Australia </w:t>
      </w:r>
      <w:r>
        <w:rPr>
          <w:color w:val="231F20"/>
          <w:sz w:val="18"/>
        </w:rPr>
        <w:t>[1997] UNHRC 7, UN Doc CCPR/C/76/D/900/1993 (the fact that the author may abscond if released into the community was not sufficient reason to justify holding the author in immigration detention for four</w:t>
      </w:r>
      <w:r>
        <w:rPr>
          <w:color w:val="231F20"/>
          <w:spacing w:val="-4"/>
          <w:sz w:val="18"/>
        </w:rPr>
        <w:t> </w:t>
      </w:r>
      <w:bookmarkStart w:name="_bookmark17" w:id="30"/>
      <w:bookmarkEnd w:id="30"/>
      <w:r>
        <w:rPr>
          <w:color w:val="231F20"/>
          <w:sz w:val="18"/>
        </w:rPr>
        <w:t>years);</w:t>
      </w:r>
      <w:r>
        <w:rPr>
          <w:color w:val="231F20"/>
          <w:spacing w:val="-4"/>
          <w:sz w:val="18"/>
        </w:rPr>
        <w:t> </w:t>
      </w:r>
      <w:r>
        <w:rPr>
          <w:i/>
          <w:color w:val="231F20"/>
          <w:sz w:val="18"/>
        </w:rPr>
        <w:t>C</w:t>
      </w:r>
      <w:r>
        <w:rPr>
          <w:i/>
          <w:color w:val="231F20"/>
          <w:spacing w:val="-4"/>
          <w:sz w:val="18"/>
        </w:rPr>
        <w:t> </w:t>
      </w:r>
      <w:r>
        <w:rPr>
          <w:i/>
          <w:color w:val="231F20"/>
          <w:sz w:val="18"/>
        </w:rPr>
        <w:t>v</w:t>
      </w:r>
      <w:r>
        <w:rPr>
          <w:i/>
          <w:color w:val="231F20"/>
          <w:spacing w:val="-10"/>
          <w:sz w:val="18"/>
        </w:rPr>
        <w:t> </w:t>
      </w:r>
      <w:r>
        <w:rPr>
          <w:i/>
          <w:color w:val="231F20"/>
          <w:sz w:val="18"/>
        </w:rPr>
        <w:t>Australia</w:t>
      </w:r>
      <w:r>
        <w:rPr>
          <w:i/>
          <w:color w:val="231F20"/>
          <w:spacing w:val="-4"/>
          <w:sz w:val="18"/>
        </w:rPr>
        <w:t> </w:t>
      </w:r>
      <w:r>
        <w:rPr>
          <w:color w:val="231F20"/>
          <w:sz w:val="18"/>
        </w:rPr>
        <w:t>[2002]</w:t>
      </w:r>
      <w:r>
        <w:rPr>
          <w:color w:val="231F20"/>
          <w:spacing w:val="-4"/>
          <w:sz w:val="18"/>
        </w:rPr>
        <w:t> </w:t>
      </w:r>
      <w:r>
        <w:rPr>
          <w:color w:val="231F20"/>
          <w:sz w:val="18"/>
        </w:rPr>
        <w:t>UNHRC</w:t>
      </w:r>
      <w:r>
        <w:rPr>
          <w:color w:val="231F20"/>
          <w:spacing w:val="-4"/>
          <w:sz w:val="18"/>
        </w:rPr>
        <w:t> </w:t>
      </w:r>
      <w:r>
        <w:rPr>
          <w:color w:val="231F20"/>
          <w:sz w:val="18"/>
        </w:rPr>
        <w:t>52,</w:t>
      </w:r>
      <w:r>
        <w:rPr>
          <w:color w:val="231F20"/>
          <w:spacing w:val="-4"/>
          <w:sz w:val="18"/>
        </w:rPr>
        <w:t> </w:t>
      </w:r>
      <w:r>
        <w:rPr>
          <w:color w:val="231F20"/>
          <w:sz w:val="18"/>
        </w:rPr>
        <w:t>UN</w:t>
      </w:r>
      <w:r>
        <w:rPr>
          <w:color w:val="231F20"/>
          <w:spacing w:val="-4"/>
          <w:sz w:val="18"/>
        </w:rPr>
        <w:t> </w:t>
      </w:r>
      <w:r>
        <w:rPr>
          <w:color w:val="231F20"/>
          <w:sz w:val="18"/>
        </w:rPr>
        <w:t>Doc</w:t>
      </w:r>
      <w:r>
        <w:rPr>
          <w:color w:val="231F20"/>
          <w:spacing w:val="-4"/>
          <w:sz w:val="18"/>
        </w:rPr>
        <w:t> </w:t>
      </w:r>
      <w:r>
        <w:rPr>
          <w:color w:val="231F20"/>
          <w:sz w:val="18"/>
        </w:rPr>
        <w:t>CCPR/C/76/D/900/1999.</w:t>
      </w:r>
    </w:p>
    <w:p>
      <w:pPr>
        <w:pStyle w:val="ListParagraph"/>
        <w:numPr>
          <w:ilvl w:val="0"/>
          <w:numId w:val="11"/>
        </w:numPr>
        <w:tabs>
          <w:tab w:pos="457" w:val="left" w:leader="none"/>
          <w:tab w:pos="458" w:val="left" w:leader="none"/>
        </w:tabs>
        <w:spacing w:line="240" w:lineRule="auto" w:before="1" w:after="0"/>
        <w:ind w:left="457" w:right="0" w:hanging="340"/>
        <w:jc w:val="left"/>
        <w:rPr>
          <w:sz w:val="18"/>
        </w:rPr>
      </w:pPr>
      <w:r>
        <w:rPr>
          <w:i/>
          <w:color w:val="231F20"/>
          <w:spacing w:val="-3"/>
          <w:sz w:val="18"/>
        </w:rPr>
        <w:t>Van</w:t>
      </w:r>
      <w:r>
        <w:rPr>
          <w:i/>
          <w:color w:val="231F20"/>
          <w:spacing w:val="-11"/>
          <w:sz w:val="18"/>
        </w:rPr>
        <w:t> </w:t>
      </w:r>
      <w:bookmarkStart w:name="_bookmark18" w:id="31"/>
      <w:bookmarkEnd w:id="31"/>
      <w:r>
        <w:rPr>
          <w:i/>
          <w:color w:val="231F20"/>
          <w:sz w:val="18"/>
        </w:rPr>
        <w:t>Alphen</w:t>
      </w:r>
      <w:r>
        <w:rPr>
          <w:i/>
          <w:color w:val="231F20"/>
          <w:spacing w:val="-5"/>
          <w:sz w:val="18"/>
        </w:rPr>
        <w:t> </w:t>
      </w:r>
      <w:r>
        <w:rPr>
          <w:i/>
          <w:color w:val="231F20"/>
          <w:sz w:val="18"/>
        </w:rPr>
        <w:t>v</w:t>
      </w:r>
      <w:r>
        <w:rPr>
          <w:i/>
          <w:color w:val="231F20"/>
          <w:spacing w:val="-4"/>
          <w:sz w:val="18"/>
        </w:rPr>
        <w:t> </w:t>
      </w:r>
      <w:r>
        <w:rPr>
          <w:i/>
          <w:color w:val="231F20"/>
          <w:sz w:val="18"/>
        </w:rPr>
        <w:t>The</w:t>
      </w:r>
      <w:r>
        <w:rPr>
          <w:i/>
          <w:color w:val="231F20"/>
          <w:spacing w:val="-5"/>
          <w:sz w:val="18"/>
        </w:rPr>
        <w:t> </w:t>
      </w:r>
      <w:r>
        <w:rPr>
          <w:i/>
          <w:color w:val="231F20"/>
          <w:sz w:val="18"/>
        </w:rPr>
        <w:t>Netherlands</w:t>
      </w:r>
      <w:r>
        <w:rPr>
          <w:i/>
          <w:color w:val="231F20"/>
          <w:spacing w:val="-4"/>
          <w:sz w:val="18"/>
        </w:rPr>
        <w:t> </w:t>
      </w:r>
      <w:r>
        <w:rPr>
          <w:color w:val="231F20"/>
          <w:sz w:val="18"/>
        </w:rPr>
        <w:t>[1990]</w:t>
      </w:r>
      <w:r>
        <w:rPr>
          <w:color w:val="231F20"/>
          <w:spacing w:val="-5"/>
          <w:sz w:val="18"/>
        </w:rPr>
        <w:t> </w:t>
      </w:r>
      <w:r>
        <w:rPr>
          <w:color w:val="231F20"/>
          <w:sz w:val="18"/>
        </w:rPr>
        <w:t>UNHRC</w:t>
      </w:r>
      <w:r>
        <w:rPr>
          <w:color w:val="231F20"/>
          <w:spacing w:val="-4"/>
          <w:sz w:val="18"/>
        </w:rPr>
        <w:t> </w:t>
      </w:r>
      <w:r>
        <w:rPr>
          <w:color w:val="231F20"/>
          <w:sz w:val="18"/>
        </w:rPr>
        <w:t>22,</w:t>
      </w:r>
      <w:r>
        <w:rPr>
          <w:color w:val="231F20"/>
          <w:spacing w:val="-4"/>
          <w:sz w:val="18"/>
        </w:rPr>
        <w:t> </w:t>
      </w:r>
      <w:r>
        <w:rPr>
          <w:color w:val="231F20"/>
          <w:sz w:val="18"/>
        </w:rPr>
        <w:t>UN</w:t>
      </w:r>
      <w:r>
        <w:rPr>
          <w:color w:val="231F20"/>
          <w:spacing w:val="-4"/>
          <w:sz w:val="18"/>
        </w:rPr>
        <w:t> </w:t>
      </w:r>
      <w:r>
        <w:rPr>
          <w:color w:val="231F20"/>
          <w:sz w:val="18"/>
        </w:rPr>
        <w:t>Doc</w:t>
      </w:r>
      <w:r>
        <w:rPr>
          <w:color w:val="231F20"/>
          <w:spacing w:val="-4"/>
          <w:sz w:val="18"/>
        </w:rPr>
        <w:t> </w:t>
      </w:r>
      <w:r>
        <w:rPr>
          <w:color w:val="231F20"/>
          <w:sz w:val="18"/>
        </w:rPr>
        <w:t>CCPR/C/39/D/305/1988.</w:t>
      </w:r>
    </w:p>
    <w:p>
      <w:pPr>
        <w:pStyle w:val="ListParagraph"/>
        <w:numPr>
          <w:ilvl w:val="0"/>
          <w:numId w:val="11"/>
        </w:numPr>
        <w:tabs>
          <w:tab w:pos="457" w:val="left" w:leader="none"/>
          <w:tab w:pos="458" w:val="left" w:leader="none"/>
        </w:tabs>
        <w:spacing w:line="249" w:lineRule="auto" w:before="9" w:after="0"/>
        <w:ind w:left="457" w:right="118" w:hanging="340"/>
        <w:jc w:val="left"/>
        <w:rPr>
          <w:sz w:val="18"/>
        </w:rPr>
      </w:pPr>
      <w:r>
        <w:rPr>
          <w:i/>
          <w:color w:val="231F20"/>
          <w:sz w:val="18"/>
        </w:rPr>
        <w:t>C v Australia </w:t>
      </w:r>
      <w:r>
        <w:rPr>
          <w:color w:val="231F20"/>
          <w:sz w:val="18"/>
        </w:rPr>
        <w:t>[2002] UNHRC 52, UN Doc CCPR/C/76/D/900/1999; </w:t>
      </w:r>
      <w:r>
        <w:rPr>
          <w:i/>
          <w:color w:val="231F20"/>
          <w:sz w:val="18"/>
        </w:rPr>
        <w:t>Shams &amp; Ors v Australia </w:t>
      </w:r>
      <w:r>
        <w:rPr>
          <w:color w:val="231F20"/>
          <w:sz w:val="18"/>
        </w:rPr>
        <w:t>[2007] UNHRC 73,</w:t>
      </w:r>
      <w:r>
        <w:rPr>
          <w:color w:val="231F20"/>
          <w:spacing w:val="-5"/>
          <w:sz w:val="18"/>
        </w:rPr>
        <w:t> </w:t>
      </w:r>
      <w:r>
        <w:rPr>
          <w:color w:val="231F20"/>
          <w:sz w:val="18"/>
        </w:rPr>
        <w:t>UN</w:t>
      </w:r>
      <w:r>
        <w:rPr>
          <w:color w:val="231F20"/>
          <w:spacing w:val="-5"/>
          <w:sz w:val="18"/>
        </w:rPr>
        <w:t> </w:t>
      </w:r>
      <w:r>
        <w:rPr>
          <w:color w:val="231F20"/>
          <w:sz w:val="18"/>
        </w:rPr>
        <w:t>Doc</w:t>
      </w:r>
      <w:r>
        <w:rPr>
          <w:color w:val="231F20"/>
          <w:spacing w:val="-5"/>
          <w:sz w:val="18"/>
        </w:rPr>
        <w:t> </w:t>
      </w:r>
      <w:r>
        <w:rPr>
          <w:color w:val="231F20"/>
          <w:sz w:val="18"/>
        </w:rPr>
        <w:t>CCPR/C/90/D/1255/2004;</w:t>
      </w:r>
      <w:r>
        <w:rPr>
          <w:color w:val="231F20"/>
          <w:spacing w:val="-4"/>
          <w:sz w:val="18"/>
        </w:rPr>
        <w:t> </w:t>
      </w:r>
      <w:r>
        <w:rPr>
          <w:i/>
          <w:color w:val="231F20"/>
          <w:sz w:val="18"/>
        </w:rPr>
        <w:t>Baban</w:t>
      </w:r>
      <w:r>
        <w:rPr>
          <w:i/>
          <w:color w:val="231F20"/>
          <w:spacing w:val="-5"/>
          <w:sz w:val="18"/>
        </w:rPr>
        <w:t> </w:t>
      </w:r>
      <w:r>
        <w:rPr>
          <w:i/>
          <w:color w:val="231F20"/>
          <w:sz w:val="18"/>
        </w:rPr>
        <w:t>v</w:t>
      </w:r>
      <w:r>
        <w:rPr>
          <w:i/>
          <w:color w:val="231F20"/>
          <w:spacing w:val="-11"/>
          <w:sz w:val="18"/>
        </w:rPr>
        <w:t> </w:t>
      </w:r>
      <w:r>
        <w:rPr>
          <w:i/>
          <w:color w:val="231F20"/>
          <w:sz w:val="18"/>
        </w:rPr>
        <w:t>Australia</w:t>
      </w:r>
      <w:r>
        <w:rPr>
          <w:i/>
          <w:color w:val="231F20"/>
          <w:spacing w:val="-6"/>
          <w:sz w:val="18"/>
        </w:rPr>
        <w:t> </w:t>
      </w:r>
      <w:r>
        <w:rPr>
          <w:color w:val="231F20"/>
          <w:sz w:val="18"/>
        </w:rPr>
        <w:t>[2003]</w:t>
      </w:r>
      <w:r>
        <w:rPr>
          <w:color w:val="231F20"/>
          <w:spacing w:val="-6"/>
          <w:sz w:val="18"/>
        </w:rPr>
        <w:t> </w:t>
      </w:r>
      <w:r>
        <w:rPr>
          <w:color w:val="231F20"/>
          <w:sz w:val="18"/>
        </w:rPr>
        <w:t>UNHRC</w:t>
      </w:r>
      <w:r>
        <w:rPr>
          <w:color w:val="231F20"/>
          <w:spacing w:val="-5"/>
          <w:sz w:val="18"/>
        </w:rPr>
        <w:t> </w:t>
      </w:r>
      <w:r>
        <w:rPr>
          <w:color w:val="231F20"/>
          <w:sz w:val="18"/>
        </w:rPr>
        <w:t>22,</w:t>
      </w:r>
      <w:r>
        <w:rPr>
          <w:color w:val="231F20"/>
          <w:spacing w:val="-5"/>
          <w:sz w:val="18"/>
        </w:rPr>
        <w:t> </w:t>
      </w:r>
      <w:r>
        <w:rPr>
          <w:color w:val="231F20"/>
          <w:sz w:val="18"/>
        </w:rPr>
        <w:t>CCPR/C/78/D/1014/2001;</w:t>
      </w:r>
      <w:r>
        <w:rPr>
          <w:color w:val="231F20"/>
          <w:spacing w:val="-5"/>
          <w:sz w:val="18"/>
        </w:rPr>
        <w:t> </w:t>
      </w:r>
      <w:r>
        <w:rPr>
          <w:i/>
          <w:color w:val="231F20"/>
          <w:sz w:val="18"/>
        </w:rPr>
        <w:t>D</w:t>
      </w:r>
      <w:r>
        <w:rPr>
          <w:i/>
          <w:color w:val="231F20"/>
          <w:spacing w:val="-5"/>
          <w:sz w:val="18"/>
        </w:rPr>
        <w:t> </w:t>
      </w:r>
      <w:r>
        <w:rPr>
          <w:i/>
          <w:color w:val="231F20"/>
          <w:sz w:val="18"/>
        </w:rPr>
        <w:t>and E v</w:t>
      </w:r>
      <w:r>
        <w:rPr>
          <w:i/>
          <w:color w:val="231F20"/>
          <w:spacing w:val="-37"/>
          <w:sz w:val="18"/>
        </w:rPr>
        <w:t> </w:t>
      </w:r>
      <w:bookmarkStart w:name="_bookmark19" w:id="32"/>
      <w:bookmarkEnd w:id="32"/>
      <w:r>
        <w:rPr>
          <w:i/>
          <w:color w:val="231F20"/>
          <w:sz w:val="18"/>
        </w:rPr>
        <w:t>Australia</w:t>
      </w:r>
      <w:r>
        <w:rPr>
          <w:i/>
          <w:color w:val="231F20"/>
          <w:sz w:val="18"/>
        </w:rPr>
        <w:t> </w:t>
      </w:r>
      <w:r>
        <w:rPr>
          <w:color w:val="231F20"/>
          <w:sz w:val="18"/>
        </w:rPr>
        <w:t>[2006] UNHRC 32, CCPR/C/87/D/1050/2002.</w:t>
      </w:r>
    </w:p>
    <w:p>
      <w:pPr>
        <w:pStyle w:val="ListParagraph"/>
        <w:numPr>
          <w:ilvl w:val="0"/>
          <w:numId w:val="11"/>
        </w:numPr>
        <w:tabs>
          <w:tab w:pos="457" w:val="left" w:leader="none"/>
          <w:tab w:pos="458" w:val="left" w:leader="none"/>
        </w:tabs>
        <w:spacing w:line="249" w:lineRule="auto" w:before="0" w:after="0"/>
        <w:ind w:left="457" w:right="532" w:hanging="340"/>
        <w:jc w:val="left"/>
        <w:rPr>
          <w:sz w:val="18"/>
        </w:rPr>
      </w:pPr>
      <w:r>
        <w:rPr>
          <w:color w:val="231F20"/>
          <w:sz w:val="18"/>
        </w:rPr>
        <w:t>United Nations Human Rights Committee, General Comment 35 (2014), </w:t>
      </w:r>
      <w:r>
        <w:rPr>
          <w:i/>
          <w:color w:val="231F20"/>
          <w:sz w:val="18"/>
        </w:rPr>
        <w:t>Article 9: Liberty and security of </w:t>
      </w:r>
      <w:bookmarkStart w:name="_bookmark20" w:id="33"/>
      <w:bookmarkEnd w:id="33"/>
      <w:r>
        <w:rPr>
          <w:i/>
          <w:color w:val="231F20"/>
          <w:sz w:val="18"/>
        </w:rPr>
      </w:r>
      <w:r>
        <w:rPr>
          <w:i/>
          <w:color w:val="231F20"/>
          <w:sz w:val="18"/>
        </w:rPr>
        <w:t>person</w:t>
      </w:r>
      <w:r>
        <w:rPr>
          <w:color w:val="231F20"/>
          <w:sz w:val="18"/>
        </w:rPr>
        <w:t>, UN Doc CCPR/C/GC/35</w:t>
      </w:r>
      <w:r>
        <w:rPr>
          <w:color w:val="231F20"/>
          <w:spacing w:val="-19"/>
          <w:sz w:val="18"/>
        </w:rPr>
        <w:t> </w:t>
      </w:r>
      <w:r>
        <w:rPr>
          <w:color w:val="231F20"/>
          <w:sz w:val="18"/>
        </w:rPr>
        <w:t>[18].</w:t>
      </w:r>
    </w:p>
    <w:p>
      <w:pPr>
        <w:pStyle w:val="ListParagraph"/>
        <w:numPr>
          <w:ilvl w:val="0"/>
          <w:numId w:val="11"/>
        </w:numPr>
        <w:tabs>
          <w:tab w:pos="457" w:val="left" w:leader="none"/>
          <w:tab w:pos="458" w:val="left" w:leader="none"/>
        </w:tabs>
        <w:spacing w:line="249" w:lineRule="auto" w:before="0" w:after="0"/>
        <w:ind w:left="457" w:right="334" w:hanging="340"/>
        <w:jc w:val="left"/>
        <w:rPr>
          <w:sz w:val="18"/>
        </w:rPr>
      </w:pPr>
      <w:r>
        <w:rPr>
          <w:color w:val="231F20"/>
          <w:sz w:val="18"/>
        </w:rPr>
        <w:t>The Hon Chris Bowen </w:t>
      </w:r>
      <w:r>
        <w:rPr>
          <w:color w:val="231F20"/>
          <w:spacing w:val="-8"/>
          <w:sz w:val="18"/>
        </w:rPr>
        <w:t>MP, </w:t>
      </w:r>
      <w:r>
        <w:rPr>
          <w:color w:val="231F20"/>
          <w:sz w:val="18"/>
        </w:rPr>
        <w:t>Minister for Immigration and Citizenship, </w:t>
      </w:r>
      <w:r>
        <w:rPr>
          <w:i/>
          <w:color w:val="231F20"/>
          <w:sz w:val="18"/>
        </w:rPr>
        <w:t>Minister’s Guidelines on Ministerial Powers (s345, s 351, s 417 and s 501J) </w:t>
      </w:r>
      <w:r>
        <w:rPr>
          <w:color w:val="231F20"/>
          <w:sz w:val="18"/>
        </w:rPr>
        <w:t>24 March 2012 (reissued on 10 October 2015). The guidelines are </w:t>
      </w:r>
      <w:bookmarkStart w:name="_bookmark21" w:id="34"/>
      <w:bookmarkEnd w:id="34"/>
      <w:r>
        <w:rPr>
          <w:color w:val="231F20"/>
          <w:sz w:val="18"/>
        </w:rPr>
      </w:r>
      <w:r>
        <w:rPr>
          <w:color w:val="231F20"/>
          <w:sz w:val="18"/>
        </w:rPr>
        <w:t>incorporated</w:t>
      </w:r>
      <w:r>
        <w:rPr>
          <w:color w:val="231F20"/>
          <w:spacing w:val="-5"/>
          <w:sz w:val="18"/>
        </w:rPr>
        <w:t> </w:t>
      </w:r>
      <w:r>
        <w:rPr>
          <w:color w:val="231F20"/>
          <w:sz w:val="18"/>
        </w:rPr>
        <w:t>into</w:t>
      </w:r>
      <w:r>
        <w:rPr>
          <w:color w:val="231F20"/>
          <w:spacing w:val="-5"/>
          <w:sz w:val="18"/>
        </w:rPr>
        <w:t> </w:t>
      </w:r>
      <w:r>
        <w:rPr>
          <w:color w:val="231F20"/>
          <w:sz w:val="18"/>
        </w:rPr>
        <w:t>the</w:t>
      </w:r>
      <w:r>
        <w:rPr>
          <w:color w:val="231F20"/>
          <w:spacing w:val="-6"/>
          <w:sz w:val="18"/>
        </w:rPr>
        <w:t> </w:t>
      </w:r>
      <w:r>
        <w:rPr>
          <w:color w:val="231F20"/>
          <w:sz w:val="18"/>
        </w:rPr>
        <w:t>Department’s</w:t>
      </w:r>
      <w:r>
        <w:rPr>
          <w:color w:val="231F20"/>
          <w:spacing w:val="-5"/>
          <w:sz w:val="18"/>
        </w:rPr>
        <w:t> </w:t>
      </w:r>
      <w:r>
        <w:rPr>
          <w:color w:val="231F20"/>
          <w:sz w:val="18"/>
        </w:rPr>
        <w:t>Procedures</w:t>
      </w:r>
      <w:r>
        <w:rPr>
          <w:color w:val="231F20"/>
          <w:spacing w:val="-14"/>
          <w:sz w:val="18"/>
        </w:rPr>
        <w:t> </w:t>
      </w:r>
      <w:r>
        <w:rPr>
          <w:color w:val="231F20"/>
          <w:sz w:val="18"/>
        </w:rPr>
        <w:t>Advice</w:t>
      </w:r>
      <w:r>
        <w:rPr>
          <w:color w:val="231F20"/>
          <w:spacing w:val="-6"/>
          <w:sz w:val="18"/>
        </w:rPr>
        <w:t> </w:t>
      </w:r>
      <w:r>
        <w:rPr>
          <w:color w:val="231F20"/>
          <w:sz w:val="18"/>
        </w:rPr>
        <w:t>Manual.</w:t>
      </w:r>
    </w:p>
    <w:p>
      <w:pPr>
        <w:pStyle w:val="ListParagraph"/>
        <w:numPr>
          <w:ilvl w:val="0"/>
          <w:numId w:val="11"/>
        </w:numPr>
        <w:tabs>
          <w:tab w:pos="458" w:val="left" w:leader="none"/>
        </w:tabs>
        <w:spacing w:line="249" w:lineRule="auto" w:before="0" w:after="0"/>
        <w:ind w:left="457" w:right="332" w:hanging="340"/>
        <w:jc w:val="left"/>
        <w:rPr>
          <w:sz w:val="18"/>
        </w:rPr>
      </w:pPr>
      <w:r>
        <w:rPr>
          <w:color w:val="231F20"/>
          <w:sz w:val="18"/>
        </w:rPr>
        <w:t>Article 45 of the CRC recognises the special competence of UNICEF and other United Nations organs to provide expert advice on the implementation of the CRC in areas falling within the scope of their respective </w:t>
      </w:r>
      <w:bookmarkStart w:name="_bookmark22" w:id="35"/>
      <w:bookmarkEnd w:id="35"/>
      <w:r>
        <w:rPr>
          <w:color w:val="231F20"/>
          <w:sz w:val="18"/>
        </w:rPr>
      </w:r>
      <w:r>
        <w:rPr>
          <w:color w:val="231F20"/>
          <w:sz w:val="18"/>
        </w:rPr>
        <w:t>mandates.</w:t>
      </w:r>
    </w:p>
    <w:p>
      <w:pPr>
        <w:spacing w:before="0"/>
        <w:ind w:left="117" w:right="0" w:firstLine="0"/>
        <w:jc w:val="left"/>
        <w:rPr>
          <w:sz w:val="18"/>
        </w:rPr>
      </w:pPr>
      <w:r>
        <w:rPr>
          <w:color w:val="231F20"/>
          <w:sz w:val="18"/>
        </w:rPr>
        <w:t>11   </w:t>
      </w:r>
      <w:bookmarkStart w:name="_bookmark23" w:id="36"/>
      <w:bookmarkEnd w:id="36"/>
      <w:r>
        <w:rPr>
          <w:color w:val="231F20"/>
          <w:sz w:val="18"/>
        </w:rPr>
        <w:t>(2001)</w:t>
      </w:r>
      <w:r>
        <w:rPr>
          <w:color w:val="231F20"/>
          <w:sz w:val="18"/>
        </w:rPr>
        <w:t> 107 FCR 133.</w:t>
      </w:r>
    </w:p>
    <w:p>
      <w:pPr>
        <w:pStyle w:val="ListParagraph"/>
        <w:numPr>
          <w:ilvl w:val="0"/>
          <w:numId w:val="12"/>
        </w:numPr>
        <w:tabs>
          <w:tab w:pos="458" w:val="left" w:leader="none"/>
        </w:tabs>
        <w:spacing w:line="240" w:lineRule="auto" w:before="9" w:after="0"/>
        <w:ind w:left="457" w:right="0" w:hanging="340"/>
        <w:jc w:val="left"/>
        <w:rPr>
          <w:sz w:val="18"/>
        </w:rPr>
      </w:pPr>
      <w:r>
        <w:rPr>
          <w:i/>
          <w:color w:val="231F20"/>
          <w:sz w:val="18"/>
        </w:rPr>
        <w:t>W</w:t>
      </w:r>
      <w:bookmarkStart w:name="_bookmark24" w:id="37"/>
      <w:bookmarkEnd w:id="37"/>
      <w:r>
        <w:rPr>
          <w:i/>
          <w:color w:val="231F20"/>
          <w:sz w:val="18"/>
        </w:rPr>
        <w:t>a</w:t>
      </w:r>
      <w:r>
        <w:rPr>
          <w:i/>
          <w:color w:val="231F20"/>
          <w:sz w:val="18"/>
        </w:rPr>
        <w:t>n v Minister for Immigration &amp; Multicultural Affairs </w:t>
      </w:r>
      <w:r>
        <w:rPr>
          <w:color w:val="231F20"/>
          <w:sz w:val="18"/>
        </w:rPr>
        <w:t>(2001) 107 FCR 133 [26] (the</w:t>
      </w:r>
      <w:r>
        <w:rPr>
          <w:color w:val="231F20"/>
          <w:spacing w:val="-29"/>
          <w:sz w:val="18"/>
        </w:rPr>
        <w:t> </w:t>
      </w:r>
      <w:r>
        <w:rPr>
          <w:color w:val="231F20"/>
          <w:sz w:val="18"/>
        </w:rPr>
        <w:t>Court).</w:t>
      </w:r>
    </w:p>
    <w:p>
      <w:pPr>
        <w:pStyle w:val="ListParagraph"/>
        <w:numPr>
          <w:ilvl w:val="0"/>
          <w:numId w:val="12"/>
        </w:numPr>
        <w:tabs>
          <w:tab w:pos="458" w:val="left" w:leader="none"/>
        </w:tabs>
        <w:spacing w:line="240" w:lineRule="auto" w:before="9" w:after="0"/>
        <w:ind w:left="457" w:right="0" w:hanging="340"/>
        <w:jc w:val="left"/>
        <w:rPr>
          <w:sz w:val="18"/>
        </w:rPr>
      </w:pPr>
      <w:bookmarkStart w:name="_bookmark25" w:id="38"/>
      <w:bookmarkEnd w:id="38"/>
      <w:r>
        <w:rPr>
          <w:color w:val="231F20"/>
          <w:sz w:val="18"/>
        </w:rPr>
        <w:t>AHRC</w:t>
      </w:r>
      <w:r>
        <w:rPr>
          <w:color w:val="231F20"/>
          <w:sz w:val="18"/>
        </w:rPr>
        <w:t> Act s</w:t>
      </w:r>
      <w:r>
        <w:rPr>
          <w:color w:val="231F20"/>
          <w:spacing w:val="-19"/>
          <w:sz w:val="18"/>
        </w:rPr>
        <w:t> </w:t>
      </w:r>
      <w:r>
        <w:rPr>
          <w:color w:val="231F20"/>
          <w:sz w:val="18"/>
        </w:rPr>
        <w:t>29(2)(a).</w:t>
      </w:r>
    </w:p>
    <w:p>
      <w:pPr>
        <w:pStyle w:val="ListParagraph"/>
        <w:numPr>
          <w:ilvl w:val="0"/>
          <w:numId w:val="12"/>
        </w:numPr>
        <w:tabs>
          <w:tab w:pos="458" w:val="left" w:leader="none"/>
        </w:tabs>
        <w:spacing w:line="240" w:lineRule="auto" w:before="9" w:after="0"/>
        <w:ind w:left="457" w:right="0" w:hanging="340"/>
        <w:jc w:val="left"/>
        <w:rPr>
          <w:sz w:val="18"/>
        </w:rPr>
      </w:pPr>
      <w:bookmarkStart w:name="_bookmark26" w:id="39"/>
      <w:bookmarkEnd w:id="39"/>
      <w:r>
        <w:rPr>
          <w:color w:val="231F20"/>
          <w:sz w:val="18"/>
        </w:rPr>
        <w:t>AHRC</w:t>
      </w:r>
      <w:r>
        <w:rPr>
          <w:color w:val="231F20"/>
          <w:sz w:val="18"/>
        </w:rPr>
        <w:t> Act s</w:t>
      </w:r>
      <w:r>
        <w:rPr>
          <w:color w:val="231F20"/>
          <w:spacing w:val="-19"/>
          <w:sz w:val="18"/>
        </w:rPr>
        <w:t> </w:t>
      </w:r>
      <w:r>
        <w:rPr>
          <w:color w:val="231F20"/>
          <w:sz w:val="18"/>
        </w:rPr>
        <w:t>29(2)(b).</w:t>
      </w:r>
    </w:p>
    <w:p>
      <w:pPr>
        <w:pStyle w:val="ListParagraph"/>
        <w:numPr>
          <w:ilvl w:val="0"/>
          <w:numId w:val="12"/>
        </w:numPr>
        <w:tabs>
          <w:tab w:pos="458" w:val="left" w:leader="none"/>
        </w:tabs>
        <w:spacing w:line="240" w:lineRule="auto" w:before="9" w:after="0"/>
        <w:ind w:left="457" w:right="0" w:hanging="340"/>
        <w:jc w:val="left"/>
        <w:rPr>
          <w:sz w:val="18"/>
        </w:rPr>
      </w:pPr>
      <w:bookmarkStart w:name="_bookmark27" w:id="40"/>
      <w:bookmarkEnd w:id="40"/>
      <w:r>
        <w:rPr>
          <w:color w:val="231F20"/>
          <w:sz w:val="18"/>
        </w:rPr>
        <w:t>AHRC</w:t>
      </w:r>
      <w:r>
        <w:rPr>
          <w:color w:val="231F20"/>
          <w:sz w:val="18"/>
        </w:rPr>
        <w:t> Act s</w:t>
      </w:r>
      <w:r>
        <w:rPr>
          <w:color w:val="231F20"/>
          <w:spacing w:val="-19"/>
          <w:sz w:val="18"/>
        </w:rPr>
        <w:t> </w:t>
      </w:r>
      <w:r>
        <w:rPr>
          <w:color w:val="231F20"/>
          <w:sz w:val="18"/>
        </w:rPr>
        <w:t>29(2)(c).</w:t>
      </w:r>
    </w:p>
    <w:p>
      <w:pPr>
        <w:pStyle w:val="ListParagraph"/>
        <w:numPr>
          <w:ilvl w:val="0"/>
          <w:numId w:val="12"/>
        </w:numPr>
        <w:tabs>
          <w:tab w:pos="458" w:val="left" w:leader="none"/>
        </w:tabs>
        <w:spacing w:line="240" w:lineRule="auto" w:before="9" w:after="0"/>
        <w:ind w:left="457" w:right="0" w:hanging="340"/>
        <w:jc w:val="left"/>
        <w:rPr>
          <w:sz w:val="18"/>
        </w:rPr>
      </w:pPr>
      <w:bookmarkStart w:name="_bookmark28" w:id="41"/>
      <w:bookmarkEnd w:id="41"/>
      <w:r>
        <w:rPr/>
      </w:r>
      <w:bookmarkStart w:name="_bookmark28" w:id="42"/>
      <w:bookmarkEnd w:id="42"/>
      <w:r>
        <w:rPr>
          <w:i/>
          <w:color w:val="231F20"/>
          <w:sz w:val="18"/>
        </w:rPr>
        <w:t>Peacock</w:t>
      </w:r>
      <w:r>
        <w:rPr>
          <w:i/>
          <w:color w:val="231F20"/>
          <w:sz w:val="18"/>
        </w:rPr>
        <w:t> v The Commonwealth </w:t>
      </w:r>
      <w:r>
        <w:rPr>
          <w:color w:val="231F20"/>
          <w:sz w:val="18"/>
        </w:rPr>
        <w:t>(2000) 104 FCR 464, 483 (Wilcox</w:t>
      </w:r>
      <w:r>
        <w:rPr>
          <w:color w:val="231F20"/>
          <w:spacing w:val="-22"/>
          <w:sz w:val="18"/>
        </w:rPr>
        <w:t> </w:t>
      </w:r>
      <w:r>
        <w:rPr>
          <w:color w:val="231F20"/>
          <w:sz w:val="18"/>
        </w:rPr>
        <w:t>J).</w:t>
      </w:r>
    </w:p>
    <w:p>
      <w:pPr>
        <w:pStyle w:val="ListParagraph"/>
        <w:numPr>
          <w:ilvl w:val="0"/>
          <w:numId w:val="12"/>
        </w:numPr>
        <w:tabs>
          <w:tab w:pos="458" w:val="left" w:leader="none"/>
        </w:tabs>
        <w:spacing w:line="240" w:lineRule="auto" w:before="9" w:after="0"/>
        <w:ind w:left="457" w:right="0" w:hanging="340"/>
        <w:jc w:val="left"/>
        <w:rPr>
          <w:sz w:val="18"/>
        </w:rPr>
      </w:pPr>
      <w:r>
        <w:rPr>
          <w:i/>
          <w:color w:val="231F20"/>
          <w:sz w:val="18"/>
        </w:rPr>
        <w:t>Hall </w:t>
      </w:r>
      <w:bookmarkStart w:name="_bookmark29" w:id="43"/>
      <w:bookmarkEnd w:id="43"/>
      <w:r>
        <w:rPr>
          <w:i/>
          <w:color w:val="231F20"/>
          <w:sz w:val="18"/>
        </w:rPr>
        <w:t>v</w:t>
      </w:r>
      <w:r>
        <w:rPr>
          <w:i/>
          <w:color w:val="231F20"/>
          <w:sz w:val="18"/>
        </w:rPr>
        <w:t> A&amp;A Sheiban Pty Limited </w:t>
      </w:r>
      <w:r>
        <w:rPr>
          <w:color w:val="231F20"/>
          <w:sz w:val="18"/>
        </w:rPr>
        <w:t>(1989) 20 FCR 217, 239 (Lockhart</w:t>
      </w:r>
      <w:r>
        <w:rPr>
          <w:color w:val="231F20"/>
          <w:spacing w:val="-33"/>
          <w:sz w:val="18"/>
        </w:rPr>
        <w:t> </w:t>
      </w:r>
      <w:r>
        <w:rPr>
          <w:color w:val="231F20"/>
          <w:sz w:val="18"/>
        </w:rPr>
        <w:t>J).</w:t>
      </w:r>
    </w:p>
    <w:p>
      <w:pPr>
        <w:pStyle w:val="ListParagraph"/>
        <w:numPr>
          <w:ilvl w:val="0"/>
          <w:numId w:val="12"/>
        </w:numPr>
        <w:tabs>
          <w:tab w:pos="458" w:val="left" w:leader="none"/>
        </w:tabs>
        <w:spacing w:line="249" w:lineRule="auto" w:before="9" w:after="0"/>
        <w:ind w:left="457" w:right="242" w:hanging="340"/>
        <w:jc w:val="left"/>
        <w:rPr>
          <w:sz w:val="18"/>
        </w:rPr>
      </w:pPr>
      <w:r>
        <w:rPr>
          <w:i/>
          <w:color w:val="231F20"/>
          <w:sz w:val="18"/>
        </w:rPr>
        <w:t>Cassel &amp; Co Ltd v Broome </w:t>
      </w:r>
      <w:r>
        <w:rPr>
          <w:color w:val="231F20"/>
          <w:sz w:val="18"/>
        </w:rPr>
        <w:t>(1972) AC 1027, </w:t>
      </w:r>
      <w:r>
        <w:rPr>
          <w:color w:val="231F20"/>
          <w:spacing w:val="-4"/>
          <w:sz w:val="18"/>
        </w:rPr>
        <w:t>1124; </w:t>
      </w:r>
      <w:r>
        <w:rPr>
          <w:i/>
          <w:color w:val="231F20"/>
          <w:sz w:val="18"/>
        </w:rPr>
        <w:t>Spautz v Butterworth &amp; Anor </w:t>
      </w:r>
      <w:r>
        <w:rPr>
          <w:color w:val="231F20"/>
          <w:sz w:val="18"/>
        </w:rPr>
        <w:t>(1996) 41 NSWLR 1</w:t>
      </w:r>
      <w:r>
        <w:rPr>
          <w:color w:val="231F20"/>
          <w:spacing w:val="-30"/>
          <w:sz w:val="18"/>
        </w:rPr>
        <w:t> </w:t>
      </w:r>
      <w:r>
        <w:rPr>
          <w:color w:val="231F20"/>
          <w:sz w:val="18"/>
        </w:rPr>
        <w:t>(Clarke JA); </w:t>
      </w:r>
      <w:bookmarkStart w:name="_bookmark30" w:id="44"/>
      <w:bookmarkEnd w:id="44"/>
      <w:r>
        <w:rPr>
          <w:color w:val="231F20"/>
          <w:sz w:val="18"/>
        </w:rPr>
      </w:r>
      <w:r>
        <w:rPr>
          <w:i/>
          <w:color w:val="231F20"/>
          <w:sz w:val="18"/>
        </w:rPr>
        <w:t>Vignoli v Sydney Harbour Casino </w:t>
      </w:r>
      <w:r>
        <w:rPr>
          <w:color w:val="231F20"/>
          <w:sz w:val="18"/>
        </w:rPr>
        <w:t>[1999] NSWSC </w:t>
      </w:r>
      <w:r>
        <w:rPr>
          <w:color w:val="231F20"/>
          <w:spacing w:val="-8"/>
          <w:sz w:val="18"/>
        </w:rPr>
        <w:t>1113 </w:t>
      </w:r>
      <w:r>
        <w:rPr>
          <w:color w:val="231F20"/>
          <w:sz w:val="18"/>
        </w:rPr>
        <w:t>(22 November 1999)</w:t>
      </w:r>
      <w:r>
        <w:rPr>
          <w:color w:val="231F20"/>
          <w:spacing w:val="-27"/>
          <w:sz w:val="18"/>
        </w:rPr>
        <w:t> </w:t>
      </w:r>
      <w:r>
        <w:rPr>
          <w:color w:val="231F20"/>
          <w:sz w:val="18"/>
        </w:rPr>
        <w:t>[87].</w:t>
      </w:r>
    </w:p>
    <w:p>
      <w:pPr>
        <w:spacing w:before="1"/>
        <w:ind w:left="117" w:right="0" w:firstLine="0"/>
        <w:jc w:val="left"/>
        <w:rPr>
          <w:sz w:val="18"/>
        </w:rPr>
      </w:pPr>
      <w:r>
        <w:rPr>
          <w:color w:val="231F20"/>
          <w:sz w:val="18"/>
        </w:rPr>
        <w:t>19   </w:t>
      </w:r>
      <w:bookmarkStart w:name="_bookmark31" w:id="45"/>
      <w:bookmarkEnd w:id="45"/>
      <w:r>
        <w:rPr>
          <w:color w:val="231F20"/>
          <w:sz w:val="18"/>
        </w:rPr>
        <w:t>[2013]</w:t>
      </w:r>
      <w:r>
        <w:rPr>
          <w:color w:val="231F20"/>
          <w:sz w:val="18"/>
        </w:rPr>
        <w:t> FCA 901.</w:t>
      </w:r>
    </w:p>
    <w:p>
      <w:pPr>
        <w:spacing w:before="9"/>
        <w:ind w:left="117" w:right="0" w:firstLine="0"/>
        <w:jc w:val="left"/>
        <w:rPr>
          <w:sz w:val="18"/>
        </w:rPr>
      </w:pPr>
      <w:r>
        <w:rPr>
          <w:color w:val="231F20"/>
          <w:sz w:val="18"/>
        </w:rPr>
        <w:t>20   </w:t>
      </w:r>
      <w:bookmarkStart w:name="_bookmark32" w:id="46"/>
      <w:bookmarkEnd w:id="46"/>
      <w:r>
        <w:rPr>
          <w:color w:val="231F20"/>
          <w:sz w:val="18"/>
        </w:rPr>
        <w:t>[2003]</w:t>
      </w:r>
      <w:r>
        <w:rPr>
          <w:color w:val="231F20"/>
          <w:sz w:val="18"/>
        </w:rPr>
        <w:t> NSWSC 1212.</w:t>
      </w:r>
    </w:p>
    <w:p>
      <w:pPr>
        <w:spacing w:before="9"/>
        <w:ind w:left="117" w:right="0" w:firstLine="0"/>
        <w:jc w:val="left"/>
        <w:rPr>
          <w:sz w:val="18"/>
        </w:rPr>
      </w:pPr>
      <w:r>
        <w:rPr>
          <w:color w:val="231F20"/>
          <w:sz w:val="18"/>
        </w:rPr>
        <w:t>21   </w:t>
      </w:r>
      <w:bookmarkStart w:name="_bookmark33" w:id="47"/>
      <w:bookmarkEnd w:id="47"/>
      <w:r>
        <w:rPr>
          <w:color w:val="231F20"/>
          <w:sz w:val="18"/>
        </w:rPr>
        <w:t>[2013]</w:t>
      </w:r>
      <w:r>
        <w:rPr>
          <w:color w:val="231F20"/>
          <w:sz w:val="18"/>
        </w:rPr>
        <w:t> FCA 901 [121].</w:t>
      </w:r>
    </w:p>
    <w:p>
      <w:pPr>
        <w:pStyle w:val="ListParagraph"/>
        <w:numPr>
          <w:ilvl w:val="0"/>
          <w:numId w:val="13"/>
        </w:numPr>
        <w:tabs>
          <w:tab w:pos="458" w:val="left" w:leader="none"/>
        </w:tabs>
        <w:spacing w:line="240" w:lineRule="auto" w:before="9" w:after="0"/>
        <w:ind w:left="457" w:right="0" w:hanging="340"/>
        <w:jc w:val="left"/>
        <w:rPr>
          <w:sz w:val="18"/>
        </w:rPr>
      </w:pPr>
      <w:bookmarkStart w:name="_bookmark34" w:id="48"/>
      <w:bookmarkEnd w:id="48"/>
      <w:r>
        <w:rPr/>
      </w:r>
      <w:bookmarkStart w:name="_bookmark34" w:id="49"/>
      <w:bookmarkEnd w:id="49"/>
      <w:r>
        <w:rPr>
          <w:i/>
          <w:color w:val="231F20"/>
          <w:sz w:val="18"/>
        </w:rPr>
        <w:t>Ruddoc</w:t>
      </w:r>
      <w:r>
        <w:rPr>
          <w:i/>
          <w:color w:val="231F20"/>
          <w:sz w:val="18"/>
        </w:rPr>
        <w:t>k v </w:t>
      </w:r>
      <w:r>
        <w:rPr>
          <w:i/>
          <w:color w:val="231F20"/>
          <w:spacing w:val="-4"/>
          <w:sz w:val="18"/>
        </w:rPr>
        <w:t>Taylor </w:t>
      </w:r>
      <w:r>
        <w:rPr>
          <w:color w:val="231F20"/>
          <w:sz w:val="18"/>
        </w:rPr>
        <w:t>(2003) 58 NSWLR</w:t>
      </w:r>
      <w:r>
        <w:rPr>
          <w:color w:val="231F20"/>
          <w:spacing w:val="-9"/>
          <w:sz w:val="18"/>
        </w:rPr>
        <w:t> </w:t>
      </w:r>
      <w:r>
        <w:rPr>
          <w:color w:val="231F20"/>
          <w:sz w:val="18"/>
        </w:rPr>
        <w:t>269.</w:t>
      </w:r>
    </w:p>
    <w:p>
      <w:pPr>
        <w:pStyle w:val="ListParagraph"/>
        <w:numPr>
          <w:ilvl w:val="0"/>
          <w:numId w:val="13"/>
        </w:numPr>
        <w:tabs>
          <w:tab w:pos="458" w:val="left" w:leader="none"/>
        </w:tabs>
        <w:spacing w:line="240" w:lineRule="auto" w:before="9" w:after="0"/>
        <w:ind w:left="457" w:right="0" w:hanging="340"/>
        <w:jc w:val="left"/>
        <w:rPr>
          <w:sz w:val="18"/>
        </w:rPr>
      </w:pPr>
      <w:r>
        <w:rPr>
          <w:i/>
          <w:color w:val="231F20"/>
          <w:spacing w:val="-4"/>
          <w:sz w:val="18"/>
        </w:rPr>
        <w:t>T</w:t>
      </w:r>
      <w:bookmarkStart w:name="_bookmark35" w:id="50"/>
      <w:bookmarkEnd w:id="50"/>
      <w:r>
        <w:rPr>
          <w:i/>
          <w:color w:val="231F20"/>
          <w:spacing w:val="-4"/>
          <w:sz w:val="18"/>
        </w:rPr>
        <w:t>aylo</w:t>
      </w:r>
      <w:r>
        <w:rPr>
          <w:i/>
          <w:color w:val="231F20"/>
          <w:spacing w:val="-4"/>
          <w:sz w:val="18"/>
        </w:rPr>
        <w:t>r </w:t>
      </w:r>
      <w:r>
        <w:rPr>
          <w:i/>
          <w:color w:val="231F20"/>
          <w:sz w:val="18"/>
        </w:rPr>
        <w:t>v Ruddock </w:t>
      </w:r>
      <w:r>
        <w:rPr>
          <w:color w:val="231F20"/>
          <w:sz w:val="18"/>
        </w:rPr>
        <w:t>(unreported, 18 December 2002, NSW District Court (Murrell</w:t>
      </w:r>
      <w:r>
        <w:rPr>
          <w:color w:val="231F20"/>
          <w:spacing w:val="-32"/>
          <w:sz w:val="18"/>
        </w:rPr>
        <w:t> </w:t>
      </w:r>
      <w:r>
        <w:rPr>
          <w:color w:val="231F20"/>
          <w:sz w:val="18"/>
        </w:rPr>
        <w:t>DCJ)).</w:t>
      </w:r>
    </w:p>
    <w:p>
      <w:pPr>
        <w:pStyle w:val="ListParagraph"/>
        <w:numPr>
          <w:ilvl w:val="0"/>
          <w:numId w:val="13"/>
        </w:numPr>
        <w:tabs>
          <w:tab w:pos="458" w:val="left" w:leader="none"/>
        </w:tabs>
        <w:spacing w:line="240" w:lineRule="auto" w:before="9" w:after="0"/>
        <w:ind w:left="457" w:right="0" w:hanging="340"/>
        <w:jc w:val="left"/>
        <w:rPr>
          <w:sz w:val="18"/>
        </w:rPr>
      </w:pPr>
      <w:r>
        <w:rPr>
          <w:i/>
          <w:color w:val="231F20"/>
          <w:spacing w:val="-4"/>
          <w:sz w:val="18"/>
        </w:rPr>
        <w:t>T</w:t>
      </w:r>
      <w:bookmarkStart w:name="_bookmark36" w:id="51"/>
      <w:bookmarkEnd w:id="51"/>
      <w:r>
        <w:rPr>
          <w:i/>
          <w:color w:val="231F20"/>
          <w:spacing w:val="-4"/>
          <w:sz w:val="18"/>
        </w:rPr>
        <w:t>aylo</w:t>
      </w:r>
      <w:r>
        <w:rPr>
          <w:i/>
          <w:color w:val="231F20"/>
          <w:spacing w:val="-4"/>
          <w:sz w:val="18"/>
        </w:rPr>
        <w:t>r </w:t>
      </w:r>
      <w:r>
        <w:rPr>
          <w:i/>
          <w:color w:val="231F20"/>
          <w:sz w:val="18"/>
        </w:rPr>
        <w:t>v Ruddock </w:t>
      </w:r>
      <w:r>
        <w:rPr>
          <w:color w:val="231F20"/>
          <w:sz w:val="18"/>
        </w:rPr>
        <w:t>(unreported, 18 December 2002, NSW District Court [140] (Murrell</w:t>
      </w:r>
      <w:r>
        <w:rPr>
          <w:color w:val="231F20"/>
          <w:spacing w:val="-33"/>
          <w:sz w:val="18"/>
        </w:rPr>
        <w:t> </w:t>
      </w:r>
      <w:r>
        <w:rPr>
          <w:color w:val="231F20"/>
          <w:sz w:val="18"/>
        </w:rPr>
        <w:t>DCJ)).</w:t>
      </w:r>
    </w:p>
    <w:p>
      <w:pPr>
        <w:pStyle w:val="ListParagraph"/>
        <w:numPr>
          <w:ilvl w:val="0"/>
          <w:numId w:val="13"/>
        </w:numPr>
        <w:tabs>
          <w:tab w:pos="458" w:val="left" w:leader="none"/>
        </w:tabs>
        <w:spacing w:line="240" w:lineRule="auto" w:before="9" w:after="0"/>
        <w:ind w:left="457" w:right="0" w:hanging="340"/>
        <w:jc w:val="left"/>
        <w:rPr>
          <w:sz w:val="18"/>
        </w:rPr>
      </w:pPr>
      <w:bookmarkStart w:name="_bookmark37" w:id="52"/>
      <w:bookmarkEnd w:id="52"/>
      <w:r>
        <w:rPr/>
      </w:r>
      <w:bookmarkStart w:name="_bookmark37" w:id="53"/>
      <w:bookmarkEnd w:id="53"/>
      <w:r>
        <w:rPr>
          <w:i/>
          <w:color w:val="231F20"/>
          <w:sz w:val="18"/>
        </w:rPr>
        <w:t>Ruddoc</w:t>
      </w:r>
      <w:r>
        <w:rPr>
          <w:i/>
          <w:color w:val="231F20"/>
          <w:sz w:val="18"/>
        </w:rPr>
        <w:t>k v </w:t>
      </w:r>
      <w:r>
        <w:rPr>
          <w:i/>
          <w:color w:val="231F20"/>
          <w:spacing w:val="-4"/>
          <w:sz w:val="18"/>
        </w:rPr>
        <w:t>Taylor </w:t>
      </w:r>
      <w:r>
        <w:rPr>
          <w:color w:val="231F20"/>
          <w:sz w:val="18"/>
        </w:rPr>
        <w:t>(2003) 58 NSWLR 269,</w:t>
      </w:r>
      <w:r>
        <w:rPr>
          <w:color w:val="231F20"/>
          <w:spacing w:val="-12"/>
          <w:sz w:val="18"/>
        </w:rPr>
        <w:t> </w:t>
      </w:r>
      <w:r>
        <w:rPr>
          <w:color w:val="231F20"/>
          <w:sz w:val="18"/>
        </w:rPr>
        <w:t>279.</w:t>
      </w:r>
    </w:p>
    <w:p>
      <w:pPr>
        <w:pStyle w:val="ListParagraph"/>
        <w:numPr>
          <w:ilvl w:val="0"/>
          <w:numId w:val="13"/>
        </w:numPr>
        <w:tabs>
          <w:tab w:pos="458" w:val="left" w:leader="none"/>
        </w:tabs>
        <w:spacing w:line="240" w:lineRule="auto" w:before="9" w:after="0"/>
        <w:ind w:left="457" w:right="0" w:hanging="340"/>
        <w:jc w:val="left"/>
        <w:rPr>
          <w:sz w:val="18"/>
        </w:rPr>
      </w:pPr>
      <w:bookmarkStart w:name="_bookmark38" w:id="54"/>
      <w:bookmarkEnd w:id="54"/>
      <w:r>
        <w:rPr/>
      </w:r>
      <w:bookmarkStart w:name="_bookmark38" w:id="55"/>
      <w:bookmarkEnd w:id="55"/>
      <w:r>
        <w:rPr>
          <w:i/>
          <w:color w:val="231F20"/>
          <w:sz w:val="18"/>
        </w:rPr>
        <w:t>Ruddoc</w:t>
      </w:r>
      <w:r>
        <w:rPr>
          <w:i/>
          <w:color w:val="231F20"/>
          <w:sz w:val="18"/>
        </w:rPr>
        <w:t>k v </w:t>
      </w:r>
      <w:r>
        <w:rPr>
          <w:i/>
          <w:color w:val="231F20"/>
          <w:spacing w:val="-4"/>
          <w:sz w:val="18"/>
        </w:rPr>
        <w:t>Taylor </w:t>
      </w:r>
      <w:r>
        <w:rPr>
          <w:color w:val="231F20"/>
          <w:sz w:val="18"/>
        </w:rPr>
        <w:t>(2003) 58 NSWLR 269,</w:t>
      </w:r>
      <w:r>
        <w:rPr>
          <w:color w:val="231F20"/>
          <w:spacing w:val="-12"/>
          <w:sz w:val="18"/>
        </w:rPr>
        <w:t> </w:t>
      </w:r>
      <w:r>
        <w:rPr>
          <w:color w:val="231F20"/>
          <w:sz w:val="18"/>
        </w:rPr>
        <w:t>279.</w:t>
      </w:r>
    </w:p>
    <w:p>
      <w:pPr>
        <w:pStyle w:val="ListParagraph"/>
        <w:numPr>
          <w:ilvl w:val="0"/>
          <w:numId w:val="13"/>
        </w:numPr>
        <w:tabs>
          <w:tab w:pos="458" w:val="left" w:leader="none"/>
        </w:tabs>
        <w:spacing w:line="249" w:lineRule="auto" w:before="9" w:after="0"/>
        <w:ind w:left="457" w:right="351" w:hanging="340"/>
        <w:jc w:val="both"/>
        <w:rPr>
          <w:sz w:val="18"/>
        </w:rPr>
      </w:pPr>
      <w:r>
        <w:rPr>
          <w:color w:val="231F20"/>
          <w:sz w:val="18"/>
        </w:rPr>
        <w:t>The court awarded nominal damages of one dollar for the unlawful detention of Mr Fernando because as a non-citizen, once he committed a serious crime, he was always liable to have his visa cancelled: </w:t>
      </w:r>
      <w:r>
        <w:rPr>
          <w:i/>
          <w:color w:val="231F20"/>
          <w:sz w:val="18"/>
        </w:rPr>
        <w:t>Fernando v </w:t>
      </w:r>
      <w:bookmarkStart w:name="_bookmark39" w:id="56"/>
      <w:bookmarkEnd w:id="56"/>
      <w:r>
        <w:rPr>
          <w:i/>
          <w:color w:val="231F20"/>
          <w:sz w:val="18"/>
        </w:rPr>
        <w:t>Commonwealt</w:t>
      </w:r>
      <w:r>
        <w:rPr>
          <w:i/>
          <w:color w:val="231F20"/>
          <w:sz w:val="18"/>
        </w:rPr>
        <w:t>h of Australia (No 5) </w:t>
      </w:r>
      <w:r>
        <w:rPr>
          <w:color w:val="231F20"/>
          <w:sz w:val="18"/>
        </w:rPr>
        <w:t>[2013] FCA</w:t>
      </w:r>
      <w:r>
        <w:rPr>
          <w:color w:val="231F20"/>
          <w:spacing w:val="-35"/>
          <w:sz w:val="18"/>
        </w:rPr>
        <w:t> </w:t>
      </w:r>
      <w:r>
        <w:rPr>
          <w:color w:val="231F20"/>
          <w:sz w:val="18"/>
        </w:rPr>
        <w:t>901 [98]-[99].</w:t>
      </w:r>
    </w:p>
    <w:p>
      <w:pPr>
        <w:pStyle w:val="ListParagraph"/>
        <w:numPr>
          <w:ilvl w:val="0"/>
          <w:numId w:val="13"/>
        </w:numPr>
        <w:tabs>
          <w:tab w:pos="458" w:val="left" w:leader="none"/>
        </w:tabs>
        <w:spacing w:line="240" w:lineRule="auto" w:before="1" w:after="0"/>
        <w:ind w:left="457" w:right="0" w:hanging="340"/>
        <w:jc w:val="left"/>
        <w:rPr>
          <w:sz w:val="18"/>
        </w:rPr>
      </w:pPr>
      <w:r>
        <w:rPr>
          <w:i/>
          <w:color w:val="231F20"/>
          <w:sz w:val="18"/>
        </w:rPr>
        <w:t>Fernando v Commonwealth of Australia (No 5) </w:t>
      </w:r>
      <w:r>
        <w:rPr>
          <w:color w:val="231F20"/>
          <w:sz w:val="18"/>
        </w:rPr>
        <w:t>[2013] FCA</w:t>
      </w:r>
      <w:r>
        <w:rPr>
          <w:color w:val="231F20"/>
          <w:spacing w:val="-36"/>
          <w:sz w:val="18"/>
        </w:rPr>
        <w:t> </w:t>
      </w:r>
      <w:r>
        <w:rPr>
          <w:color w:val="231F20"/>
          <w:sz w:val="18"/>
        </w:rPr>
        <w:t>901 [139].</w:t>
      </w:r>
    </w:p>
    <w:sectPr>
      <w:pgSz w:w="11910" w:h="16840"/>
      <w:pgMar w:header="0" w:footer="692" w:top="1580" w:bottom="8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HelveticaNeueLTPro-Roman">
    <w:altName w:val="HelveticaNeueLTPro-Roman"/>
    <w:charset w:val="0"/>
    <w:family w:val="roman"/>
    <w:pitch w:val="variable"/>
  </w:font>
  <w:font w:name="HelveticaNeueLTPro-Cn">
    <w:altName w:val="HelveticaNeueLTPro-C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66096pt;margin-top:796.295166pt;width:7.95pt;height:13.5pt;mso-position-horizontal-relative:page;mso-position-vertical-relative:page;z-index:-20128" type="#_x0000_t202" filled="false" stroked="false">
          <v:textbox inset="0,0,0,0">
            <w:txbxContent>
              <w:p>
                <w:pPr>
                  <w:spacing w:before="20"/>
                  <w:ind w:left="20" w:right="0" w:firstLine="0"/>
                  <w:jc w:val="left"/>
                  <w:rPr>
                    <w:rFonts w:ascii="Arial Narrow"/>
                    <w:sz w:val="20"/>
                  </w:rPr>
                </w:pPr>
                <w:r>
                  <w:rPr>
                    <w:rFonts w:ascii="Arial Narrow"/>
                    <w:color w:val="231F20"/>
                    <w:sz w:val="20"/>
                  </w:rPr>
                  <w:t>iv</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1.722305pt;margin-top:796.295166pt;width:354.2pt;height:13.5pt;mso-position-horizontal-relative:page;mso-position-vertical-relative:page;z-index:-20104" type="#_x0000_t202" filled="false" stroked="false">
          <v:textbox inset="0,0,0,0">
            <w:txbxContent>
              <w:p>
                <w:pPr>
                  <w:spacing w:before="20"/>
                  <w:ind w:left="20" w:right="0" w:firstLine="0"/>
                  <w:jc w:val="left"/>
                  <w:rPr>
                    <w:rFonts w:ascii="Arial Narrow" w:hAnsi="Arial Narrow"/>
                    <w:sz w:val="20"/>
                  </w:rPr>
                </w:pPr>
                <w:r>
                  <w:rPr>
                    <w:rFonts w:ascii="Arial Narrow" w:hAnsi="Arial Narrow"/>
                    <w:b/>
                    <w:color w:val="231F20"/>
                    <w:sz w:val="20"/>
                  </w:rPr>
                  <w:t>Mr BF on behalf of Master BG v Commonwealth of Australia (DIBP) </w:t>
                </w:r>
                <w:r>
                  <w:rPr>
                    <w:rFonts w:ascii="Arial Narrow" w:hAnsi="Arial Narrow"/>
                    <w:color w:val="231F20"/>
                    <w:sz w:val="20"/>
                  </w:rPr>
                  <w:t>• [2017] AusHRC 114 • </w:t>
                </w:r>
                <w:r>
                  <w:rPr>
                    <w:rFonts w:ascii="Arial Narrow" w:hAnsi="Arial Narrow"/>
                    <w:color w:val="231F20"/>
                    <w:sz w:val="20"/>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96.295166pt;width:13.15pt;height:13.5pt;mso-position-horizontal-relative:page;mso-position-vertical-relative:page;z-index:-20080" type="#_x0000_t202" filled="false" stroked="false">
          <v:textbox inset="0,0,0,0">
            <w:txbxContent>
              <w:p>
                <w:pPr>
                  <w:spacing w:before="20"/>
                  <w:ind w:left="40" w:right="0" w:firstLine="0"/>
                  <w:jc w:val="left"/>
                  <w:rPr>
                    <w:rFonts w:ascii="Arial Narrow"/>
                    <w:sz w:val="20"/>
                  </w:rPr>
                </w:pPr>
                <w:r>
                  <w:rPr/>
                  <w:fldChar w:fldCharType="begin"/>
                </w:r>
                <w:r>
                  <w:rPr>
                    <w:rFonts w:ascii="Arial Narrow"/>
                    <w:color w:val="231F20"/>
                    <w:sz w:val="20"/>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1.722305pt;margin-top:796.295166pt;width:354.2pt;height:13.5pt;mso-position-horizontal-relative:page;mso-position-vertical-relative:page;z-index:-20056" type="#_x0000_t202" filled="false" stroked="false">
          <v:textbox inset="0,0,0,0">
            <w:txbxContent>
              <w:p>
                <w:pPr>
                  <w:spacing w:before="20"/>
                  <w:ind w:left="20" w:right="0" w:firstLine="0"/>
                  <w:jc w:val="left"/>
                  <w:rPr>
                    <w:rFonts w:ascii="Arial Narrow" w:hAnsi="Arial Narrow"/>
                    <w:sz w:val="20"/>
                  </w:rPr>
                </w:pPr>
                <w:r>
                  <w:rPr>
                    <w:rFonts w:ascii="Arial Narrow" w:hAnsi="Arial Narrow"/>
                    <w:b/>
                    <w:color w:val="231F20"/>
                    <w:sz w:val="20"/>
                  </w:rPr>
                  <w:t>Mr BF on behalf of Master BG v Commonwealth of Australia (DIBP) </w:t>
                </w:r>
                <w:r>
                  <w:rPr>
                    <w:rFonts w:ascii="Arial Narrow" w:hAnsi="Arial Narrow"/>
                    <w:color w:val="231F20"/>
                    <w:sz w:val="20"/>
                  </w:rPr>
                  <w:t>• [2017] AusHRC 114 • </w:t>
                </w:r>
                <w:r>
                  <w:rPr/>
                  <w:fldChar w:fldCharType="begin"/>
                </w:r>
                <w:r>
                  <w:rPr>
                    <w:rFonts w:ascii="Arial Narrow" w:hAnsi="Arial Narrow"/>
                    <w:color w:val="231F20"/>
                    <w:sz w:val="20"/>
                  </w:rPr>
                  <w:instrText> PAGE </w:instrText>
                </w:r>
                <w:r>
                  <w:rPr/>
                  <w:fldChar w:fldCharType="separate"/>
                </w:r>
                <w:r>
                  <w:rPr/>
                  <w:t>3</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7.161697pt;margin-top:796.295166pt;width:358.75pt;height:13.5pt;mso-position-horizontal-relative:page;mso-position-vertical-relative:page;z-index:-20032" type="#_x0000_t202" filled="false" stroked="false">
          <v:textbox inset="0,0,0,0">
            <w:txbxContent>
              <w:p>
                <w:pPr>
                  <w:spacing w:before="20"/>
                  <w:ind w:left="20" w:right="0" w:firstLine="0"/>
                  <w:jc w:val="left"/>
                  <w:rPr>
                    <w:rFonts w:ascii="Arial Narrow" w:hAnsi="Arial Narrow"/>
                    <w:sz w:val="20"/>
                  </w:rPr>
                </w:pPr>
                <w:r>
                  <w:rPr>
                    <w:rFonts w:ascii="Arial Narrow" w:hAnsi="Arial Narrow"/>
                    <w:b/>
                    <w:color w:val="231F20"/>
                    <w:sz w:val="20"/>
                  </w:rPr>
                  <w:t>Mr BF on behalf of Master BG v Commonwealth of Australia (DIBP) </w:t>
                </w:r>
                <w:r>
                  <w:rPr>
                    <w:rFonts w:ascii="Arial Narrow" w:hAnsi="Arial Narrow"/>
                    <w:color w:val="231F20"/>
                    <w:sz w:val="20"/>
                  </w:rPr>
                  <w:t>• [2017] AusHRC 114 • </w:t>
                </w:r>
                <w:r>
                  <w:rPr/>
                  <w:fldChar w:fldCharType="begin"/>
                </w:r>
                <w:r>
                  <w:rPr>
                    <w:rFonts w:ascii="Arial Narrow" w:hAnsi="Arial Narrow"/>
                    <w:color w:val="231F20"/>
                    <w:sz w:val="20"/>
                  </w:rPr>
                  <w:instrText> PAGE </w:instrText>
                </w:r>
                <w:r>
                  <w:rPr/>
                  <w:fldChar w:fldCharType="separate"/>
                </w:r>
                <w:r>
                  <w:rPr/>
                  <w:t>13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96.295166pt;width:13.15pt;height:13.5pt;mso-position-horizontal-relative:page;mso-position-vertical-relative:page;z-index:-20008" type="#_x0000_t202" filled="false" stroked="false">
          <v:textbox inset="0,0,0,0">
            <w:txbxContent>
              <w:p>
                <w:pPr>
                  <w:spacing w:before="20"/>
                  <w:ind w:left="40" w:right="0" w:firstLine="0"/>
                  <w:jc w:val="left"/>
                  <w:rPr>
                    <w:rFonts w:ascii="Arial Narrow"/>
                    <w:sz w:val="20"/>
                  </w:rPr>
                </w:pPr>
                <w:r>
                  <w:rPr/>
                  <w:fldChar w:fldCharType="begin"/>
                </w:r>
                <w:r>
                  <w:rPr>
                    <w:rFonts w:ascii="Arial Narrow"/>
                    <w:color w:val="231F20"/>
                    <w:sz w:val="20"/>
                  </w:rPr>
                  <w:instrText> PAGE </w:instrText>
                </w:r>
                <w:r>
                  <w:rPr/>
                  <w:fldChar w:fldCharType="separate"/>
                </w:r>
                <w:r>
                  <w:rPr/>
                  <w:t>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48" w:hanging="284"/>
      </w:pPr>
      <w:rPr>
        <w:rFonts w:hint="default" w:ascii="Arial" w:hAnsi="Arial" w:eastAsia="Arial" w:cs="Arial"/>
        <w:color w:val="231F20"/>
        <w:spacing w:val="-1"/>
        <w:w w:val="100"/>
        <w:sz w:val="22"/>
        <w:szCs w:val="22"/>
      </w:rPr>
    </w:lvl>
    <w:lvl w:ilvl="1">
      <w:start w:val="0"/>
      <w:numFmt w:val="bullet"/>
      <w:lvlText w:val="•"/>
      <w:lvlJc w:val="left"/>
      <w:pPr>
        <w:ind w:left="2404" w:hanging="284"/>
      </w:pPr>
      <w:rPr>
        <w:rFonts w:hint="default"/>
      </w:rPr>
    </w:lvl>
    <w:lvl w:ilvl="2">
      <w:start w:val="0"/>
      <w:numFmt w:val="bullet"/>
      <w:lvlText w:val="•"/>
      <w:lvlJc w:val="left"/>
      <w:pPr>
        <w:ind w:left="3169" w:hanging="284"/>
      </w:pPr>
      <w:rPr>
        <w:rFonts w:hint="default"/>
      </w:rPr>
    </w:lvl>
    <w:lvl w:ilvl="3">
      <w:start w:val="0"/>
      <w:numFmt w:val="bullet"/>
      <w:lvlText w:val="•"/>
      <w:lvlJc w:val="left"/>
      <w:pPr>
        <w:ind w:left="3933" w:hanging="284"/>
      </w:pPr>
      <w:rPr>
        <w:rFonts w:hint="default"/>
      </w:rPr>
    </w:lvl>
    <w:lvl w:ilvl="4">
      <w:start w:val="0"/>
      <w:numFmt w:val="bullet"/>
      <w:lvlText w:val="•"/>
      <w:lvlJc w:val="left"/>
      <w:pPr>
        <w:ind w:left="4698" w:hanging="284"/>
      </w:pPr>
      <w:rPr>
        <w:rFonts w:hint="default"/>
      </w:rPr>
    </w:lvl>
    <w:lvl w:ilvl="5">
      <w:start w:val="0"/>
      <w:numFmt w:val="bullet"/>
      <w:lvlText w:val="•"/>
      <w:lvlJc w:val="left"/>
      <w:pPr>
        <w:ind w:left="5462" w:hanging="284"/>
      </w:pPr>
      <w:rPr>
        <w:rFonts w:hint="default"/>
      </w:rPr>
    </w:lvl>
    <w:lvl w:ilvl="6">
      <w:start w:val="0"/>
      <w:numFmt w:val="bullet"/>
      <w:lvlText w:val="•"/>
      <w:lvlJc w:val="left"/>
      <w:pPr>
        <w:ind w:left="6227" w:hanging="284"/>
      </w:pPr>
      <w:rPr>
        <w:rFonts w:hint="default"/>
      </w:rPr>
    </w:lvl>
    <w:lvl w:ilvl="7">
      <w:start w:val="0"/>
      <w:numFmt w:val="bullet"/>
      <w:lvlText w:val="•"/>
      <w:lvlJc w:val="left"/>
      <w:pPr>
        <w:ind w:left="6991" w:hanging="284"/>
      </w:pPr>
      <w:rPr>
        <w:rFonts w:hint="default"/>
      </w:rPr>
    </w:lvl>
    <w:lvl w:ilvl="8">
      <w:start w:val="0"/>
      <w:numFmt w:val="bullet"/>
      <w:lvlText w:val="•"/>
      <w:lvlJc w:val="left"/>
      <w:pPr>
        <w:ind w:left="7756" w:hanging="284"/>
      </w:pPr>
      <w:rPr>
        <w:rFonts w:hint="default"/>
      </w:rPr>
    </w:lvl>
  </w:abstractNum>
  <w:abstractNum w:abstractNumId="12">
    <w:multiLevelType w:val="hybridMultilevel"/>
    <w:lvl w:ilvl="0">
      <w:start w:val="22"/>
      <w:numFmt w:val="decimal"/>
      <w:lvlText w:val="%1"/>
      <w:lvlJc w:val="left"/>
      <w:pPr>
        <w:ind w:left="457" w:hanging="341"/>
        <w:jc w:val="left"/>
      </w:pPr>
      <w:rPr>
        <w:rFonts w:hint="default" w:ascii="Arial" w:hAnsi="Arial" w:eastAsia="Arial" w:cs="Arial"/>
        <w:color w:val="231F20"/>
        <w:spacing w:val="-17"/>
        <w:w w:val="100"/>
        <w:sz w:val="18"/>
        <w:szCs w:val="18"/>
      </w:rPr>
    </w:lvl>
    <w:lvl w:ilvl="1">
      <w:start w:val="0"/>
      <w:numFmt w:val="bullet"/>
      <w:lvlText w:val="•"/>
      <w:lvlJc w:val="left"/>
      <w:pPr>
        <w:ind w:left="1342" w:hanging="341"/>
      </w:pPr>
      <w:rPr>
        <w:rFonts w:hint="default"/>
      </w:rPr>
    </w:lvl>
    <w:lvl w:ilvl="2">
      <w:start w:val="0"/>
      <w:numFmt w:val="bullet"/>
      <w:lvlText w:val="•"/>
      <w:lvlJc w:val="left"/>
      <w:pPr>
        <w:ind w:left="2225" w:hanging="341"/>
      </w:pPr>
      <w:rPr>
        <w:rFonts w:hint="default"/>
      </w:rPr>
    </w:lvl>
    <w:lvl w:ilvl="3">
      <w:start w:val="0"/>
      <w:numFmt w:val="bullet"/>
      <w:lvlText w:val="•"/>
      <w:lvlJc w:val="left"/>
      <w:pPr>
        <w:ind w:left="3107" w:hanging="341"/>
      </w:pPr>
      <w:rPr>
        <w:rFonts w:hint="default"/>
      </w:rPr>
    </w:lvl>
    <w:lvl w:ilvl="4">
      <w:start w:val="0"/>
      <w:numFmt w:val="bullet"/>
      <w:lvlText w:val="•"/>
      <w:lvlJc w:val="left"/>
      <w:pPr>
        <w:ind w:left="3990" w:hanging="341"/>
      </w:pPr>
      <w:rPr>
        <w:rFonts w:hint="default"/>
      </w:rPr>
    </w:lvl>
    <w:lvl w:ilvl="5">
      <w:start w:val="0"/>
      <w:numFmt w:val="bullet"/>
      <w:lvlText w:val="•"/>
      <w:lvlJc w:val="left"/>
      <w:pPr>
        <w:ind w:left="4872" w:hanging="341"/>
      </w:pPr>
      <w:rPr>
        <w:rFonts w:hint="default"/>
      </w:rPr>
    </w:lvl>
    <w:lvl w:ilvl="6">
      <w:start w:val="0"/>
      <w:numFmt w:val="bullet"/>
      <w:lvlText w:val="•"/>
      <w:lvlJc w:val="left"/>
      <w:pPr>
        <w:ind w:left="5755" w:hanging="341"/>
      </w:pPr>
      <w:rPr>
        <w:rFonts w:hint="default"/>
      </w:rPr>
    </w:lvl>
    <w:lvl w:ilvl="7">
      <w:start w:val="0"/>
      <w:numFmt w:val="bullet"/>
      <w:lvlText w:val="•"/>
      <w:lvlJc w:val="left"/>
      <w:pPr>
        <w:ind w:left="6637" w:hanging="341"/>
      </w:pPr>
      <w:rPr>
        <w:rFonts w:hint="default"/>
      </w:rPr>
    </w:lvl>
    <w:lvl w:ilvl="8">
      <w:start w:val="0"/>
      <w:numFmt w:val="bullet"/>
      <w:lvlText w:val="•"/>
      <w:lvlJc w:val="left"/>
      <w:pPr>
        <w:ind w:left="7520" w:hanging="341"/>
      </w:pPr>
      <w:rPr>
        <w:rFonts w:hint="default"/>
      </w:rPr>
    </w:lvl>
  </w:abstractNum>
  <w:abstractNum w:abstractNumId="11">
    <w:multiLevelType w:val="hybridMultilevel"/>
    <w:lvl w:ilvl="0">
      <w:start w:val="12"/>
      <w:numFmt w:val="decimal"/>
      <w:lvlText w:val="%1"/>
      <w:lvlJc w:val="left"/>
      <w:pPr>
        <w:ind w:left="457" w:hanging="341"/>
        <w:jc w:val="left"/>
      </w:pPr>
      <w:rPr>
        <w:rFonts w:hint="default" w:ascii="Arial" w:hAnsi="Arial" w:eastAsia="Arial" w:cs="Arial"/>
        <w:color w:val="231F20"/>
        <w:spacing w:val="-11"/>
        <w:w w:val="100"/>
        <w:sz w:val="18"/>
        <w:szCs w:val="18"/>
      </w:rPr>
    </w:lvl>
    <w:lvl w:ilvl="1">
      <w:start w:val="0"/>
      <w:numFmt w:val="bullet"/>
      <w:lvlText w:val="•"/>
      <w:lvlJc w:val="left"/>
      <w:pPr>
        <w:ind w:left="1342" w:hanging="341"/>
      </w:pPr>
      <w:rPr>
        <w:rFonts w:hint="default"/>
      </w:rPr>
    </w:lvl>
    <w:lvl w:ilvl="2">
      <w:start w:val="0"/>
      <w:numFmt w:val="bullet"/>
      <w:lvlText w:val="•"/>
      <w:lvlJc w:val="left"/>
      <w:pPr>
        <w:ind w:left="2225" w:hanging="341"/>
      </w:pPr>
      <w:rPr>
        <w:rFonts w:hint="default"/>
      </w:rPr>
    </w:lvl>
    <w:lvl w:ilvl="3">
      <w:start w:val="0"/>
      <w:numFmt w:val="bullet"/>
      <w:lvlText w:val="•"/>
      <w:lvlJc w:val="left"/>
      <w:pPr>
        <w:ind w:left="3107" w:hanging="341"/>
      </w:pPr>
      <w:rPr>
        <w:rFonts w:hint="default"/>
      </w:rPr>
    </w:lvl>
    <w:lvl w:ilvl="4">
      <w:start w:val="0"/>
      <w:numFmt w:val="bullet"/>
      <w:lvlText w:val="•"/>
      <w:lvlJc w:val="left"/>
      <w:pPr>
        <w:ind w:left="3990" w:hanging="341"/>
      </w:pPr>
      <w:rPr>
        <w:rFonts w:hint="default"/>
      </w:rPr>
    </w:lvl>
    <w:lvl w:ilvl="5">
      <w:start w:val="0"/>
      <w:numFmt w:val="bullet"/>
      <w:lvlText w:val="•"/>
      <w:lvlJc w:val="left"/>
      <w:pPr>
        <w:ind w:left="4872" w:hanging="341"/>
      </w:pPr>
      <w:rPr>
        <w:rFonts w:hint="default"/>
      </w:rPr>
    </w:lvl>
    <w:lvl w:ilvl="6">
      <w:start w:val="0"/>
      <w:numFmt w:val="bullet"/>
      <w:lvlText w:val="•"/>
      <w:lvlJc w:val="left"/>
      <w:pPr>
        <w:ind w:left="5755" w:hanging="341"/>
      </w:pPr>
      <w:rPr>
        <w:rFonts w:hint="default"/>
      </w:rPr>
    </w:lvl>
    <w:lvl w:ilvl="7">
      <w:start w:val="0"/>
      <w:numFmt w:val="bullet"/>
      <w:lvlText w:val="•"/>
      <w:lvlJc w:val="left"/>
      <w:pPr>
        <w:ind w:left="6637" w:hanging="341"/>
      </w:pPr>
      <w:rPr>
        <w:rFonts w:hint="default"/>
      </w:rPr>
    </w:lvl>
    <w:lvl w:ilvl="8">
      <w:start w:val="0"/>
      <w:numFmt w:val="bullet"/>
      <w:lvlText w:val="•"/>
      <w:lvlJc w:val="left"/>
      <w:pPr>
        <w:ind w:left="7520" w:hanging="341"/>
      </w:pPr>
      <w:rPr>
        <w:rFonts w:hint="default"/>
      </w:rPr>
    </w:lvl>
  </w:abstractNum>
  <w:abstractNum w:abstractNumId="10">
    <w:multiLevelType w:val="hybridMultilevel"/>
    <w:lvl w:ilvl="0">
      <w:start w:val="1"/>
      <w:numFmt w:val="decimal"/>
      <w:lvlText w:val="%1"/>
      <w:lvlJc w:val="left"/>
      <w:pPr>
        <w:ind w:left="457" w:hanging="341"/>
        <w:jc w:val="left"/>
      </w:pPr>
      <w:rPr>
        <w:rFonts w:hint="default" w:ascii="Arial" w:hAnsi="Arial" w:eastAsia="Arial" w:cs="Arial"/>
        <w:color w:val="231F20"/>
        <w:spacing w:val="-14"/>
        <w:w w:val="100"/>
        <w:sz w:val="18"/>
        <w:szCs w:val="18"/>
      </w:rPr>
    </w:lvl>
    <w:lvl w:ilvl="1">
      <w:start w:val="0"/>
      <w:numFmt w:val="bullet"/>
      <w:lvlText w:val="•"/>
      <w:lvlJc w:val="left"/>
      <w:pPr>
        <w:ind w:left="1342" w:hanging="341"/>
      </w:pPr>
      <w:rPr>
        <w:rFonts w:hint="default"/>
      </w:rPr>
    </w:lvl>
    <w:lvl w:ilvl="2">
      <w:start w:val="0"/>
      <w:numFmt w:val="bullet"/>
      <w:lvlText w:val="•"/>
      <w:lvlJc w:val="left"/>
      <w:pPr>
        <w:ind w:left="2225" w:hanging="341"/>
      </w:pPr>
      <w:rPr>
        <w:rFonts w:hint="default"/>
      </w:rPr>
    </w:lvl>
    <w:lvl w:ilvl="3">
      <w:start w:val="0"/>
      <w:numFmt w:val="bullet"/>
      <w:lvlText w:val="•"/>
      <w:lvlJc w:val="left"/>
      <w:pPr>
        <w:ind w:left="3107" w:hanging="341"/>
      </w:pPr>
      <w:rPr>
        <w:rFonts w:hint="default"/>
      </w:rPr>
    </w:lvl>
    <w:lvl w:ilvl="4">
      <w:start w:val="0"/>
      <w:numFmt w:val="bullet"/>
      <w:lvlText w:val="•"/>
      <w:lvlJc w:val="left"/>
      <w:pPr>
        <w:ind w:left="3990" w:hanging="341"/>
      </w:pPr>
      <w:rPr>
        <w:rFonts w:hint="default"/>
      </w:rPr>
    </w:lvl>
    <w:lvl w:ilvl="5">
      <w:start w:val="0"/>
      <w:numFmt w:val="bullet"/>
      <w:lvlText w:val="•"/>
      <w:lvlJc w:val="left"/>
      <w:pPr>
        <w:ind w:left="4872" w:hanging="341"/>
      </w:pPr>
      <w:rPr>
        <w:rFonts w:hint="default"/>
      </w:rPr>
    </w:lvl>
    <w:lvl w:ilvl="6">
      <w:start w:val="0"/>
      <w:numFmt w:val="bullet"/>
      <w:lvlText w:val="•"/>
      <w:lvlJc w:val="left"/>
      <w:pPr>
        <w:ind w:left="5755" w:hanging="341"/>
      </w:pPr>
      <w:rPr>
        <w:rFonts w:hint="default"/>
      </w:rPr>
    </w:lvl>
    <w:lvl w:ilvl="7">
      <w:start w:val="0"/>
      <w:numFmt w:val="bullet"/>
      <w:lvlText w:val="•"/>
      <w:lvlJc w:val="left"/>
      <w:pPr>
        <w:ind w:left="6637" w:hanging="341"/>
      </w:pPr>
      <w:rPr>
        <w:rFonts w:hint="default"/>
      </w:rPr>
    </w:lvl>
    <w:lvl w:ilvl="8">
      <w:start w:val="0"/>
      <w:numFmt w:val="bullet"/>
      <w:lvlText w:val="•"/>
      <w:lvlJc w:val="left"/>
      <w:pPr>
        <w:ind w:left="7520" w:hanging="341"/>
      </w:pPr>
      <w:rPr>
        <w:rFonts w:hint="default"/>
      </w:rPr>
    </w:lvl>
  </w:abstractNum>
  <w:abstractNum w:abstractNumId="9">
    <w:multiLevelType w:val="hybridMultilevel"/>
    <w:lvl w:ilvl="0">
      <w:start w:val="1"/>
      <w:numFmt w:val="lowerLetter"/>
      <w:lvlText w:val="(%1)"/>
      <w:lvlJc w:val="left"/>
      <w:pPr>
        <w:ind w:left="797" w:hanging="681"/>
        <w:jc w:val="left"/>
      </w:pPr>
      <w:rPr>
        <w:rFonts w:hint="default" w:ascii="Arial" w:hAnsi="Arial" w:eastAsia="Arial" w:cs="Arial"/>
        <w:b/>
        <w:bCs/>
        <w:color w:val="231F20"/>
        <w:spacing w:val="-1"/>
        <w:w w:val="100"/>
        <w:sz w:val="24"/>
        <w:szCs w:val="24"/>
      </w:rPr>
    </w:lvl>
    <w:lvl w:ilvl="1">
      <w:start w:val="0"/>
      <w:numFmt w:val="bullet"/>
      <w:lvlText w:val="•"/>
      <w:lvlJc w:val="left"/>
      <w:pPr>
        <w:ind w:left="1648" w:hanging="681"/>
      </w:pPr>
      <w:rPr>
        <w:rFonts w:hint="default"/>
      </w:rPr>
    </w:lvl>
    <w:lvl w:ilvl="2">
      <w:start w:val="0"/>
      <w:numFmt w:val="bullet"/>
      <w:lvlText w:val="•"/>
      <w:lvlJc w:val="left"/>
      <w:pPr>
        <w:ind w:left="2497" w:hanging="681"/>
      </w:pPr>
      <w:rPr>
        <w:rFonts w:hint="default"/>
      </w:rPr>
    </w:lvl>
    <w:lvl w:ilvl="3">
      <w:start w:val="0"/>
      <w:numFmt w:val="bullet"/>
      <w:lvlText w:val="•"/>
      <w:lvlJc w:val="left"/>
      <w:pPr>
        <w:ind w:left="3345" w:hanging="681"/>
      </w:pPr>
      <w:rPr>
        <w:rFonts w:hint="default"/>
      </w:rPr>
    </w:lvl>
    <w:lvl w:ilvl="4">
      <w:start w:val="0"/>
      <w:numFmt w:val="bullet"/>
      <w:lvlText w:val="•"/>
      <w:lvlJc w:val="left"/>
      <w:pPr>
        <w:ind w:left="4194" w:hanging="681"/>
      </w:pPr>
      <w:rPr>
        <w:rFonts w:hint="default"/>
      </w:rPr>
    </w:lvl>
    <w:lvl w:ilvl="5">
      <w:start w:val="0"/>
      <w:numFmt w:val="bullet"/>
      <w:lvlText w:val="•"/>
      <w:lvlJc w:val="left"/>
      <w:pPr>
        <w:ind w:left="5042" w:hanging="681"/>
      </w:pPr>
      <w:rPr>
        <w:rFonts w:hint="default"/>
      </w:rPr>
    </w:lvl>
    <w:lvl w:ilvl="6">
      <w:start w:val="0"/>
      <w:numFmt w:val="bullet"/>
      <w:lvlText w:val="•"/>
      <w:lvlJc w:val="left"/>
      <w:pPr>
        <w:ind w:left="5891" w:hanging="681"/>
      </w:pPr>
      <w:rPr>
        <w:rFonts w:hint="default"/>
      </w:rPr>
    </w:lvl>
    <w:lvl w:ilvl="7">
      <w:start w:val="0"/>
      <w:numFmt w:val="bullet"/>
      <w:lvlText w:val="•"/>
      <w:lvlJc w:val="left"/>
      <w:pPr>
        <w:ind w:left="6739" w:hanging="681"/>
      </w:pPr>
      <w:rPr>
        <w:rFonts w:hint="default"/>
      </w:rPr>
    </w:lvl>
    <w:lvl w:ilvl="8">
      <w:start w:val="0"/>
      <w:numFmt w:val="bullet"/>
      <w:lvlText w:val="•"/>
      <w:lvlJc w:val="left"/>
      <w:pPr>
        <w:ind w:left="7588" w:hanging="681"/>
      </w:pPr>
      <w:rPr>
        <w:rFonts w:hint="default"/>
      </w:rPr>
    </w:lvl>
  </w:abstractNum>
  <w:abstractNum w:abstractNumId="8">
    <w:multiLevelType w:val="hybridMultilevel"/>
    <w:lvl w:ilvl="0">
      <w:start w:val="0"/>
      <w:numFmt w:val="bullet"/>
      <w:lvlText w:val="•"/>
      <w:lvlJc w:val="left"/>
      <w:pPr>
        <w:ind w:left="1648" w:hanging="227"/>
      </w:pPr>
      <w:rPr>
        <w:rFonts w:hint="default" w:ascii="Arial" w:hAnsi="Arial" w:eastAsia="Arial" w:cs="Arial"/>
        <w:color w:val="231F20"/>
        <w:spacing w:val="-5"/>
        <w:w w:val="100"/>
        <w:sz w:val="24"/>
        <w:szCs w:val="24"/>
      </w:rPr>
    </w:lvl>
    <w:lvl w:ilvl="1">
      <w:start w:val="0"/>
      <w:numFmt w:val="bullet"/>
      <w:lvlText w:val="•"/>
      <w:lvlJc w:val="left"/>
      <w:pPr>
        <w:ind w:left="2402" w:hanging="227"/>
      </w:pPr>
      <w:rPr>
        <w:rFonts w:hint="default"/>
      </w:rPr>
    </w:lvl>
    <w:lvl w:ilvl="2">
      <w:start w:val="0"/>
      <w:numFmt w:val="bullet"/>
      <w:lvlText w:val="•"/>
      <w:lvlJc w:val="left"/>
      <w:pPr>
        <w:ind w:left="3165" w:hanging="227"/>
      </w:pPr>
      <w:rPr>
        <w:rFonts w:hint="default"/>
      </w:rPr>
    </w:lvl>
    <w:lvl w:ilvl="3">
      <w:start w:val="0"/>
      <w:numFmt w:val="bullet"/>
      <w:lvlText w:val="•"/>
      <w:lvlJc w:val="left"/>
      <w:pPr>
        <w:ind w:left="3927" w:hanging="227"/>
      </w:pPr>
      <w:rPr>
        <w:rFonts w:hint="default"/>
      </w:rPr>
    </w:lvl>
    <w:lvl w:ilvl="4">
      <w:start w:val="0"/>
      <w:numFmt w:val="bullet"/>
      <w:lvlText w:val="•"/>
      <w:lvlJc w:val="left"/>
      <w:pPr>
        <w:ind w:left="4690" w:hanging="227"/>
      </w:pPr>
      <w:rPr>
        <w:rFonts w:hint="default"/>
      </w:rPr>
    </w:lvl>
    <w:lvl w:ilvl="5">
      <w:start w:val="0"/>
      <w:numFmt w:val="bullet"/>
      <w:lvlText w:val="•"/>
      <w:lvlJc w:val="left"/>
      <w:pPr>
        <w:ind w:left="5452" w:hanging="227"/>
      </w:pPr>
      <w:rPr>
        <w:rFonts w:hint="default"/>
      </w:rPr>
    </w:lvl>
    <w:lvl w:ilvl="6">
      <w:start w:val="0"/>
      <w:numFmt w:val="bullet"/>
      <w:lvlText w:val="•"/>
      <w:lvlJc w:val="left"/>
      <w:pPr>
        <w:ind w:left="6215" w:hanging="227"/>
      </w:pPr>
      <w:rPr>
        <w:rFonts w:hint="default"/>
      </w:rPr>
    </w:lvl>
    <w:lvl w:ilvl="7">
      <w:start w:val="0"/>
      <w:numFmt w:val="bullet"/>
      <w:lvlText w:val="•"/>
      <w:lvlJc w:val="left"/>
      <w:pPr>
        <w:ind w:left="6977" w:hanging="227"/>
      </w:pPr>
      <w:rPr>
        <w:rFonts w:hint="default"/>
      </w:rPr>
    </w:lvl>
    <w:lvl w:ilvl="8">
      <w:start w:val="0"/>
      <w:numFmt w:val="bullet"/>
      <w:lvlText w:val="•"/>
      <w:lvlJc w:val="left"/>
      <w:pPr>
        <w:ind w:left="7740" w:hanging="227"/>
      </w:pPr>
      <w:rPr>
        <w:rFonts w:hint="default"/>
      </w:rPr>
    </w:lvl>
  </w:abstractNum>
  <w:abstractNum w:abstractNumId="7">
    <w:multiLevelType w:val="hybridMultilevel"/>
    <w:lvl w:ilvl="0">
      <w:start w:val="0"/>
      <w:numFmt w:val="bullet"/>
      <w:lvlText w:val="•"/>
      <w:lvlJc w:val="left"/>
      <w:pPr>
        <w:ind w:left="1648" w:hanging="227"/>
      </w:pPr>
      <w:rPr>
        <w:rFonts w:hint="default" w:ascii="Arial" w:hAnsi="Arial" w:eastAsia="Arial" w:cs="Arial"/>
        <w:color w:val="231F20"/>
        <w:spacing w:val="-1"/>
        <w:w w:val="99"/>
        <w:sz w:val="24"/>
        <w:szCs w:val="24"/>
      </w:rPr>
    </w:lvl>
    <w:lvl w:ilvl="1">
      <w:start w:val="0"/>
      <w:numFmt w:val="bullet"/>
      <w:lvlText w:val="•"/>
      <w:lvlJc w:val="left"/>
      <w:pPr>
        <w:ind w:left="2404" w:hanging="227"/>
      </w:pPr>
      <w:rPr>
        <w:rFonts w:hint="default"/>
      </w:rPr>
    </w:lvl>
    <w:lvl w:ilvl="2">
      <w:start w:val="0"/>
      <w:numFmt w:val="bullet"/>
      <w:lvlText w:val="•"/>
      <w:lvlJc w:val="left"/>
      <w:pPr>
        <w:ind w:left="3169" w:hanging="227"/>
      </w:pPr>
      <w:rPr>
        <w:rFonts w:hint="default"/>
      </w:rPr>
    </w:lvl>
    <w:lvl w:ilvl="3">
      <w:start w:val="0"/>
      <w:numFmt w:val="bullet"/>
      <w:lvlText w:val="•"/>
      <w:lvlJc w:val="left"/>
      <w:pPr>
        <w:ind w:left="3933" w:hanging="227"/>
      </w:pPr>
      <w:rPr>
        <w:rFonts w:hint="default"/>
      </w:rPr>
    </w:lvl>
    <w:lvl w:ilvl="4">
      <w:start w:val="0"/>
      <w:numFmt w:val="bullet"/>
      <w:lvlText w:val="•"/>
      <w:lvlJc w:val="left"/>
      <w:pPr>
        <w:ind w:left="4698" w:hanging="227"/>
      </w:pPr>
      <w:rPr>
        <w:rFonts w:hint="default"/>
      </w:rPr>
    </w:lvl>
    <w:lvl w:ilvl="5">
      <w:start w:val="0"/>
      <w:numFmt w:val="bullet"/>
      <w:lvlText w:val="•"/>
      <w:lvlJc w:val="left"/>
      <w:pPr>
        <w:ind w:left="5462" w:hanging="227"/>
      </w:pPr>
      <w:rPr>
        <w:rFonts w:hint="default"/>
      </w:rPr>
    </w:lvl>
    <w:lvl w:ilvl="6">
      <w:start w:val="0"/>
      <w:numFmt w:val="bullet"/>
      <w:lvlText w:val="•"/>
      <w:lvlJc w:val="left"/>
      <w:pPr>
        <w:ind w:left="6227" w:hanging="227"/>
      </w:pPr>
      <w:rPr>
        <w:rFonts w:hint="default"/>
      </w:rPr>
    </w:lvl>
    <w:lvl w:ilvl="7">
      <w:start w:val="0"/>
      <w:numFmt w:val="bullet"/>
      <w:lvlText w:val="•"/>
      <w:lvlJc w:val="left"/>
      <w:pPr>
        <w:ind w:left="6991" w:hanging="227"/>
      </w:pPr>
      <w:rPr>
        <w:rFonts w:hint="default"/>
      </w:rPr>
    </w:lvl>
    <w:lvl w:ilvl="8">
      <w:start w:val="0"/>
      <w:numFmt w:val="bullet"/>
      <w:lvlText w:val="•"/>
      <w:lvlJc w:val="left"/>
      <w:pPr>
        <w:ind w:left="7756" w:hanging="227"/>
      </w:pPr>
      <w:rPr>
        <w:rFonts w:hint="default"/>
      </w:rPr>
    </w:lvl>
  </w:abstractNum>
  <w:abstractNum w:abstractNumId="6">
    <w:multiLevelType w:val="hybridMultilevel"/>
    <w:lvl w:ilvl="0">
      <w:start w:val="0"/>
      <w:numFmt w:val="bullet"/>
      <w:lvlText w:val="•"/>
      <w:lvlJc w:val="left"/>
      <w:pPr>
        <w:ind w:left="1648" w:hanging="227"/>
      </w:pPr>
      <w:rPr>
        <w:rFonts w:hint="default" w:ascii="Arial" w:hAnsi="Arial" w:eastAsia="Arial" w:cs="Arial"/>
        <w:color w:val="231F20"/>
        <w:spacing w:val="-13"/>
        <w:w w:val="100"/>
        <w:sz w:val="24"/>
        <w:szCs w:val="24"/>
      </w:rPr>
    </w:lvl>
    <w:lvl w:ilvl="1">
      <w:start w:val="0"/>
      <w:numFmt w:val="bullet"/>
      <w:lvlText w:val="•"/>
      <w:lvlJc w:val="left"/>
      <w:pPr>
        <w:ind w:left="2404" w:hanging="227"/>
      </w:pPr>
      <w:rPr>
        <w:rFonts w:hint="default"/>
      </w:rPr>
    </w:lvl>
    <w:lvl w:ilvl="2">
      <w:start w:val="0"/>
      <w:numFmt w:val="bullet"/>
      <w:lvlText w:val="•"/>
      <w:lvlJc w:val="left"/>
      <w:pPr>
        <w:ind w:left="3169" w:hanging="227"/>
      </w:pPr>
      <w:rPr>
        <w:rFonts w:hint="default"/>
      </w:rPr>
    </w:lvl>
    <w:lvl w:ilvl="3">
      <w:start w:val="0"/>
      <w:numFmt w:val="bullet"/>
      <w:lvlText w:val="•"/>
      <w:lvlJc w:val="left"/>
      <w:pPr>
        <w:ind w:left="3933" w:hanging="227"/>
      </w:pPr>
      <w:rPr>
        <w:rFonts w:hint="default"/>
      </w:rPr>
    </w:lvl>
    <w:lvl w:ilvl="4">
      <w:start w:val="0"/>
      <w:numFmt w:val="bullet"/>
      <w:lvlText w:val="•"/>
      <w:lvlJc w:val="left"/>
      <w:pPr>
        <w:ind w:left="4698" w:hanging="227"/>
      </w:pPr>
      <w:rPr>
        <w:rFonts w:hint="default"/>
      </w:rPr>
    </w:lvl>
    <w:lvl w:ilvl="5">
      <w:start w:val="0"/>
      <w:numFmt w:val="bullet"/>
      <w:lvlText w:val="•"/>
      <w:lvlJc w:val="left"/>
      <w:pPr>
        <w:ind w:left="5462" w:hanging="227"/>
      </w:pPr>
      <w:rPr>
        <w:rFonts w:hint="default"/>
      </w:rPr>
    </w:lvl>
    <w:lvl w:ilvl="6">
      <w:start w:val="0"/>
      <w:numFmt w:val="bullet"/>
      <w:lvlText w:val="•"/>
      <w:lvlJc w:val="left"/>
      <w:pPr>
        <w:ind w:left="6227" w:hanging="227"/>
      </w:pPr>
      <w:rPr>
        <w:rFonts w:hint="default"/>
      </w:rPr>
    </w:lvl>
    <w:lvl w:ilvl="7">
      <w:start w:val="0"/>
      <w:numFmt w:val="bullet"/>
      <w:lvlText w:val="•"/>
      <w:lvlJc w:val="left"/>
      <w:pPr>
        <w:ind w:left="6991" w:hanging="227"/>
      </w:pPr>
      <w:rPr>
        <w:rFonts w:hint="default"/>
      </w:rPr>
    </w:lvl>
    <w:lvl w:ilvl="8">
      <w:start w:val="0"/>
      <w:numFmt w:val="bullet"/>
      <w:lvlText w:val="•"/>
      <w:lvlJc w:val="left"/>
      <w:pPr>
        <w:ind w:left="7756" w:hanging="227"/>
      </w:pPr>
      <w:rPr>
        <w:rFonts w:hint="default"/>
      </w:rPr>
    </w:lvl>
  </w:abstractNum>
  <w:abstractNum w:abstractNumId="4">
    <w:multiLevelType w:val="hybridMultilevel"/>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hint="default" w:ascii="Arial" w:hAnsi="Arial" w:eastAsia="Arial" w:cs="Arial"/>
        <w:b/>
        <w:bCs/>
        <w:color w:val="231F20"/>
        <w:spacing w:val="-1"/>
        <w:w w:val="100"/>
        <w:sz w:val="28"/>
        <w:szCs w:val="28"/>
      </w:rPr>
    </w:lvl>
    <w:lvl w:ilvl="2">
      <w:start w:val="0"/>
      <w:numFmt w:val="bullet"/>
      <w:lvlText w:val="•"/>
      <w:lvlJc w:val="left"/>
      <w:pPr>
        <w:ind w:left="2497" w:hanging="681"/>
      </w:pPr>
      <w:rPr>
        <w:rFonts w:hint="default"/>
      </w:rPr>
    </w:lvl>
    <w:lvl w:ilvl="3">
      <w:start w:val="0"/>
      <w:numFmt w:val="bullet"/>
      <w:lvlText w:val="•"/>
      <w:lvlJc w:val="left"/>
      <w:pPr>
        <w:ind w:left="3345" w:hanging="681"/>
      </w:pPr>
      <w:rPr>
        <w:rFonts w:hint="default"/>
      </w:rPr>
    </w:lvl>
    <w:lvl w:ilvl="4">
      <w:start w:val="0"/>
      <w:numFmt w:val="bullet"/>
      <w:lvlText w:val="•"/>
      <w:lvlJc w:val="left"/>
      <w:pPr>
        <w:ind w:left="4194" w:hanging="681"/>
      </w:pPr>
      <w:rPr>
        <w:rFonts w:hint="default"/>
      </w:rPr>
    </w:lvl>
    <w:lvl w:ilvl="5">
      <w:start w:val="0"/>
      <w:numFmt w:val="bullet"/>
      <w:lvlText w:val="•"/>
      <w:lvlJc w:val="left"/>
      <w:pPr>
        <w:ind w:left="5042" w:hanging="681"/>
      </w:pPr>
      <w:rPr>
        <w:rFonts w:hint="default"/>
      </w:rPr>
    </w:lvl>
    <w:lvl w:ilvl="6">
      <w:start w:val="0"/>
      <w:numFmt w:val="bullet"/>
      <w:lvlText w:val="•"/>
      <w:lvlJc w:val="left"/>
      <w:pPr>
        <w:ind w:left="5891" w:hanging="681"/>
      </w:pPr>
      <w:rPr>
        <w:rFonts w:hint="default"/>
      </w:rPr>
    </w:lvl>
    <w:lvl w:ilvl="7">
      <w:start w:val="0"/>
      <w:numFmt w:val="bullet"/>
      <w:lvlText w:val="•"/>
      <w:lvlJc w:val="left"/>
      <w:pPr>
        <w:ind w:left="6739" w:hanging="681"/>
      </w:pPr>
      <w:rPr>
        <w:rFonts w:hint="default"/>
      </w:rPr>
    </w:lvl>
    <w:lvl w:ilvl="8">
      <w:start w:val="0"/>
      <w:numFmt w:val="bullet"/>
      <w:lvlText w:val="•"/>
      <w:lvlJc w:val="left"/>
      <w:pPr>
        <w:ind w:left="7588" w:hanging="681"/>
      </w:pPr>
      <w:rPr>
        <w:rFonts w:hint="default"/>
      </w:rPr>
    </w:lvl>
  </w:abstractNum>
  <w:abstractNum w:abstractNumId="3">
    <w:multiLevelType w:val="hybridMultilevel"/>
    <w:lvl w:ilvl="0">
      <w:start w:val="1"/>
      <w:numFmt w:val="lowerLetter"/>
      <w:lvlText w:val="(%1)"/>
      <w:lvlJc w:val="left"/>
      <w:pPr>
        <w:ind w:left="797" w:hanging="681"/>
        <w:jc w:val="left"/>
      </w:pPr>
      <w:rPr>
        <w:rFonts w:hint="default" w:ascii="Arial" w:hAnsi="Arial" w:eastAsia="Arial" w:cs="Arial"/>
        <w:b/>
        <w:bCs/>
        <w:color w:val="231F20"/>
        <w:spacing w:val="-1"/>
        <w:w w:val="100"/>
        <w:sz w:val="24"/>
        <w:szCs w:val="24"/>
      </w:rPr>
    </w:lvl>
    <w:lvl w:ilvl="1">
      <w:start w:val="0"/>
      <w:numFmt w:val="bullet"/>
      <w:lvlText w:val="•"/>
      <w:lvlJc w:val="left"/>
      <w:pPr>
        <w:ind w:left="1760" w:hanging="681"/>
      </w:pPr>
      <w:rPr>
        <w:rFonts w:hint="default"/>
      </w:rPr>
    </w:lvl>
    <w:lvl w:ilvl="2">
      <w:start w:val="0"/>
      <w:numFmt w:val="bullet"/>
      <w:lvlText w:val="•"/>
      <w:lvlJc w:val="left"/>
      <w:pPr>
        <w:ind w:left="2596" w:hanging="681"/>
      </w:pPr>
      <w:rPr>
        <w:rFonts w:hint="default"/>
      </w:rPr>
    </w:lvl>
    <w:lvl w:ilvl="3">
      <w:start w:val="0"/>
      <w:numFmt w:val="bullet"/>
      <w:lvlText w:val="•"/>
      <w:lvlJc w:val="left"/>
      <w:pPr>
        <w:ind w:left="3432" w:hanging="681"/>
      </w:pPr>
      <w:rPr>
        <w:rFonts w:hint="default"/>
      </w:rPr>
    </w:lvl>
    <w:lvl w:ilvl="4">
      <w:start w:val="0"/>
      <w:numFmt w:val="bullet"/>
      <w:lvlText w:val="•"/>
      <w:lvlJc w:val="left"/>
      <w:pPr>
        <w:ind w:left="4268" w:hanging="681"/>
      </w:pPr>
      <w:rPr>
        <w:rFonts w:hint="default"/>
      </w:rPr>
    </w:lvl>
    <w:lvl w:ilvl="5">
      <w:start w:val="0"/>
      <w:numFmt w:val="bullet"/>
      <w:lvlText w:val="•"/>
      <w:lvlJc w:val="left"/>
      <w:pPr>
        <w:ind w:left="5104" w:hanging="681"/>
      </w:pPr>
      <w:rPr>
        <w:rFonts w:hint="default"/>
      </w:rPr>
    </w:lvl>
    <w:lvl w:ilvl="6">
      <w:start w:val="0"/>
      <w:numFmt w:val="bullet"/>
      <w:lvlText w:val="•"/>
      <w:lvlJc w:val="left"/>
      <w:pPr>
        <w:ind w:left="5940" w:hanging="681"/>
      </w:pPr>
      <w:rPr>
        <w:rFonts w:hint="default"/>
      </w:rPr>
    </w:lvl>
    <w:lvl w:ilvl="7">
      <w:start w:val="0"/>
      <w:numFmt w:val="bullet"/>
      <w:lvlText w:val="•"/>
      <w:lvlJc w:val="left"/>
      <w:pPr>
        <w:ind w:left="6777" w:hanging="681"/>
      </w:pPr>
      <w:rPr>
        <w:rFonts w:hint="default"/>
      </w:rPr>
    </w:lvl>
    <w:lvl w:ilvl="8">
      <w:start w:val="0"/>
      <w:numFmt w:val="bullet"/>
      <w:lvlText w:val="•"/>
      <w:lvlJc w:val="left"/>
      <w:pPr>
        <w:ind w:left="7613" w:hanging="681"/>
      </w:pPr>
      <w:rPr>
        <w:rFonts w:hint="default"/>
      </w:rPr>
    </w:lvl>
  </w:abstractNum>
  <w:abstractNum w:abstractNumId="2">
    <w:multiLevelType w:val="hybridMultilevel"/>
    <w:lvl w:ilvl="0">
      <w:start w:val="1"/>
      <w:numFmt w:val="decimal"/>
      <w:lvlText w:val="%1."/>
      <w:lvlJc w:val="left"/>
      <w:pPr>
        <w:ind w:left="797" w:hanging="681"/>
        <w:jc w:val="left"/>
      </w:pPr>
      <w:rPr>
        <w:rFonts w:hint="default" w:ascii="Arial" w:hAnsi="Arial" w:eastAsia="Arial" w:cs="Arial"/>
        <w:color w:val="231F20"/>
        <w:spacing w:val="-14"/>
        <w:w w:val="100"/>
        <w:sz w:val="24"/>
        <w:szCs w:val="24"/>
      </w:rPr>
    </w:lvl>
    <w:lvl w:ilvl="1">
      <w:start w:val="1"/>
      <w:numFmt w:val="lowerLetter"/>
      <w:lvlText w:val="(%2)"/>
      <w:lvlJc w:val="left"/>
      <w:pPr>
        <w:ind w:left="1761" w:hanging="397"/>
        <w:jc w:val="left"/>
      </w:pPr>
      <w:rPr>
        <w:rFonts w:hint="default"/>
        <w:spacing w:val="-8"/>
        <w:w w:val="100"/>
      </w:rPr>
    </w:lvl>
    <w:lvl w:ilvl="2">
      <w:start w:val="0"/>
      <w:numFmt w:val="bullet"/>
      <w:lvlText w:val="•"/>
      <w:lvlJc w:val="left"/>
      <w:pPr>
        <w:ind w:left="1760" w:hanging="397"/>
      </w:pPr>
      <w:rPr>
        <w:rFonts w:hint="default"/>
      </w:rPr>
    </w:lvl>
    <w:lvl w:ilvl="3">
      <w:start w:val="0"/>
      <w:numFmt w:val="bullet"/>
      <w:lvlText w:val="•"/>
      <w:lvlJc w:val="left"/>
      <w:pPr>
        <w:ind w:left="2700" w:hanging="397"/>
      </w:pPr>
      <w:rPr>
        <w:rFonts w:hint="default"/>
      </w:rPr>
    </w:lvl>
    <w:lvl w:ilvl="4">
      <w:start w:val="0"/>
      <w:numFmt w:val="bullet"/>
      <w:lvlText w:val="•"/>
      <w:lvlJc w:val="left"/>
      <w:pPr>
        <w:ind w:left="3641" w:hanging="397"/>
      </w:pPr>
      <w:rPr>
        <w:rFonts w:hint="default"/>
      </w:rPr>
    </w:lvl>
    <w:lvl w:ilvl="5">
      <w:start w:val="0"/>
      <w:numFmt w:val="bullet"/>
      <w:lvlText w:val="•"/>
      <w:lvlJc w:val="left"/>
      <w:pPr>
        <w:ind w:left="4582" w:hanging="397"/>
      </w:pPr>
      <w:rPr>
        <w:rFonts w:hint="default"/>
      </w:rPr>
    </w:lvl>
    <w:lvl w:ilvl="6">
      <w:start w:val="0"/>
      <w:numFmt w:val="bullet"/>
      <w:lvlText w:val="•"/>
      <w:lvlJc w:val="left"/>
      <w:pPr>
        <w:ind w:left="5522" w:hanging="397"/>
      </w:pPr>
      <w:rPr>
        <w:rFonts w:hint="default"/>
      </w:rPr>
    </w:lvl>
    <w:lvl w:ilvl="7">
      <w:start w:val="0"/>
      <w:numFmt w:val="bullet"/>
      <w:lvlText w:val="•"/>
      <w:lvlJc w:val="left"/>
      <w:pPr>
        <w:ind w:left="6463" w:hanging="397"/>
      </w:pPr>
      <w:rPr>
        <w:rFonts w:hint="default"/>
      </w:rPr>
    </w:lvl>
    <w:lvl w:ilvl="8">
      <w:start w:val="0"/>
      <w:numFmt w:val="bullet"/>
      <w:lvlText w:val="•"/>
      <w:lvlJc w:val="left"/>
      <w:pPr>
        <w:ind w:left="7404" w:hanging="397"/>
      </w:pPr>
      <w:rPr>
        <w:rFonts w:hint="default"/>
      </w:rPr>
    </w:lvl>
  </w:abstractNum>
  <w:abstractNum w:abstractNumId="1">
    <w:multiLevelType w:val="hybridMultilevel"/>
    <w:lvl w:ilvl="0">
      <w:start w:val="1"/>
      <w:numFmt w:val="decimal"/>
      <w:lvlText w:val="%1"/>
      <w:lvlJc w:val="left"/>
      <w:pPr>
        <w:ind w:left="797" w:hanging="681"/>
        <w:jc w:val="left"/>
      </w:pPr>
      <w:rPr>
        <w:rFonts w:hint="default" w:ascii="Arial" w:hAnsi="Arial" w:eastAsia="Arial" w:cs="Arial"/>
        <w:b/>
        <w:bCs/>
        <w:color w:val="231F20"/>
        <w:w w:val="100"/>
        <w:sz w:val="36"/>
        <w:szCs w:val="36"/>
      </w:rPr>
    </w:lvl>
    <w:lvl w:ilvl="1">
      <w:start w:val="1"/>
      <w:numFmt w:val="decimal"/>
      <w:lvlText w:val="%1.%2"/>
      <w:lvlJc w:val="left"/>
      <w:pPr>
        <w:ind w:left="797" w:hanging="681"/>
        <w:jc w:val="left"/>
      </w:pPr>
      <w:rPr>
        <w:rFonts w:hint="default" w:ascii="Arial" w:hAnsi="Arial" w:eastAsia="Arial" w:cs="Arial"/>
        <w:b/>
        <w:bCs/>
        <w:color w:val="231F20"/>
        <w:spacing w:val="-1"/>
        <w:w w:val="100"/>
        <w:sz w:val="28"/>
        <w:szCs w:val="28"/>
      </w:rPr>
    </w:lvl>
    <w:lvl w:ilvl="2">
      <w:start w:val="0"/>
      <w:numFmt w:val="bullet"/>
      <w:lvlText w:val="•"/>
      <w:lvlJc w:val="left"/>
      <w:pPr>
        <w:ind w:left="2497" w:hanging="681"/>
      </w:pPr>
      <w:rPr>
        <w:rFonts w:hint="default"/>
      </w:rPr>
    </w:lvl>
    <w:lvl w:ilvl="3">
      <w:start w:val="0"/>
      <w:numFmt w:val="bullet"/>
      <w:lvlText w:val="•"/>
      <w:lvlJc w:val="left"/>
      <w:pPr>
        <w:ind w:left="3345" w:hanging="681"/>
      </w:pPr>
      <w:rPr>
        <w:rFonts w:hint="default"/>
      </w:rPr>
    </w:lvl>
    <w:lvl w:ilvl="4">
      <w:start w:val="0"/>
      <w:numFmt w:val="bullet"/>
      <w:lvlText w:val="•"/>
      <w:lvlJc w:val="left"/>
      <w:pPr>
        <w:ind w:left="4194" w:hanging="681"/>
      </w:pPr>
      <w:rPr>
        <w:rFonts w:hint="default"/>
      </w:rPr>
    </w:lvl>
    <w:lvl w:ilvl="5">
      <w:start w:val="0"/>
      <w:numFmt w:val="bullet"/>
      <w:lvlText w:val="•"/>
      <w:lvlJc w:val="left"/>
      <w:pPr>
        <w:ind w:left="5042" w:hanging="681"/>
      </w:pPr>
      <w:rPr>
        <w:rFonts w:hint="default"/>
      </w:rPr>
    </w:lvl>
    <w:lvl w:ilvl="6">
      <w:start w:val="0"/>
      <w:numFmt w:val="bullet"/>
      <w:lvlText w:val="•"/>
      <w:lvlJc w:val="left"/>
      <w:pPr>
        <w:ind w:left="5891" w:hanging="681"/>
      </w:pPr>
      <w:rPr>
        <w:rFonts w:hint="default"/>
      </w:rPr>
    </w:lvl>
    <w:lvl w:ilvl="7">
      <w:start w:val="0"/>
      <w:numFmt w:val="bullet"/>
      <w:lvlText w:val="•"/>
      <w:lvlJc w:val="left"/>
      <w:pPr>
        <w:ind w:left="6739" w:hanging="681"/>
      </w:pPr>
      <w:rPr>
        <w:rFonts w:hint="default"/>
      </w:rPr>
    </w:lvl>
    <w:lvl w:ilvl="8">
      <w:start w:val="0"/>
      <w:numFmt w:val="bullet"/>
      <w:lvlText w:val="•"/>
      <w:lvlJc w:val="left"/>
      <w:pPr>
        <w:ind w:left="7588" w:hanging="681"/>
      </w:pPr>
      <w:rPr>
        <w:rFonts w:hint="default"/>
      </w:rPr>
    </w:lvl>
  </w:abstractNum>
  <w:abstractNum w:abstractNumId="0">
    <w:multiLevelType w:val="hybridMultilevel"/>
    <w:lvl w:ilvl="0">
      <w:start w:val="0"/>
      <w:numFmt w:val="bullet"/>
      <w:lvlText w:val="•"/>
      <w:lvlJc w:val="left"/>
      <w:pPr>
        <w:ind w:left="400" w:hanging="114"/>
      </w:pPr>
      <w:rPr>
        <w:rFonts w:hint="default" w:ascii="Arial" w:hAnsi="Arial" w:eastAsia="Arial" w:cs="Arial"/>
        <w:color w:val="231F20"/>
        <w:spacing w:val="-4"/>
        <w:w w:val="100"/>
        <w:sz w:val="18"/>
        <w:szCs w:val="18"/>
      </w:rPr>
    </w:lvl>
    <w:lvl w:ilvl="1">
      <w:start w:val="1"/>
      <w:numFmt w:val="decimal"/>
      <w:lvlText w:val="%2"/>
      <w:lvlJc w:val="left"/>
      <w:pPr>
        <w:ind w:left="1648" w:hanging="397"/>
        <w:jc w:val="left"/>
      </w:pPr>
      <w:rPr>
        <w:rFonts w:hint="default" w:ascii="Arial" w:hAnsi="Arial" w:eastAsia="Arial" w:cs="Arial"/>
        <w:color w:val="231F20"/>
        <w:w w:val="100"/>
        <w:sz w:val="22"/>
        <w:szCs w:val="22"/>
      </w:rPr>
    </w:lvl>
    <w:lvl w:ilvl="2">
      <w:start w:val="1"/>
      <w:numFmt w:val="decimal"/>
      <w:lvlText w:val="%2.%3"/>
      <w:lvlJc w:val="left"/>
      <w:pPr>
        <w:ind w:left="2044" w:hanging="397"/>
        <w:jc w:val="left"/>
      </w:pPr>
      <w:rPr>
        <w:rFonts w:hint="default" w:ascii="Arial" w:hAnsi="Arial" w:eastAsia="Arial" w:cs="Arial"/>
        <w:color w:val="231F20"/>
        <w:spacing w:val="-1"/>
        <w:w w:val="100"/>
        <w:sz w:val="22"/>
        <w:szCs w:val="22"/>
      </w:rPr>
    </w:lvl>
    <w:lvl w:ilvl="3">
      <w:start w:val="1"/>
      <w:numFmt w:val="lowerLetter"/>
      <w:lvlText w:val="(%4)"/>
      <w:lvlJc w:val="left"/>
      <w:pPr>
        <w:ind w:left="2441" w:hanging="397"/>
        <w:jc w:val="left"/>
      </w:pPr>
      <w:rPr>
        <w:rFonts w:hint="default" w:ascii="Arial" w:hAnsi="Arial" w:eastAsia="Arial" w:cs="Arial"/>
        <w:color w:val="231F20"/>
        <w:spacing w:val="-1"/>
        <w:w w:val="100"/>
        <w:sz w:val="22"/>
        <w:szCs w:val="22"/>
      </w:rPr>
    </w:lvl>
    <w:lvl w:ilvl="4">
      <w:start w:val="0"/>
      <w:numFmt w:val="bullet"/>
      <w:lvlText w:val="•"/>
      <w:lvlJc w:val="left"/>
      <w:pPr>
        <w:ind w:left="3317" w:hanging="397"/>
      </w:pPr>
      <w:rPr>
        <w:rFonts w:hint="default"/>
      </w:rPr>
    </w:lvl>
    <w:lvl w:ilvl="5">
      <w:start w:val="0"/>
      <w:numFmt w:val="bullet"/>
      <w:lvlText w:val="•"/>
      <w:lvlJc w:val="left"/>
      <w:pPr>
        <w:ind w:left="4195" w:hanging="397"/>
      </w:pPr>
      <w:rPr>
        <w:rFonts w:hint="default"/>
      </w:rPr>
    </w:lvl>
    <w:lvl w:ilvl="6">
      <w:start w:val="0"/>
      <w:numFmt w:val="bullet"/>
      <w:lvlText w:val="•"/>
      <w:lvlJc w:val="left"/>
      <w:pPr>
        <w:ind w:left="5073" w:hanging="397"/>
      </w:pPr>
      <w:rPr>
        <w:rFonts w:hint="default"/>
      </w:rPr>
    </w:lvl>
    <w:lvl w:ilvl="7">
      <w:start w:val="0"/>
      <w:numFmt w:val="bullet"/>
      <w:lvlText w:val="•"/>
      <w:lvlJc w:val="left"/>
      <w:pPr>
        <w:ind w:left="5951" w:hanging="397"/>
      </w:pPr>
      <w:rPr>
        <w:rFonts w:hint="default"/>
      </w:rPr>
    </w:lvl>
    <w:lvl w:ilvl="8">
      <w:start w:val="0"/>
      <w:numFmt w:val="bullet"/>
      <w:lvlText w:val="•"/>
      <w:lvlJc w:val="left"/>
      <w:pPr>
        <w:ind w:left="6829" w:hanging="397"/>
      </w:pPr>
      <w:rPr>
        <w:rFonts w:hint="default"/>
      </w:rPr>
    </w:lvl>
  </w:abstractNum>
  <w:num w:numId="6">
    <w:abstractNumId w:val="5"/>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09"/>
      <w:ind w:left="1648" w:hanging="397"/>
    </w:pPr>
    <w:rPr>
      <w:rFonts w:ascii="Arial" w:hAnsi="Arial" w:eastAsia="Arial" w:cs="Arial"/>
      <w:sz w:val="22"/>
      <w:szCs w:val="22"/>
    </w:rPr>
  </w:style>
  <w:style w:styleId="TOC2" w:type="paragraph">
    <w:name w:val="TOC 2"/>
    <w:basedOn w:val="Normal"/>
    <w:uiPriority w:val="1"/>
    <w:qFormat/>
    <w:pPr>
      <w:spacing w:before="39"/>
      <w:ind w:left="2044" w:hanging="396"/>
    </w:pPr>
    <w:rPr>
      <w:rFonts w:ascii="Arial" w:hAnsi="Arial" w:eastAsia="Arial" w:cs="Arial"/>
      <w:sz w:val="22"/>
      <w:szCs w:val="22"/>
    </w:rPr>
  </w:style>
  <w:style w:styleId="TOC3" w:type="paragraph">
    <w:name w:val="TOC 3"/>
    <w:basedOn w:val="Normal"/>
    <w:uiPriority w:val="1"/>
    <w:qFormat/>
    <w:pPr>
      <w:spacing w:before="39"/>
      <w:ind w:left="2441" w:hanging="397"/>
    </w:pPr>
    <w:rPr>
      <w:rFonts w:ascii="Arial" w:hAnsi="Arial" w:eastAsia="Arial" w:cs="Arial"/>
      <w:sz w:val="22"/>
      <w:szCs w:val="22"/>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41"/>
      <w:ind w:left="797" w:hanging="680"/>
      <w:outlineLvl w:val="1"/>
    </w:pPr>
    <w:rPr>
      <w:rFonts w:ascii="Arial" w:hAnsi="Arial" w:eastAsia="Arial" w:cs="Arial"/>
      <w:b/>
      <w:bCs/>
      <w:sz w:val="36"/>
      <w:szCs w:val="36"/>
    </w:rPr>
  </w:style>
  <w:style w:styleId="Heading2" w:type="paragraph">
    <w:name w:val="Heading 2"/>
    <w:basedOn w:val="Normal"/>
    <w:uiPriority w:val="1"/>
    <w:qFormat/>
    <w:pPr>
      <w:ind w:left="797" w:hanging="680"/>
      <w:outlineLvl w:val="2"/>
    </w:pPr>
    <w:rPr>
      <w:rFonts w:ascii="Arial" w:hAnsi="Arial" w:eastAsia="Arial" w:cs="Arial"/>
      <w:b/>
      <w:bCs/>
      <w:sz w:val="28"/>
      <w:szCs w:val="28"/>
    </w:rPr>
  </w:style>
  <w:style w:styleId="Heading3" w:type="paragraph">
    <w:name w:val="Heading 3"/>
    <w:basedOn w:val="Normal"/>
    <w:uiPriority w:val="1"/>
    <w:qFormat/>
    <w:pPr>
      <w:ind w:left="797" w:hanging="680"/>
      <w:outlineLvl w:val="3"/>
    </w:pPr>
    <w:rPr>
      <w:rFonts w:ascii="Arial" w:hAnsi="Arial" w:eastAsia="Arial" w:cs="Arial"/>
      <w:b/>
      <w:bCs/>
      <w:sz w:val="24"/>
      <w:szCs w:val="24"/>
    </w:rPr>
  </w:style>
  <w:style w:styleId="ListParagraph" w:type="paragraph">
    <w:name w:val="List Paragraph"/>
    <w:basedOn w:val="Normal"/>
    <w:uiPriority w:val="1"/>
    <w:qFormat/>
    <w:pPr>
      <w:spacing w:before="114"/>
      <w:ind w:left="797" w:hanging="680"/>
    </w:pPr>
    <w:rPr>
      <w:rFonts w:ascii="Arial" w:hAnsi="Arial" w:eastAsia="Arial" w:cs="Arial"/>
    </w:rPr>
  </w:style>
  <w:style w:styleId="TableParagraph" w:type="paragraph">
    <w:name w:val="Table Paragraph"/>
    <w:basedOn w:val="Normal"/>
    <w:uiPriority w:val="1"/>
    <w:qFormat/>
    <w:pPr>
      <w:spacing w:before="37"/>
      <w:ind w:right="1101"/>
      <w:jc w:val="righ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creativecommons.org/licenses/by/4.0/legalcode" TargetMode="External"/><Relationship Id="rId20" Type="http://schemas.openxmlformats.org/officeDocument/2006/relationships/hyperlink" Target="mailto:communications@humanrights.gov.au" TargetMode="External"/><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hyperlink" Target="http://www.humanrights.gov.au/" TargetMode="External"/><Relationship Id="rId44" Type="http://schemas.openxmlformats.org/officeDocument/2006/relationships/footer" Target="footer3.xml"/><Relationship Id="rId45" Type="http://schemas.openxmlformats.org/officeDocument/2006/relationships/footer" Target="footer4.xml"/><Relationship Id="rId46" Type="http://schemas.openxmlformats.org/officeDocument/2006/relationships/footer" Target="footer5.xml"/><Relationship Id="rId47" Type="http://schemas.openxmlformats.org/officeDocument/2006/relationships/footer" Target="footer6.xm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2017-04-13T11:32:29Z</dcterms:created>
  <dcterms:modified xsi:type="dcterms:W3CDTF">2017-04-13T11:32:29Z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Adobe InDesign CC 2015 (Macintosh)</vt:lpwstr>
  </property>
  <property fmtid="{D5CDD505-2E9C-101B-9397-08002B2CF9AE}" pid="4" name="LastSaved">
    <vt:filetime>2017-04-13T00:00:00Z</vt:filetime>
  </property>
</Properties>
</file>