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5D" w:rsidRPr="00007349" w:rsidRDefault="00B71A5D" w:rsidP="004A78A7">
      <w:pPr>
        <w:tabs>
          <w:tab w:val="left" w:pos="3261"/>
        </w:tabs>
        <w:spacing w:before="160" w:after="600" w:line="360" w:lineRule="auto"/>
        <w:ind w:left="2325"/>
        <w:jc w:val="right"/>
        <w:rPr>
          <w:rFonts w:eastAsia="Times New Roman"/>
          <w:bCs/>
          <w:color w:val="237BBC"/>
          <w:kern w:val="32"/>
          <w:sz w:val="44"/>
          <w:szCs w:val="44"/>
        </w:rPr>
      </w:pPr>
      <w:bookmarkStart w:id="0" w:name="_Toc209316062"/>
      <w:bookmarkEnd w:id="0"/>
      <w:r w:rsidRPr="00007349">
        <w:rPr>
          <w:rFonts w:eastAsia="Times New Roman"/>
          <w:bCs/>
          <w:color w:val="237BBC"/>
          <w:kern w:val="32"/>
          <w:sz w:val="44"/>
          <w:szCs w:val="44"/>
        </w:rPr>
        <w:t>Information and Communications Technology in the Australian Public Service – the need for change</w:t>
      </w:r>
    </w:p>
    <w:p w:rsidR="00B924E6" w:rsidRDefault="00B924E6" w:rsidP="00E26B28"/>
    <w:p w:rsidR="00D873DE" w:rsidRDefault="00D873DE" w:rsidP="00007349">
      <w:pPr>
        <w:ind w:left="5812"/>
        <w:jc w:val="right"/>
      </w:pPr>
      <w:r w:rsidRPr="00691217">
        <w:t>April 2015</w:t>
      </w:r>
    </w:p>
    <w:p w:rsidR="00D873DE" w:rsidRDefault="00D873DE" w:rsidP="00E26B28">
      <w:pPr>
        <w:sectPr w:rsidR="00D873DE" w:rsidSect="001735B8">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p>
    <w:p w:rsidR="00B63D24" w:rsidRPr="00907336" w:rsidRDefault="00B63D24" w:rsidP="00B63D24">
      <w:pPr>
        <w:rPr>
          <w:b/>
          <w:sz w:val="28"/>
          <w:szCs w:val="28"/>
        </w:rPr>
      </w:pPr>
      <w:bookmarkStart w:id="1" w:name="_Toc207761829"/>
      <w:r w:rsidRPr="00907336">
        <w:rPr>
          <w:b/>
          <w:sz w:val="28"/>
          <w:szCs w:val="28"/>
        </w:rPr>
        <w:lastRenderedPageBreak/>
        <w:t>Table of Contents</w:t>
      </w:r>
      <w:bookmarkEnd w:id="1"/>
    </w:p>
    <w:p w:rsidR="00813A1D" w:rsidRDefault="00B63D24">
      <w:pPr>
        <w:pStyle w:val="TOC1"/>
        <w:rPr>
          <w:rFonts w:asciiTheme="minorHAnsi" w:eastAsiaTheme="minorEastAsia" w:hAnsiTheme="minorHAnsi" w:cstheme="minorBidi"/>
          <w:b w:val="0"/>
          <w:szCs w:val="22"/>
        </w:rPr>
      </w:pPr>
      <w:r>
        <w:fldChar w:fldCharType="begin"/>
      </w:r>
      <w:r>
        <w:instrText xml:space="preserve"> TOC \o "1-4" \h \z \u </w:instrText>
      </w:r>
      <w:r>
        <w:fldChar w:fldCharType="separate"/>
      </w:r>
      <w:hyperlink w:anchor="_Toc417308324" w:history="1">
        <w:r w:rsidR="00813A1D" w:rsidRPr="000B7B8A">
          <w:rPr>
            <w:rStyle w:val="Hyperlink"/>
          </w:rPr>
          <w:t>1</w:t>
        </w:r>
        <w:r w:rsidR="00813A1D">
          <w:rPr>
            <w:rFonts w:asciiTheme="minorHAnsi" w:eastAsiaTheme="minorEastAsia" w:hAnsiTheme="minorHAnsi" w:cstheme="minorBidi"/>
            <w:b w:val="0"/>
            <w:szCs w:val="22"/>
          </w:rPr>
          <w:tab/>
        </w:r>
        <w:r w:rsidR="00813A1D" w:rsidRPr="000B7B8A">
          <w:rPr>
            <w:rStyle w:val="Hyperlink"/>
          </w:rPr>
          <w:t>Introduction</w:t>
        </w:r>
        <w:r w:rsidR="00813A1D">
          <w:rPr>
            <w:webHidden/>
          </w:rPr>
          <w:tab/>
        </w:r>
        <w:r w:rsidR="00813A1D">
          <w:rPr>
            <w:webHidden/>
          </w:rPr>
          <w:fldChar w:fldCharType="begin"/>
        </w:r>
        <w:r w:rsidR="00813A1D">
          <w:rPr>
            <w:webHidden/>
          </w:rPr>
          <w:instrText xml:space="preserve"> PAGEREF _Toc417308324 \h </w:instrText>
        </w:r>
        <w:r w:rsidR="00813A1D">
          <w:rPr>
            <w:webHidden/>
          </w:rPr>
        </w:r>
        <w:r w:rsidR="00813A1D">
          <w:rPr>
            <w:webHidden/>
          </w:rPr>
          <w:fldChar w:fldCharType="separate"/>
        </w:r>
        <w:r w:rsidR="00813A1D">
          <w:rPr>
            <w:webHidden/>
          </w:rPr>
          <w:t>3</w:t>
        </w:r>
        <w:r w:rsidR="00813A1D">
          <w:rPr>
            <w:webHidden/>
          </w:rPr>
          <w:fldChar w:fldCharType="end"/>
        </w:r>
      </w:hyperlink>
    </w:p>
    <w:p w:rsidR="00813A1D" w:rsidRDefault="00813A1D">
      <w:pPr>
        <w:pStyle w:val="TOC1"/>
        <w:rPr>
          <w:rFonts w:asciiTheme="minorHAnsi" w:eastAsiaTheme="minorEastAsia" w:hAnsiTheme="minorHAnsi" w:cstheme="minorBidi"/>
          <w:b w:val="0"/>
          <w:szCs w:val="22"/>
        </w:rPr>
      </w:pPr>
      <w:hyperlink w:anchor="_Toc417308325" w:history="1">
        <w:r w:rsidRPr="000B7B8A">
          <w:rPr>
            <w:rStyle w:val="Hyperlink"/>
          </w:rPr>
          <w:t>2</w:t>
        </w:r>
        <w:r>
          <w:rPr>
            <w:rFonts w:asciiTheme="minorHAnsi" w:eastAsiaTheme="minorEastAsia" w:hAnsiTheme="minorHAnsi" w:cstheme="minorBidi"/>
            <w:b w:val="0"/>
            <w:szCs w:val="22"/>
          </w:rPr>
          <w:tab/>
        </w:r>
        <w:r w:rsidRPr="000B7B8A">
          <w:rPr>
            <w:rStyle w:val="Hyperlink"/>
          </w:rPr>
          <w:t>What do we mean by accessible ICT?</w:t>
        </w:r>
        <w:r>
          <w:rPr>
            <w:webHidden/>
          </w:rPr>
          <w:tab/>
        </w:r>
        <w:r>
          <w:rPr>
            <w:webHidden/>
          </w:rPr>
          <w:fldChar w:fldCharType="begin"/>
        </w:r>
        <w:r>
          <w:rPr>
            <w:webHidden/>
          </w:rPr>
          <w:instrText xml:space="preserve"> PAGEREF _Toc417308325 \h </w:instrText>
        </w:r>
        <w:r>
          <w:rPr>
            <w:webHidden/>
          </w:rPr>
        </w:r>
        <w:r>
          <w:rPr>
            <w:webHidden/>
          </w:rPr>
          <w:fldChar w:fldCharType="separate"/>
        </w:r>
        <w:r>
          <w:rPr>
            <w:webHidden/>
          </w:rPr>
          <w:t>3</w:t>
        </w:r>
        <w:r>
          <w:rPr>
            <w:webHidden/>
          </w:rPr>
          <w:fldChar w:fldCharType="end"/>
        </w:r>
      </w:hyperlink>
    </w:p>
    <w:p w:rsidR="00813A1D" w:rsidRDefault="00813A1D">
      <w:pPr>
        <w:pStyle w:val="TOC1"/>
        <w:rPr>
          <w:rFonts w:asciiTheme="minorHAnsi" w:eastAsiaTheme="minorEastAsia" w:hAnsiTheme="minorHAnsi" w:cstheme="minorBidi"/>
          <w:b w:val="0"/>
          <w:szCs w:val="22"/>
        </w:rPr>
      </w:pPr>
      <w:hyperlink w:anchor="_Toc417308326" w:history="1">
        <w:r w:rsidRPr="000B7B8A">
          <w:rPr>
            <w:rStyle w:val="Hyperlink"/>
          </w:rPr>
          <w:t>3</w:t>
        </w:r>
        <w:r>
          <w:rPr>
            <w:rFonts w:asciiTheme="minorHAnsi" w:eastAsiaTheme="minorEastAsia" w:hAnsiTheme="minorHAnsi" w:cstheme="minorBidi"/>
            <w:b w:val="0"/>
            <w:szCs w:val="22"/>
          </w:rPr>
          <w:tab/>
        </w:r>
        <w:r w:rsidRPr="000B7B8A">
          <w:rPr>
            <w:rStyle w:val="Hyperlink"/>
          </w:rPr>
          <w:t>The case for accessible ICT</w:t>
        </w:r>
        <w:r>
          <w:rPr>
            <w:webHidden/>
          </w:rPr>
          <w:tab/>
        </w:r>
        <w:r>
          <w:rPr>
            <w:webHidden/>
          </w:rPr>
          <w:fldChar w:fldCharType="begin"/>
        </w:r>
        <w:r>
          <w:rPr>
            <w:webHidden/>
          </w:rPr>
          <w:instrText xml:space="preserve"> PAGEREF _Toc417308326 \h </w:instrText>
        </w:r>
        <w:r>
          <w:rPr>
            <w:webHidden/>
          </w:rPr>
        </w:r>
        <w:r>
          <w:rPr>
            <w:webHidden/>
          </w:rPr>
          <w:fldChar w:fldCharType="separate"/>
        </w:r>
        <w:r>
          <w:rPr>
            <w:webHidden/>
          </w:rPr>
          <w:t>4</w:t>
        </w:r>
        <w:r>
          <w:rPr>
            <w:webHidden/>
          </w:rPr>
          <w:fldChar w:fldCharType="end"/>
        </w:r>
      </w:hyperlink>
    </w:p>
    <w:p w:rsidR="00813A1D" w:rsidRDefault="00813A1D">
      <w:pPr>
        <w:pStyle w:val="TOC1"/>
        <w:rPr>
          <w:rFonts w:asciiTheme="minorHAnsi" w:eastAsiaTheme="minorEastAsia" w:hAnsiTheme="minorHAnsi" w:cstheme="minorBidi"/>
          <w:b w:val="0"/>
          <w:szCs w:val="22"/>
        </w:rPr>
      </w:pPr>
      <w:hyperlink w:anchor="_Toc417308327" w:history="1">
        <w:r w:rsidRPr="000B7B8A">
          <w:rPr>
            <w:rStyle w:val="Hyperlink"/>
          </w:rPr>
          <w:t>4</w:t>
        </w:r>
        <w:r>
          <w:rPr>
            <w:rFonts w:asciiTheme="minorHAnsi" w:eastAsiaTheme="minorEastAsia" w:hAnsiTheme="minorHAnsi" w:cstheme="minorBidi"/>
            <w:b w:val="0"/>
            <w:szCs w:val="22"/>
          </w:rPr>
          <w:tab/>
        </w:r>
        <w:r w:rsidRPr="000B7B8A">
          <w:rPr>
            <w:rStyle w:val="Hyperlink"/>
          </w:rPr>
          <w:t>Legal dimensions</w:t>
        </w:r>
        <w:r>
          <w:rPr>
            <w:webHidden/>
          </w:rPr>
          <w:tab/>
        </w:r>
        <w:r>
          <w:rPr>
            <w:webHidden/>
          </w:rPr>
          <w:fldChar w:fldCharType="begin"/>
        </w:r>
        <w:r>
          <w:rPr>
            <w:webHidden/>
          </w:rPr>
          <w:instrText xml:space="preserve"> PAGEREF _Toc417308327 \h </w:instrText>
        </w:r>
        <w:r>
          <w:rPr>
            <w:webHidden/>
          </w:rPr>
        </w:r>
        <w:r>
          <w:rPr>
            <w:webHidden/>
          </w:rPr>
          <w:fldChar w:fldCharType="separate"/>
        </w:r>
        <w:r>
          <w:rPr>
            <w:webHidden/>
          </w:rPr>
          <w:t>5</w:t>
        </w:r>
        <w:r>
          <w:rPr>
            <w:webHidden/>
          </w:rPr>
          <w:fldChar w:fldCharType="end"/>
        </w:r>
      </w:hyperlink>
    </w:p>
    <w:p w:rsidR="00813A1D" w:rsidRDefault="00813A1D">
      <w:pPr>
        <w:pStyle w:val="TOC1"/>
        <w:rPr>
          <w:rFonts w:asciiTheme="minorHAnsi" w:eastAsiaTheme="minorEastAsia" w:hAnsiTheme="minorHAnsi" w:cstheme="minorBidi"/>
          <w:b w:val="0"/>
          <w:szCs w:val="22"/>
        </w:rPr>
      </w:pPr>
      <w:hyperlink w:anchor="_Toc417308328" w:history="1">
        <w:r w:rsidRPr="000B7B8A">
          <w:rPr>
            <w:rStyle w:val="Hyperlink"/>
          </w:rPr>
          <w:t>5</w:t>
        </w:r>
        <w:r>
          <w:rPr>
            <w:rFonts w:asciiTheme="minorHAnsi" w:eastAsiaTheme="minorEastAsia" w:hAnsiTheme="minorHAnsi" w:cstheme="minorBidi"/>
            <w:b w:val="0"/>
            <w:szCs w:val="22"/>
          </w:rPr>
          <w:tab/>
        </w:r>
        <w:r w:rsidRPr="000B7B8A">
          <w:rPr>
            <w:rStyle w:val="Hyperlink"/>
          </w:rPr>
          <w:t>International Experience</w:t>
        </w:r>
        <w:r>
          <w:rPr>
            <w:webHidden/>
          </w:rPr>
          <w:tab/>
        </w:r>
        <w:r>
          <w:rPr>
            <w:webHidden/>
          </w:rPr>
          <w:fldChar w:fldCharType="begin"/>
        </w:r>
        <w:r>
          <w:rPr>
            <w:webHidden/>
          </w:rPr>
          <w:instrText xml:space="preserve"> PAGEREF _Toc417308328 \h </w:instrText>
        </w:r>
        <w:r>
          <w:rPr>
            <w:webHidden/>
          </w:rPr>
        </w:r>
        <w:r>
          <w:rPr>
            <w:webHidden/>
          </w:rPr>
          <w:fldChar w:fldCharType="separate"/>
        </w:r>
        <w:r>
          <w:rPr>
            <w:webHidden/>
          </w:rPr>
          <w:t>5</w:t>
        </w:r>
        <w:r>
          <w:rPr>
            <w:webHidden/>
          </w:rPr>
          <w:fldChar w:fldCharType="end"/>
        </w:r>
      </w:hyperlink>
    </w:p>
    <w:p w:rsidR="00813A1D" w:rsidRDefault="00813A1D">
      <w:pPr>
        <w:pStyle w:val="TOC1"/>
        <w:rPr>
          <w:rFonts w:asciiTheme="minorHAnsi" w:eastAsiaTheme="minorEastAsia" w:hAnsiTheme="minorHAnsi" w:cstheme="minorBidi"/>
          <w:b w:val="0"/>
          <w:szCs w:val="22"/>
        </w:rPr>
      </w:pPr>
      <w:hyperlink w:anchor="_Toc417308329" w:history="1">
        <w:r w:rsidRPr="000B7B8A">
          <w:rPr>
            <w:rStyle w:val="Hyperlink"/>
          </w:rPr>
          <w:t>6</w:t>
        </w:r>
        <w:r>
          <w:rPr>
            <w:rFonts w:asciiTheme="minorHAnsi" w:eastAsiaTheme="minorEastAsia" w:hAnsiTheme="minorHAnsi" w:cstheme="minorBidi"/>
            <w:b w:val="0"/>
            <w:szCs w:val="22"/>
          </w:rPr>
          <w:tab/>
        </w:r>
        <w:r w:rsidRPr="000B7B8A">
          <w:rPr>
            <w:rStyle w:val="Hyperlink"/>
          </w:rPr>
          <w:t>Procurement of ICT in the APS to-date</w:t>
        </w:r>
        <w:r>
          <w:rPr>
            <w:webHidden/>
          </w:rPr>
          <w:tab/>
        </w:r>
        <w:r>
          <w:rPr>
            <w:webHidden/>
          </w:rPr>
          <w:fldChar w:fldCharType="begin"/>
        </w:r>
        <w:r>
          <w:rPr>
            <w:webHidden/>
          </w:rPr>
          <w:instrText xml:space="preserve"> PAGEREF _Toc417308329 \h </w:instrText>
        </w:r>
        <w:r>
          <w:rPr>
            <w:webHidden/>
          </w:rPr>
        </w:r>
        <w:r>
          <w:rPr>
            <w:webHidden/>
          </w:rPr>
          <w:fldChar w:fldCharType="separate"/>
        </w:r>
        <w:r>
          <w:rPr>
            <w:webHidden/>
          </w:rPr>
          <w:t>6</w:t>
        </w:r>
        <w:r>
          <w:rPr>
            <w:webHidden/>
          </w:rPr>
          <w:fldChar w:fldCharType="end"/>
        </w:r>
      </w:hyperlink>
    </w:p>
    <w:p w:rsidR="00813A1D" w:rsidRDefault="00813A1D">
      <w:pPr>
        <w:pStyle w:val="TOC1"/>
        <w:rPr>
          <w:rFonts w:asciiTheme="minorHAnsi" w:eastAsiaTheme="minorEastAsia" w:hAnsiTheme="minorHAnsi" w:cstheme="minorBidi"/>
          <w:b w:val="0"/>
          <w:szCs w:val="22"/>
        </w:rPr>
      </w:pPr>
      <w:hyperlink w:anchor="_Toc417308330" w:history="1">
        <w:r w:rsidRPr="000B7B8A">
          <w:rPr>
            <w:rStyle w:val="Hyperlink"/>
          </w:rPr>
          <w:t>7</w:t>
        </w:r>
        <w:r>
          <w:rPr>
            <w:rFonts w:asciiTheme="minorHAnsi" w:eastAsiaTheme="minorEastAsia" w:hAnsiTheme="minorHAnsi" w:cstheme="minorBidi"/>
            <w:b w:val="0"/>
            <w:szCs w:val="22"/>
          </w:rPr>
          <w:tab/>
        </w:r>
        <w:r w:rsidRPr="000B7B8A">
          <w:rPr>
            <w:rStyle w:val="Hyperlink"/>
          </w:rPr>
          <w:t>The way forward</w:t>
        </w:r>
        <w:r>
          <w:rPr>
            <w:webHidden/>
          </w:rPr>
          <w:tab/>
        </w:r>
        <w:r>
          <w:rPr>
            <w:webHidden/>
          </w:rPr>
          <w:fldChar w:fldCharType="begin"/>
        </w:r>
        <w:r>
          <w:rPr>
            <w:webHidden/>
          </w:rPr>
          <w:instrText xml:space="preserve"> PAGEREF _Toc417308330 \h </w:instrText>
        </w:r>
        <w:r>
          <w:rPr>
            <w:webHidden/>
          </w:rPr>
        </w:r>
        <w:r>
          <w:rPr>
            <w:webHidden/>
          </w:rPr>
          <w:fldChar w:fldCharType="separate"/>
        </w:r>
        <w:r>
          <w:rPr>
            <w:webHidden/>
          </w:rPr>
          <w:t>8</w:t>
        </w:r>
        <w:r>
          <w:rPr>
            <w:webHidden/>
          </w:rPr>
          <w:fldChar w:fldCharType="end"/>
        </w:r>
      </w:hyperlink>
    </w:p>
    <w:p w:rsidR="00813A1D" w:rsidRDefault="00813A1D">
      <w:pPr>
        <w:pStyle w:val="TOC1"/>
        <w:rPr>
          <w:rFonts w:asciiTheme="minorHAnsi" w:eastAsiaTheme="minorEastAsia" w:hAnsiTheme="minorHAnsi" w:cstheme="minorBidi"/>
          <w:b w:val="0"/>
          <w:szCs w:val="22"/>
        </w:rPr>
      </w:pPr>
      <w:hyperlink w:anchor="_Toc417308331" w:history="1">
        <w:r w:rsidRPr="000B7B8A">
          <w:rPr>
            <w:rStyle w:val="Hyperlink"/>
          </w:rPr>
          <w:t>8</w:t>
        </w:r>
        <w:r>
          <w:rPr>
            <w:rFonts w:asciiTheme="minorHAnsi" w:eastAsiaTheme="minorEastAsia" w:hAnsiTheme="minorHAnsi" w:cstheme="minorBidi"/>
            <w:b w:val="0"/>
            <w:szCs w:val="22"/>
          </w:rPr>
          <w:tab/>
        </w:r>
        <w:r w:rsidRPr="000B7B8A">
          <w:rPr>
            <w:rStyle w:val="Hyperlink"/>
          </w:rPr>
          <w:t>Appendix – Private Sector Examples</w:t>
        </w:r>
        <w:r>
          <w:rPr>
            <w:webHidden/>
          </w:rPr>
          <w:tab/>
        </w:r>
        <w:r>
          <w:rPr>
            <w:webHidden/>
          </w:rPr>
          <w:fldChar w:fldCharType="begin"/>
        </w:r>
        <w:r>
          <w:rPr>
            <w:webHidden/>
          </w:rPr>
          <w:instrText xml:space="preserve"> PAGEREF _Toc417308331 \h </w:instrText>
        </w:r>
        <w:r>
          <w:rPr>
            <w:webHidden/>
          </w:rPr>
        </w:r>
        <w:r>
          <w:rPr>
            <w:webHidden/>
          </w:rPr>
          <w:fldChar w:fldCharType="separate"/>
        </w:r>
        <w:r>
          <w:rPr>
            <w:webHidden/>
          </w:rPr>
          <w:t>10</w:t>
        </w:r>
        <w:r>
          <w:rPr>
            <w:webHidden/>
          </w:rPr>
          <w:fldChar w:fldCharType="end"/>
        </w:r>
      </w:hyperlink>
    </w:p>
    <w:p w:rsidR="00B34946" w:rsidRDefault="00B63D24" w:rsidP="009F2764">
      <w:pPr>
        <w:pStyle w:val="TOC1"/>
      </w:pPr>
      <w:r>
        <w:fldChar w:fldCharType="end"/>
      </w: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Default="00EC3EE9">
      <w:pPr>
        <w:spacing w:before="0" w:after="0"/>
      </w:pPr>
    </w:p>
    <w:p w:rsidR="00EC3EE9" w:rsidRPr="009F041C" w:rsidRDefault="00EC3EE9">
      <w:pPr>
        <w:spacing w:before="0" w:after="0"/>
        <w:rPr>
          <w:sz w:val="20"/>
          <w:szCs w:val="20"/>
        </w:rPr>
      </w:pPr>
      <w:r w:rsidRPr="009F041C">
        <w:rPr>
          <w:sz w:val="20"/>
          <w:szCs w:val="20"/>
        </w:rPr>
        <w:t xml:space="preserve">The Australian Human Rights Commission would like to </w:t>
      </w:r>
      <w:r w:rsidR="009F041C" w:rsidRPr="009F041C">
        <w:rPr>
          <w:sz w:val="20"/>
          <w:szCs w:val="20"/>
        </w:rPr>
        <w:t>acknowledge</w:t>
      </w:r>
      <w:r w:rsidRPr="009F041C">
        <w:rPr>
          <w:sz w:val="20"/>
          <w:szCs w:val="20"/>
        </w:rPr>
        <w:t xml:space="preserve"> the </w:t>
      </w:r>
      <w:r w:rsidR="009F041C">
        <w:rPr>
          <w:sz w:val="20"/>
          <w:szCs w:val="20"/>
        </w:rPr>
        <w:t>contribution of Ms Lauren Henley, Policy Officer at the Commission. Lauren’s particular knowledge and experience of accessible</w:t>
      </w:r>
      <w:r w:rsidR="00473080">
        <w:rPr>
          <w:sz w:val="20"/>
          <w:szCs w:val="20"/>
        </w:rPr>
        <w:t xml:space="preserve"> information and communication t</w:t>
      </w:r>
      <w:r w:rsidR="009F041C">
        <w:rPr>
          <w:sz w:val="20"/>
          <w:szCs w:val="20"/>
        </w:rPr>
        <w:t>echnology was an asset in the development of this paper.</w:t>
      </w:r>
    </w:p>
    <w:p w:rsidR="00D21A6B" w:rsidRDefault="009F2764" w:rsidP="00E64461">
      <w:pPr>
        <w:pStyle w:val="Heading1"/>
        <w:numPr>
          <w:ilvl w:val="0"/>
          <w:numId w:val="16"/>
        </w:numPr>
        <w:tabs>
          <w:tab w:val="clear" w:pos="851"/>
          <w:tab w:val="num" w:pos="971"/>
        </w:tabs>
        <w:ind w:left="971"/>
        <w:rPr>
          <w:sz w:val="36"/>
          <w:szCs w:val="36"/>
        </w:rPr>
      </w:pPr>
      <w:bookmarkStart w:id="2" w:name="_Toc207761830"/>
      <w:bookmarkStart w:id="3" w:name="_Toc209578266"/>
      <w:bookmarkStart w:id="4" w:name="_Toc417308324"/>
      <w:r w:rsidRPr="0010508C">
        <w:rPr>
          <w:sz w:val="36"/>
          <w:szCs w:val="36"/>
        </w:rPr>
        <w:lastRenderedPageBreak/>
        <w:t>Introduction</w:t>
      </w:r>
      <w:bookmarkEnd w:id="2"/>
      <w:bookmarkEnd w:id="3"/>
      <w:bookmarkEnd w:id="4"/>
    </w:p>
    <w:p w:rsidR="00007349" w:rsidRDefault="00007349" w:rsidP="009F2764">
      <w:pPr>
        <w:pStyle w:val="SubmissionNormal"/>
      </w:pPr>
      <w:r>
        <w:t>The low rate of employment of people with disability in the Australian Public Service (APS) is unsatisfactory in terms of the government’s broader objectives, and from the Australian Human Rights Commission’s perspective in terms of the right to work of people with disability.</w:t>
      </w:r>
    </w:p>
    <w:p w:rsidR="009F2764" w:rsidRDefault="007D6C72" w:rsidP="009F2764">
      <w:pPr>
        <w:pStyle w:val="SubmissionNormal"/>
      </w:pPr>
      <w:r>
        <w:t>The Australian Human Rights Commission (the Commission)</w:t>
      </w:r>
      <w:r w:rsidR="00074EC0">
        <w:t xml:space="preserve"> </w:t>
      </w:r>
      <w:r w:rsidR="00074EC0" w:rsidRPr="00B65C75">
        <w:t>s</w:t>
      </w:r>
      <w:r w:rsidR="00074EC0">
        <w:t xml:space="preserve">ees the wider use of accessible </w:t>
      </w:r>
      <w:r w:rsidR="00F47078">
        <w:t>I</w:t>
      </w:r>
      <w:r w:rsidR="00074EC0">
        <w:t xml:space="preserve">nformation and </w:t>
      </w:r>
      <w:r w:rsidR="00F47078">
        <w:t>C</w:t>
      </w:r>
      <w:r w:rsidR="00074EC0">
        <w:t xml:space="preserve">ommunications </w:t>
      </w:r>
      <w:r w:rsidR="00F47078">
        <w:t>T</w:t>
      </w:r>
      <w:r w:rsidR="00074EC0">
        <w:t>echnology (ICT)</w:t>
      </w:r>
      <w:r w:rsidR="00074EC0" w:rsidRPr="00B65C75">
        <w:t xml:space="preserve"> as necessary </w:t>
      </w:r>
      <w:r w:rsidR="00535701">
        <w:t xml:space="preserve">to improving </w:t>
      </w:r>
      <w:r w:rsidR="000B5811">
        <w:t xml:space="preserve">the APS </w:t>
      </w:r>
      <w:r w:rsidR="00074EC0" w:rsidRPr="00B65C75">
        <w:t xml:space="preserve">performance on the employment of people </w:t>
      </w:r>
      <w:r w:rsidR="00074EC0">
        <w:t>with disability</w:t>
      </w:r>
      <w:r w:rsidR="00535701">
        <w:t>.</w:t>
      </w:r>
    </w:p>
    <w:p w:rsidR="007A6350" w:rsidRDefault="007A6350" w:rsidP="009F2764">
      <w:pPr>
        <w:pStyle w:val="SubmissionNormal"/>
      </w:pPr>
      <w:r>
        <w:t xml:space="preserve">The APS </w:t>
      </w:r>
      <w:r w:rsidR="00535701">
        <w:t>c</w:t>
      </w:r>
      <w:r w:rsidR="002048DD">
        <w:t>an</w:t>
      </w:r>
      <w:r>
        <w:t xml:space="preserve"> achieve higher rates of employment for people with disability </w:t>
      </w:r>
      <w:r w:rsidR="000B5811">
        <w:t xml:space="preserve">by finding ways to remove </w:t>
      </w:r>
      <w:r>
        <w:t xml:space="preserve">barriers currently </w:t>
      </w:r>
      <w:r w:rsidR="002048DD">
        <w:t>obstruct</w:t>
      </w:r>
      <w:r w:rsidR="00535701">
        <w:t xml:space="preserve">ing </w:t>
      </w:r>
      <w:r w:rsidR="002048DD">
        <w:t xml:space="preserve">qualified and motivated </w:t>
      </w:r>
      <w:r>
        <w:t xml:space="preserve">people with disability.  </w:t>
      </w:r>
      <w:r w:rsidR="009C0856">
        <w:t>Some of th</w:t>
      </w:r>
      <w:r>
        <w:t xml:space="preserve">ese barriers </w:t>
      </w:r>
      <w:r w:rsidR="00962B1E">
        <w:t xml:space="preserve">relate to ICT </w:t>
      </w:r>
      <w:r>
        <w:t>incompatibility and inaccessibility</w:t>
      </w:r>
      <w:r w:rsidR="009C0856">
        <w:t>. In</w:t>
      </w:r>
      <w:r>
        <w:t xml:space="preserve"> countries such as the United States, Japan and parts of Europe</w:t>
      </w:r>
      <w:r w:rsidR="000B5811">
        <w:t>,</w:t>
      </w:r>
      <w:r w:rsidR="009C0856">
        <w:t xml:space="preserve"> ICT accessibility issues </w:t>
      </w:r>
      <w:r w:rsidR="0090035F">
        <w:t>have</w:t>
      </w:r>
      <w:r w:rsidR="009C0856">
        <w:t xml:space="preserve"> </w:t>
      </w:r>
      <w:r w:rsidR="0090035F">
        <w:t xml:space="preserve">already been </w:t>
      </w:r>
      <w:r w:rsidR="009C0856">
        <w:t>dealt with successfully.</w:t>
      </w:r>
      <w:r>
        <w:t xml:space="preserve">  With disability reform and </w:t>
      </w:r>
      <w:r w:rsidR="00962B1E">
        <w:t>greater</w:t>
      </w:r>
      <w:r>
        <w:t xml:space="preserve"> employment </w:t>
      </w:r>
      <w:r w:rsidR="00962B1E">
        <w:t xml:space="preserve">participation </w:t>
      </w:r>
      <w:r>
        <w:t>for all Australians current</w:t>
      </w:r>
      <w:r w:rsidR="00962B1E">
        <w:t xml:space="preserve">ly </w:t>
      </w:r>
      <w:r w:rsidR="009C0856">
        <w:t>the fo</w:t>
      </w:r>
      <w:r w:rsidR="0090035F">
        <w:t>c</w:t>
      </w:r>
      <w:r w:rsidR="009C0856">
        <w:t>us of much</w:t>
      </w:r>
      <w:r w:rsidR="00962B1E">
        <w:t xml:space="preserve"> policy debate</w:t>
      </w:r>
      <w:r>
        <w:t xml:space="preserve">, the time and need for change </w:t>
      </w:r>
      <w:r w:rsidR="0090035F">
        <w:t>to accessible ICT within Australia</w:t>
      </w:r>
      <w:r w:rsidR="00441B99">
        <w:t xml:space="preserve">’s </w:t>
      </w:r>
      <w:r w:rsidR="000B5811">
        <w:t>workplaces has</w:t>
      </w:r>
      <w:r w:rsidR="0090035F">
        <w:t xml:space="preserve"> come.</w:t>
      </w:r>
      <w:r w:rsidR="008F0E9A">
        <w:t xml:space="preserve"> </w:t>
      </w:r>
    </w:p>
    <w:p w:rsidR="009F2764" w:rsidRPr="00932409" w:rsidRDefault="00074EC0" w:rsidP="00E64461">
      <w:pPr>
        <w:pStyle w:val="Heading1"/>
        <w:numPr>
          <w:ilvl w:val="0"/>
          <w:numId w:val="16"/>
        </w:numPr>
        <w:tabs>
          <w:tab w:val="clear" w:pos="851"/>
          <w:tab w:val="num" w:pos="971"/>
        </w:tabs>
        <w:ind w:left="971"/>
        <w:rPr>
          <w:sz w:val="36"/>
          <w:szCs w:val="36"/>
        </w:rPr>
      </w:pPr>
      <w:bookmarkStart w:id="5" w:name="_Toc417308325"/>
      <w:r w:rsidRPr="00932409">
        <w:rPr>
          <w:sz w:val="36"/>
          <w:szCs w:val="36"/>
        </w:rPr>
        <w:t>What do we mean by accessible ICT</w:t>
      </w:r>
      <w:r w:rsidR="000F1010">
        <w:rPr>
          <w:sz w:val="36"/>
          <w:szCs w:val="36"/>
        </w:rPr>
        <w:t>?</w:t>
      </w:r>
      <w:bookmarkEnd w:id="5"/>
    </w:p>
    <w:p w:rsidR="00F44D34" w:rsidRDefault="00F44D34" w:rsidP="00F44D34">
      <w:pPr>
        <w:pStyle w:val="SubmissionNormal"/>
      </w:pPr>
      <w:r>
        <w:t xml:space="preserve">The term “ICT” refers to the software and systems that are integrated into many aspects of business and public services. It includes devices such as computer software and hardware, telecommunications, and office equipment such as printers, photocopiers and scanners. </w:t>
      </w:r>
    </w:p>
    <w:p w:rsidR="00074EC0" w:rsidRPr="005D1D9A" w:rsidRDefault="00691217" w:rsidP="00074EC0">
      <w:pPr>
        <w:pStyle w:val="SubmissionNormal"/>
      </w:pPr>
      <w:r>
        <w:t>M</w:t>
      </w:r>
      <w:r w:rsidR="00074EC0">
        <w:t xml:space="preserve">anufacturers </w:t>
      </w:r>
      <w:r w:rsidR="00441B99">
        <w:t xml:space="preserve">do not always </w:t>
      </w:r>
      <w:r w:rsidR="002D120E">
        <w:t>produce</w:t>
      </w:r>
      <w:r w:rsidR="00441B99">
        <w:t xml:space="preserve"> products </w:t>
      </w:r>
      <w:r w:rsidR="002D120E">
        <w:t xml:space="preserve">that </w:t>
      </w:r>
      <w:r w:rsidR="00441B99">
        <w:t>achieve a high standard of</w:t>
      </w:r>
      <w:r w:rsidR="00962B1E">
        <w:t xml:space="preserve"> accessib</w:t>
      </w:r>
      <w:r w:rsidR="00441B99">
        <w:t>ility. U</w:t>
      </w:r>
      <w:r w:rsidR="00074EC0">
        <w:t xml:space="preserve">niversal design principles </w:t>
      </w:r>
      <w:r w:rsidR="00441B99">
        <w:t>should be applied to all ICT, but currently this is not the case.</w:t>
      </w:r>
      <w:r w:rsidR="00411F5D">
        <w:t xml:space="preserve"> </w:t>
      </w:r>
      <w:r w:rsidR="00441B99">
        <w:t>Where</w:t>
      </w:r>
      <w:r w:rsidR="00074EC0">
        <w:t xml:space="preserve"> technology </w:t>
      </w:r>
      <w:r w:rsidR="00441B99">
        <w:t xml:space="preserve">falls short of such standards, </w:t>
      </w:r>
      <w:r w:rsidR="00411F5D">
        <w:t xml:space="preserve">these products </w:t>
      </w:r>
      <w:r w:rsidR="00074EC0">
        <w:t>offer limited functional</w:t>
      </w:r>
      <w:r w:rsidR="001C4146">
        <w:t xml:space="preserve">ity for people with disability.  </w:t>
      </w:r>
      <w:r w:rsidR="008F0E9A">
        <w:t>U</w:t>
      </w:r>
      <w:r w:rsidR="00074EC0">
        <w:t xml:space="preserve">niversal design recognises the broad spectrum of human needs and </w:t>
      </w:r>
      <w:r w:rsidR="00411F5D">
        <w:t>based on this recognition</w:t>
      </w:r>
      <w:r w:rsidR="00074EC0">
        <w:t xml:space="preserve"> </w:t>
      </w:r>
      <w:r w:rsidR="00411F5D">
        <w:t>develops</w:t>
      </w:r>
      <w:r w:rsidR="00074EC0">
        <w:t xml:space="preserve"> products that are usable </w:t>
      </w:r>
      <w:r w:rsidR="00411F5D">
        <w:t>by</w:t>
      </w:r>
      <w:r w:rsidR="00074EC0">
        <w:t xml:space="preserve"> the widest </w:t>
      </w:r>
      <w:r w:rsidR="00411F5D">
        <w:t xml:space="preserve">possible </w:t>
      </w:r>
      <w:r w:rsidR="00074EC0">
        <w:t>range of people</w:t>
      </w:r>
      <w:r w:rsidR="00A05200">
        <w:t>.</w:t>
      </w:r>
      <w:r w:rsidR="00A05200">
        <w:rPr>
          <w:rStyle w:val="EndnoteReference"/>
        </w:rPr>
        <w:endnoteReference w:id="1"/>
      </w:r>
      <w:r w:rsidR="00074EC0">
        <w:t xml:space="preserve">  </w:t>
      </w:r>
      <w:r w:rsidR="008F0E9A">
        <w:t>Universal design is not only important for people with disability, but also for older people, people with an illness or injury and all people who, with a wide spectrum of capabilities, make up human diversity.</w:t>
      </w:r>
    </w:p>
    <w:p w:rsidR="00074EC0" w:rsidRDefault="00074EC0" w:rsidP="00074EC0">
      <w:pPr>
        <w:pStyle w:val="SubmissionNormal"/>
      </w:pPr>
      <w:r>
        <w:t>The accessibility of ICT products</w:t>
      </w:r>
      <w:r w:rsidR="00E83913">
        <w:t xml:space="preserve"> depends on</w:t>
      </w:r>
      <w:r>
        <w:t xml:space="preserve"> additions which will ensure that anyone is able to access the product, regardless of </w:t>
      </w:r>
      <w:r w:rsidR="007D51CF">
        <w:t>their needs</w:t>
      </w:r>
      <w:r>
        <w:t>. This involves:</w:t>
      </w:r>
    </w:p>
    <w:p w:rsidR="00074EC0" w:rsidRDefault="00074EC0" w:rsidP="00E64461">
      <w:pPr>
        <w:pStyle w:val="SubmissionNormal"/>
        <w:numPr>
          <w:ilvl w:val="1"/>
          <w:numId w:val="15"/>
        </w:numPr>
      </w:pPr>
      <w:r>
        <w:t>maximising basic accessibility</w:t>
      </w:r>
      <w:r w:rsidR="00603EF9">
        <w:t>;</w:t>
      </w:r>
    </w:p>
    <w:p w:rsidR="00074EC0" w:rsidRDefault="00074EC0" w:rsidP="00E64461">
      <w:pPr>
        <w:pStyle w:val="SubmissionNormal"/>
        <w:numPr>
          <w:ilvl w:val="1"/>
          <w:numId w:val="15"/>
        </w:numPr>
      </w:pPr>
      <w:r>
        <w:t>allowing user configuration</w:t>
      </w:r>
      <w:r w:rsidR="00603EF9">
        <w:t>;</w:t>
      </w:r>
    </w:p>
    <w:p w:rsidR="00074EC0" w:rsidRDefault="00074EC0" w:rsidP="00E64461">
      <w:pPr>
        <w:pStyle w:val="SubmissionNormal"/>
        <w:numPr>
          <w:ilvl w:val="1"/>
          <w:numId w:val="15"/>
        </w:numPr>
      </w:pPr>
      <w:r>
        <w:t>allowing a range of interaction methods</w:t>
      </w:r>
      <w:r w:rsidR="00603EF9">
        <w:t>;</w:t>
      </w:r>
    </w:p>
    <w:p w:rsidR="00074EC0" w:rsidRDefault="00074EC0" w:rsidP="00E64461">
      <w:pPr>
        <w:pStyle w:val="SubmissionNormal"/>
        <w:numPr>
          <w:ilvl w:val="1"/>
          <w:numId w:val="15"/>
        </w:numPr>
      </w:pPr>
      <w:r>
        <w:t>prov</w:t>
      </w:r>
      <w:r w:rsidR="00603EF9">
        <w:t>iding outputs in multiple forms;</w:t>
      </w:r>
      <w:r>
        <w:t xml:space="preserve"> and</w:t>
      </w:r>
    </w:p>
    <w:p w:rsidR="00074EC0" w:rsidRDefault="00603EF9" w:rsidP="00E64461">
      <w:pPr>
        <w:pStyle w:val="SubmissionNormal"/>
        <w:numPr>
          <w:ilvl w:val="1"/>
          <w:numId w:val="15"/>
        </w:numPr>
      </w:pPr>
      <w:r>
        <w:t>e</w:t>
      </w:r>
      <w:r w:rsidR="00074EC0">
        <w:t>nsuring compatibility with assistive technologies.</w:t>
      </w:r>
      <w:r w:rsidR="00074EC0">
        <w:rPr>
          <w:rStyle w:val="EndnoteReference"/>
        </w:rPr>
        <w:endnoteReference w:id="2"/>
      </w:r>
      <w:r w:rsidR="00074EC0">
        <w:t xml:space="preserve"> </w:t>
      </w:r>
    </w:p>
    <w:p w:rsidR="00074EC0" w:rsidRDefault="00074EC0" w:rsidP="00074EC0">
      <w:pPr>
        <w:pStyle w:val="SubmissionNormal"/>
      </w:pPr>
      <w:r>
        <w:lastRenderedPageBreak/>
        <w:t>Apple’s iPod, iPad and iPhone products demonstrate how universal design features can be integrated into ICT. The native software on these devices allows for configuration to suit a wide range of needs</w:t>
      </w:r>
      <w:r w:rsidR="00E83913">
        <w:t xml:space="preserve"> and</w:t>
      </w:r>
      <w:r>
        <w:t xml:space="preserve"> provid</w:t>
      </w:r>
      <w:r w:rsidR="00E83913">
        <w:t>es</w:t>
      </w:r>
      <w:r>
        <w:t xml:space="preserve"> enhanced functionality for users who are blind or vision </w:t>
      </w:r>
      <w:r w:rsidR="000B5811">
        <w:t>impaired,</w:t>
      </w:r>
      <w:r>
        <w:t xml:space="preserve"> users who are deaf or hearing impaired, users who have physical or motor skill limitations and users who experience difficulty with learning or literacy.</w:t>
      </w:r>
      <w:r w:rsidR="008305A4">
        <w:rPr>
          <w:rStyle w:val="EndnoteReference"/>
        </w:rPr>
        <w:endnoteReference w:id="3"/>
      </w:r>
      <w:r>
        <w:t xml:space="preserve"> </w:t>
      </w:r>
      <w:r w:rsidR="005E5233">
        <w:t xml:space="preserve"> This is a </w:t>
      </w:r>
      <w:r w:rsidR="00E83913">
        <w:t xml:space="preserve">type of </w:t>
      </w:r>
      <w:r w:rsidR="005E5233">
        <w:t xml:space="preserve">product that is not targeted at people with disability, but through accessible and universal design, is available for use by people with disability in addition to the broader public. </w:t>
      </w:r>
    </w:p>
    <w:p w:rsidR="0094701B" w:rsidRPr="007D51CF" w:rsidRDefault="00074EC0" w:rsidP="00E64461">
      <w:pPr>
        <w:pStyle w:val="Heading1"/>
        <w:numPr>
          <w:ilvl w:val="0"/>
          <w:numId w:val="16"/>
        </w:numPr>
        <w:tabs>
          <w:tab w:val="clear" w:pos="851"/>
          <w:tab w:val="num" w:pos="971"/>
        </w:tabs>
        <w:ind w:left="971"/>
        <w:rPr>
          <w:sz w:val="36"/>
          <w:szCs w:val="36"/>
        </w:rPr>
      </w:pPr>
      <w:bookmarkStart w:id="6" w:name="_Toc417308326"/>
      <w:r w:rsidRPr="007D51CF">
        <w:rPr>
          <w:sz w:val="36"/>
          <w:szCs w:val="36"/>
        </w:rPr>
        <w:t>The case for accessible ICT</w:t>
      </w:r>
      <w:bookmarkEnd w:id="6"/>
    </w:p>
    <w:p w:rsidR="00074EC0" w:rsidRPr="001908FC" w:rsidRDefault="00074EC0" w:rsidP="00074EC0">
      <w:pPr>
        <w:pStyle w:val="SubmissionNormal"/>
      </w:pPr>
      <w:r>
        <w:t xml:space="preserve">Although it is possible for people with disability to work successfully in a wide range of roles, some people with disability may require the use of adaptive technology to facilitate their full and equal participation in the workplace. This might take the form of text-to-speech software to enable an employee who is blind to access a work computer, or dictation software to provide the same level of access to an employee who is unable to interact with the computer </w:t>
      </w:r>
      <w:r w:rsidRPr="001908FC">
        <w:t xml:space="preserve">keyboard using their hands. </w:t>
      </w:r>
    </w:p>
    <w:p w:rsidR="00074EC0" w:rsidRPr="001908FC" w:rsidRDefault="00074EC0" w:rsidP="00074EC0">
      <w:pPr>
        <w:pStyle w:val="SubmissionNormal"/>
      </w:pPr>
      <w:r w:rsidRPr="001908FC">
        <w:t>Adaptive technology is currently provided to employees with disability through the Employment Assistance Fund financed by the Australian Government and administered by Job Access Australia</w:t>
      </w:r>
      <w:r w:rsidR="008305A4" w:rsidRPr="001908FC">
        <w:t>.</w:t>
      </w:r>
      <w:r w:rsidR="008305A4" w:rsidRPr="001908FC">
        <w:rPr>
          <w:rStyle w:val="EndnoteReference"/>
        </w:rPr>
        <w:endnoteReference w:id="4"/>
      </w:r>
      <w:r w:rsidR="008305A4" w:rsidRPr="001908FC">
        <w:t xml:space="preserve">  </w:t>
      </w:r>
      <w:r w:rsidRPr="001908FC">
        <w:t xml:space="preserve">The </w:t>
      </w:r>
      <w:r w:rsidR="00792B67" w:rsidRPr="001908FC">
        <w:t>government</w:t>
      </w:r>
      <w:r w:rsidRPr="001908FC">
        <w:t xml:space="preserve"> takes a</w:t>
      </w:r>
      <w:r w:rsidR="002D120E">
        <w:t>n individual case by case</w:t>
      </w:r>
      <w:r w:rsidR="00792B67" w:rsidRPr="001908FC">
        <w:t xml:space="preserve"> approach</w:t>
      </w:r>
      <w:r w:rsidRPr="001908FC">
        <w:t xml:space="preserve"> to accessibility</w:t>
      </w:r>
      <w:r w:rsidR="00792B67" w:rsidRPr="001908FC">
        <w:t xml:space="preserve"> requirements for people with disability</w:t>
      </w:r>
      <w:r w:rsidRPr="001908FC">
        <w:t xml:space="preserve">, </w:t>
      </w:r>
      <w:r w:rsidR="00792B67" w:rsidRPr="001908FC">
        <w:t xml:space="preserve">“retrofitting” </w:t>
      </w:r>
      <w:r w:rsidRPr="001908FC">
        <w:t>the workplace</w:t>
      </w:r>
      <w:r w:rsidR="00792B67" w:rsidRPr="001908FC">
        <w:t xml:space="preserve"> to suit an individual</w:t>
      </w:r>
      <w:r w:rsidRPr="001908FC">
        <w:t xml:space="preserve">. Although this </w:t>
      </w:r>
      <w:r w:rsidR="008D4EB0">
        <w:t>approach</w:t>
      </w:r>
      <w:r w:rsidRPr="001908FC">
        <w:t xml:space="preserve"> has achieved some positive outcomes to-date, it </w:t>
      </w:r>
      <w:r w:rsidR="008832FC">
        <w:t xml:space="preserve">has not dealt </w:t>
      </w:r>
      <w:r w:rsidR="008D4EB0">
        <w:t xml:space="preserve">with a range of </w:t>
      </w:r>
      <w:r w:rsidRPr="001908FC">
        <w:t>significant challenges which continue to limit opportunities for the employment and retention of people with disability across the APS.</w:t>
      </w:r>
    </w:p>
    <w:p w:rsidR="00074EC0" w:rsidRPr="00DE47A2" w:rsidRDefault="00074EC0" w:rsidP="00074EC0">
      <w:pPr>
        <w:pStyle w:val="SubmissionNormal"/>
      </w:pPr>
      <w:r w:rsidRPr="001908FC">
        <w:t xml:space="preserve">While </w:t>
      </w:r>
      <w:r w:rsidR="00FC191E" w:rsidRPr="001908FC">
        <w:t>screen reading</w:t>
      </w:r>
      <w:r w:rsidRPr="001908FC">
        <w:t xml:space="preserve"> and magnification software </w:t>
      </w:r>
      <w:r>
        <w:t xml:space="preserve">used by people who are blind or vision impaired </w:t>
      </w:r>
      <w:r w:rsidR="008D4EB0">
        <w:t>can be</w:t>
      </w:r>
      <w:r>
        <w:t xml:space="preserve"> provided through t</w:t>
      </w:r>
      <w:r w:rsidR="0008749C">
        <w:t>he Employment Assistance Fund, a</w:t>
      </w:r>
      <w:r>
        <w:t xml:space="preserve"> number of software systems used by APS agencies are not compatible with these adaptive </w:t>
      </w:r>
      <w:r w:rsidR="00FC191E">
        <w:t>technologies.</w:t>
      </w:r>
      <w:r w:rsidR="00FC191E">
        <w:rPr>
          <w:rStyle w:val="EndnoteReference"/>
        </w:rPr>
        <w:endnoteReference w:id="5"/>
      </w:r>
      <w:r w:rsidR="00FC191E">
        <w:t xml:space="preserve"> </w:t>
      </w:r>
      <w:r w:rsidR="00FC191E">
        <w:rPr>
          <w:rStyle w:val="EndnoteReference"/>
        </w:rPr>
        <w:endnoteReference w:id="6"/>
      </w:r>
    </w:p>
    <w:p w:rsidR="00074EC0" w:rsidRPr="00017D63" w:rsidRDefault="00074EC0" w:rsidP="00074EC0">
      <w:pPr>
        <w:pStyle w:val="SubmissionNormal"/>
        <w:rPr>
          <w:lang w:val="en"/>
        </w:rPr>
      </w:pPr>
      <w:r>
        <w:t xml:space="preserve">In some cases, these issues can be resolved by developing scripts to make the inaccessible software work more efficiently with the adaptive technology used by the employee </w:t>
      </w:r>
      <w:r w:rsidRPr="001908FC">
        <w:t>with disability</w:t>
      </w:r>
      <w:r w:rsidR="00C70820">
        <w:t>. This process</w:t>
      </w:r>
      <w:r w:rsidRPr="001908FC">
        <w:t xml:space="preserve"> is facilitated </w:t>
      </w:r>
      <w:r w:rsidR="00FC191E" w:rsidRPr="001908FC">
        <w:t xml:space="preserve">through Job Access Australia.  </w:t>
      </w:r>
      <w:r w:rsidRPr="001908FC">
        <w:t>Between March 2014 and March 2015, Job Access Australia</w:t>
      </w:r>
      <w:r w:rsidR="001908FC" w:rsidRPr="001908FC">
        <w:t xml:space="preserve"> reported that they</w:t>
      </w:r>
      <w:r w:rsidRPr="001908FC">
        <w:t xml:space="preserve"> processed 44 requests for scripting-related services totalling $262,000.</w:t>
      </w:r>
      <w:r w:rsidR="001908FC" w:rsidRPr="001908FC">
        <w:rPr>
          <w:rStyle w:val="EndnoteReference"/>
        </w:rPr>
        <w:endnoteReference w:id="7"/>
      </w:r>
      <w:r w:rsidR="0008749C">
        <w:t xml:space="preserve">  </w:t>
      </w:r>
      <w:r w:rsidRPr="001908FC">
        <w:t xml:space="preserve">In addition to </w:t>
      </w:r>
      <w:r w:rsidR="00E52125">
        <w:t>its</w:t>
      </w:r>
      <w:r w:rsidRPr="001908FC">
        <w:t xml:space="preserve"> high cost, th</w:t>
      </w:r>
      <w:r w:rsidR="00C70820">
        <w:t>is</w:t>
      </w:r>
      <w:r w:rsidRPr="001908FC">
        <w:t xml:space="preserve"> scripting process can take up to six months to</w:t>
      </w:r>
      <w:r>
        <w:t xml:space="preserve"> complete</w:t>
      </w:r>
      <w:r w:rsidR="00C70820">
        <w:t>,</w:t>
      </w:r>
      <w:r w:rsidR="00C70820" w:rsidRPr="00C70820">
        <w:t xml:space="preserve"> </w:t>
      </w:r>
      <w:r w:rsidR="00C70820">
        <w:t xml:space="preserve">in the meantime </w:t>
      </w:r>
      <w:r>
        <w:t>leaving the person with disability without the necessary tools to be able to perform the inherent requirements of the</w:t>
      </w:r>
      <w:r w:rsidR="00C70820">
        <w:t xml:space="preserve"> job.</w:t>
      </w:r>
      <w:r>
        <w:t xml:space="preserve"> As well as being </w:t>
      </w:r>
      <w:r w:rsidR="00C70820">
        <w:t xml:space="preserve">highly </w:t>
      </w:r>
      <w:r>
        <w:t xml:space="preserve">stressful for the employee, this </w:t>
      </w:r>
      <w:r w:rsidR="00C70820">
        <w:t xml:space="preserve">time lag </w:t>
      </w:r>
      <w:r>
        <w:t>has negative consequences for the employer and may deter them from recruiting additional staff with disability in the future.</w:t>
      </w:r>
    </w:p>
    <w:p w:rsidR="00074EC0" w:rsidRDefault="00EF6FA5" w:rsidP="00074EC0">
      <w:pPr>
        <w:pStyle w:val="SubmissionNormal"/>
      </w:pPr>
      <w:r>
        <w:t>M</w:t>
      </w:r>
      <w:r w:rsidR="00074EC0">
        <w:t xml:space="preserve">odifications </w:t>
      </w:r>
      <w:r w:rsidR="004A64DD">
        <w:t xml:space="preserve">can be </w:t>
      </w:r>
      <w:r w:rsidR="00074EC0">
        <w:t xml:space="preserve">provided through the Employment Assistance Fund </w:t>
      </w:r>
      <w:r w:rsidR="004A64DD">
        <w:t xml:space="preserve">only </w:t>
      </w:r>
      <w:r w:rsidR="00074EC0">
        <w:t xml:space="preserve">once an individual is about to commence, or is already in employment. </w:t>
      </w:r>
      <w:r w:rsidR="00E35691">
        <w:t>I</w:t>
      </w:r>
      <w:r w:rsidR="004A64DD">
        <w:t>naccessible application processe</w:t>
      </w:r>
      <w:r w:rsidR="00E35691">
        <w:t>s can lead to d</w:t>
      </w:r>
      <w:r w:rsidR="00DB00FB">
        <w:t xml:space="preserve">iscrimination </w:t>
      </w:r>
      <w:r w:rsidR="00074EC0">
        <w:t>in the recruitment phase</w:t>
      </w:r>
      <w:r w:rsidR="00E35691">
        <w:t>.</w:t>
      </w:r>
      <w:r w:rsidR="00074EC0">
        <w:t xml:space="preserve"> </w:t>
      </w:r>
      <w:r w:rsidR="00DB00FB">
        <w:t>Pr</w:t>
      </w:r>
      <w:r w:rsidR="00074EC0">
        <w:t>actical components of the re</w:t>
      </w:r>
      <w:r w:rsidR="008A4362">
        <w:t xml:space="preserve">cruitment process </w:t>
      </w:r>
      <w:r w:rsidR="00DB00FB">
        <w:t>requiring</w:t>
      </w:r>
      <w:r w:rsidR="008A4362">
        <w:t xml:space="preserve"> c</w:t>
      </w:r>
      <w:r w:rsidR="00074EC0">
        <w:t>andidates to demonstrate a particular computer-related task</w:t>
      </w:r>
      <w:r w:rsidR="00DB00FB">
        <w:t xml:space="preserve"> will be difficult </w:t>
      </w:r>
      <w:r w:rsidR="004A64DD">
        <w:t xml:space="preserve">to </w:t>
      </w:r>
      <w:r w:rsidR="004A64DD">
        <w:lastRenderedPageBreak/>
        <w:t xml:space="preserve">achieve </w:t>
      </w:r>
      <w:r w:rsidR="00DB00FB">
        <w:t>if the ICT has accessibility limitations.</w:t>
      </w:r>
      <w:r w:rsidR="00790A6A">
        <w:rPr>
          <w:rStyle w:val="EndnoteReference"/>
        </w:rPr>
        <w:endnoteReference w:id="8"/>
      </w:r>
      <w:r w:rsidR="00790A6A">
        <w:t xml:space="preserve">  </w:t>
      </w:r>
      <w:r w:rsidR="004A64DD">
        <w:t>Th</w:t>
      </w:r>
      <w:r w:rsidR="00E35691">
        <w:t>ese</w:t>
      </w:r>
      <w:r w:rsidR="004A64DD">
        <w:t xml:space="preserve"> situation</w:t>
      </w:r>
      <w:r w:rsidR="00E35691">
        <w:t>s</w:t>
      </w:r>
      <w:r w:rsidR="00074EC0">
        <w:t xml:space="preserve"> work against the objective of securing greater employment of people with disability across the APS</w:t>
      </w:r>
      <w:r w:rsidR="00AC3C53">
        <w:t>.</w:t>
      </w:r>
    </w:p>
    <w:p w:rsidR="00074EC0" w:rsidRDefault="00074EC0" w:rsidP="00074EC0">
      <w:pPr>
        <w:pStyle w:val="SubmissionNormal"/>
      </w:pPr>
      <w:r>
        <w:t>Inaccessible ICT take</w:t>
      </w:r>
      <w:r w:rsidR="00733EAF">
        <w:t>s</w:t>
      </w:r>
      <w:r>
        <w:t xml:space="preserve"> many forms and extends beyond computer software. </w:t>
      </w:r>
      <w:r w:rsidR="00790A6A">
        <w:t>Telecommunications</w:t>
      </w:r>
      <w:r>
        <w:t xml:space="preserve"> and other business machines such as printers, scanners and photocopiers used in Government agencies also commonly lack accessibility features and present a number of barriers for employees with disability</w:t>
      </w:r>
      <w:r w:rsidR="00790A6A">
        <w:t>.</w:t>
      </w:r>
      <w:r w:rsidR="00790A6A">
        <w:rPr>
          <w:rStyle w:val="EndnoteReference"/>
        </w:rPr>
        <w:endnoteReference w:id="9"/>
      </w:r>
      <w:r>
        <w:t xml:space="preserve"> </w:t>
      </w:r>
    </w:p>
    <w:p w:rsidR="00A7072E" w:rsidRDefault="00074EC0" w:rsidP="00074EC0">
      <w:pPr>
        <w:pStyle w:val="SubmissionNormal"/>
      </w:pPr>
      <w:r>
        <w:t>In light of the above challenges, the Commission expects that better</w:t>
      </w:r>
      <w:r w:rsidR="0008749C">
        <w:t xml:space="preserve"> employment</w:t>
      </w:r>
      <w:r>
        <w:t xml:space="preserve"> results </w:t>
      </w:r>
      <w:r w:rsidR="00733EAF">
        <w:t>would</w:t>
      </w:r>
      <w:r>
        <w:t xml:space="preserve"> be achieved </w:t>
      </w:r>
      <w:r w:rsidR="00733EAF">
        <w:t>if</w:t>
      </w:r>
      <w:r>
        <w:t xml:space="preserve"> APS agencies adopt</w:t>
      </w:r>
      <w:r w:rsidR="00733EAF">
        <w:t>ed</w:t>
      </w:r>
      <w:r>
        <w:t xml:space="preserve"> policies to ensure that ICT is accessible to people with disability from the outset</w:t>
      </w:r>
      <w:r w:rsidR="00114054">
        <w:t xml:space="preserve"> of the recruitment process.</w:t>
      </w:r>
      <w:r>
        <w:t xml:space="preserve"> </w:t>
      </w:r>
    </w:p>
    <w:p w:rsidR="00A7072E" w:rsidRPr="008832FC" w:rsidRDefault="00A7072E" w:rsidP="00E64461">
      <w:pPr>
        <w:pStyle w:val="Heading1"/>
        <w:numPr>
          <w:ilvl w:val="0"/>
          <w:numId w:val="16"/>
        </w:numPr>
        <w:tabs>
          <w:tab w:val="clear" w:pos="851"/>
          <w:tab w:val="num" w:pos="971"/>
        </w:tabs>
        <w:ind w:left="971"/>
        <w:rPr>
          <w:sz w:val="36"/>
          <w:szCs w:val="36"/>
        </w:rPr>
      </w:pPr>
      <w:bookmarkStart w:id="7" w:name="_Toc417308327"/>
      <w:r w:rsidRPr="008832FC">
        <w:rPr>
          <w:sz w:val="36"/>
          <w:szCs w:val="36"/>
        </w:rPr>
        <w:t xml:space="preserve">Legal </w:t>
      </w:r>
      <w:r w:rsidR="00EF6FA5" w:rsidRPr="008832FC">
        <w:rPr>
          <w:sz w:val="36"/>
          <w:szCs w:val="36"/>
        </w:rPr>
        <w:t>dimensions</w:t>
      </w:r>
      <w:bookmarkEnd w:id="7"/>
    </w:p>
    <w:p w:rsidR="00270DA4" w:rsidRDefault="00074EC0" w:rsidP="00074EC0">
      <w:pPr>
        <w:pStyle w:val="SubmissionNormal"/>
      </w:pPr>
      <w:r>
        <w:t>Promoting inclusive work environments accessible to people with disability is a legislated requirement under the Disability Discrimination Act 1992 (</w:t>
      </w:r>
      <w:proofErr w:type="spellStart"/>
      <w:r>
        <w:t>Cth</w:t>
      </w:r>
      <w:proofErr w:type="spellEnd"/>
      <w:r>
        <w:t>)</w:t>
      </w:r>
      <w:r w:rsidR="001274A0">
        <w:t>.</w:t>
      </w:r>
      <w:r w:rsidR="00AC3C53">
        <w:rPr>
          <w:rStyle w:val="EndnoteReference"/>
        </w:rPr>
        <w:endnoteReference w:id="10"/>
      </w:r>
      <w:r>
        <w:t xml:space="preserve"> </w:t>
      </w:r>
    </w:p>
    <w:p w:rsidR="00074EC0" w:rsidRDefault="00074EC0" w:rsidP="00074EC0">
      <w:pPr>
        <w:pStyle w:val="SubmissionNormal"/>
      </w:pPr>
      <w:r>
        <w:t xml:space="preserve">The Australian Government has </w:t>
      </w:r>
      <w:r w:rsidR="00316387">
        <w:t xml:space="preserve">also </w:t>
      </w:r>
      <w:r>
        <w:t>ratified the United Nations Convention on the Rights of Persons with Disabilities</w:t>
      </w:r>
      <w:r w:rsidR="00AC3C53">
        <w:rPr>
          <w:rStyle w:val="EndnoteReference"/>
        </w:rPr>
        <w:endnoteReference w:id="11"/>
      </w:r>
      <w:r>
        <w:t xml:space="preserve"> (CRPD), Article 9 of which states:</w:t>
      </w:r>
    </w:p>
    <w:p w:rsidR="00074EC0" w:rsidRPr="00132520" w:rsidRDefault="00074EC0" w:rsidP="00E64461">
      <w:pPr>
        <w:pStyle w:val="SubmissionNormal"/>
        <w:numPr>
          <w:ilvl w:val="1"/>
          <w:numId w:val="15"/>
        </w:numPr>
      </w:pPr>
      <w:r>
        <w:t xml:space="preserve">“States Parties should </w:t>
      </w:r>
      <w:r w:rsidR="000F1010">
        <w:t xml:space="preserve">… </w:t>
      </w:r>
      <w:r>
        <w:t xml:space="preserve">promote the design, development, </w:t>
      </w:r>
      <w:bookmarkStart w:id="8" w:name="OLE_LINK7"/>
      <w:r>
        <w:t xml:space="preserve">production and distribution of accessible information and communications technologies and systems at an early stage, so that these technologies and systems </w:t>
      </w:r>
      <w:bookmarkEnd w:id="8"/>
      <w:r>
        <w:t>become accessible at minimum cost.”</w:t>
      </w:r>
    </w:p>
    <w:p w:rsidR="00074EC0" w:rsidRDefault="00074EC0" w:rsidP="00074EC0">
      <w:pPr>
        <w:pStyle w:val="SubmissionNormal"/>
      </w:pPr>
      <w:r>
        <w:t>In 2010, the Australian Government made a commitment to fulfil its obligations under the CRPD through its endorsement of the National Disability Strategy 2010-2020 (NDS)</w:t>
      </w:r>
      <w:r w:rsidR="001274A0">
        <w:t>.</w:t>
      </w:r>
      <w:r w:rsidR="00BD4365">
        <w:rPr>
          <w:rStyle w:val="EndnoteReference"/>
        </w:rPr>
        <w:endnoteReference w:id="12"/>
      </w:r>
      <w:r w:rsidR="0008749C">
        <w:t xml:space="preserve">  The NDS </w:t>
      </w:r>
      <w:r>
        <w:t>establishes a framework to guide the actions of governments as they work towards implementation of the CRPD. The NDS includes the following relevant directions for future action:</w:t>
      </w:r>
    </w:p>
    <w:p w:rsidR="00074EC0" w:rsidRDefault="00074EC0" w:rsidP="00E64461">
      <w:pPr>
        <w:pStyle w:val="SubmissionNormal"/>
        <w:numPr>
          <w:ilvl w:val="1"/>
          <w:numId w:val="15"/>
        </w:numPr>
      </w:pPr>
      <w:r>
        <w:t>Improve community awareness of the</w:t>
      </w:r>
      <w:r w:rsidR="00BD4365">
        <w:t xml:space="preserve"> benefits of universal design. </w:t>
      </w:r>
    </w:p>
    <w:p w:rsidR="00074EC0" w:rsidRDefault="00074EC0" w:rsidP="00E64461">
      <w:pPr>
        <w:pStyle w:val="SubmissionNormal"/>
        <w:numPr>
          <w:ilvl w:val="1"/>
          <w:numId w:val="15"/>
        </w:numPr>
      </w:pPr>
      <w:r>
        <w:t>Promote universal de</w:t>
      </w:r>
      <w:r w:rsidR="00BD4365">
        <w:t>sign principles in procurement.</w:t>
      </w:r>
      <w:r w:rsidR="000115E7">
        <w:rPr>
          <w:rStyle w:val="EndnoteReference"/>
        </w:rPr>
        <w:endnoteReference w:id="13"/>
      </w:r>
    </w:p>
    <w:p w:rsidR="00EF6FA5" w:rsidRPr="008832FC" w:rsidRDefault="00EF6FA5" w:rsidP="00E64461">
      <w:pPr>
        <w:pStyle w:val="Heading1"/>
        <w:numPr>
          <w:ilvl w:val="0"/>
          <w:numId w:val="16"/>
        </w:numPr>
        <w:tabs>
          <w:tab w:val="clear" w:pos="851"/>
          <w:tab w:val="num" w:pos="971"/>
        </w:tabs>
        <w:ind w:left="971"/>
        <w:rPr>
          <w:sz w:val="36"/>
          <w:szCs w:val="36"/>
        </w:rPr>
      </w:pPr>
      <w:bookmarkStart w:id="9" w:name="_Toc417308328"/>
      <w:r w:rsidRPr="008832FC">
        <w:rPr>
          <w:sz w:val="36"/>
          <w:szCs w:val="36"/>
        </w:rPr>
        <w:t>I</w:t>
      </w:r>
      <w:r w:rsidR="00316387">
        <w:rPr>
          <w:sz w:val="36"/>
          <w:szCs w:val="36"/>
        </w:rPr>
        <w:t>nternational Experience</w:t>
      </w:r>
      <w:bookmarkEnd w:id="9"/>
      <w:r w:rsidR="00316387">
        <w:rPr>
          <w:sz w:val="36"/>
          <w:szCs w:val="36"/>
        </w:rPr>
        <w:t xml:space="preserve"> </w:t>
      </w:r>
    </w:p>
    <w:p w:rsidR="00074EC0" w:rsidRPr="00403074" w:rsidRDefault="00074EC0" w:rsidP="00403074">
      <w:pPr>
        <w:pStyle w:val="SubmissionNormal"/>
        <w:rPr>
          <w:color w:val="000000"/>
          <w:szCs w:val="21"/>
        </w:rPr>
      </w:pPr>
      <w:r>
        <w:t xml:space="preserve">The purchase of ICT products and services accessible to people with disability is currently mandated for Government agencies in the US, </w:t>
      </w:r>
      <w:r w:rsidR="000115E7">
        <w:t>Japan and some parts of Europe.</w:t>
      </w:r>
      <w:r w:rsidR="000115E7">
        <w:rPr>
          <w:rStyle w:val="EndnoteReference"/>
        </w:rPr>
        <w:endnoteReference w:id="14"/>
      </w:r>
      <w:r w:rsidR="000115E7">
        <w:t xml:space="preserve">  </w:t>
      </w:r>
      <w:r w:rsidR="00270DA4">
        <w:t>If it adopted this practice</w:t>
      </w:r>
      <w:r w:rsidR="00955B7B">
        <w:t xml:space="preserve">, </w:t>
      </w:r>
      <w:r>
        <w:t>the Australian Government could:</w:t>
      </w:r>
      <w:r w:rsidR="008A4362">
        <w:t xml:space="preserve"> </w:t>
      </w:r>
    </w:p>
    <w:p w:rsidR="00F96812" w:rsidRDefault="00C50F18" w:rsidP="00E64461">
      <w:pPr>
        <w:pStyle w:val="SubmissionNormal"/>
        <w:numPr>
          <w:ilvl w:val="1"/>
          <w:numId w:val="15"/>
        </w:numPr>
      </w:pPr>
      <w:r>
        <w:t>m</w:t>
      </w:r>
      <w:r w:rsidR="00F96812">
        <w:t>aximise opportunities for the employment and retention of people with disability across the APS</w:t>
      </w:r>
      <w:r w:rsidR="0008749C">
        <w:t>;</w:t>
      </w:r>
    </w:p>
    <w:p w:rsidR="00F96812" w:rsidRDefault="00C50F18" w:rsidP="00E64461">
      <w:pPr>
        <w:pStyle w:val="SubmissionNormal"/>
        <w:numPr>
          <w:ilvl w:val="1"/>
          <w:numId w:val="15"/>
        </w:numPr>
      </w:pPr>
      <w:r>
        <w:t>r</w:t>
      </w:r>
      <w:r w:rsidR="00F96812">
        <w:t>educe the need for the purchase of specialised equipment through the Employment Assistance Fund</w:t>
      </w:r>
      <w:r w:rsidR="0008749C">
        <w:t>;</w:t>
      </w:r>
    </w:p>
    <w:p w:rsidR="00F96812" w:rsidRPr="001908FC" w:rsidRDefault="00F96812" w:rsidP="00E64461">
      <w:pPr>
        <w:pStyle w:val="SubmissionNormal"/>
        <w:numPr>
          <w:ilvl w:val="1"/>
          <w:numId w:val="15"/>
        </w:numPr>
      </w:pPr>
      <w:r>
        <w:lastRenderedPageBreak/>
        <w:t xml:space="preserve">stimulate demand and drive the market towards products that are </w:t>
      </w:r>
      <w:r w:rsidRPr="001908FC">
        <w:t>universally accessible</w:t>
      </w:r>
      <w:r w:rsidR="0008749C">
        <w:t>.</w:t>
      </w:r>
    </w:p>
    <w:p w:rsidR="008E68F1" w:rsidRPr="001908FC" w:rsidRDefault="0073140A" w:rsidP="008E68F1">
      <w:pPr>
        <w:pStyle w:val="SubmissionNormal"/>
      </w:pPr>
      <w:r w:rsidRPr="001908FC">
        <w:t>Guidelines for accessible ICT</w:t>
      </w:r>
      <w:r w:rsidR="008E68F1" w:rsidRPr="001908FC">
        <w:t xml:space="preserve"> have been included in the United States Federal Acquisition Regulation since 2001</w:t>
      </w:r>
      <w:r w:rsidRPr="001908FC">
        <w:t>.</w:t>
      </w:r>
      <w:r w:rsidRPr="001908FC">
        <w:rPr>
          <w:rStyle w:val="EndnoteReference"/>
        </w:rPr>
        <w:endnoteReference w:id="15"/>
      </w:r>
      <w:r w:rsidRPr="001908FC">
        <w:t xml:space="preserve">  </w:t>
      </w:r>
      <w:r w:rsidR="008E68F1" w:rsidRPr="001908FC">
        <w:t>The US standards were issued by the United States Access Board under Section 508 of the Rehabilitation Act.</w:t>
      </w:r>
      <w:r w:rsidR="00C50F18" w:rsidRPr="001908FC">
        <w:rPr>
          <w:rStyle w:val="EndnoteReference"/>
        </w:rPr>
        <w:endnoteReference w:id="16"/>
      </w:r>
      <w:r w:rsidR="008E68F1" w:rsidRPr="001908FC">
        <w:t xml:space="preserve"> </w:t>
      </w:r>
      <w:r w:rsidRPr="001908FC">
        <w:t>They apply to computer software and hardware, websites, phone systems and copiers that are developed, procured and maintained by federal government agencies</w:t>
      </w:r>
      <w:r w:rsidR="008E68F1" w:rsidRPr="001908FC">
        <w:t>.</w:t>
      </w:r>
      <w:r w:rsidRPr="001908FC">
        <w:rPr>
          <w:rStyle w:val="EndnoteReference"/>
        </w:rPr>
        <w:endnoteReference w:id="17"/>
      </w:r>
    </w:p>
    <w:p w:rsidR="008E68F1" w:rsidRPr="001908FC" w:rsidRDefault="008E68F1" w:rsidP="008E68F1">
      <w:pPr>
        <w:pStyle w:val="SubmissionNormal"/>
      </w:pPr>
      <w:r w:rsidRPr="001908FC">
        <w:t xml:space="preserve">Evidence suggests that the industry’s response to mandated accessible procurement has been </w:t>
      </w:r>
      <w:r w:rsidR="002D1BAB">
        <w:t xml:space="preserve">in general </w:t>
      </w:r>
      <w:r w:rsidR="00316387" w:rsidRPr="001908FC">
        <w:t>positive</w:t>
      </w:r>
      <w:r w:rsidR="00955B7B">
        <w:t>, with the</w:t>
      </w:r>
      <w:r w:rsidRPr="001908FC">
        <w:t xml:space="preserve"> US Telecommunications Industry and Association and the Electronic Industries Foundation </w:t>
      </w:r>
      <w:r w:rsidR="00955B7B">
        <w:t xml:space="preserve">making the </w:t>
      </w:r>
      <w:r w:rsidRPr="001908FC">
        <w:t>following observations in regards to the US 508 requirements:</w:t>
      </w:r>
    </w:p>
    <w:p w:rsidR="008E68F1" w:rsidRPr="001908FC" w:rsidRDefault="008E68F1" w:rsidP="00E64461">
      <w:pPr>
        <w:pStyle w:val="SubmissionNormal"/>
        <w:numPr>
          <w:ilvl w:val="1"/>
          <w:numId w:val="15"/>
        </w:numPr>
      </w:pPr>
      <w:r w:rsidRPr="001908FC">
        <w:t xml:space="preserve">Accessible design can be implemented with only minor changes to a design or manufacturing process; </w:t>
      </w:r>
    </w:p>
    <w:p w:rsidR="008E68F1" w:rsidRPr="001908FC" w:rsidRDefault="008E68F1" w:rsidP="00E64461">
      <w:pPr>
        <w:pStyle w:val="SubmissionNormal"/>
        <w:numPr>
          <w:ilvl w:val="1"/>
          <w:numId w:val="15"/>
        </w:numPr>
      </w:pPr>
      <w:r w:rsidRPr="001908FC">
        <w:t xml:space="preserve">Improving accessibility does not necessarily increase development time and cost; </w:t>
      </w:r>
    </w:p>
    <w:p w:rsidR="008E68F1" w:rsidRPr="001908FC" w:rsidRDefault="008E68F1" w:rsidP="00E64461">
      <w:pPr>
        <w:pStyle w:val="SubmissionNormal"/>
        <w:numPr>
          <w:ilvl w:val="1"/>
          <w:numId w:val="15"/>
        </w:numPr>
      </w:pPr>
      <w:r w:rsidRPr="001908FC">
        <w:t>The cost of accessible design is minor compared to the benefits gained.</w:t>
      </w:r>
      <w:r w:rsidR="00A74AF3" w:rsidRPr="001908FC">
        <w:rPr>
          <w:rStyle w:val="EndnoteReference"/>
        </w:rPr>
        <w:endnoteReference w:id="18"/>
      </w:r>
    </w:p>
    <w:p w:rsidR="00A74AF3" w:rsidRPr="001908FC" w:rsidRDefault="00A74AF3" w:rsidP="00F96812">
      <w:pPr>
        <w:pStyle w:val="SubmissionNormal"/>
      </w:pPr>
      <w:r w:rsidRPr="001908FC">
        <w:t>Legislated requirements governing the accessibility of ICT have also been adopted in Japan, with Japan having taken a whole-of-government approach which extends beyond the federal government level.</w:t>
      </w:r>
      <w:r w:rsidRPr="001908FC">
        <w:rPr>
          <w:rStyle w:val="EndnoteReference"/>
        </w:rPr>
        <w:endnoteReference w:id="19"/>
      </w:r>
      <w:r w:rsidRPr="001908FC">
        <w:t xml:space="preserve">  </w:t>
      </w:r>
    </w:p>
    <w:p w:rsidR="00F96812" w:rsidRDefault="00BC7614" w:rsidP="00F96812">
      <w:pPr>
        <w:pStyle w:val="SubmissionNormal"/>
      </w:pPr>
      <w:r w:rsidRPr="00BC7614">
        <w:rPr>
          <w:b/>
        </w:rPr>
        <w:t>Community Support:</w:t>
      </w:r>
      <w:r>
        <w:t xml:space="preserve"> </w:t>
      </w:r>
      <w:r w:rsidR="00F96812">
        <w:t>A whole</w:t>
      </w:r>
      <w:r w:rsidR="00F47078">
        <w:t>-</w:t>
      </w:r>
      <w:r w:rsidR="00F96812">
        <w:t>of</w:t>
      </w:r>
      <w:r w:rsidR="00F47078">
        <w:t>-g</w:t>
      </w:r>
      <w:r w:rsidR="00F96812">
        <w:t>overnment approach to accessible ICT is supported by the Australian Communications Consumer Action Network, the Australian Federation of Disability Organisations, Blind Citizens Australia, Deaf Australia, Deafness Forum, the National Ethnic Disability Alliance, People with Disability Australia and Vision Australia</w:t>
      </w:r>
      <w:r w:rsidR="00424F1F">
        <w:t>.</w:t>
      </w:r>
      <w:r w:rsidR="00424F1F">
        <w:rPr>
          <w:rStyle w:val="EndnoteReference"/>
        </w:rPr>
        <w:endnoteReference w:id="20"/>
      </w:r>
      <w:r w:rsidR="00F96812">
        <w:t xml:space="preserve"> </w:t>
      </w:r>
    </w:p>
    <w:p w:rsidR="00074EC0" w:rsidRPr="007D51CF" w:rsidRDefault="00F96812" w:rsidP="00E64461">
      <w:pPr>
        <w:pStyle w:val="Heading1"/>
        <w:numPr>
          <w:ilvl w:val="0"/>
          <w:numId w:val="16"/>
        </w:numPr>
        <w:tabs>
          <w:tab w:val="clear" w:pos="851"/>
          <w:tab w:val="num" w:pos="971"/>
        </w:tabs>
        <w:ind w:left="971"/>
        <w:rPr>
          <w:sz w:val="36"/>
          <w:szCs w:val="36"/>
        </w:rPr>
      </w:pPr>
      <w:bookmarkStart w:id="10" w:name="_Toc417308329"/>
      <w:r w:rsidRPr="007D51CF">
        <w:rPr>
          <w:sz w:val="36"/>
          <w:szCs w:val="36"/>
        </w:rPr>
        <w:t>Procurement of ICT in the APS to</w:t>
      </w:r>
      <w:r w:rsidR="00F47078">
        <w:rPr>
          <w:sz w:val="36"/>
          <w:szCs w:val="36"/>
        </w:rPr>
        <w:t>-</w:t>
      </w:r>
      <w:r w:rsidRPr="007D51CF">
        <w:rPr>
          <w:sz w:val="36"/>
          <w:szCs w:val="36"/>
        </w:rPr>
        <w:t>date</w:t>
      </w:r>
      <w:bookmarkEnd w:id="10"/>
    </w:p>
    <w:p w:rsidR="00F96812" w:rsidRDefault="00F96812" w:rsidP="00F96812">
      <w:pPr>
        <w:pStyle w:val="SubmissionNormal"/>
      </w:pPr>
      <w:r w:rsidRPr="00B65C75">
        <w:t xml:space="preserve">The </w:t>
      </w:r>
      <w:r w:rsidRPr="00C73C15">
        <w:rPr>
          <w:i/>
        </w:rPr>
        <w:t xml:space="preserve">APS ICT </w:t>
      </w:r>
      <w:r w:rsidR="00CA5838">
        <w:rPr>
          <w:i/>
        </w:rPr>
        <w:t>S</w:t>
      </w:r>
      <w:r w:rsidRPr="00C73C15">
        <w:rPr>
          <w:i/>
        </w:rPr>
        <w:t>trategy 2012 – 2015</w:t>
      </w:r>
      <w:r w:rsidRPr="00B65C75">
        <w:t xml:space="preserve"> sets out whole</w:t>
      </w:r>
      <w:r w:rsidR="00F47078">
        <w:t>-</w:t>
      </w:r>
      <w:r w:rsidRPr="00B65C75">
        <w:t>of</w:t>
      </w:r>
      <w:r w:rsidR="00F47078">
        <w:t>-</w:t>
      </w:r>
      <w:r w:rsidRPr="00B65C75">
        <w:t xml:space="preserve">government priorities and actions relating to ICT products and services. The </w:t>
      </w:r>
      <w:r w:rsidRPr="00B65C75">
        <w:rPr>
          <w:lang w:val="en"/>
        </w:rPr>
        <w:t xml:space="preserve">strategy states: “ICT </w:t>
      </w:r>
      <w:r w:rsidRPr="00B65C75">
        <w:t>can provide opportunities to create and support more sustainable and vibrant communities. It offers possibilities for more Australians to access services and participate in the economy, including people with disabi</w:t>
      </w:r>
      <w:r>
        <w:t xml:space="preserve">lity or specific needs.” While </w:t>
      </w:r>
      <w:r w:rsidRPr="00B65C75">
        <w:t>peop</w:t>
      </w:r>
      <w:r>
        <w:t xml:space="preserve">le with disability are </w:t>
      </w:r>
      <w:r w:rsidRPr="00B65C75">
        <w:t xml:space="preserve">clearly referenced in the strategy, </w:t>
      </w:r>
      <w:r>
        <w:t xml:space="preserve">it does </w:t>
      </w:r>
      <w:r w:rsidRPr="00B65C75">
        <w:t xml:space="preserve">not include </w:t>
      </w:r>
      <w:r>
        <w:t xml:space="preserve">any </w:t>
      </w:r>
      <w:r w:rsidRPr="00B65C75">
        <w:t xml:space="preserve">actions relating to </w:t>
      </w:r>
      <w:r>
        <w:t>ICT accessibility</w:t>
      </w:r>
      <w:r w:rsidR="00180C80">
        <w:t>.</w:t>
      </w:r>
      <w:r w:rsidR="00180C80">
        <w:rPr>
          <w:rStyle w:val="EndnoteReference"/>
        </w:rPr>
        <w:endnoteReference w:id="21"/>
      </w:r>
      <w:r>
        <w:t xml:space="preserve"> </w:t>
      </w:r>
    </w:p>
    <w:p w:rsidR="00F96812" w:rsidRDefault="00F96812" w:rsidP="00F96812">
      <w:pPr>
        <w:pStyle w:val="SubmissionNormal"/>
      </w:pPr>
      <w:r>
        <w:t xml:space="preserve">In 2010, the Australian Government launched the </w:t>
      </w:r>
      <w:bookmarkStart w:id="11" w:name="OLE_LINK8"/>
      <w:bookmarkStart w:id="12" w:name="OLE_LINK9"/>
      <w:r w:rsidRPr="00AB50FB">
        <w:t>Web Accessibility National Transition Strategy</w:t>
      </w:r>
      <w:r>
        <w:t xml:space="preserve"> to guide the cross-agency adoption of the Web Conten</w:t>
      </w:r>
      <w:r w:rsidR="00C50F18">
        <w:t>t Accessibility Guidelines 2.0</w:t>
      </w:r>
      <w:r w:rsidR="00955940">
        <w:t>.</w:t>
      </w:r>
      <w:r w:rsidR="00180C80">
        <w:rPr>
          <w:rStyle w:val="EndnoteReference"/>
        </w:rPr>
        <w:endnoteReference w:id="22"/>
      </w:r>
      <w:r w:rsidR="00955940">
        <w:t xml:space="preserve">  </w:t>
      </w:r>
      <w:r w:rsidR="00180C80">
        <w:t>I</w:t>
      </w:r>
      <w:r>
        <w:t>n 2013, the Department of Finance and Deregulation published a subsequent guidance document to inform agencies about the need to consider accessibility requirements in the procurement process</w:t>
      </w:r>
      <w:r w:rsidR="003F1ABC">
        <w:t xml:space="preserve">.  However </w:t>
      </w:r>
      <w:r>
        <w:t xml:space="preserve">the </w:t>
      </w:r>
      <w:r w:rsidR="003F1ABC">
        <w:t xml:space="preserve">Web Accessibility National Transition Strategy and </w:t>
      </w:r>
      <w:r w:rsidR="003F1ABC">
        <w:lastRenderedPageBreak/>
        <w:t xml:space="preserve">subsequent guidance </w:t>
      </w:r>
      <w:r w:rsidR="00C00C60">
        <w:t>r</w:t>
      </w:r>
      <w:r>
        <w:t>elated only to web accessibility and did not improve access</w:t>
      </w:r>
      <w:bookmarkEnd w:id="11"/>
      <w:bookmarkEnd w:id="12"/>
      <w:r w:rsidR="00955940">
        <w:t xml:space="preserve"> to non-web related ICT.</w:t>
      </w:r>
      <w:r w:rsidR="00955940">
        <w:rPr>
          <w:rStyle w:val="EndnoteReference"/>
        </w:rPr>
        <w:endnoteReference w:id="23"/>
      </w:r>
    </w:p>
    <w:p w:rsidR="005168AA" w:rsidRDefault="00F96812" w:rsidP="00F96812">
      <w:pPr>
        <w:pStyle w:val="SubmissionNormal"/>
      </w:pPr>
      <w:r>
        <w:t>In 2013, the ICT Accessibility Round Table was established as an initiative of the APS Diversity Council. Its establishment was the result of a growing recognition of the benefits of accessible ICT and the need to address ICT-related barriers for people wit</w:t>
      </w:r>
      <w:r w:rsidR="00C00C60">
        <w:t xml:space="preserve">h disability in the workplace. </w:t>
      </w:r>
      <w:r>
        <w:t xml:space="preserve">The Round Table </w:t>
      </w:r>
      <w:r w:rsidR="00316387">
        <w:t>was chaired</w:t>
      </w:r>
      <w:r>
        <w:t xml:space="preserve"> by the General Manager of Health Programs at the Department of Human Services and </w:t>
      </w:r>
      <w:r w:rsidR="00403074">
        <w:t>its</w:t>
      </w:r>
      <w:r>
        <w:t xml:space="preserve"> membership compris</w:t>
      </w:r>
      <w:r w:rsidR="00403074">
        <w:t>ed</w:t>
      </w:r>
      <w:r>
        <w:t xml:space="preserve"> repr</w:t>
      </w:r>
      <w:r w:rsidR="00955B7B">
        <w:t>esentatives from nine</w:t>
      </w:r>
      <w:r w:rsidR="00955940">
        <w:t xml:space="preserve"> APS agencies.</w:t>
      </w:r>
      <w:r w:rsidR="00955940">
        <w:rPr>
          <w:rStyle w:val="EndnoteReference"/>
        </w:rPr>
        <w:endnoteReference w:id="24"/>
      </w:r>
      <w:r w:rsidR="00955940">
        <w:t xml:space="preserve">  </w:t>
      </w:r>
    </w:p>
    <w:p w:rsidR="00F96812" w:rsidRDefault="00F96812" w:rsidP="00F96812">
      <w:pPr>
        <w:pStyle w:val="SubmissionNormal"/>
      </w:pPr>
      <w:r>
        <w:t>In 2014, the Round Table produced a report entitled ‘</w:t>
      </w:r>
      <w:r w:rsidRPr="00B65C75">
        <w:t>the benefits of accessible and inclusive ICT across the Australian Public Service</w:t>
      </w:r>
      <w:r>
        <w:t>’. The report w</w:t>
      </w:r>
      <w:r w:rsidRPr="00B65C75">
        <w:t>as presented to the APS Diversity Council in May 2014. The Council agreed to progress the recommendations r</w:t>
      </w:r>
      <w:r w:rsidR="00C50F18">
        <w:t>eferenced in the report</w:t>
      </w:r>
      <w:r w:rsidR="0008749C">
        <w:t>.  One</w:t>
      </w:r>
      <w:r w:rsidRPr="00B65C75">
        <w:t xml:space="preserve"> of the</w:t>
      </w:r>
      <w:r w:rsidR="0008749C">
        <w:t>se</w:t>
      </w:r>
      <w:r w:rsidRPr="00B65C75">
        <w:t xml:space="preserve"> actions </w:t>
      </w:r>
      <w:r w:rsidR="001D6A21">
        <w:t>recommended that</w:t>
      </w:r>
      <w:r w:rsidRPr="00B65C75">
        <w:t xml:space="preserve"> the</w:t>
      </w:r>
      <w:r w:rsidR="001D6A21">
        <w:t xml:space="preserve"> following</w:t>
      </w:r>
      <w:r w:rsidRPr="00B65C75">
        <w:t xml:space="preserve"> matters be referred to the Secretary’s ICT Governance Board </w:t>
      </w:r>
      <w:r>
        <w:t xml:space="preserve">(SIGB) </w:t>
      </w:r>
      <w:r w:rsidRPr="00B65C75">
        <w:t>for consideration</w:t>
      </w:r>
      <w:r w:rsidR="001D6A21">
        <w:t>:</w:t>
      </w:r>
      <w:r w:rsidR="00C50F18">
        <w:t xml:space="preserve">  </w:t>
      </w:r>
    </w:p>
    <w:p w:rsidR="005168AA" w:rsidRDefault="005168AA" w:rsidP="00E64461">
      <w:pPr>
        <w:pStyle w:val="SubmissionNormal"/>
        <w:numPr>
          <w:ilvl w:val="1"/>
          <w:numId w:val="15"/>
        </w:numPr>
      </w:pPr>
      <w:r>
        <w:t xml:space="preserve">Adopt </w:t>
      </w:r>
      <w:r w:rsidRPr="00B65C75">
        <w:t>the Australian Government Informat</w:t>
      </w:r>
      <w:r w:rsidR="0008749C">
        <w:t xml:space="preserve">ion Management Office (AGIMO) </w:t>
      </w:r>
      <w:r w:rsidRPr="00B65C75">
        <w:t xml:space="preserve">accessibility requirements in ICT procurement for web-based products to all ICT related </w:t>
      </w:r>
      <w:r>
        <w:t xml:space="preserve">procurements; </w:t>
      </w:r>
    </w:p>
    <w:p w:rsidR="005168AA" w:rsidRDefault="005168AA" w:rsidP="00E64461">
      <w:pPr>
        <w:pStyle w:val="SubmissionNormal"/>
        <w:numPr>
          <w:ilvl w:val="1"/>
          <w:numId w:val="15"/>
        </w:numPr>
      </w:pPr>
      <w:r>
        <w:t xml:space="preserve">Refresh </w:t>
      </w:r>
      <w:r w:rsidRPr="00B65C75">
        <w:t xml:space="preserve">and promote the AGIMO Better Practice Checklist for Assistive </w:t>
      </w:r>
      <w:r>
        <w:t>Technology;</w:t>
      </w:r>
    </w:p>
    <w:p w:rsidR="005168AA" w:rsidRDefault="005168AA" w:rsidP="00E64461">
      <w:pPr>
        <w:pStyle w:val="SubmissionNormal"/>
        <w:numPr>
          <w:ilvl w:val="1"/>
          <w:numId w:val="15"/>
        </w:numPr>
      </w:pPr>
      <w:r>
        <w:t xml:space="preserve">Develop </w:t>
      </w:r>
      <w:r w:rsidRPr="00B65C75">
        <w:t xml:space="preserve">and implement Quality Assurance programs which focus on evaluating accessibility compliance and compatibility with assistive technology </w:t>
      </w:r>
      <w:r>
        <w:t>software;</w:t>
      </w:r>
    </w:p>
    <w:p w:rsidR="005168AA" w:rsidRDefault="005168AA" w:rsidP="00E64461">
      <w:pPr>
        <w:pStyle w:val="SubmissionNormal"/>
        <w:numPr>
          <w:ilvl w:val="1"/>
          <w:numId w:val="15"/>
        </w:numPr>
      </w:pPr>
      <w:r>
        <w:t xml:space="preserve">Develop </w:t>
      </w:r>
      <w:r w:rsidRPr="00B65C75">
        <w:t>and implement service level standards that give priority to ICT accessibility</w:t>
      </w:r>
      <w:r>
        <w:t xml:space="preserve"> issues;</w:t>
      </w:r>
    </w:p>
    <w:p w:rsidR="005168AA" w:rsidRDefault="005168AA" w:rsidP="00E64461">
      <w:pPr>
        <w:pStyle w:val="SubmissionNormal"/>
        <w:numPr>
          <w:ilvl w:val="1"/>
          <w:numId w:val="15"/>
        </w:numPr>
      </w:pPr>
      <w:r>
        <w:t xml:space="preserve">Ensure </w:t>
      </w:r>
      <w:r w:rsidRPr="00B65C75">
        <w:t>that acqu</w:t>
      </w:r>
      <w:r w:rsidR="0008749C">
        <w:t>isition and personalisation of assistive t</w:t>
      </w:r>
      <w:r w:rsidRPr="00B65C75">
        <w:t xml:space="preserve">echnology software and hardware is embedded in agencies’ ICT </w:t>
      </w:r>
      <w:r>
        <w:t xml:space="preserve">policies; </w:t>
      </w:r>
    </w:p>
    <w:p w:rsidR="005168AA" w:rsidRDefault="005168AA" w:rsidP="00E64461">
      <w:pPr>
        <w:pStyle w:val="SubmissionNormal"/>
        <w:numPr>
          <w:ilvl w:val="1"/>
          <w:numId w:val="15"/>
        </w:numPr>
      </w:pPr>
      <w:r>
        <w:t xml:space="preserve">Develop </w:t>
      </w:r>
      <w:r w:rsidRPr="00B65C75">
        <w:t xml:space="preserve">and implement ICT Teleworking solutions that are fully operable with assistive </w:t>
      </w:r>
      <w:r>
        <w:t>technology;</w:t>
      </w:r>
    </w:p>
    <w:p w:rsidR="005168AA" w:rsidRDefault="005168AA" w:rsidP="00E64461">
      <w:pPr>
        <w:pStyle w:val="SubmissionNormal"/>
        <w:numPr>
          <w:ilvl w:val="1"/>
          <w:numId w:val="15"/>
        </w:numPr>
      </w:pPr>
      <w:r>
        <w:t xml:space="preserve">Provide </w:t>
      </w:r>
      <w:r w:rsidRPr="00B65C75">
        <w:t xml:space="preserve">training to ICT professionals in relation to accessibility compliance principles and </w:t>
      </w:r>
      <w:r>
        <w:t>practices;</w:t>
      </w:r>
    </w:p>
    <w:p w:rsidR="00E0344E" w:rsidRDefault="005168AA" w:rsidP="00E64461">
      <w:pPr>
        <w:pStyle w:val="SubmissionNormal"/>
        <w:numPr>
          <w:ilvl w:val="1"/>
          <w:numId w:val="15"/>
        </w:numPr>
      </w:pPr>
      <w:r>
        <w:t xml:space="preserve">Ensure </w:t>
      </w:r>
      <w:r w:rsidRPr="00B65C75">
        <w:t xml:space="preserve">that future changes to ICT policies take into account the needs of all employees, including those with </w:t>
      </w:r>
      <w:r>
        <w:t>disability.</w:t>
      </w:r>
      <w:r w:rsidR="00E0344E">
        <w:rPr>
          <w:rStyle w:val="EndnoteReference"/>
        </w:rPr>
        <w:endnoteReference w:id="25"/>
      </w:r>
    </w:p>
    <w:p w:rsidR="00E0344E" w:rsidRDefault="00E0344E" w:rsidP="00E0344E">
      <w:pPr>
        <w:pStyle w:val="SubmissionNormal"/>
      </w:pPr>
      <w:r>
        <w:t xml:space="preserve">The </w:t>
      </w:r>
      <w:r w:rsidRPr="00B65C75">
        <w:t xml:space="preserve">Commission </w:t>
      </w:r>
      <w:r w:rsidR="001D6A21">
        <w:t xml:space="preserve">has been </w:t>
      </w:r>
      <w:r w:rsidR="00316387">
        <w:t xml:space="preserve">advised </w:t>
      </w:r>
      <w:r w:rsidR="00316387" w:rsidRPr="00B65C75">
        <w:t>that</w:t>
      </w:r>
      <w:r w:rsidRPr="00B65C75">
        <w:t xml:space="preserve"> </w:t>
      </w:r>
      <w:r>
        <w:t xml:space="preserve">the Secretary’s ICT Governance Board </w:t>
      </w:r>
      <w:r w:rsidRPr="00B65C75">
        <w:t>was disb</w:t>
      </w:r>
      <w:r>
        <w:t>anded in late 2014. As r</w:t>
      </w:r>
      <w:r w:rsidRPr="00B65C75">
        <w:t xml:space="preserve">esponsibility for the implementation and subsequent review of the </w:t>
      </w:r>
      <w:r>
        <w:rPr>
          <w:i/>
        </w:rPr>
        <w:t xml:space="preserve">APS ICT Strategy </w:t>
      </w:r>
      <w:r w:rsidRPr="004E564C">
        <w:t>and</w:t>
      </w:r>
      <w:r>
        <w:rPr>
          <w:i/>
        </w:rPr>
        <w:t xml:space="preserve"> </w:t>
      </w:r>
      <w:r>
        <w:t xml:space="preserve">the above </w:t>
      </w:r>
      <w:r w:rsidRPr="00B65C75">
        <w:t xml:space="preserve">recommendations previously sat with </w:t>
      </w:r>
      <w:r>
        <w:t xml:space="preserve">SIGB, </w:t>
      </w:r>
      <w:r w:rsidRPr="00B65C75">
        <w:t>the status of</w:t>
      </w:r>
      <w:r>
        <w:t xml:space="preserve"> these measures requires further clarification.</w:t>
      </w:r>
    </w:p>
    <w:p w:rsidR="00AF49DD" w:rsidRPr="00B65C75" w:rsidRDefault="00AF49DD" w:rsidP="00AF49DD">
      <w:pPr>
        <w:pStyle w:val="SubmissionNormal"/>
      </w:pPr>
      <w:r>
        <w:t xml:space="preserve">In December 2014, the Department of Finance released a </w:t>
      </w:r>
      <w:r w:rsidRPr="00B65C75">
        <w:t xml:space="preserve">request for tender for the establishment of a Whole of Government ICT Hardware and Associated Services Panel. </w:t>
      </w:r>
      <w:r>
        <w:t>Clause 2.1.1 of the request stated:</w:t>
      </w:r>
    </w:p>
    <w:p w:rsidR="004E564C" w:rsidRDefault="00AF49DD" w:rsidP="00E64461">
      <w:pPr>
        <w:pStyle w:val="SubmissionNormal"/>
        <w:numPr>
          <w:ilvl w:val="1"/>
          <w:numId w:val="15"/>
        </w:numPr>
      </w:pPr>
      <w:r>
        <w:lastRenderedPageBreak/>
        <w:t>“</w:t>
      </w:r>
      <w:r w:rsidRPr="00B65C75">
        <w:t>It is desirable that all products comply with Section 508 of the Rehabilitation Act of 1973 (United States) and/or the European Standard on accessibility requirements for Information and Communication Technologies (ICT) pr</w:t>
      </w:r>
      <w:r>
        <w:t>oducts and services EN 301 549.”</w:t>
      </w:r>
      <w:r w:rsidR="00C00C60">
        <w:rPr>
          <w:rStyle w:val="EndnoteReference"/>
        </w:rPr>
        <w:endnoteReference w:id="26"/>
      </w:r>
      <w:r>
        <w:t xml:space="preserve"> </w:t>
      </w:r>
    </w:p>
    <w:p w:rsidR="00AF49DD" w:rsidRDefault="00AF49DD" w:rsidP="004E564C">
      <w:pPr>
        <w:pStyle w:val="SubmissionNormal"/>
      </w:pPr>
      <w:r>
        <w:t xml:space="preserve">The Commission commends the Department </w:t>
      </w:r>
      <w:r w:rsidR="0008749C">
        <w:t xml:space="preserve">of Finance </w:t>
      </w:r>
      <w:r>
        <w:t>for referencing accessibility criteria in the request for tender</w:t>
      </w:r>
      <w:r w:rsidR="00A45253">
        <w:t>.</w:t>
      </w:r>
      <w:r>
        <w:t xml:space="preserve"> Further, the Commission </w:t>
      </w:r>
      <w:r w:rsidRPr="00B65C75">
        <w:t xml:space="preserve">understands that the new Digital Transformation </w:t>
      </w:r>
      <w:r w:rsidRPr="009F12E8">
        <w:t xml:space="preserve">Office (DTO) established under the Department of Communications will be responsible for leading the government’s digital transformation agenda </w:t>
      </w:r>
      <w:r w:rsidR="00A45253" w:rsidRPr="009F12E8">
        <w:t>to achieve</w:t>
      </w:r>
      <w:r w:rsidRPr="009F12E8">
        <w:t xml:space="preserve"> all APS agencies operating within this framework. </w:t>
      </w:r>
      <w:r w:rsidR="0010226A" w:rsidRPr="009F12E8">
        <w:t xml:space="preserve">The Commission understands </w:t>
      </w:r>
      <w:r w:rsidR="00154DB9" w:rsidRPr="009F12E8">
        <w:t>that the</w:t>
      </w:r>
      <w:r w:rsidRPr="00B65C75">
        <w:t xml:space="preserve"> Department of Finance will retain responsibility for policies and guidelines relating to ICT procurement,</w:t>
      </w:r>
      <w:r w:rsidR="0010226A">
        <w:t xml:space="preserve"> and </w:t>
      </w:r>
      <w:r w:rsidR="00154DB9">
        <w:t xml:space="preserve">that </w:t>
      </w:r>
      <w:r w:rsidR="00154DB9" w:rsidRPr="00B65C75">
        <w:t>the</w:t>
      </w:r>
      <w:r w:rsidRPr="00B65C75">
        <w:t xml:space="preserve"> DTO will work closely with the Department of Finance </w:t>
      </w:r>
      <w:r w:rsidR="00C00C60">
        <w:t>t</w:t>
      </w:r>
      <w:r w:rsidRPr="00B65C75">
        <w:t>o co</w:t>
      </w:r>
      <w:r w:rsidR="00E0344E">
        <w:t>ordinate procurement processes.</w:t>
      </w:r>
      <w:r w:rsidR="00E0344E">
        <w:rPr>
          <w:rStyle w:val="EndnoteReference"/>
        </w:rPr>
        <w:endnoteReference w:id="27"/>
      </w:r>
    </w:p>
    <w:p w:rsidR="00074EC0" w:rsidRPr="007D51CF" w:rsidRDefault="00AF49DD" w:rsidP="00E64461">
      <w:pPr>
        <w:pStyle w:val="Heading1"/>
        <w:numPr>
          <w:ilvl w:val="0"/>
          <w:numId w:val="16"/>
        </w:numPr>
        <w:tabs>
          <w:tab w:val="clear" w:pos="851"/>
          <w:tab w:val="num" w:pos="971"/>
        </w:tabs>
        <w:ind w:left="971"/>
        <w:rPr>
          <w:sz w:val="36"/>
          <w:szCs w:val="36"/>
        </w:rPr>
      </w:pPr>
      <w:bookmarkStart w:id="13" w:name="_Toc417308330"/>
      <w:r w:rsidRPr="007D51CF">
        <w:rPr>
          <w:sz w:val="36"/>
          <w:szCs w:val="36"/>
        </w:rPr>
        <w:t>The way forward</w:t>
      </w:r>
      <w:bookmarkEnd w:id="13"/>
    </w:p>
    <w:p w:rsidR="0014298F" w:rsidRDefault="00AF49DD" w:rsidP="00AF49DD">
      <w:pPr>
        <w:pStyle w:val="SubmissionNormal"/>
      </w:pPr>
      <w:r>
        <w:t>Increasing opportunities to maximise the employment and retention of employees with disabi</w:t>
      </w:r>
      <w:r w:rsidR="0008749C">
        <w:t>lity across the APS is a Commonwealth</w:t>
      </w:r>
      <w:r>
        <w:t xml:space="preserve"> government policy objective. </w:t>
      </w:r>
      <w:r w:rsidRPr="0066214C">
        <w:rPr>
          <w:i/>
        </w:rPr>
        <w:t>As One</w:t>
      </w:r>
      <w:r>
        <w:t>, the Australian public service disability employment strategy set out a total of 19 strategic initiatives to be implemented across the APS over a two year period (2012-2014) to work towards this goal</w:t>
      </w:r>
      <w:r w:rsidR="0014298F">
        <w:t>.</w:t>
      </w:r>
      <w:r w:rsidR="0014298F">
        <w:rPr>
          <w:rStyle w:val="EndnoteReference"/>
        </w:rPr>
        <w:endnoteReference w:id="28"/>
      </w:r>
    </w:p>
    <w:p w:rsidR="00AF49DD" w:rsidRPr="005530B8" w:rsidRDefault="00AF49DD" w:rsidP="0014298F">
      <w:pPr>
        <w:pStyle w:val="SubmissionNormal"/>
      </w:pPr>
      <w:r>
        <w:t>The Commission commends the government on progress</w:t>
      </w:r>
      <w:r w:rsidR="0008749C">
        <w:t xml:space="preserve"> to-date</w:t>
      </w:r>
      <w:r>
        <w:t xml:space="preserve"> with the implementation of the initiatives outlined in </w:t>
      </w:r>
      <w:r w:rsidRPr="0066214C">
        <w:rPr>
          <w:i/>
        </w:rPr>
        <w:t>AS One</w:t>
      </w:r>
      <w:r>
        <w:t xml:space="preserve">; including the rollout of the </w:t>
      </w:r>
      <w:proofErr w:type="spellStart"/>
      <w:r w:rsidRPr="0066214C">
        <w:rPr>
          <w:i/>
        </w:rPr>
        <w:t>RecruitAbility</w:t>
      </w:r>
      <w:proofErr w:type="spellEnd"/>
      <w:r>
        <w:t xml:space="preserve"> guaranteed interview scheme</w:t>
      </w:r>
      <w:r w:rsidR="00F47078">
        <w:t>,</w:t>
      </w:r>
      <w:r w:rsidR="0014298F">
        <w:rPr>
          <w:rStyle w:val="EndnoteReference"/>
        </w:rPr>
        <w:endnoteReference w:id="29"/>
      </w:r>
      <w:r w:rsidR="0014298F">
        <w:t xml:space="preserve"> </w:t>
      </w:r>
      <w:r>
        <w:t>the establishme</w:t>
      </w:r>
      <w:r w:rsidR="0014298F">
        <w:t>nt of the APS Diversity Council</w:t>
      </w:r>
      <w:r w:rsidR="0014298F">
        <w:rPr>
          <w:rStyle w:val="EndnoteReference"/>
        </w:rPr>
        <w:endnoteReference w:id="30"/>
      </w:r>
      <w:r w:rsidR="0014298F">
        <w:t xml:space="preserve"> </w:t>
      </w:r>
      <w:r>
        <w:t>and the launch of the ‘Leading the Way’ video series</w:t>
      </w:r>
      <w:r w:rsidR="0014298F">
        <w:t>.</w:t>
      </w:r>
      <w:r w:rsidR="0014298F">
        <w:rPr>
          <w:rStyle w:val="EndnoteReference"/>
        </w:rPr>
        <w:endnoteReference w:id="31"/>
      </w:r>
      <w:r w:rsidR="0014298F">
        <w:t xml:space="preserve">  </w:t>
      </w:r>
      <w:r>
        <w:t xml:space="preserve">The </w:t>
      </w:r>
      <w:r w:rsidRPr="00B65C75">
        <w:t>continued underemployment of peopl</w:t>
      </w:r>
      <w:r>
        <w:t xml:space="preserve">e with disability across the APS, however, </w:t>
      </w:r>
      <w:r w:rsidRPr="00B65C75">
        <w:t xml:space="preserve">is evidence of the fact that further work </w:t>
      </w:r>
      <w:r>
        <w:t>still needs to be undertaken.</w:t>
      </w:r>
    </w:p>
    <w:p w:rsidR="0014298F" w:rsidRDefault="00AF49DD" w:rsidP="0014298F">
      <w:pPr>
        <w:pStyle w:val="SubmissionNormal"/>
      </w:pPr>
      <w:r w:rsidRPr="00154D97">
        <w:rPr>
          <w:i/>
        </w:rPr>
        <w:t>WORKability II</w:t>
      </w:r>
      <w:r w:rsidRPr="00B65C75">
        <w:t xml:space="preserve">, the </w:t>
      </w:r>
      <w:r>
        <w:t xml:space="preserve">Commission’s 2005 report that was borne out of a national inquiry into employment and disability </w:t>
      </w:r>
      <w:r w:rsidR="0014298F">
        <w:t>recommended:</w:t>
      </w:r>
    </w:p>
    <w:p w:rsidR="0014298F" w:rsidRDefault="003816FD" w:rsidP="00E64461">
      <w:pPr>
        <w:pStyle w:val="SubmissionNormal"/>
        <w:numPr>
          <w:ilvl w:val="1"/>
          <w:numId w:val="15"/>
        </w:numPr>
      </w:pPr>
      <w:r>
        <w:t>“</w:t>
      </w:r>
      <w:r w:rsidR="00AF49DD" w:rsidRPr="00B65C75">
        <w:t xml:space="preserve">That the Commonwealth government commence a Regulation Impact Statement process which examines the option of adopting a government accessible procurement policy similar to section 508 of the </w:t>
      </w:r>
      <w:r w:rsidR="00AF49DD" w:rsidRPr="003F1ABC">
        <w:rPr>
          <w:i/>
        </w:rPr>
        <w:t>Rehabilitation Act 1973</w:t>
      </w:r>
      <w:r w:rsidR="00AF49DD" w:rsidRPr="00B65C75">
        <w:t xml:space="preserve"> in the United States</w:t>
      </w:r>
      <w:r w:rsidR="0014298F">
        <w:t>.</w:t>
      </w:r>
      <w:r>
        <w:t>”</w:t>
      </w:r>
      <w:r w:rsidR="0014298F">
        <w:rPr>
          <w:rStyle w:val="EndnoteReference"/>
        </w:rPr>
        <w:endnoteReference w:id="32"/>
      </w:r>
    </w:p>
    <w:p w:rsidR="0010226A" w:rsidRDefault="00AF49DD" w:rsidP="00AF49DD">
      <w:pPr>
        <w:pStyle w:val="SubmissionNormal"/>
      </w:pPr>
      <w:r w:rsidRPr="00B65C75">
        <w:t xml:space="preserve">The Commission continues to regard this </w:t>
      </w:r>
      <w:r w:rsidR="0008749C">
        <w:t xml:space="preserve">above </w:t>
      </w:r>
      <w:r w:rsidRPr="00B65C75">
        <w:t>recommendation as relevant</w:t>
      </w:r>
      <w:r w:rsidR="0010226A">
        <w:t xml:space="preserve"> and urges its implementation.</w:t>
      </w:r>
    </w:p>
    <w:p w:rsidR="00AF49DD" w:rsidRDefault="0010226A" w:rsidP="00AF49DD">
      <w:pPr>
        <w:pStyle w:val="SubmissionNormal"/>
      </w:pPr>
      <w:r>
        <w:t>T</w:t>
      </w:r>
      <w:r w:rsidR="00AF49DD" w:rsidRPr="00B65C75">
        <w:t xml:space="preserve">he </w:t>
      </w:r>
      <w:r w:rsidR="00AF49DD">
        <w:t xml:space="preserve">2015 </w:t>
      </w:r>
      <w:r w:rsidR="00AF49DD" w:rsidRPr="00B65C75">
        <w:t xml:space="preserve">Report of the Reference Group on Welfare Reform to the Minister for Social Services, “A New System for Better Employment and Social Outcomes”, </w:t>
      </w:r>
      <w:r w:rsidR="00AF49DD">
        <w:t>explicitly recognises the role that procurement, and access to ICT more broadly can play in facilitating an increase in the employment and retention of people with disability.</w:t>
      </w:r>
      <w:r w:rsidR="0014298F">
        <w:rPr>
          <w:rStyle w:val="EndnoteReference"/>
        </w:rPr>
        <w:endnoteReference w:id="33"/>
      </w:r>
    </w:p>
    <w:p w:rsidR="00AF49DD" w:rsidRDefault="00AF49DD" w:rsidP="00AF49DD">
      <w:pPr>
        <w:pStyle w:val="SubmissionNormal"/>
      </w:pPr>
      <w:r>
        <w:t xml:space="preserve">The Commission anticipates that the establishment of the DTO and the intended shift towards a shared services model for APS agencies presents a </w:t>
      </w:r>
      <w:r>
        <w:lastRenderedPageBreak/>
        <w:t xml:space="preserve">timely opportunity for Government to </w:t>
      </w:r>
      <w:r w:rsidR="0010226A">
        <w:t>implement</w:t>
      </w:r>
      <w:r>
        <w:t xml:space="preserve"> change in ICT procurement policy and </w:t>
      </w:r>
      <w:r w:rsidR="00365842">
        <w:t>proposes</w:t>
      </w:r>
      <w:r w:rsidR="0008749C">
        <w:t xml:space="preserve"> the following options:</w:t>
      </w:r>
    </w:p>
    <w:p w:rsidR="00AF49DD" w:rsidRDefault="00AF49DD" w:rsidP="00E64461">
      <w:pPr>
        <w:pStyle w:val="SubmissionNormal"/>
        <w:numPr>
          <w:ilvl w:val="1"/>
          <w:numId w:val="15"/>
        </w:numPr>
      </w:pPr>
      <w:r>
        <w:t>That the Department of Finance Liaise with DTO to identify an appropriate  point of referral for tasks that previously sat with the Secretary’s ICT Governance Board (SIGB); including the progression of the recommendations from the 2014 ICT Accessibility Round Table report and implementation of the APS ICT Strategy.</w:t>
      </w:r>
    </w:p>
    <w:p w:rsidR="00AF49DD" w:rsidRDefault="00AF49DD" w:rsidP="00E64461">
      <w:pPr>
        <w:pStyle w:val="SubmissionNormal"/>
        <w:numPr>
          <w:ilvl w:val="1"/>
          <w:numId w:val="15"/>
        </w:numPr>
      </w:pPr>
      <w:r>
        <w:t>That, should the government intend to review and update the APS ICT Strategy 2012-2015, the revised strategy include clear action</w:t>
      </w:r>
      <w:r w:rsidR="00365842">
        <w:t>s relating to ICT accessibility.</w:t>
      </w:r>
    </w:p>
    <w:p w:rsidR="00AF49DD" w:rsidRDefault="00AF49DD" w:rsidP="00E64461">
      <w:pPr>
        <w:pStyle w:val="SubmissionNormal"/>
        <w:numPr>
          <w:ilvl w:val="1"/>
          <w:numId w:val="15"/>
        </w:numPr>
      </w:pPr>
      <w:r>
        <w:t>That the DTO and the Department of Finance be involved in the future work of the ICT Accessibility Round Table.</w:t>
      </w:r>
    </w:p>
    <w:p w:rsidR="00A85FAA" w:rsidRDefault="00AF49DD" w:rsidP="00E64461">
      <w:pPr>
        <w:pStyle w:val="SubmissionNormal"/>
        <w:numPr>
          <w:ilvl w:val="1"/>
          <w:numId w:val="15"/>
        </w:numPr>
      </w:pPr>
      <w:r>
        <w:t xml:space="preserve">That the recommendations of the 2014 ICT Accessibility Round Table </w:t>
      </w:r>
      <w:r w:rsidR="007D51CF">
        <w:t>are</w:t>
      </w:r>
      <w:r>
        <w:t xml:space="preserve"> progressed</w:t>
      </w:r>
      <w:r w:rsidR="00A85FAA">
        <w:t>,</w:t>
      </w:r>
      <w:r>
        <w:t xml:space="preserve"> particularly the implementation of service level standards to drive a whole</w:t>
      </w:r>
      <w:r w:rsidR="00F47078">
        <w:t>-</w:t>
      </w:r>
      <w:r>
        <w:t>of</w:t>
      </w:r>
      <w:r w:rsidR="00F47078">
        <w:t>-</w:t>
      </w:r>
      <w:r>
        <w:t xml:space="preserve">government approach to accessible procurement. These standards should include ICT deliverables to measure the accessibility of computer hardware and software, mobile devices, printers, photocopiers and scanners. </w:t>
      </w:r>
    </w:p>
    <w:p w:rsidR="00AF49DD" w:rsidRDefault="00AF49DD" w:rsidP="00E64461">
      <w:pPr>
        <w:pStyle w:val="SubmissionNormal"/>
        <w:numPr>
          <w:ilvl w:val="1"/>
          <w:numId w:val="15"/>
        </w:numPr>
      </w:pPr>
      <w:r>
        <w:t xml:space="preserve">The government may wish to adopt existing international standards for ICT accessibility, or develop a new set of standards to suit the Australian context. These same standards should also apply to ICT that is developed in-house by APS agencies. </w:t>
      </w:r>
    </w:p>
    <w:p w:rsidR="00AF49DD" w:rsidRPr="00871AAD" w:rsidRDefault="00AF49DD" w:rsidP="00E64461">
      <w:pPr>
        <w:pStyle w:val="SubmissionNormal"/>
        <w:numPr>
          <w:ilvl w:val="1"/>
          <w:numId w:val="15"/>
        </w:numPr>
        <w:rPr>
          <w:lang w:val="en"/>
        </w:rPr>
      </w:pPr>
      <w:r w:rsidRPr="009A6BFA">
        <w:rPr>
          <w:lang w:val="en"/>
        </w:rPr>
        <w:t>That a Government Product Accessibility template be developed for vendors</w:t>
      </w:r>
      <w:r w:rsidR="00BF2AAE" w:rsidRPr="009A6BFA">
        <w:rPr>
          <w:lang w:val="en"/>
        </w:rPr>
        <w:t>.</w:t>
      </w:r>
      <w:r w:rsidR="00A85FAA">
        <w:rPr>
          <w:lang w:val="en"/>
        </w:rPr>
        <w:t xml:space="preserve"> This could use the m</w:t>
      </w:r>
      <w:r w:rsidRPr="009A6BFA">
        <w:rPr>
          <w:lang w:val="en"/>
        </w:rPr>
        <w:t>ode</w:t>
      </w:r>
      <w:r w:rsidR="00CA5838">
        <w:rPr>
          <w:lang w:val="en"/>
        </w:rPr>
        <w:t>l</w:t>
      </w:r>
      <w:r w:rsidRPr="009A6BFA">
        <w:rPr>
          <w:lang w:val="en"/>
        </w:rPr>
        <w:t xml:space="preserve">ling work that has been undertaken </w:t>
      </w:r>
      <w:r>
        <w:rPr>
          <w:lang w:val="en"/>
        </w:rPr>
        <w:t xml:space="preserve">in the United States. </w:t>
      </w:r>
      <w:r w:rsidRPr="00871AAD">
        <w:rPr>
          <w:lang w:val="en"/>
        </w:rPr>
        <w:t xml:space="preserve">The template should allow vendors to report on and demonstrate how products comply with a range of </w:t>
      </w:r>
      <w:r w:rsidR="0014298F">
        <w:rPr>
          <w:lang w:val="en"/>
        </w:rPr>
        <w:t>standard ICT deliverables.</w:t>
      </w:r>
      <w:r w:rsidR="0014298F">
        <w:rPr>
          <w:rStyle w:val="EndnoteReference"/>
          <w:lang w:val="en"/>
        </w:rPr>
        <w:endnoteReference w:id="34"/>
      </w:r>
    </w:p>
    <w:p w:rsidR="00AF49DD" w:rsidRPr="009A6BFA" w:rsidRDefault="00AF49DD" w:rsidP="00E64461">
      <w:pPr>
        <w:pStyle w:val="SubmissionNormal"/>
        <w:numPr>
          <w:ilvl w:val="1"/>
          <w:numId w:val="15"/>
        </w:numPr>
      </w:pPr>
      <w:r w:rsidRPr="009A6BFA">
        <w:rPr>
          <w:lang w:val="en"/>
        </w:rPr>
        <w:t>That, subsequent to the adoption of service level standards for accessi</w:t>
      </w:r>
      <w:r>
        <w:rPr>
          <w:lang w:val="en"/>
        </w:rPr>
        <w:t>ble ICT, the government develop</w:t>
      </w:r>
      <w:r w:rsidRPr="009A6BFA">
        <w:rPr>
          <w:lang w:val="en"/>
        </w:rPr>
        <w:t xml:space="preserve"> a transition strategy to guide the implementation of the standards across APS agencies. The government </w:t>
      </w:r>
      <w:r w:rsidR="00A85FAA">
        <w:rPr>
          <w:lang w:val="en"/>
        </w:rPr>
        <w:t>could</w:t>
      </w:r>
      <w:r w:rsidRPr="009A6BFA">
        <w:rPr>
          <w:lang w:val="en"/>
        </w:rPr>
        <w:t xml:space="preserve"> use the </w:t>
      </w:r>
      <w:r w:rsidRPr="009A6BFA">
        <w:rPr>
          <w:i/>
        </w:rPr>
        <w:t xml:space="preserve">Web Accessibility National Transition Strategy </w:t>
      </w:r>
      <w:r w:rsidRPr="004E564C">
        <w:t>and its accompanying guidance document as a foundation for this work.</w:t>
      </w:r>
    </w:p>
    <w:p w:rsidR="00AF49DD" w:rsidRDefault="00AF49DD" w:rsidP="00E64461">
      <w:pPr>
        <w:pStyle w:val="SubmissionNormal"/>
        <w:numPr>
          <w:ilvl w:val="1"/>
          <w:numId w:val="15"/>
        </w:numPr>
      </w:pPr>
      <w:r>
        <w:t>That, in line with the recommendations of the ICT Accessibility Round Table, tailored training on ICT accessibility be provided to Chief Information Officers across the APS to assist with the transition to a more inclusive procurement model.</w:t>
      </w:r>
    </w:p>
    <w:p w:rsidR="00F421AE" w:rsidRDefault="005B2D57" w:rsidP="00191F1A">
      <w:pPr>
        <w:pStyle w:val="SubmissionNormal"/>
      </w:pPr>
      <w:r>
        <w:t>T</w:t>
      </w:r>
      <w:r w:rsidR="00F421AE">
        <w:t xml:space="preserve">he Commission </w:t>
      </w:r>
      <w:r w:rsidR="00955B7B">
        <w:t xml:space="preserve">encourages </w:t>
      </w:r>
      <w:r>
        <w:t xml:space="preserve">the APS </w:t>
      </w:r>
      <w:r w:rsidR="00955B7B">
        <w:t>to consult</w:t>
      </w:r>
      <w:r>
        <w:t xml:space="preserve"> in all these matters with</w:t>
      </w:r>
      <w:r w:rsidR="00F421AE">
        <w:t xml:space="preserve"> APS agencies who have already undertaken work in relation to accessible ICT procurement, such as the National Di</w:t>
      </w:r>
      <w:r w:rsidR="00F216B5">
        <w:t>sability Insurance Agency</w:t>
      </w:r>
      <w:r>
        <w:t>. B</w:t>
      </w:r>
      <w:r w:rsidR="00F421AE">
        <w:t xml:space="preserve">roader consultation with civil society </w:t>
      </w:r>
      <w:r>
        <w:t>is also recommended.</w:t>
      </w:r>
      <w:r w:rsidR="00F421AE">
        <w:t xml:space="preserve"> Consideration should also be given to work that has already been undertaken on accessible</w:t>
      </w:r>
      <w:r w:rsidR="00191F1A">
        <w:t xml:space="preserve"> ICT internationally, including the </w:t>
      </w:r>
      <w:r w:rsidR="00F421AE" w:rsidRPr="00191F1A">
        <w:rPr>
          <w:lang w:val="en"/>
        </w:rPr>
        <w:t xml:space="preserve">online tool kit developed by the International </w:t>
      </w:r>
      <w:r w:rsidR="00F421AE" w:rsidRPr="00191F1A">
        <w:rPr>
          <w:lang w:val="en"/>
        </w:rPr>
        <w:lastRenderedPageBreak/>
        <w:t>Telecommunication Union</w:t>
      </w:r>
      <w:r w:rsidR="005A699C">
        <w:rPr>
          <w:rStyle w:val="EndnoteReference"/>
          <w:lang w:val="en"/>
        </w:rPr>
        <w:endnoteReference w:id="35"/>
      </w:r>
      <w:r w:rsidR="00F421AE" w:rsidRPr="00191F1A">
        <w:rPr>
          <w:lang w:val="en"/>
        </w:rPr>
        <w:t xml:space="preserve"> and the Global Initiative for Inclusive ICTs, “e-Accessibility Policy Toolkit for Persons with Disabilities</w:t>
      </w:r>
      <w:r w:rsidR="00F421AE">
        <w:t>”</w:t>
      </w:r>
      <w:r w:rsidR="001274A0">
        <w:t>.</w:t>
      </w:r>
      <w:r w:rsidR="00F421AE">
        <w:rPr>
          <w:rStyle w:val="EndnoteReference"/>
        </w:rPr>
        <w:endnoteReference w:id="36"/>
      </w:r>
    </w:p>
    <w:p w:rsidR="009F2764" w:rsidRPr="0010508C" w:rsidRDefault="009F2764" w:rsidP="00E64461">
      <w:pPr>
        <w:pStyle w:val="Heading1"/>
        <w:numPr>
          <w:ilvl w:val="0"/>
          <w:numId w:val="16"/>
        </w:numPr>
        <w:tabs>
          <w:tab w:val="clear" w:pos="851"/>
          <w:tab w:val="num" w:pos="971"/>
        </w:tabs>
        <w:ind w:left="971"/>
        <w:rPr>
          <w:sz w:val="36"/>
          <w:szCs w:val="36"/>
        </w:rPr>
      </w:pPr>
      <w:bookmarkStart w:id="15" w:name="_Toc162769295"/>
      <w:bookmarkStart w:id="16" w:name="_Toc207761836"/>
      <w:bookmarkStart w:id="17" w:name="_Toc209578272"/>
      <w:bookmarkStart w:id="18" w:name="_Toc417308331"/>
      <w:r w:rsidRPr="0010508C">
        <w:rPr>
          <w:sz w:val="36"/>
          <w:szCs w:val="36"/>
        </w:rPr>
        <w:t>Appendix</w:t>
      </w:r>
      <w:bookmarkEnd w:id="15"/>
      <w:bookmarkEnd w:id="16"/>
      <w:bookmarkEnd w:id="17"/>
      <w:r w:rsidRPr="0010508C">
        <w:rPr>
          <w:sz w:val="36"/>
          <w:szCs w:val="36"/>
        </w:rPr>
        <w:t xml:space="preserve"> </w:t>
      </w:r>
      <w:r w:rsidR="001C4146">
        <w:rPr>
          <w:sz w:val="36"/>
          <w:szCs w:val="36"/>
        </w:rPr>
        <w:t>– Private Sector Examples</w:t>
      </w:r>
      <w:bookmarkEnd w:id="18"/>
    </w:p>
    <w:p w:rsidR="001C4146" w:rsidRPr="00B65C75" w:rsidRDefault="001C4146" w:rsidP="00191F1A">
      <w:r w:rsidRPr="00B65C75">
        <w:t xml:space="preserve">Although we are yet to see a whole-of-government approach to accessible procurement in Australia, several private businesses have made significant progress in the area of accessible ICT procurement and understand this to be a key element of good governance. </w:t>
      </w:r>
    </w:p>
    <w:p w:rsidR="00A74AF3" w:rsidRDefault="00A74AF3" w:rsidP="00E64461">
      <w:pPr>
        <w:pStyle w:val="ListParagraph"/>
        <w:numPr>
          <w:ilvl w:val="0"/>
          <w:numId w:val="17"/>
        </w:numPr>
      </w:pPr>
      <w:r>
        <w:t>ANZ Bank has appointed a Global Technology Accessibility Manager to lead the implementation of the ANZ Disability I</w:t>
      </w:r>
      <w:r w:rsidR="00C96D1C">
        <w:t>nclusion Access Plan 2012-2015.</w:t>
      </w:r>
      <w:r w:rsidR="00C96D1C">
        <w:rPr>
          <w:rStyle w:val="EndnoteReference"/>
        </w:rPr>
        <w:endnoteReference w:id="37"/>
      </w:r>
      <w:r w:rsidR="00C96D1C">
        <w:t xml:space="preserve">  </w:t>
      </w:r>
      <w:r>
        <w:t xml:space="preserve">The plan sets out a number of directives that the bank is expected to follow in order to maintain its status as a disability-confident business, one of which reads: “Include accessibility criteria in tenders, contract management activities and </w:t>
      </w:r>
      <w:r w:rsidR="004E564C">
        <w:t>internal</w:t>
      </w:r>
      <w:r>
        <w:t xml:space="preserve"> requirements for workplac</w:t>
      </w:r>
      <w:r w:rsidR="00C96D1C">
        <w:t>e and customer technologies</w:t>
      </w:r>
      <w:r>
        <w:t>.</w:t>
      </w:r>
      <w:r w:rsidR="00C96D1C">
        <w:rPr>
          <w:rStyle w:val="EndnoteReference"/>
        </w:rPr>
        <w:endnoteReference w:id="38"/>
      </w:r>
      <w:r w:rsidR="00C96D1C">
        <w:t xml:space="preserve">  </w:t>
      </w:r>
    </w:p>
    <w:p w:rsidR="00A74AF3" w:rsidRDefault="00A74AF3" w:rsidP="00E64461">
      <w:pPr>
        <w:pStyle w:val="ListParagraph"/>
        <w:numPr>
          <w:ilvl w:val="0"/>
          <w:numId w:val="17"/>
        </w:numPr>
      </w:pPr>
      <w:r w:rsidRPr="00572BB5">
        <w:t xml:space="preserve">Westpac has similarly identified </w:t>
      </w:r>
      <w:r w:rsidR="00572BB5" w:rsidRPr="00572BB5">
        <w:t>universal design</w:t>
      </w:r>
      <w:r w:rsidRPr="00572BB5">
        <w:t xml:space="preserve"> as a core priority in its current Disability Action Plan</w:t>
      </w:r>
      <w:r w:rsidR="00572BB5" w:rsidRPr="00572BB5">
        <w:t xml:space="preserve">, expanding on a number of positive outcomes that had already been achieved under the previous plan.  </w:t>
      </w:r>
      <w:r w:rsidRPr="00572BB5">
        <w:t>It has a strong focus on universal design, considering the accessibility of documents, online learning modules, and ICT that is used by employees</w:t>
      </w:r>
      <w:r>
        <w:t xml:space="preserve"> and customers alike. Westpac boasts one of the highest levels of employment of people with disability in corporate Australia, with 12.1% of employees having disclosed that</w:t>
      </w:r>
      <w:r w:rsidR="00C96D1C">
        <w:t xml:space="preserve"> they had a disability in 2012.</w:t>
      </w:r>
      <w:r w:rsidR="00C96D1C">
        <w:rPr>
          <w:rStyle w:val="EndnoteReference"/>
        </w:rPr>
        <w:endnoteReference w:id="39"/>
      </w:r>
    </w:p>
    <w:p w:rsidR="00A74AF3" w:rsidRDefault="00A74AF3" w:rsidP="00E64461">
      <w:pPr>
        <w:pStyle w:val="ListParagraph"/>
        <w:numPr>
          <w:ilvl w:val="0"/>
          <w:numId w:val="17"/>
        </w:numPr>
      </w:pPr>
      <w:r>
        <w:t>Telstra has also made a significant commitment to product accessibility. The company’s current Disability Action Plan states that one of its core objectives is to: “Utilise Telstra’s supply chain to promote opportunities for people with disability”, one of the core actions supporting this commitment is “Including accessibility criteria in tenders f</w:t>
      </w:r>
      <w:r w:rsidR="00C96D1C">
        <w:t>or ICT products and services”</w:t>
      </w:r>
      <w:r w:rsidR="001274A0">
        <w:t>.</w:t>
      </w:r>
      <w:r w:rsidR="00C96D1C">
        <w:rPr>
          <w:rStyle w:val="EndnoteReference"/>
        </w:rPr>
        <w:endnoteReference w:id="40"/>
      </w:r>
    </w:p>
    <w:p w:rsidR="00A74AF3" w:rsidRPr="00191F1A" w:rsidRDefault="00A74AF3" w:rsidP="00C96D1C">
      <w:pPr>
        <w:pStyle w:val="ListParagraph"/>
        <w:rPr>
          <w:highlight w:val="yellow"/>
        </w:rPr>
      </w:pPr>
    </w:p>
    <w:sectPr w:rsidR="00A74AF3" w:rsidRPr="00191F1A"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E61" w:rsidRDefault="00D46E61" w:rsidP="00F14C6D">
      <w:r>
        <w:separator/>
      </w:r>
    </w:p>
  </w:endnote>
  <w:endnote w:type="continuationSeparator" w:id="0">
    <w:p w:rsidR="00D46E61" w:rsidRDefault="00D46E61" w:rsidP="00F14C6D">
      <w:r>
        <w:continuationSeparator/>
      </w:r>
    </w:p>
  </w:endnote>
  <w:endnote w:id="1">
    <w:p w:rsidR="00A05200" w:rsidRPr="00955B7B" w:rsidRDefault="00A05200">
      <w:pPr>
        <w:pStyle w:val="EndnoteText"/>
      </w:pPr>
      <w:r w:rsidRPr="00C1043A">
        <w:rPr>
          <w:rStyle w:val="EndnoteReference"/>
        </w:rPr>
        <w:endnoteRef/>
      </w:r>
      <w:r w:rsidRPr="00C1043A">
        <w:t xml:space="preserve"> Centre for Excellence </w:t>
      </w:r>
      <w:r w:rsidRPr="00955B7B">
        <w:t xml:space="preserve">in Universal Design, 2014, ‘What is Universal Design’, </w:t>
      </w:r>
      <w:r w:rsidR="005118CE" w:rsidRPr="00955B7B">
        <w:t xml:space="preserve">at </w:t>
      </w:r>
      <w:hyperlink r:id="rId1" w:history="1">
        <w:r w:rsidR="00F47078" w:rsidRPr="00955B7B">
          <w:rPr>
            <w:rStyle w:val="Hyperlink"/>
            <w:color w:val="auto"/>
            <w:u w:val="none"/>
          </w:rPr>
          <w:t>http://universaldesign.ie/What-is-Universal-Design</w:t>
        </w:r>
      </w:hyperlink>
      <w:r w:rsidR="005118CE" w:rsidRPr="00955B7B">
        <w:t xml:space="preserve"> (viewed 25 March 2015).</w:t>
      </w:r>
    </w:p>
  </w:endnote>
  <w:endnote w:id="2">
    <w:p w:rsidR="00074EC0" w:rsidRPr="00955B7B" w:rsidRDefault="00074EC0" w:rsidP="00074EC0">
      <w:pPr>
        <w:pStyle w:val="EndnoteText"/>
        <w:rPr>
          <w:rStyle w:val="EndnoteReference"/>
        </w:rPr>
      </w:pPr>
      <w:r w:rsidRPr="00955B7B">
        <w:rPr>
          <w:rStyle w:val="EndnoteReference"/>
        </w:rPr>
        <w:endnoteRef/>
      </w:r>
      <w:r w:rsidRPr="00955B7B">
        <w:rPr>
          <w:rStyle w:val="EndnoteReference"/>
        </w:rPr>
        <w:t xml:space="preserve"> </w:t>
      </w:r>
      <w:r w:rsidR="008305A4" w:rsidRPr="00955B7B">
        <w:t>Handicap International – International Online Resource Centre on Disability and Inclusion, 2014, ‘Accessibl</w:t>
      </w:r>
      <w:r w:rsidR="005118CE" w:rsidRPr="00955B7B">
        <w:t>e ICTs’</w:t>
      </w:r>
      <w:r w:rsidR="00D353C8" w:rsidRPr="00955B7B">
        <w:t>,</w:t>
      </w:r>
      <w:r w:rsidR="005118CE" w:rsidRPr="00955B7B">
        <w:t xml:space="preserve"> </w:t>
      </w:r>
      <w:r w:rsidR="00D353C8" w:rsidRPr="00955B7B">
        <w:t>a</w:t>
      </w:r>
      <w:r w:rsidR="005118CE" w:rsidRPr="00955B7B">
        <w:t>t</w:t>
      </w:r>
      <w:r w:rsidR="008305A4" w:rsidRPr="00955B7B">
        <w:t xml:space="preserve"> </w:t>
      </w:r>
      <w:hyperlink r:id="rId2" w:history="1">
        <w:r w:rsidR="005118CE" w:rsidRPr="00955B7B">
          <w:rPr>
            <w:rStyle w:val="Hyperlink"/>
            <w:color w:val="auto"/>
            <w:u w:val="none"/>
          </w:rPr>
          <w:t>http://www.asksource.info/topics/cross-cutting-issues/accessible-icts</w:t>
        </w:r>
      </w:hyperlink>
      <w:r w:rsidR="005118CE" w:rsidRPr="00955B7B">
        <w:t xml:space="preserve"> (viewed 25 March 2015).</w:t>
      </w:r>
    </w:p>
  </w:endnote>
  <w:endnote w:id="3">
    <w:p w:rsidR="008305A4" w:rsidRPr="00C1043A" w:rsidRDefault="008305A4">
      <w:pPr>
        <w:pStyle w:val="EndnoteText"/>
        <w:rPr>
          <w:rStyle w:val="EndnoteReference"/>
        </w:rPr>
      </w:pPr>
      <w:r w:rsidRPr="00955B7B">
        <w:rPr>
          <w:rStyle w:val="EndnoteReference"/>
        </w:rPr>
        <w:endnoteRef/>
      </w:r>
      <w:r w:rsidRPr="00955B7B">
        <w:rPr>
          <w:rStyle w:val="EndnoteReference"/>
        </w:rPr>
        <w:t xml:space="preserve"> </w:t>
      </w:r>
      <w:r w:rsidRPr="00955B7B">
        <w:t>Apple Inc., 2015,</w:t>
      </w:r>
      <w:r w:rsidR="005118CE" w:rsidRPr="00955B7B">
        <w:t xml:space="preserve"> ‘Apple – Accessibility – </w:t>
      </w:r>
      <w:proofErr w:type="gramStart"/>
      <w:r w:rsidR="005118CE" w:rsidRPr="00955B7B">
        <w:t>IOS’.</w:t>
      </w:r>
      <w:r w:rsidR="00636BBC" w:rsidRPr="00955B7B">
        <w:t>,</w:t>
      </w:r>
      <w:proofErr w:type="gramEnd"/>
      <w:r w:rsidR="005118CE" w:rsidRPr="00955B7B">
        <w:t xml:space="preserve"> </w:t>
      </w:r>
      <w:r w:rsidR="00636BBC" w:rsidRPr="00955B7B">
        <w:t>a</w:t>
      </w:r>
      <w:r w:rsidR="005118CE" w:rsidRPr="00955B7B">
        <w:t>t</w:t>
      </w:r>
      <w:r w:rsidRPr="00955B7B">
        <w:t xml:space="preserve"> </w:t>
      </w:r>
      <w:hyperlink r:id="rId3" w:history="1">
        <w:r w:rsidRPr="00955B7B">
          <w:t>https://www.apple.com/au/accessibility/ios</w:t>
        </w:r>
      </w:hyperlink>
      <w:r w:rsidR="005118CE" w:rsidRPr="00955B7B">
        <w:t xml:space="preserve"> (viewed 25 March 2015).</w:t>
      </w:r>
    </w:p>
  </w:endnote>
  <w:endnote w:id="4">
    <w:p w:rsidR="008305A4" w:rsidRPr="00C1043A" w:rsidRDefault="008305A4">
      <w:pPr>
        <w:pStyle w:val="EndnoteText"/>
        <w:rPr>
          <w:rStyle w:val="EndnoteReference"/>
        </w:rPr>
      </w:pPr>
      <w:r w:rsidRPr="00C1043A">
        <w:rPr>
          <w:rStyle w:val="EndnoteReference"/>
        </w:rPr>
        <w:endnoteRef/>
      </w:r>
      <w:r w:rsidRPr="00C1043A">
        <w:rPr>
          <w:rStyle w:val="EndnoteReference"/>
        </w:rPr>
        <w:t xml:space="preserve"> </w:t>
      </w:r>
      <w:r w:rsidRPr="00C1043A">
        <w:t xml:space="preserve">Job Access Australia, 2012, ‘About Us, </w:t>
      </w:r>
      <w:r w:rsidR="005118CE" w:rsidRPr="00C1043A">
        <w:t xml:space="preserve">at </w:t>
      </w:r>
      <w:hyperlink r:id="rId4" w:history="1">
        <w:r w:rsidR="005118CE" w:rsidRPr="00C1043A">
          <w:rPr>
            <w:rStyle w:val="Hyperlink"/>
            <w:color w:val="auto"/>
            <w:u w:val="none"/>
          </w:rPr>
          <w:t>http://jobaccess.gov.au/content/about-us</w:t>
        </w:r>
      </w:hyperlink>
      <w:r w:rsidR="005118CE" w:rsidRPr="00C1043A">
        <w:t xml:space="preserve"> (viewed 25 March 2015).</w:t>
      </w:r>
      <w:r w:rsidRPr="00C1043A">
        <w:t xml:space="preserve"> </w:t>
      </w:r>
    </w:p>
  </w:endnote>
  <w:endnote w:id="5">
    <w:p w:rsidR="00FC191E" w:rsidRPr="00C1043A" w:rsidRDefault="00FC191E">
      <w:pPr>
        <w:pStyle w:val="EndnoteText"/>
        <w:rPr>
          <w:rStyle w:val="EndnoteReference"/>
        </w:rPr>
      </w:pPr>
      <w:r w:rsidRPr="00C1043A">
        <w:rPr>
          <w:rStyle w:val="EndnoteReference"/>
        </w:rPr>
        <w:endnoteRef/>
      </w:r>
      <w:r w:rsidRPr="00C1043A">
        <w:rPr>
          <w:rStyle w:val="EndnoteReference"/>
        </w:rPr>
        <w:t xml:space="preserve"> </w:t>
      </w:r>
      <w:r w:rsidRPr="00C1043A">
        <w:t xml:space="preserve">Blind Citizens Australia, 2014, Submission to A New System for Better Employment and Social Outcomes, </w:t>
      </w:r>
      <w:r w:rsidR="00D353C8">
        <w:t xml:space="preserve">p </w:t>
      </w:r>
      <w:r w:rsidRPr="00C1043A">
        <w:t>12</w:t>
      </w:r>
      <w:r w:rsidR="00D353C8">
        <w:t>,</w:t>
      </w:r>
      <w:r w:rsidR="009F12E8" w:rsidRPr="00C1043A">
        <w:t xml:space="preserve"> at </w:t>
      </w:r>
      <w:hyperlink r:id="rId5" w:history="1">
        <w:r w:rsidR="009F12E8" w:rsidRPr="00C1043A">
          <w:rPr>
            <w:rStyle w:val="Hyperlink"/>
            <w:color w:val="auto"/>
            <w:u w:val="none"/>
          </w:rPr>
          <w:t>http://wordpress.bca.org.au/submissions</w:t>
        </w:r>
      </w:hyperlink>
      <w:r w:rsidR="009F12E8" w:rsidRPr="00C1043A">
        <w:t xml:space="preserve"> (viewed 26 March 2015</w:t>
      </w:r>
      <w:r w:rsidRPr="00C1043A">
        <w:t>).</w:t>
      </w:r>
    </w:p>
  </w:endnote>
  <w:endnote w:id="6">
    <w:p w:rsidR="00FC191E" w:rsidRPr="00C1043A" w:rsidRDefault="00FC191E">
      <w:pPr>
        <w:pStyle w:val="EndnoteText"/>
        <w:rPr>
          <w:rStyle w:val="EndnoteReference"/>
        </w:rPr>
      </w:pPr>
      <w:r w:rsidRPr="00C1043A">
        <w:rPr>
          <w:rStyle w:val="EndnoteReference"/>
        </w:rPr>
        <w:endnoteRef/>
      </w:r>
      <w:r w:rsidRPr="00C1043A">
        <w:rPr>
          <w:rStyle w:val="EndnoteReference"/>
        </w:rPr>
        <w:t xml:space="preserve"> </w:t>
      </w:r>
      <w:r w:rsidRPr="00C1043A">
        <w:t>Australian Human Rights Commission, ‘DDA conciliation: employment’ (Adjustments in assessment procedures (2005), Adjustments for vision impaired employee (2003), and Employee compensated for inacc</w:t>
      </w:r>
      <w:r w:rsidR="005118CE" w:rsidRPr="00C1043A">
        <w:t>essible software systems (2003)</w:t>
      </w:r>
      <w:r w:rsidRPr="00C1043A">
        <w:t xml:space="preserve">, </w:t>
      </w:r>
      <w:r w:rsidR="005118CE" w:rsidRPr="00C1043A">
        <w:t xml:space="preserve">at </w:t>
      </w:r>
      <w:hyperlink r:id="rId6" w:history="1">
        <w:r w:rsidR="005118CE" w:rsidRPr="00C1043A">
          <w:rPr>
            <w:rStyle w:val="Hyperlink"/>
            <w:color w:val="auto"/>
            <w:u w:val="none"/>
          </w:rPr>
          <w:t>https://www.humanrights.gov.au/dda-conciliation-employment</w:t>
        </w:r>
      </w:hyperlink>
      <w:r w:rsidR="005118CE" w:rsidRPr="00C1043A">
        <w:t xml:space="preserve"> (viewed 26 March 2015).</w:t>
      </w:r>
    </w:p>
  </w:endnote>
  <w:endnote w:id="7">
    <w:p w:rsidR="001908FC" w:rsidRPr="00C1043A" w:rsidRDefault="001908FC">
      <w:pPr>
        <w:pStyle w:val="EndnoteText"/>
      </w:pPr>
      <w:r w:rsidRPr="00C1043A">
        <w:rPr>
          <w:rStyle w:val="EndnoteReference"/>
        </w:rPr>
        <w:endnoteRef/>
      </w:r>
      <w:r w:rsidRPr="00C1043A">
        <w:t xml:space="preserve"> </w:t>
      </w:r>
      <w:r w:rsidR="00102099">
        <w:t xml:space="preserve">N Tuckwell, Manager, Job Access, </w:t>
      </w:r>
      <w:r w:rsidRPr="00C1043A">
        <w:t>Correspondence</w:t>
      </w:r>
      <w:r w:rsidR="00102099">
        <w:t xml:space="preserve"> to L Henley, Adviser to the Disability Discrimination Commissioner, Australian Human Rights Commission, </w:t>
      </w:r>
      <w:r w:rsidRPr="00C1043A">
        <w:t>7 April 2015.</w:t>
      </w:r>
    </w:p>
  </w:endnote>
  <w:endnote w:id="8">
    <w:p w:rsidR="00790A6A" w:rsidRPr="00C1043A" w:rsidRDefault="00790A6A">
      <w:pPr>
        <w:pStyle w:val="EndnoteText"/>
        <w:rPr>
          <w:rStyle w:val="EndnoteReference"/>
        </w:rPr>
      </w:pPr>
      <w:r w:rsidRPr="00C1043A">
        <w:rPr>
          <w:rStyle w:val="EndnoteReference"/>
        </w:rPr>
        <w:endnoteRef/>
      </w:r>
      <w:r w:rsidRPr="00C1043A">
        <w:rPr>
          <w:rStyle w:val="EndnoteReference"/>
        </w:rPr>
        <w:t xml:space="preserve"> </w:t>
      </w:r>
      <w:r w:rsidRPr="00C1043A">
        <w:t xml:space="preserve">Australian Communications Consumer Action Network, 2013, </w:t>
      </w:r>
      <w:r w:rsidR="00636BBC">
        <w:t>‘</w:t>
      </w:r>
      <w:r w:rsidRPr="00C1043A">
        <w:t>Accessible ICT Procurement Case Studi</w:t>
      </w:r>
      <w:r w:rsidR="005118CE" w:rsidRPr="00C1043A">
        <w:t xml:space="preserve">es’, </w:t>
      </w:r>
      <w:r w:rsidR="00636BBC">
        <w:t>p</w:t>
      </w:r>
      <w:r w:rsidR="00D353C8">
        <w:t xml:space="preserve"> </w:t>
      </w:r>
      <w:r w:rsidR="005118CE" w:rsidRPr="00C1043A">
        <w:t>1</w:t>
      </w:r>
      <w:r w:rsidR="00636BBC">
        <w:t xml:space="preserve">, at </w:t>
      </w:r>
      <w:hyperlink r:id="rId7" w:history="1">
        <w:r w:rsidR="00636BBC" w:rsidRPr="00C1043A">
          <w:rPr>
            <w:rStyle w:val="Hyperlink"/>
            <w:color w:val="auto"/>
            <w:u w:val="none"/>
          </w:rPr>
          <w:t>https://www.accan.org.au/our-work/policy/627-position-statement-ict-procurement</w:t>
        </w:r>
      </w:hyperlink>
      <w:r w:rsidR="00636BBC" w:rsidRPr="00C1043A">
        <w:t xml:space="preserve"> (viewed 26 March 2015)</w:t>
      </w:r>
      <w:r w:rsidR="005118CE" w:rsidRPr="00C1043A">
        <w:t xml:space="preserve">; </w:t>
      </w:r>
      <w:r w:rsidRPr="00C1043A">
        <w:t xml:space="preserve">Australian Human Rights Commission, </w:t>
      </w:r>
      <w:r w:rsidR="005118CE" w:rsidRPr="00C1043A">
        <w:t>‘DDA conciliation: Employment o</w:t>
      </w:r>
      <w:r w:rsidRPr="00C1043A">
        <w:t xml:space="preserve">pportunities for blind public servant (2006), Adjustments in interview process (2006), Access to application process (2003), </w:t>
      </w:r>
      <w:r w:rsidR="005118CE" w:rsidRPr="00C1043A">
        <w:t xml:space="preserve">at </w:t>
      </w:r>
      <w:hyperlink r:id="rId8" w:history="1">
        <w:r w:rsidR="005118CE" w:rsidRPr="00C1043A">
          <w:t>https://www.humanrights.gov.au/dda-conciliation-employment</w:t>
        </w:r>
      </w:hyperlink>
      <w:r w:rsidR="005118CE" w:rsidRPr="00C1043A">
        <w:t xml:space="preserve"> (viewed </w:t>
      </w:r>
      <w:r w:rsidRPr="00C1043A">
        <w:t>26 March 2015</w:t>
      </w:r>
      <w:r w:rsidR="005118CE" w:rsidRPr="00C1043A">
        <w:t>)</w:t>
      </w:r>
      <w:r w:rsidR="0067135C">
        <w:t>.</w:t>
      </w:r>
    </w:p>
  </w:endnote>
  <w:endnote w:id="9">
    <w:p w:rsidR="003F23B2" w:rsidRPr="00C1043A" w:rsidRDefault="00790A6A">
      <w:pPr>
        <w:pStyle w:val="EndnoteText"/>
        <w:rPr>
          <w:rStyle w:val="EndnoteReference"/>
        </w:rPr>
      </w:pPr>
      <w:r w:rsidRPr="00C1043A">
        <w:rPr>
          <w:rStyle w:val="EndnoteReference"/>
        </w:rPr>
        <w:endnoteRef/>
      </w:r>
      <w:r w:rsidRPr="00C1043A">
        <w:rPr>
          <w:rStyle w:val="EndnoteReference"/>
        </w:rPr>
        <w:t xml:space="preserve"> </w:t>
      </w:r>
      <w:r w:rsidRPr="00C1043A">
        <w:t xml:space="preserve">Australian Communications Consumer Action Network, 2013, ‘Accessible ICT Procurement Case Studies, </w:t>
      </w:r>
      <w:r w:rsidR="00636BBC">
        <w:t xml:space="preserve">p </w:t>
      </w:r>
      <w:r w:rsidRPr="00C1043A">
        <w:t>2</w:t>
      </w:r>
      <w:r w:rsidR="00636BBC">
        <w:t>,</w:t>
      </w:r>
      <w:r w:rsidR="00CB6517" w:rsidRPr="00C1043A">
        <w:t xml:space="preserve"> at </w:t>
      </w:r>
      <w:hyperlink r:id="rId9" w:history="1">
        <w:r w:rsidR="00CB6517" w:rsidRPr="00C1043A">
          <w:rPr>
            <w:rStyle w:val="Hyperlink"/>
            <w:color w:val="auto"/>
            <w:u w:val="none"/>
          </w:rPr>
          <w:t>https://www.accan.org.au/our-work/policy/627-position-statement-ict-procurement</w:t>
        </w:r>
      </w:hyperlink>
      <w:r w:rsidR="00CB6517" w:rsidRPr="00C1043A">
        <w:t xml:space="preserve"> (viewed 26 March 2015)</w:t>
      </w:r>
      <w:r w:rsidRPr="00C1043A">
        <w:t>.</w:t>
      </w:r>
    </w:p>
  </w:endnote>
  <w:endnote w:id="10">
    <w:p w:rsidR="00AC3C53" w:rsidRPr="00C1043A" w:rsidRDefault="00AC3C53">
      <w:pPr>
        <w:pStyle w:val="EndnoteText"/>
      </w:pPr>
      <w:r w:rsidRPr="00C1043A">
        <w:rPr>
          <w:rStyle w:val="EndnoteReference"/>
        </w:rPr>
        <w:endnoteRef/>
      </w:r>
      <w:r w:rsidRPr="00C1043A">
        <w:t xml:space="preserve"> </w:t>
      </w:r>
      <w:proofErr w:type="gramStart"/>
      <w:r w:rsidR="005118CE" w:rsidRPr="00C1043A">
        <w:t>Disability Discrimination Act 1992 (</w:t>
      </w:r>
      <w:proofErr w:type="spellStart"/>
      <w:r w:rsidR="005118CE" w:rsidRPr="00C1043A">
        <w:t>Cth</w:t>
      </w:r>
      <w:proofErr w:type="spellEnd"/>
      <w:r w:rsidR="005118CE" w:rsidRPr="00C1043A">
        <w:t>)</w:t>
      </w:r>
      <w:r w:rsidR="00636BBC">
        <w:t>,</w:t>
      </w:r>
      <w:r w:rsidR="005118CE" w:rsidRPr="00C1043A">
        <w:t xml:space="preserve"> at </w:t>
      </w:r>
      <w:hyperlink r:id="rId10" w:history="1">
        <w:r w:rsidRPr="00C1043A">
          <w:rPr>
            <w:rStyle w:val="Hyperlink"/>
            <w:color w:val="auto"/>
            <w:u w:val="none"/>
          </w:rPr>
          <w:t>http://www.comlaw.gov.au/series/c2004a04426</w:t>
        </w:r>
      </w:hyperlink>
      <w:r w:rsidR="005118CE" w:rsidRPr="00C1043A">
        <w:t xml:space="preserve"> (viewed 25 March 2015)</w:t>
      </w:r>
      <w:r w:rsidR="00636BBC">
        <w:t>.</w:t>
      </w:r>
      <w:proofErr w:type="gramEnd"/>
    </w:p>
  </w:endnote>
  <w:endnote w:id="11">
    <w:p w:rsidR="00AC3C53" w:rsidRPr="00955B7B" w:rsidRDefault="00AC3C53">
      <w:pPr>
        <w:pStyle w:val="EndnoteText"/>
      </w:pPr>
      <w:r w:rsidRPr="00C1043A">
        <w:rPr>
          <w:rStyle w:val="EndnoteReference"/>
        </w:rPr>
        <w:endnoteRef/>
      </w:r>
      <w:r w:rsidRPr="00C1043A">
        <w:t xml:space="preserve"> </w:t>
      </w:r>
      <w:r w:rsidR="005118CE" w:rsidRPr="00C1043A">
        <w:t xml:space="preserve">United Nations Convention on the Rights of Persons with Disabilities, 2006, </w:t>
      </w:r>
      <w:hyperlink r:id="rId11" w:history="1">
        <w:r w:rsidRPr="00955B7B">
          <w:rPr>
            <w:rStyle w:val="Hyperlink"/>
            <w:color w:val="auto"/>
            <w:u w:val="none"/>
          </w:rPr>
          <w:t>http://www.ohchr.org/EN/HRBodies/CRPD/Pages/ConventionRightsPersonsWithDisabilities.aspx</w:t>
        </w:r>
      </w:hyperlink>
      <w:r w:rsidR="00636BBC" w:rsidRPr="00955B7B">
        <w:rPr>
          <w:rStyle w:val="Hyperlink"/>
          <w:color w:val="auto"/>
          <w:u w:val="none"/>
        </w:rPr>
        <w:t xml:space="preserve"> (viewed 20 April 2015).</w:t>
      </w:r>
      <w:r w:rsidRPr="00955B7B">
        <w:t xml:space="preserve"> </w:t>
      </w:r>
    </w:p>
  </w:endnote>
  <w:endnote w:id="12">
    <w:p w:rsidR="00BD4365" w:rsidRPr="00955B7B" w:rsidRDefault="00BD4365">
      <w:pPr>
        <w:pStyle w:val="EndnoteText"/>
      </w:pPr>
      <w:r w:rsidRPr="00955B7B">
        <w:rPr>
          <w:rStyle w:val="EndnoteReference"/>
        </w:rPr>
        <w:endnoteRef/>
      </w:r>
      <w:r w:rsidRPr="00955B7B">
        <w:t xml:space="preserve"> </w:t>
      </w:r>
      <w:r w:rsidR="005118CE" w:rsidRPr="00955B7B">
        <w:t xml:space="preserve">Council of Australian Governments, 2010, National Disability Strategy 2010-2020, </w:t>
      </w:r>
      <w:hyperlink r:id="rId12" w:anchor="1" w:history="1">
        <w:r w:rsidR="003816FD" w:rsidRPr="00955B7B">
          <w:rPr>
            <w:rStyle w:val="Hyperlink"/>
            <w:color w:val="auto"/>
            <w:u w:val="none"/>
          </w:rPr>
          <w:t>www.dss.gov.au/our-responsibilities/disability-and-carers/program-services/government-international/national-disability-strategy#1</w:t>
        </w:r>
      </w:hyperlink>
      <w:r w:rsidR="003816FD" w:rsidRPr="00955B7B">
        <w:t xml:space="preserve"> (viewed 20 April 2015).</w:t>
      </w:r>
    </w:p>
  </w:endnote>
  <w:endnote w:id="13">
    <w:p w:rsidR="000115E7" w:rsidRPr="00955B7B" w:rsidRDefault="000115E7" w:rsidP="003F23B2">
      <w:pPr>
        <w:pStyle w:val="EndnoteText"/>
        <w:rPr>
          <w:rStyle w:val="EndnoteReference"/>
        </w:rPr>
      </w:pPr>
      <w:r w:rsidRPr="00955B7B">
        <w:rPr>
          <w:rStyle w:val="EndnoteReference"/>
        </w:rPr>
        <w:endnoteRef/>
      </w:r>
      <w:r w:rsidRPr="00955B7B">
        <w:rPr>
          <w:rStyle w:val="EndnoteReference"/>
        </w:rPr>
        <w:t xml:space="preserve"> </w:t>
      </w:r>
      <w:proofErr w:type="gramStart"/>
      <w:r w:rsidR="005118CE" w:rsidRPr="00955B7B">
        <w:t>Council of Australian Governments, 2010, National Disability Strategy 2010-2020,</w:t>
      </w:r>
      <w:r w:rsidR="003816FD" w:rsidRPr="00955B7B">
        <w:t xml:space="preserve"> </w:t>
      </w:r>
      <w:r w:rsidR="00636BBC" w:rsidRPr="00955B7B">
        <w:t>p</w:t>
      </w:r>
      <w:r w:rsidR="003816FD" w:rsidRPr="00955B7B">
        <w:t xml:space="preserve"> 32 (rtf version), at</w:t>
      </w:r>
      <w:r w:rsidR="005118CE" w:rsidRPr="00955B7B">
        <w:t xml:space="preserve"> </w:t>
      </w:r>
      <w:hyperlink r:id="rId13" w:anchor="1" w:history="1">
        <w:r w:rsidR="003816FD" w:rsidRPr="00955B7B">
          <w:rPr>
            <w:rStyle w:val="Hyperlink"/>
            <w:color w:val="auto"/>
            <w:u w:val="none"/>
          </w:rPr>
          <w:t>www.dss.gov.au/our-responsibilities/disability-and-carers/program-services/government-international/national-disability-strategy#1</w:t>
        </w:r>
      </w:hyperlink>
      <w:r w:rsidR="003816FD" w:rsidRPr="00955B7B">
        <w:t xml:space="preserve"> (viewed 20 April 2015)</w:t>
      </w:r>
      <w:r w:rsidRPr="00955B7B">
        <w:t>.</w:t>
      </w:r>
      <w:proofErr w:type="gramEnd"/>
    </w:p>
  </w:endnote>
  <w:endnote w:id="14">
    <w:p w:rsidR="000115E7" w:rsidRPr="00955B7B" w:rsidRDefault="000115E7">
      <w:pPr>
        <w:pStyle w:val="EndnoteText"/>
        <w:rPr>
          <w:rStyle w:val="EndnoteReference"/>
        </w:rPr>
      </w:pPr>
      <w:r w:rsidRPr="00955B7B">
        <w:rPr>
          <w:rStyle w:val="EndnoteReference"/>
        </w:rPr>
        <w:endnoteRef/>
      </w:r>
      <w:r w:rsidRPr="00955B7B">
        <w:rPr>
          <w:rStyle w:val="EndnoteReference"/>
        </w:rPr>
        <w:t xml:space="preserve"> </w:t>
      </w:r>
      <w:proofErr w:type="spellStart"/>
      <w:r w:rsidRPr="00955B7B">
        <w:t>Tibben</w:t>
      </w:r>
      <w:proofErr w:type="spellEnd"/>
      <w:r w:rsidRPr="00955B7B">
        <w:t>, W. J. and Astbrink, G. 2012, Accessible Communications: Tapping the potential in public ICT procurement policy, p</w:t>
      </w:r>
      <w:r w:rsidR="00636BBC" w:rsidRPr="00955B7B">
        <w:t xml:space="preserve"> </w:t>
      </w:r>
      <w:r w:rsidRPr="00955B7B">
        <w:t xml:space="preserve">36-47, Australian Communications </w:t>
      </w:r>
      <w:r w:rsidR="005118CE" w:rsidRPr="00955B7B">
        <w:t>Consumer Action Network, Sydney</w:t>
      </w:r>
      <w:r w:rsidRPr="00955B7B">
        <w:t>.</w:t>
      </w:r>
    </w:p>
  </w:endnote>
  <w:endnote w:id="15">
    <w:p w:rsidR="0073140A" w:rsidRPr="00955B7B" w:rsidRDefault="0073140A">
      <w:pPr>
        <w:pStyle w:val="EndnoteText"/>
        <w:rPr>
          <w:rStyle w:val="EndnoteReference"/>
        </w:rPr>
      </w:pPr>
      <w:r w:rsidRPr="00955B7B">
        <w:rPr>
          <w:rStyle w:val="EndnoteReference"/>
        </w:rPr>
        <w:endnoteRef/>
      </w:r>
      <w:r w:rsidRPr="00955B7B">
        <w:rPr>
          <w:rStyle w:val="EndnoteReference"/>
        </w:rPr>
        <w:t xml:space="preserve"> </w:t>
      </w:r>
      <w:r w:rsidRPr="00955B7B">
        <w:t>Tibben, W. J. and Astbrink, G. 2012, ‘Accessible Communications: Tapping the potential in public ICT procurement policy’, Australian Communications Consumer Action Network, Sydney.</w:t>
      </w:r>
    </w:p>
  </w:endnote>
  <w:endnote w:id="16">
    <w:p w:rsidR="00C50F18" w:rsidRPr="0068327A" w:rsidRDefault="00C50F18">
      <w:pPr>
        <w:pStyle w:val="EndnoteText"/>
      </w:pPr>
      <w:r w:rsidRPr="00955B7B">
        <w:rPr>
          <w:rStyle w:val="EndnoteReference"/>
        </w:rPr>
        <w:endnoteRef/>
      </w:r>
      <w:r w:rsidR="005118CE" w:rsidRPr="00955B7B">
        <w:t xml:space="preserve"> </w:t>
      </w:r>
      <w:proofErr w:type="gramStart"/>
      <w:r w:rsidR="005118CE" w:rsidRPr="00955B7B">
        <w:t xml:space="preserve">The </w:t>
      </w:r>
      <w:r w:rsidR="005118CE" w:rsidRPr="0068327A">
        <w:t>Rehabilitation Act of 1973 (29 USC 792)</w:t>
      </w:r>
      <w:r w:rsidR="00636BBC" w:rsidRPr="0068327A">
        <w:t>,</w:t>
      </w:r>
      <w:r w:rsidRPr="0068327A">
        <w:t xml:space="preserve"> </w:t>
      </w:r>
      <w:hyperlink r:id="rId14" w:history="1">
        <w:r w:rsidRPr="0068327A">
          <w:rPr>
            <w:rStyle w:val="Hyperlink"/>
            <w:color w:val="auto"/>
            <w:u w:val="none"/>
          </w:rPr>
          <w:t>http://www.section508.gov/section508-laws</w:t>
        </w:r>
      </w:hyperlink>
      <w:r w:rsidRPr="0068327A">
        <w:t xml:space="preserve"> </w:t>
      </w:r>
      <w:r w:rsidR="005118CE" w:rsidRPr="0068327A">
        <w:t>(viewed 7 April 2015).</w:t>
      </w:r>
      <w:proofErr w:type="gramEnd"/>
    </w:p>
  </w:endnote>
  <w:endnote w:id="17">
    <w:p w:rsidR="0073140A" w:rsidRPr="0068327A" w:rsidRDefault="0073140A">
      <w:pPr>
        <w:pStyle w:val="EndnoteText"/>
        <w:rPr>
          <w:rStyle w:val="EndnoteReference"/>
        </w:rPr>
      </w:pPr>
      <w:r w:rsidRPr="0068327A">
        <w:rPr>
          <w:rStyle w:val="EndnoteReference"/>
        </w:rPr>
        <w:endnoteRef/>
      </w:r>
      <w:r w:rsidRPr="0068327A">
        <w:rPr>
          <w:rStyle w:val="EndnoteReference"/>
        </w:rPr>
        <w:t xml:space="preserve"> </w:t>
      </w:r>
      <w:r w:rsidRPr="0068327A">
        <w:t>United States Government, 2014, ‘Section 508.gov’,</w:t>
      </w:r>
      <w:r w:rsidR="005118CE" w:rsidRPr="0068327A">
        <w:t xml:space="preserve"> at</w:t>
      </w:r>
      <w:r w:rsidRPr="0068327A">
        <w:t xml:space="preserve"> </w:t>
      </w:r>
      <w:hyperlink r:id="rId15" w:history="1">
        <w:r w:rsidRPr="0068327A">
          <w:t>http://www.section508.gov/Section-508-Of-The-Rehabilitation-Act</w:t>
        </w:r>
      </w:hyperlink>
      <w:r w:rsidR="005118CE" w:rsidRPr="0068327A">
        <w:t xml:space="preserve"> (viewed 21 October 2014)</w:t>
      </w:r>
      <w:r w:rsidRPr="0068327A">
        <w:t>.</w:t>
      </w:r>
    </w:p>
  </w:endnote>
  <w:endnote w:id="18">
    <w:p w:rsidR="00A74AF3" w:rsidRPr="0068327A" w:rsidRDefault="00A74AF3">
      <w:pPr>
        <w:pStyle w:val="EndnoteText"/>
        <w:rPr>
          <w:rStyle w:val="EndnoteReference"/>
        </w:rPr>
      </w:pPr>
      <w:r w:rsidRPr="0068327A">
        <w:rPr>
          <w:rStyle w:val="EndnoteReference"/>
        </w:rPr>
        <w:endnoteRef/>
      </w:r>
      <w:r w:rsidRPr="0068327A">
        <w:rPr>
          <w:rStyle w:val="EndnoteReference"/>
        </w:rPr>
        <w:t xml:space="preserve"> </w:t>
      </w:r>
      <w:r w:rsidRPr="0068327A">
        <w:t>Australian Human Rights Commission, 2005, ‘</w:t>
      </w:r>
      <w:proofErr w:type="spellStart"/>
      <w:r w:rsidRPr="0068327A">
        <w:t>WORKability</w:t>
      </w:r>
      <w:proofErr w:type="spellEnd"/>
      <w:r w:rsidRPr="0068327A">
        <w:t xml:space="preserve"> 2: SOLUTIONS - Final report of National Inquiry into Employment and Disability’, 9.2.7 US industry response to mandatory procurement </w:t>
      </w:r>
      <w:r w:rsidR="0068327A" w:rsidRPr="0068327A">
        <w:t xml:space="preserve">at </w:t>
      </w:r>
      <w:hyperlink r:id="rId16" w:history="1">
        <w:r w:rsidR="0068327A" w:rsidRPr="0068327A">
          <w:rPr>
            <w:rStyle w:val="Hyperlink"/>
            <w:color w:val="auto"/>
            <w:u w:val="none"/>
          </w:rPr>
          <w:t>https://www.humanrights.gov.au/publications/workability-2-chapter-9#_Toc121636383</w:t>
        </w:r>
      </w:hyperlink>
      <w:r w:rsidR="0068327A" w:rsidRPr="0068327A">
        <w:t xml:space="preserve"> (viewed 20 April 2015) </w:t>
      </w:r>
      <w:r w:rsidRPr="0068327A">
        <w:t xml:space="preserve">and Innes, Graeme AM, 2014, ‘National Press Club Address – transcript’, </w:t>
      </w:r>
      <w:hyperlink r:id="rId17" w:history="1">
        <w:r w:rsidR="0067135C" w:rsidRPr="0068327A">
          <w:rPr>
            <w:rStyle w:val="Hyperlink"/>
            <w:color w:val="auto"/>
            <w:u w:val="none"/>
          </w:rPr>
          <w:t>www.humanrights.gov.au/news/speeches/national-pres</w:t>
        </w:r>
        <w:r w:rsidR="0067135C" w:rsidRPr="0068327A">
          <w:rPr>
            <w:rStyle w:val="Hyperlink"/>
            <w:color w:val="auto"/>
            <w:u w:val="none"/>
          </w:rPr>
          <w:t>s</w:t>
        </w:r>
        <w:r w:rsidR="0067135C" w:rsidRPr="0068327A">
          <w:rPr>
            <w:rStyle w:val="Hyperlink"/>
            <w:color w:val="auto"/>
            <w:u w:val="none"/>
          </w:rPr>
          <w:t>-club-address</w:t>
        </w:r>
      </w:hyperlink>
      <w:r w:rsidR="005118CE" w:rsidRPr="0068327A">
        <w:t xml:space="preserve"> </w:t>
      </w:r>
      <w:r w:rsidR="0068327A" w:rsidRPr="0068327A">
        <w:t xml:space="preserve">at </w:t>
      </w:r>
      <w:hyperlink r:id="rId18" w:history="1">
        <w:r w:rsidR="0068327A" w:rsidRPr="0068327A">
          <w:rPr>
            <w:rStyle w:val="Hyperlink"/>
            <w:color w:val="auto"/>
            <w:u w:val="none"/>
          </w:rPr>
          <w:t>http://www.humanrights.gov.au/news/speeches/national-press-club-address</w:t>
        </w:r>
      </w:hyperlink>
      <w:r w:rsidR="0068327A" w:rsidRPr="0068327A">
        <w:t xml:space="preserve"> </w:t>
      </w:r>
      <w:r w:rsidR="005118CE" w:rsidRPr="0068327A">
        <w:t>(viewed 21 October 2014)</w:t>
      </w:r>
      <w:r w:rsidRPr="0068327A">
        <w:t>.</w:t>
      </w:r>
    </w:p>
  </w:endnote>
  <w:endnote w:id="19">
    <w:p w:rsidR="00A74AF3" w:rsidRPr="0068327A" w:rsidRDefault="00A74AF3">
      <w:pPr>
        <w:pStyle w:val="EndnoteText"/>
        <w:rPr>
          <w:rStyle w:val="EndnoteReference"/>
        </w:rPr>
      </w:pPr>
      <w:r w:rsidRPr="0068327A">
        <w:rPr>
          <w:rStyle w:val="EndnoteReference"/>
        </w:rPr>
        <w:endnoteRef/>
      </w:r>
      <w:r w:rsidRPr="0068327A">
        <w:rPr>
          <w:rStyle w:val="EndnoteReference"/>
        </w:rPr>
        <w:t xml:space="preserve"> </w:t>
      </w:r>
      <w:r w:rsidRPr="0068327A">
        <w:t>Tibben, W. J. and Astbrink, G. 2012, ‘Accessible Communications: Tapping the potential in public ICT procurement policy’, Australian Communications Consumer Action Network, Sydney</w:t>
      </w:r>
      <w:r w:rsidR="005118CE" w:rsidRPr="0068327A">
        <w:t>.</w:t>
      </w:r>
    </w:p>
  </w:endnote>
  <w:endnote w:id="20">
    <w:p w:rsidR="00424F1F" w:rsidRPr="00955B7B" w:rsidRDefault="00424F1F" w:rsidP="003F23B2">
      <w:pPr>
        <w:pStyle w:val="EndnoteText"/>
        <w:rPr>
          <w:rStyle w:val="EndnoteReference"/>
        </w:rPr>
      </w:pPr>
      <w:r w:rsidRPr="0068327A">
        <w:rPr>
          <w:rStyle w:val="EndnoteReference"/>
        </w:rPr>
        <w:endnoteRef/>
      </w:r>
      <w:r w:rsidRPr="0068327A">
        <w:rPr>
          <w:rStyle w:val="EndnoteReference"/>
        </w:rPr>
        <w:t xml:space="preserve"> </w:t>
      </w:r>
      <w:r w:rsidR="00CB6517" w:rsidRPr="0068327A">
        <w:t xml:space="preserve">Australian Communication Consumer Action Network, Public Procurement of Accessible Information and Communications Technology: the community position (2013), </w:t>
      </w:r>
      <w:r w:rsidR="001735B8" w:rsidRPr="0068327A">
        <w:t>p</w:t>
      </w:r>
      <w:r w:rsidR="00CB6517" w:rsidRPr="0068327A">
        <w:t xml:space="preserve"> 6, at </w:t>
      </w:r>
      <w:hyperlink r:id="rId19" w:history="1">
        <w:r w:rsidR="00CB6517" w:rsidRPr="0068327A">
          <w:t>https://www.accan.org.au/our-work/policy/627-position-statement-ict-procurement</w:t>
        </w:r>
      </w:hyperlink>
      <w:r w:rsidR="00CB6517" w:rsidRPr="00955B7B">
        <w:t xml:space="preserve"> (viewed 21 October 2014);</w:t>
      </w:r>
      <w:r w:rsidR="00180C80" w:rsidRPr="00955B7B">
        <w:t xml:space="preserve"> </w:t>
      </w:r>
      <w:r w:rsidR="00CB6517" w:rsidRPr="00955B7B">
        <w:t xml:space="preserve">Vision Australia, Access to Equipment Public Policy (2013), </w:t>
      </w:r>
      <w:r w:rsidR="001735B8" w:rsidRPr="00955B7B">
        <w:t xml:space="preserve">p </w:t>
      </w:r>
      <w:r w:rsidR="00CB6517" w:rsidRPr="00955B7B">
        <w:t xml:space="preserve">4, at </w:t>
      </w:r>
      <w:hyperlink r:id="rId20" w:history="1">
        <w:r w:rsidR="0067135C" w:rsidRPr="00955B7B">
          <w:rPr>
            <w:rStyle w:val="Hyperlink"/>
            <w:color w:val="auto"/>
            <w:u w:val="none"/>
          </w:rPr>
          <w:t>www.visionaustralia.org/about-us/public-policy</w:t>
        </w:r>
      </w:hyperlink>
      <w:r w:rsidR="00CB6517" w:rsidRPr="00955B7B">
        <w:t xml:space="preserve"> (viewed 21 October 2014).</w:t>
      </w:r>
    </w:p>
  </w:endnote>
  <w:endnote w:id="21">
    <w:p w:rsidR="00180C80" w:rsidRPr="00955B7B" w:rsidRDefault="00180C80">
      <w:pPr>
        <w:pStyle w:val="EndnoteText"/>
        <w:rPr>
          <w:rStyle w:val="EndnoteReference"/>
        </w:rPr>
      </w:pPr>
      <w:r w:rsidRPr="00955B7B">
        <w:rPr>
          <w:rStyle w:val="EndnoteReference"/>
        </w:rPr>
        <w:endnoteRef/>
      </w:r>
      <w:r w:rsidRPr="00955B7B">
        <w:rPr>
          <w:rStyle w:val="EndnoteReference"/>
        </w:rPr>
        <w:t xml:space="preserve"> </w:t>
      </w:r>
      <w:proofErr w:type="gramStart"/>
      <w:r w:rsidRPr="00955B7B">
        <w:t xml:space="preserve">Commonwealth of Australia, 2012, ‘Australian Public Service Information and Communications Strategy’ (Word version), </w:t>
      </w:r>
      <w:r w:rsidR="001735B8" w:rsidRPr="00955B7B">
        <w:t xml:space="preserve">p </w:t>
      </w:r>
      <w:r w:rsidRPr="00955B7B">
        <w:t>11</w:t>
      </w:r>
      <w:r w:rsidR="001735B8" w:rsidRPr="00955B7B">
        <w:t>,</w:t>
      </w:r>
      <w:r w:rsidR="00C1043A" w:rsidRPr="00955B7B">
        <w:t xml:space="preserve"> at </w:t>
      </w:r>
      <w:hyperlink r:id="rId21" w:history="1">
        <w:r w:rsidR="00C1043A" w:rsidRPr="00955B7B">
          <w:rPr>
            <w:rStyle w:val="Hyperlink"/>
            <w:color w:val="auto"/>
            <w:u w:val="none"/>
          </w:rPr>
          <w:t>www.finance.gov.au/publications/ict_strategy_2012_2015</w:t>
        </w:r>
      </w:hyperlink>
      <w:r w:rsidR="00C1043A" w:rsidRPr="00955B7B">
        <w:t xml:space="preserve"> (viewed 21 October 2014</w:t>
      </w:r>
      <w:r w:rsidRPr="00955B7B">
        <w:t>).</w:t>
      </w:r>
      <w:proofErr w:type="gramEnd"/>
    </w:p>
  </w:endnote>
  <w:endnote w:id="22">
    <w:p w:rsidR="00180C80" w:rsidRPr="00955B7B" w:rsidRDefault="00180C80">
      <w:pPr>
        <w:pStyle w:val="EndnoteText"/>
        <w:rPr>
          <w:rStyle w:val="EndnoteReference"/>
        </w:rPr>
      </w:pPr>
      <w:r w:rsidRPr="00955B7B">
        <w:rPr>
          <w:rStyle w:val="EndnoteReference"/>
        </w:rPr>
        <w:endnoteRef/>
      </w:r>
      <w:r w:rsidRPr="00955B7B">
        <w:rPr>
          <w:rStyle w:val="EndnoteReference"/>
        </w:rPr>
        <w:t xml:space="preserve"> </w:t>
      </w:r>
      <w:proofErr w:type="gramStart"/>
      <w:r w:rsidR="00C50F18" w:rsidRPr="00955B7B">
        <w:t>Australian Government Department of Finance, 2010, ‘Web Accessibility National Transition Strategy’ - The Australian Government’s adoption and implementation of Web Content Accessibility Guidelines version 2.0 (WCAG 2.0)</w:t>
      </w:r>
      <w:r w:rsidRPr="00955B7B">
        <w:t xml:space="preserve">, </w:t>
      </w:r>
      <w:r w:rsidR="005118CE" w:rsidRPr="00955B7B">
        <w:t xml:space="preserve">at </w:t>
      </w:r>
      <w:hyperlink r:id="rId22" w:history="1">
        <w:r w:rsidR="005118CE" w:rsidRPr="00955B7B">
          <w:t>http://www.finance.gov.au/publications/wcag-2-implementation</w:t>
        </w:r>
      </w:hyperlink>
      <w:r w:rsidR="005118CE" w:rsidRPr="00955B7B">
        <w:t xml:space="preserve"> (viewed 21 October 2014).</w:t>
      </w:r>
      <w:proofErr w:type="gramEnd"/>
      <w:r w:rsidR="005118CE" w:rsidRPr="00955B7B">
        <w:t xml:space="preserve"> </w:t>
      </w:r>
    </w:p>
  </w:endnote>
  <w:endnote w:id="23">
    <w:p w:rsidR="00955940" w:rsidRPr="00955B7B" w:rsidRDefault="00955940">
      <w:pPr>
        <w:pStyle w:val="EndnoteText"/>
        <w:rPr>
          <w:rStyle w:val="EndnoteReference"/>
        </w:rPr>
      </w:pPr>
      <w:r w:rsidRPr="00955B7B">
        <w:rPr>
          <w:rStyle w:val="EndnoteReference"/>
        </w:rPr>
        <w:endnoteRef/>
      </w:r>
      <w:r w:rsidRPr="00955B7B">
        <w:rPr>
          <w:rStyle w:val="EndnoteReference"/>
        </w:rPr>
        <w:t xml:space="preserve"> </w:t>
      </w:r>
      <w:r w:rsidRPr="00955B7B">
        <w:t>Australian Government Department of Finance and Deregulation, 2013, ‘Accessibility for Web related ICT Procurements: Specifying Accessibility requirements in Procurement documentat</w:t>
      </w:r>
      <w:r w:rsidR="005118CE" w:rsidRPr="00955B7B">
        <w:t>ion’</w:t>
      </w:r>
      <w:r w:rsidR="001735B8" w:rsidRPr="00955B7B">
        <w:t>,</w:t>
      </w:r>
      <w:r w:rsidR="00C1043A" w:rsidRPr="00955B7B">
        <w:t xml:space="preserve"> at </w:t>
      </w:r>
      <w:hyperlink r:id="rId23" w:history="1">
        <w:r w:rsidR="00C1043A" w:rsidRPr="00955B7B">
          <w:t>http://webguide.gov.au/accessibility-usability/accessibility/procurement-and-accessibility</w:t>
        </w:r>
      </w:hyperlink>
      <w:r w:rsidR="00C1043A" w:rsidRPr="00955B7B">
        <w:t xml:space="preserve"> (viewed 21 October 2014).</w:t>
      </w:r>
    </w:p>
  </w:endnote>
  <w:endnote w:id="24">
    <w:p w:rsidR="00955940" w:rsidRPr="00955B7B" w:rsidRDefault="00955940">
      <w:pPr>
        <w:pStyle w:val="EndnoteText"/>
        <w:rPr>
          <w:rStyle w:val="EndnoteReference"/>
        </w:rPr>
      </w:pPr>
      <w:r w:rsidRPr="00955B7B">
        <w:rPr>
          <w:rStyle w:val="EndnoteReference"/>
        </w:rPr>
        <w:endnoteRef/>
      </w:r>
      <w:r w:rsidRPr="00955B7B">
        <w:rPr>
          <w:rStyle w:val="EndnoteReference"/>
        </w:rPr>
        <w:t xml:space="preserve"> </w:t>
      </w:r>
      <w:r w:rsidRPr="00955B7B">
        <w:t xml:space="preserve">Australian Public Service Commission, 2015, ‘ICT Accessibility Round Table’, </w:t>
      </w:r>
      <w:r w:rsidR="005118CE" w:rsidRPr="00955B7B">
        <w:t xml:space="preserve">at </w:t>
      </w:r>
      <w:hyperlink r:id="rId24" w:history="1">
        <w:r w:rsidR="005118CE" w:rsidRPr="00955B7B">
          <w:rPr>
            <w:rStyle w:val="Hyperlink"/>
            <w:color w:val="auto"/>
            <w:u w:val="none"/>
          </w:rPr>
          <w:t>www.apsc.gov.au/ disability/diversity-council/</w:t>
        </w:r>
        <w:proofErr w:type="spellStart"/>
        <w:r w:rsidR="005118CE" w:rsidRPr="00955B7B">
          <w:rPr>
            <w:rStyle w:val="Hyperlink"/>
            <w:color w:val="auto"/>
            <w:u w:val="none"/>
          </w:rPr>
          <w:t>ict</w:t>
        </w:r>
        <w:proofErr w:type="spellEnd"/>
        <w:r w:rsidR="005118CE" w:rsidRPr="00955B7B">
          <w:rPr>
            <w:rStyle w:val="Hyperlink"/>
            <w:color w:val="auto"/>
            <w:u w:val="none"/>
          </w:rPr>
          <w:t>-accessibility-roundtable</w:t>
        </w:r>
      </w:hyperlink>
      <w:r w:rsidR="005118CE" w:rsidRPr="00955B7B">
        <w:t xml:space="preserve"> (viewed 30 March 2015)</w:t>
      </w:r>
      <w:r w:rsidRPr="00955B7B">
        <w:t>.</w:t>
      </w:r>
    </w:p>
  </w:endnote>
  <w:endnote w:id="25">
    <w:p w:rsidR="00E0344E" w:rsidRPr="00955B7B" w:rsidRDefault="00E0344E" w:rsidP="003F23B2">
      <w:pPr>
        <w:pStyle w:val="EndnoteText"/>
        <w:rPr>
          <w:rStyle w:val="EndnoteReference"/>
        </w:rPr>
      </w:pPr>
      <w:r w:rsidRPr="00955B7B">
        <w:rPr>
          <w:rStyle w:val="EndnoteReference"/>
        </w:rPr>
        <w:endnoteRef/>
      </w:r>
      <w:r w:rsidRPr="00955B7B">
        <w:rPr>
          <w:rStyle w:val="EndnoteReference"/>
        </w:rPr>
        <w:t xml:space="preserve"> </w:t>
      </w:r>
      <w:proofErr w:type="gramStart"/>
      <w:r w:rsidRPr="00955B7B">
        <w:t xml:space="preserve">ICT Accessibility Roundtable – an initiative of the APS Diversity Council, 2014, ‘Report on the benefits and opportunities for APS agencies of accessible and inclusive information and communication technology’ (Word version), Version 1.1’, </w:t>
      </w:r>
      <w:r w:rsidR="007D4747" w:rsidRPr="00955B7B">
        <w:t xml:space="preserve">p </w:t>
      </w:r>
      <w:r w:rsidRPr="00955B7B">
        <w:t>7).</w:t>
      </w:r>
      <w:proofErr w:type="gramEnd"/>
    </w:p>
  </w:endnote>
  <w:endnote w:id="26">
    <w:p w:rsidR="00C00C60" w:rsidRPr="00955B7B" w:rsidRDefault="00C00C60">
      <w:pPr>
        <w:pStyle w:val="EndnoteText"/>
        <w:rPr>
          <w:rStyle w:val="EndnoteReference"/>
        </w:rPr>
      </w:pPr>
      <w:r w:rsidRPr="00955B7B">
        <w:rPr>
          <w:rStyle w:val="EndnoteReference"/>
        </w:rPr>
        <w:endnoteRef/>
      </w:r>
      <w:r w:rsidRPr="00955B7B">
        <w:rPr>
          <w:rStyle w:val="EndnoteReference"/>
        </w:rPr>
        <w:t xml:space="preserve"> </w:t>
      </w:r>
      <w:r w:rsidRPr="00955B7B">
        <w:t>Australian Government Department of Finance, 2014, ICT Hardware and Associated Services Panel, ‘Part F</w:t>
      </w:r>
      <w:r w:rsidR="003C248D" w:rsidRPr="00955B7B">
        <w:t xml:space="preserve">: Statement of Requirement’, </w:t>
      </w:r>
      <w:r w:rsidR="001735B8" w:rsidRPr="00955B7B">
        <w:t xml:space="preserve">p </w:t>
      </w:r>
      <w:r w:rsidR="003C248D" w:rsidRPr="00955B7B">
        <w:t>9</w:t>
      </w:r>
      <w:r w:rsidR="001735B8" w:rsidRPr="00955B7B">
        <w:t>,</w:t>
      </w:r>
      <w:r w:rsidR="000A4988" w:rsidRPr="00955B7B">
        <w:t xml:space="preserve"> at </w:t>
      </w:r>
      <w:hyperlink r:id="rId25" w:history="1">
        <w:r w:rsidR="000A4988" w:rsidRPr="00955B7B">
          <w:rPr>
            <w:rStyle w:val="Hyperlink"/>
            <w:color w:val="auto"/>
            <w:u w:val="none"/>
          </w:rPr>
          <w:t>http://www.finance.gov.au/blog/2014/12/10/ict-hardware-and-associated-services-panel</w:t>
        </w:r>
      </w:hyperlink>
      <w:r w:rsidR="000A4988" w:rsidRPr="00955B7B">
        <w:t xml:space="preserve"> </w:t>
      </w:r>
      <w:r w:rsidR="003816FD" w:rsidRPr="00955B7B">
        <w:t>(viewed 20 April 2015)</w:t>
      </w:r>
      <w:r w:rsidR="000A4988" w:rsidRPr="00955B7B">
        <w:t>.</w:t>
      </w:r>
    </w:p>
  </w:endnote>
  <w:endnote w:id="27">
    <w:p w:rsidR="00E0344E" w:rsidRPr="00955B7B" w:rsidRDefault="00E0344E" w:rsidP="003F23B2">
      <w:pPr>
        <w:pStyle w:val="EndnoteText"/>
        <w:rPr>
          <w:rStyle w:val="EndnoteReference"/>
        </w:rPr>
      </w:pPr>
      <w:r w:rsidRPr="00955B7B">
        <w:rPr>
          <w:rStyle w:val="EndnoteReference"/>
        </w:rPr>
        <w:endnoteRef/>
      </w:r>
      <w:r w:rsidR="003C248D" w:rsidRPr="00955B7B">
        <w:rPr>
          <w:rStyle w:val="EndnoteReference"/>
        </w:rPr>
        <w:t xml:space="preserve"> </w:t>
      </w:r>
      <w:r w:rsidRPr="00955B7B">
        <w:t xml:space="preserve">Turnbull, Malcolm </w:t>
      </w:r>
      <w:proofErr w:type="gramStart"/>
      <w:r w:rsidRPr="00955B7B">
        <w:t>MP.,</w:t>
      </w:r>
      <w:proofErr w:type="gramEnd"/>
      <w:r w:rsidRPr="00955B7B">
        <w:t xml:space="preserve"> 2015, ‘FAQs: The Digital Transformation Office’, </w:t>
      </w:r>
      <w:r w:rsidR="003C248D" w:rsidRPr="00955B7B">
        <w:t xml:space="preserve">at </w:t>
      </w:r>
      <w:hyperlink r:id="rId26" w:anchor="AGIMO" w:history="1">
        <w:r w:rsidR="0067135C" w:rsidRPr="00955B7B">
          <w:rPr>
            <w:rStyle w:val="Hyperlink"/>
            <w:color w:val="auto"/>
            <w:u w:val="none"/>
          </w:rPr>
          <w:t>www.malcolmturnbull.com.au/policy-faqs/faqs-the-digital-transformation-office#AGIMO</w:t>
        </w:r>
      </w:hyperlink>
      <w:r w:rsidR="003C248D" w:rsidRPr="00955B7B">
        <w:t xml:space="preserve"> (viewed </w:t>
      </w:r>
      <w:r w:rsidRPr="00955B7B">
        <w:t>26 March 2015</w:t>
      </w:r>
      <w:r w:rsidR="003C248D" w:rsidRPr="00955B7B">
        <w:t>)</w:t>
      </w:r>
      <w:r w:rsidR="0067135C" w:rsidRPr="00955B7B">
        <w:t>.</w:t>
      </w:r>
      <w:r w:rsidRPr="00955B7B">
        <w:t xml:space="preserve"> </w:t>
      </w:r>
    </w:p>
  </w:endnote>
  <w:endnote w:id="28">
    <w:p w:rsidR="0014298F" w:rsidRPr="00955B7B" w:rsidRDefault="0014298F">
      <w:pPr>
        <w:pStyle w:val="EndnoteText"/>
        <w:rPr>
          <w:rStyle w:val="EndnoteReference"/>
        </w:rPr>
      </w:pPr>
      <w:r w:rsidRPr="00955B7B">
        <w:rPr>
          <w:rStyle w:val="EndnoteReference"/>
        </w:rPr>
        <w:endnoteRef/>
      </w:r>
      <w:r w:rsidR="003C248D" w:rsidRPr="00955B7B">
        <w:rPr>
          <w:rStyle w:val="EndnoteReference"/>
        </w:rPr>
        <w:t xml:space="preserve"> </w:t>
      </w:r>
      <w:r w:rsidRPr="00955B7B">
        <w:t>Australian Public Service Commission, Australian Public Service Commission website, As One: Australian Public Service Disability Employment Strategy,</w:t>
      </w:r>
      <w:r w:rsidR="003C248D" w:rsidRPr="00955B7B">
        <w:t xml:space="preserve"> at </w:t>
      </w:r>
      <w:hyperlink r:id="rId27" w:history="1">
        <w:r w:rsidR="003C248D" w:rsidRPr="00955B7B">
          <w:rPr>
            <w:rStyle w:val="Hyperlink"/>
            <w:color w:val="auto"/>
            <w:u w:val="none"/>
          </w:rPr>
          <w:t>www.apsc.gov.au/publications-and-media/current-publications/as-one</w:t>
        </w:r>
      </w:hyperlink>
      <w:r w:rsidR="003C248D" w:rsidRPr="00955B7B">
        <w:t xml:space="preserve"> (viewed 5 November 2014).</w:t>
      </w:r>
    </w:p>
  </w:endnote>
  <w:endnote w:id="29">
    <w:p w:rsidR="0014298F" w:rsidRPr="00955B7B" w:rsidRDefault="0014298F">
      <w:pPr>
        <w:pStyle w:val="EndnoteText"/>
        <w:rPr>
          <w:rStyle w:val="EndnoteReference"/>
        </w:rPr>
      </w:pPr>
      <w:r w:rsidRPr="00955B7B">
        <w:rPr>
          <w:rStyle w:val="EndnoteReference"/>
        </w:rPr>
        <w:endnoteRef/>
      </w:r>
      <w:r w:rsidRPr="00955B7B">
        <w:rPr>
          <w:rStyle w:val="EndnoteReference"/>
        </w:rPr>
        <w:t xml:space="preserve"> </w:t>
      </w:r>
      <w:r w:rsidRPr="00955B7B">
        <w:t>Australian Public Service Commission, Australian Public Service Commission website, RecruitAbility,</w:t>
      </w:r>
      <w:r w:rsidR="003C248D" w:rsidRPr="00955B7B">
        <w:t xml:space="preserve"> at</w:t>
      </w:r>
      <w:hyperlink w:history="1">
        <w:r w:rsidR="003C248D" w:rsidRPr="00955B7B">
          <w:rPr>
            <w:rStyle w:val="Hyperlink"/>
            <w:color w:val="auto"/>
            <w:u w:val="none"/>
          </w:rPr>
          <w:t xml:space="preserve"> www.apsc.gov.au/disability/recruitability</w:t>
        </w:r>
      </w:hyperlink>
      <w:r w:rsidRPr="00955B7B">
        <w:t xml:space="preserve"> </w:t>
      </w:r>
      <w:r w:rsidR="003C248D" w:rsidRPr="00955B7B">
        <w:t>(viewed</w:t>
      </w:r>
      <w:r w:rsidRPr="00955B7B">
        <w:t xml:space="preserve"> 4 November 2014</w:t>
      </w:r>
      <w:r w:rsidR="003C248D" w:rsidRPr="00955B7B">
        <w:t>).</w:t>
      </w:r>
    </w:p>
  </w:endnote>
  <w:endnote w:id="30">
    <w:p w:rsidR="0014298F" w:rsidRPr="00955B7B" w:rsidRDefault="0014298F">
      <w:pPr>
        <w:pStyle w:val="EndnoteText"/>
      </w:pPr>
      <w:r w:rsidRPr="00955B7B">
        <w:rPr>
          <w:rStyle w:val="EndnoteReference"/>
        </w:rPr>
        <w:endnoteRef/>
      </w:r>
      <w:r w:rsidR="003C248D" w:rsidRPr="00955B7B">
        <w:rPr>
          <w:rStyle w:val="EndnoteReference"/>
        </w:rPr>
        <w:t xml:space="preserve"> </w:t>
      </w:r>
      <w:r w:rsidRPr="00955B7B">
        <w:t xml:space="preserve">Commonwealth of Australia, APS Diversity Council webpage, </w:t>
      </w:r>
      <w:r w:rsidR="003C248D" w:rsidRPr="00955B7B">
        <w:t xml:space="preserve">at </w:t>
      </w:r>
      <w:hyperlink w:history="1">
        <w:r w:rsidR="003C248D" w:rsidRPr="00955B7B">
          <w:rPr>
            <w:rStyle w:val="Hyperlink"/>
            <w:color w:val="auto"/>
            <w:u w:val="none"/>
          </w:rPr>
          <w:t>www.apsc.gov.au /disability/diversity-council</w:t>
        </w:r>
      </w:hyperlink>
      <w:r w:rsidR="003C248D" w:rsidRPr="00955B7B">
        <w:t xml:space="preserve"> (viewed 21 October 2014).</w:t>
      </w:r>
    </w:p>
  </w:endnote>
  <w:endnote w:id="31">
    <w:p w:rsidR="0014298F" w:rsidRPr="00955B7B" w:rsidRDefault="0014298F">
      <w:pPr>
        <w:pStyle w:val="EndnoteText"/>
        <w:rPr>
          <w:rStyle w:val="EndnoteReference"/>
        </w:rPr>
      </w:pPr>
      <w:r w:rsidRPr="00955B7B">
        <w:rPr>
          <w:rStyle w:val="EndnoteReference"/>
        </w:rPr>
        <w:endnoteRef/>
      </w:r>
      <w:r w:rsidRPr="00955B7B">
        <w:rPr>
          <w:rStyle w:val="EndnoteReference"/>
        </w:rPr>
        <w:t xml:space="preserve"> </w:t>
      </w:r>
      <w:r w:rsidRPr="00955B7B">
        <w:t>Australian Public Service Commission, 2014, ‘</w:t>
      </w:r>
      <w:r w:rsidR="003C248D" w:rsidRPr="00955B7B">
        <w:t xml:space="preserve">Leading the Way Video Series’, at www.apsc.gov.au/disability/as-one/leading-the-way (viewed 21 October 2014). </w:t>
      </w:r>
    </w:p>
  </w:endnote>
  <w:endnote w:id="32">
    <w:p w:rsidR="0014298F" w:rsidRPr="00955B7B" w:rsidRDefault="0014298F">
      <w:pPr>
        <w:pStyle w:val="EndnoteText"/>
        <w:rPr>
          <w:rStyle w:val="EndnoteReference"/>
        </w:rPr>
      </w:pPr>
      <w:r w:rsidRPr="00955B7B">
        <w:rPr>
          <w:rStyle w:val="EndnoteReference"/>
        </w:rPr>
        <w:endnoteRef/>
      </w:r>
      <w:r w:rsidR="003C248D" w:rsidRPr="00955B7B">
        <w:rPr>
          <w:rStyle w:val="EndnoteReference"/>
        </w:rPr>
        <w:t xml:space="preserve"> </w:t>
      </w:r>
      <w:r w:rsidRPr="00955B7B">
        <w:t>Australian Human Rights Commission, 2005 ‘WORKability II’ - Final report of the National Inquiry into Employment and Disabi</w:t>
      </w:r>
      <w:r w:rsidR="003C248D" w:rsidRPr="00955B7B">
        <w:t xml:space="preserve">lity, </w:t>
      </w:r>
      <w:r w:rsidR="001735B8" w:rsidRPr="00955B7B">
        <w:t xml:space="preserve">at </w:t>
      </w:r>
      <w:hyperlink r:id="rId28" w:history="1">
        <w:r w:rsidR="003C248D" w:rsidRPr="00955B7B">
          <w:rPr>
            <w:rStyle w:val="Hyperlink"/>
            <w:color w:val="auto"/>
            <w:u w:val="none"/>
          </w:rPr>
          <w:t>www.humanrights.gov.au/publications/workability-2-table-contents</w:t>
        </w:r>
      </w:hyperlink>
      <w:r w:rsidR="003C248D" w:rsidRPr="00955B7B">
        <w:t xml:space="preserve"> (viewed 21 October 2014)</w:t>
      </w:r>
      <w:r w:rsidRPr="00955B7B">
        <w:t>.</w:t>
      </w:r>
    </w:p>
  </w:endnote>
  <w:endnote w:id="33">
    <w:p w:rsidR="0014298F" w:rsidRPr="00955B7B" w:rsidRDefault="0014298F" w:rsidP="003F23B2">
      <w:pPr>
        <w:pStyle w:val="EndnoteText"/>
        <w:rPr>
          <w:rStyle w:val="EndnoteReference"/>
        </w:rPr>
      </w:pPr>
      <w:r w:rsidRPr="00955B7B">
        <w:rPr>
          <w:rStyle w:val="EndnoteReference"/>
        </w:rPr>
        <w:endnoteRef/>
      </w:r>
      <w:r w:rsidR="003C248D" w:rsidRPr="00955B7B">
        <w:rPr>
          <w:rStyle w:val="EndnoteReference"/>
        </w:rPr>
        <w:t xml:space="preserve"> </w:t>
      </w:r>
      <w:r w:rsidRPr="00955B7B">
        <w:t>Commonwealth of Australia, 2015, ‘A New System for Better Employment and Social Outcomes’ – Final Report of the Reference Group on Welfare Reform to the Mini</w:t>
      </w:r>
      <w:r w:rsidR="00C1043A" w:rsidRPr="00955B7B">
        <w:t xml:space="preserve">ster for Social Services’, </w:t>
      </w:r>
      <w:r w:rsidR="001735B8" w:rsidRPr="00955B7B">
        <w:t xml:space="preserve">p </w:t>
      </w:r>
      <w:r w:rsidR="00C1043A" w:rsidRPr="00955B7B">
        <w:t>35</w:t>
      </w:r>
      <w:r w:rsidR="001735B8" w:rsidRPr="00955B7B">
        <w:t>,</w:t>
      </w:r>
      <w:r w:rsidR="00C1043A" w:rsidRPr="00955B7B">
        <w:t xml:space="preserve"> at </w:t>
      </w:r>
      <w:hyperlink r:id="rId29" w:history="1">
        <w:r w:rsidR="00C1043A" w:rsidRPr="00955B7B">
          <w:rPr>
            <w:rStyle w:val="Hyperlink"/>
            <w:color w:val="auto"/>
            <w:u w:val="none"/>
          </w:rPr>
          <w:t>https://www.dss.gov.au/our-responsibilities/review-of-australias-welfar</w:t>
        </w:r>
        <w:bookmarkStart w:id="14" w:name="_GoBack"/>
        <w:bookmarkEnd w:id="14"/>
        <w:r w:rsidR="00C1043A" w:rsidRPr="00955B7B">
          <w:rPr>
            <w:rStyle w:val="Hyperlink"/>
            <w:color w:val="auto"/>
            <w:u w:val="none"/>
          </w:rPr>
          <w:t>e-system</w:t>
        </w:r>
      </w:hyperlink>
      <w:r w:rsidR="00C1043A" w:rsidRPr="00955B7B">
        <w:t xml:space="preserve"> (viewed 27 March 2015). </w:t>
      </w:r>
    </w:p>
  </w:endnote>
  <w:endnote w:id="34">
    <w:p w:rsidR="0014298F" w:rsidRPr="00955B7B" w:rsidRDefault="0014298F">
      <w:pPr>
        <w:pStyle w:val="EndnoteText"/>
        <w:rPr>
          <w:rStyle w:val="EndnoteReference"/>
        </w:rPr>
      </w:pPr>
      <w:r w:rsidRPr="00955B7B">
        <w:rPr>
          <w:rStyle w:val="EndnoteReference"/>
        </w:rPr>
        <w:endnoteRef/>
      </w:r>
      <w:r w:rsidR="003C248D" w:rsidRPr="00955B7B">
        <w:rPr>
          <w:rStyle w:val="EndnoteReference"/>
        </w:rPr>
        <w:t xml:space="preserve"> </w:t>
      </w:r>
      <w:r w:rsidRPr="00955B7B">
        <w:t xml:space="preserve">United States Government, Be Accessible, ‘Resources for understanding and implementing Section 508, </w:t>
      </w:r>
      <w:r w:rsidR="003C248D" w:rsidRPr="00955B7B">
        <w:t xml:space="preserve">at </w:t>
      </w:r>
      <w:hyperlink r:id="rId30" w:history="1">
        <w:r w:rsidRPr="00955B7B">
          <w:t>http://www.section508.gov/beaccessible</w:t>
        </w:r>
      </w:hyperlink>
      <w:r w:rsidR="003C248D" w:rsidRPr="00955B7B">
        <w:t xml:space="preserve"> (viewed 26 March 2015).</w:t>
      </w:r>
    </w:p>
  </w:endnote>
  <w:endnote w:id="35">
    <w:p w:rsidR="005A699C" w:rsidRPr="00955B7B" w:rsidRDefault="005A699C">
      <w:pPr>
        <w:pStyle w:val="EndnoteText"/>
      </w:pPr>
      <w:r w:rsidRPr="00955B7B">
        <w:rPr>
          <w:rStyle w:val="EndnoteReference"/>
        </w:rPr>
        <w:endnoteRef/>
      </w:r>
      <w:r w:rsidRPr="00955B7B">
        <w:t xml:space="preserve"> European Standards Body, E-accessibility toolkit at </w:t>
      </w:r>
      <w:hyperlink r:id="rId31" w:history="1">
        <w:r w:rsidRPr="00955B7B">
          <w:t>http://www.e-accessibilitytoolkit.org/toolkit/policy_guides/publicprocurement</w:t>
        </w:r>
      </w:hyperlink>
      <w:r w:rsidRPr="00955B7B">
        <w:t xml:space="preserve"> </w:t>
      </w:r>
      <w:proofErr w:type="gramStart"/>
      <w:r w:rsidRPr="00955B7B">
        <w:t>The</w:t>
      </w:r>
      <w:proofErr w:type="gramEnd"/>
      <w:r w:rsidRPr="00955B7B">
        <w:t xml:space="preserve"> online tool kit developed by European standards bodies CEN/CENELEC/ETSI (viewed 26 March 2015).</w:t>
      </w:r>
    </w:p>
  </w:endnote>
  <w:endnote w:id="36">
    <w:p w:rsidR="00F421AE" w:rsidRPr="00955B7B" w:rsidRDefault="00F421AE">
      <w:pPr>
        <w:pStyle w:val="EndnoteText"/>
        <w:rPr>
          <w:rStyle w:val="EndnoteReference"/>
        </w:rPr>
      </w:pPr>
      <w:r w:rsidRPr="00955B7B">
        <w:rPr>
          <w:rStyle w:val="EndnoteReference"/>
        </w:rPr>
        <w:endnoteRef/>
      </w:r>
      <w:r w:rsidRPr="00955B7B">
        <w:rPr>
          <w:rStyle w:val="EndnoteReference"/>
        </w:rPr>
        <w:t xml:space="preserve"> </w:t>
      </w:r>
      <w:r w:rsidR="005A699C" w:rsidRPr="00955B7B">
        <w:t xml:space="preserve">European Union, </w:t>
      </w:r>
      <w:r w:rsidRPr="00955B7B">
        <w:t xml:space="preserve">“Managing accessibility in the public procurement of ICT” </w:t>
      </w:r>
      <w:r w:rsidR="005A699C" w:rsidRPr="00955B7B">
        <w:t xml:space="preserve">at </w:t>
      </w:r>
      <w:hyperlink r:id="rId32" w:history="1">
        <w:r w:rsidR="003C248D" w:rsidRPr="00955B7B">
          <w:rPr>
            <w:rStyle w:val="Hyperlink"/>
            <w:color w:val="auto"/>
            <w:u w:val="none"/>
          </w:rPr>
          <w:t>http://mandate376.standards.eu</w:t>
        </w:r>
      </w:hyperlink>
      <w:r w:rsidR="0037097A" w:rsidRPr="00955B7B">
        <w:t xml:space="preserve"> (viewed 26 March 2015).</w:t>
      </w:r>
    </w:p>
  </w:endnote>
  <w:endnote w:id="37">
    <w:p w:rsidR="00C96D1C" w:rsidRPr="00955B7B" w:rsidRDefault="00C96D1C">
      <w:pPr>
        <w:pStyle w:val="EndnoteText"/>
        <w:rPr>
          <w:rStyle w:val="EndnoteReference"/>
        </w:rPr>
      </w:pPr>
      <w:r w:rsidRPr="00955B7B">
        <w:rPr>
          <w:rStyle w:val="EndnoteReference"/>
        </w:rPr>
        <w:endnoteRef/>
      </w:r>
      <w:r w:rsidRPr="00955B7B">
        <w:rPr>
          <w:rStyle w:val="EndnoteReference"/>
        </w:rPr>
        <w:t xml:space="preserve"> </w:t>
      </w:r>
      <w:r w:rsidRPr="00955B7B">
        <w:t>Farmer, J. 2014, ‘A workforce accessible to all is not j</w:t>
      </w:r>
      <w:r w:rsidR="0037097A" w:rsidRPr="00955B7B">
        <w:t xml:space="preserve">ust right, it’s good business, at </w:t>
      </w:r>
      <w:hyperlink r:id="rId33" w:history="1">
        <w:r w:rsidR="00F47078" w:rsidRPr="00955B7B">
          <w:rPr>
            <w:rStyle w:val="Hyperlink"/>
            <w:color w:val="auto"/>
            <w:u w:val="none"/>
          </w:rPr>
          <w:t>https://bluenotes.anz.com/posts/2014/06/a-workforce-accessible-to-all-is-not-just-right,-its-good-business</w:t>
        </w:r>
      </w:hyperlink>
      <w:r w:rsidR="0037097A" w:rsidRPr="00955B7B">
        <w:t xml:space="preserve"> (viewed 13 November 2014).</w:t>
      </w:r>
    </w:p>
  </w:endnote>
  <w:endnote w:id="38">
    <w:p w:rsidR="00C96D1C" w:rsidRPr="00955B7B" w:rsidRDefault="00C96D1C">
      <w:pPr>
        <w:pStyle w:val="EndnoteText"/>
        <w:rPr>
          <w:rStyle w:val="EndnoteReference"/>
        </w:rPr>
      </w:pPr>
      <w:r w:rsidRPr="00955B7B">
        <w:rPr>
          <w:rStyle w:val="EndnoteReference"/>
        </w:rPr>
        <w:endnoteRef/>
      </w:r>
      <w:r w:rsidRPr="00955B7B">
        <w:rPr>
          <w:rStyle w:val="EndnoteReference"/>
        </w:rPr>
        <w:t xml:space="preserve"> </w:t>
      </w:r>
      <w:proofErr w:type="gramStart"/>
      <w:r w:rsidRPr="00955B7B">
        <w:t>ANZ</w:t>
      </w:r>
      <w:r w:rsidR="005A699C" w:rsidRPr="00955B7B">
        <w:t xml:space="preserve"> Banking Group</w:t>
      </w:r>
      <w:r w:rsidRPr="00955B7B">
        <w:t xml:space="preserve">, 2012, ‘Accessibility and Inclusion Plan 2012-2015’, </w:t>
      </w:r>
      <w:r w:rsidR="0037097A" w:rsidRPr="00955B7B">
        <w:t>p</w:t>
      </w:r>
      <w:r w:rsidR="001735B8" w:rsidRPr="00955B7B">
        <w:t xml:space="preserve"> </w:t>
      </w:r>
      <w:r w:rsidR="0037097A" w:rsidRPr="00955B7B">
        <w:t>44</w:t>
      </w:r>
      <w:r w:rsidR="001735B8" w:rsidRPr="00955B7B">
        <w:t>,</w:t>
      </w:r>
      <w:r w:rsidR="0037097A" w:rsidRPr="00955B7B">
        <w:t xml:space="preserve"> </w:t>
      </w:r>
      <w:hyperlink w:history="1">
        <w:r w:rsidR="0037097A" w:rsidRPr="00955B7B">
          <w:t>at www.anz.com.au/about-us/corporate-responsibility/employees/valuing-diversity-respect/diversity/disability</w:t>
        </w:r>
      </w:hyperlink>
      <w:r w:rsidR="0037097A" w:rsidRPr="00955B7B">
        <w:t xml:space="preserve"> (viewed 26 March 2015).</w:t>
      </w:r>
      <w:proofErr w:type="gramEnd"/>
      <w:r w:rsidR="002073DC" w:rsidRPr="00955B7B">
        <w:rPr>
          <w:rStyle w:val="EndnoteReference"/>
        </w:rPr>
        <w:t xml:space="preserve"> </w:t>
      </w:r>
    </w:p>
  </w:endnote>
  <w:endnote w:id="39">
    <w:p w:rsidR="00C96D1C" w:rsidRPr="00955B7B" w:rsidRDefault="00C96D1C">
      <w:pPr>
        <w:pStyle w:val="EndnoteText"/>
        <w:rPr>
          <w:rStyle w:val="EndnoteReference"/>
        </w:rPr>
      </w:pPr>
      <w:r w:rsidRPr="00955B7B">
        <w:rPr>
          <w:rStyle w:val="EndnoteReference"/>
        </w:rPr>
        <w:endnoteRef/>
      </w:r>
      <w:r w:rsidRPr="00955B7B">
        <w:rPr>
          <w:rStyle w:val="EndnoteReference"/>
        </w:rPr>
        <w:t xml:space="preserve"> </w:t>
      </w:r>
      <w:r w:rsidRPr="00955B7B">
        <w:t>Westpac Group, 2013</w:t>
      </w:r>
      <w:r w:rsidR="0037097A" w:rsidRPr="00955B7B">
        <w:t>, ‘Accessibility Action Plan’, p</w:t>
      </w:r>
      <w:r w:rsidR="001735B8" w:rsidRPr="00955B7B">
        <w:t xml:space="preserve"> </w:t>
      </w:r>
      <w:r w:rsidR="0037097A" w:rsidRPr="00955B7B">
        <w:t>1, p</w:t>
      </w:r>
      <w:r w:rsidR="001735B8" w:rsidRPr="00955B7B">
        <w:t xml:space="preserve"> </w:t>
      </w:r>
      <w:r w:rsidR="0037097A" w:rsidRPr="00955B7B">
        <w:t xml:space="preserve">3, </w:t>
      </w:r>
      <w:proofErr w:type="gramStart"/>
      <w:r w:rsidR="0037097A" w:rsidRPr="00955B7B">
        <w:t>p</w:t>
      </w:r>
      <w:r w:rsidR="001735B8" w:rsidRPr="00955B7B">
        <w:t xml:space="preserve"> </w:t>
      </w:r>
      <w:r w:rsidR="0037097A" w:rsidRPr="00955B7B">
        <w:t>20</w:t>
      </w:r>
      <w:r w:rsidR="001735B8" w:rsidRPr="00955B7B">
        <w:t>,</w:t>
      </w:r>
      <w:r w:rsidR="002073DC" w:rsidRPr="00955B7B">
        <w:t xml:space="preserve"> </w:t>
      </w:r>
      <w:hyperlink w:history="1">
        <w:r w:rsidR="0037097A" w:rsidRPr="00955B7B">
          <w:t>at</w:t>
        </w:r>
        <w:proofErr w:type="gramEnd"/>
        <w:r w:rsidR="0037097A" w:rsidRPr="00955B7B">
          <w:t xml:space="preserve"> www.westpac.com.au/about-westpac/westpac-group/corporate-governance/Accessibility/accessibility-action-plan</w:t>
        </w:r>
      </w:hyperlink>
      <w:r w:rsidR="0037097A" w:rsidRPr="00955B7B">
        <w:t xml:space="preserve"> (viewed 26 March 2015).</w:t>
      </w:r>
    </w:p>
  </w:endnote>
  <w:endnote w:id="40">
    <w:p w:rsidR="00C96D1C" w:rsidRPr="005A699C" w:rsidRDefault="00C96D1C">
      <w:pPr>
        <w:pStyle w:val="EndnoteText"/>
      </w:pPr>
      <w:r w:rsidRPr="00955B7B">
        <w:rPr>
          <w:rStyle w:val="EndnoteReference"/>
        </w:rPr>
        <w:endnoteRef/>
      </w:r>
      <w:r w:rsidRPr="00955B7B">
        <w:rPr>
          <w:rStyle w:val="EndnoteReference"/>
        </w:rPr>
        <w:t xml:space="preserve"> </w:t>
      </w:r>
      <w:r w:rsidR="0037097A" w:rsidRPr="00955B7B">
        <w:t>Telstra, 2013, Telstra’s</w:t>
      </w:r>
      <w:r w:rsidRPr="00955B7B">
        <w:t xml:space="preserve"> 6</w:t>
      </w:r>
      <w:r w:rsidR="0037097A" w:rsidRPr="00955B7B">
        <w:t>th</w:t>
      </w:r>
      <w:r w:rsidRPr="00955B7B">
        <w:t xml:space="preserve"> D</w:t>
      </w:r>
      <w:r w:rsidR="0037097A" w:rsidRPr="00955B7B">
        <w:t>isability Action Plan 2013-2016, p</w:t>
      </w:r>
      <w:r w:rsidR="001735B8" w:rsidRPr="00955B7B">
        <w:t xml:space="preserve"> </w:t>
      </w:r>
      <w:r w:rsidR="0037097A" w:rsidRPr="00955B7B">
        <w:t>13</w:t>
      </w:r>
      <w:r w:rsidR="001735B8" w:rsidRPr="00955B7B">
        <w:t>,</w:t>
      </w:r>
      <w:r w:rsidR="0037097A" w:rsidRPr="00955B7B">
        <w:t xml:space="preserve"> at </w:t>
      </w:r>
      <w:hyperlink r:id="rId34" w:history="1">
        <w:r w:rsidR="0037097A" w:rsidRPr="00955B7B">
          <w:t>www.telstra.com.au/aboutus/ community-environment/community-programs/disability/disability-action-plan</w:t>
        </w:r>
      </w:hyperlink>
      <w:r w:rsidR="0037097A" w:rsidRPr="0037097A">
        <w:t xml:space="preserve"> (viewed 26 March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Pr="0090165F" w:rsidRDefault="00B34946"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Pr="004A187B" w:rsidRDefault="005D657A" w:rsidP="008B23BC">
    <w:pPr>
      <w:pStyle w:val="Footer"/>
    </w:pPr>
    <w:r>
      <w:rPr>
        <w:noProof/>
      </w:rPr>
      <mc:AlternateContent>
        <mc:Choice Requires="wps">
          <w:drawing>
            <wp:anchor distT="0" distB="0" distL="114300" distR="114300" simplePos="0" relativeHeight="251660288" behindDoc="0" locked="0" layoutInCell="1" allowOverlap="1" wp14:anchorId="1A014EAC" wp14:editId="3F33D821">
              <wp:simplePos x="0" y="0"/>
              <wp:positionH relativeFrom="column">
                <wp:posOffset>-548005</wp:posOffset>
              </wp:positionH>
              <wp:positionV relativeFrom="paragraph">
                <wp:posOffset>-1339215</wp:posOffset>
              </wp:positionV>
              <wp:extent cx="6071235" cy="906780"/>
              <wp:effectExtent l="0" t="0" r="571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rsidR="00730BD2" w:rsidRPr="0003606D" w:rsidRDefault="00730BD2" w:rsidP="00730BD2">
                          <w:pPr>
                            <w:pStyle w:val="coveraddress"/>
                          </w:pPr>
                          <w:r w:rsidRPr="0003606D">
                            <w:t>ABN 47 996 232 602</w:t>
                          </w:r>
                        </w:p>
                        <w:p w:rsidR="00730BD2" w:rsidRPr="0003606D" w:rsidRDefault="00730BD2" w:rsidP="00730BD2">
                          <w:pPr>
                            <w:pStyle w:val="coveraddress"/>
                          </w:pPr>
                          <w:r w:rsidRPr="0003606D">
                            <w:t>Level 3, 175 Pitt Street, Sydney NSW 2000</w:t>
                          </w:r>
                        </w:p>
                        <w:p w:rsidR="00730BD2" w:rsidRPr="0003606D" w:rsidRDefault="00730BD2" w:rsidP="00730BD2">
                          <w:pPr>
                            <w:pStyle w:val="coveraddress"/>
                          </w:pPr>
                          <w:r w:rsidRPr="0003606D">
                            <w:t>GPO Box 5218, Sydney NSW 2001</w:t>
                          </w:r>
                        </w:p>
                        <w:p w:rsidR="00730BD2" w:rsidRPr="0003606D" w:rsidRDefault="00730BD2" w:rsidP="00730BD2">
                          <w:pPr>
                            <w:pStyle w:val="coveraddress"/>
                          </w:pPr>
                          <w:r w:rsidRPr="0003606D">
                            <w:t>General enquiries 1300 369 711</w:t>
                          </w:r>
                        </w:p>
                        <w:p w:rsidR="00730BD2" w:rsidRPr="0003606D" w:rsidRDefault="00730BD2" w:rsidP="00730BD2">
                          <w:pPr>
                            <w:pStyle w:val="coveraddress"/>
                          </w:pPr>
                          <w:r w:rsidRPr="0003606D">
                            <w:t>Complaints info line 1300 656 419</w:t>
                          </w:r>
                        </w:p>
                        <w:p w:rsidR="00730BD2" w:rsidRPr="0003606D" w:rsidRDefault="00730BD2" w:rsidP="00730BD2">
                          <w:pPr>
                            <w:pStyle w:val="coveraddress"/>
                          </w:pPr>
                          <w:r w:rsidRPr="0003606D">
                            <w:t>TTY 1800 620 241</w:t>
                          </w:r>
                        </w:p>
                        <w:p w:rsidR="00730BD2" w:rsidRPr="00B63D24" w:rsidRDefault="00730BD2" w:rsidP="00730BD2">
                          <w:pPr>
                            <w:pStyle w:val="Footer"/>
                          </w:pPr>
                          <w:r w:rsidRPr="00B63D24">
                            <w:tab/>
                          </w:r>
                        </w:p>
                        <w:p w:rsidR="00B34946" w:rsidRPr="00B63D24" w:rsidRDefault="00B34946"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3.15pt;margin-top:-105.45pt;width:478.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" filled="f" stroked="f" strokeweight=".5pt">
              <v:path arrowok="t"/>
              <v:textbox inset="0,0,0,0">
                <w:txbxContent>
                  <w:p w:rsidR="00730BD2" w:rsidRPr="0003606D" w:rsidRDefault="00730BD2" w:rsidP="00730BD2">
                    <w:pPr>
                      <w:pStyle w:val="coveraddress"/>
                    </w:pPr>
                    <w:r w:rsidRPr="0003606D">
                      <w:t>ABN 47 996 232 602</w:t>
                    </w:r>
                  </w:p>
                  <w:p w:rsidR="00730BD2" w:rsidRPr="0003606D" w:rsidRDefault="00730BD2" w:rsidP="00730BD2">
                    <w:pPr>
                      <w:pStyle w:val="coveraddress"/>
                    </w:pPr>
                    <w:r w:rsidRPr="0003606D">
                      <w:t>Level 3, 175 Pitt Street, Sydney NSW 2000</w:t>
                    </w:r>
                  </w:p>
                  <w:p w:rsidR="00730BD2" w:rsidRPr="0003606D" w:rsidRDefault="00730BD2" w:rsidP="00730BD2">
                    <w:pPr>
                      <w:pStyle w:val="coveraddress"/>
                    </w:pPr>
                    <w:r w:rsidRPr="0003606D">
                      <w:t>GPO Box 5218, Sydney NSW 2001</w:t>
                    </w:r>
                  </w:p>
                  <w:p w:rsidR="00730BD2" w:rsidRPr="0003606D" w:rsidRDefault="00730BD2" w:rsidP="00730BD2">
                    <w:pPr>
                      <w:pStyle w:val="coveraddress"/>
                    </w:pPr>
                    <w:r w:rsidRPr="0003606D">
                      <w:t>General enquiries 1300 369 711</w:t>
                    </w:r>
                  </w:p>
                  <w:p w:rsidR="00730BD2" w:rsidRPr="0003606D" w:rsidRDefault="00730BD2" w:rsidP="00730BD2">
                    <w:pPr>
                      <w:pStyle w:val="coveraddress"/>
                    </w:pPr>
                    <w:r w:rsidRPr="0003606D">
                      <w:t>Complaints info line 1300 656 419</w:t>
                    </w:r>
                  </w:p>
                  <w:p w:rsidR="00730BD2" w:rsidRPr="0003606D" w:rsidRDefault="00730BD2" w:rsidP="00730BD2">
                    <w:pPr>
                      <w:pStyle w:val="coveraddress"/>
                    </w:pPr>
                    <w:r w:rsidRPr="0003606D">
                      <w:t>TTY 1800 620 241</w:t>
                    </w:r>
                  </w:p>
                  <w:p w:rsidR="00730BD2" w:rsidRPr="00B63D24" w:rsidRDefault="00730BD2" w:rsidP="00730BD2">
                    <w:pPr>
                      <w:pStyle w:val="Footer"/>
                    </w:pPr>
                    <w:r w:rsidRPr="00B63D24">
                      <w:tab/>
                    </w:r>
                  </w:p>
                  <w:p w:rsidR="00B34946" w:rsidRPr="00B63D24" w:rsidRDefault="00B34946" w:rsidP="00B63D24">
                    <w:pPr>
                      <w:pStyle w:val="Foo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Pr="0090165F" w:rsidRDefault="00B34946"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813A1D">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E61" w:rsidRDefault="00D46E61" w:rsidP="00F14C6D">
      <w:r>
        <w:separator/>
      </w:r>
    </w:p>
  </w:footnote>
  <w:footnote w:type="continuationSeparator" w:id="0">
    <w:p w:rsidR="00D46E61" w:rsidRDefault="00D46E61"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Default="00813A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Pr="00D27262" w:rsidRDefault="00813A1D"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B34946" w:rsidRPr="00D27262">
      <w:rPr>
        <w:sz w:val="22"/>
        <w:szCs w:val="22"/>
      </w:rPr>
      <w:t>Au</w:t>
    </w:r>
    <w:r w:rsidR="00B34946">
      <w:rPr>
        <w:sz w:val="22"/>
        <w:szCs w:val="22"/>
      </w:rPr>
      <w:t>stralian Human Rights Commission</w:t>
    </w:r>
  </w:p>
  <w:p w:rsidR="00B34946" w:rsidRDefault="00B34946"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34946" w:rsidRPr="00B85DD4" w:rsidTr="00165E3C">
      <w:trPr>
        <w:trHeight w:val="1276"/>
      </w:trPr>
      <w:tc>
        <w:tcPr>
          <w:tcW w:w="1508" w:type="dxa"/>
        </w:tcPr>
        <w:p w:rsidR="00B34946" w:rsidRPr="00B85DD4" w:rsidRDefault="00813A1D"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B34946" w:rsidRPr="00B85DD4" w:rsidRDefault="00B34946" w:rsidP="002B1B65">
          <w:pPr>
            <w:spacing w:before="0" w:after="0"/>
            <w:rPr>
              <w:rFonts w:cs="ArialMT"/>
              <w:i/>
              <w:color w:val="808080"/>
              <w:sz w:val="17"/>
            </w:rPr>
          </w:pPr>
        </w:p>
      </w:tc>
      <w:tc>
        <w:tcPr>
          <w:tcW w:w="2302" w:type="dxa"/>
        </w:tcPr>
        <w:p w:rsidR="00B34946" w:rsidRPr="00B85DD4" w:rsidRDefault="00B34946" w:rsidP="00B520BC">
          <w:pPr>
            <w:pStyle w:val="HeaderFooter"/>
            <w:rPr>
              <w:b/>
              <w:spacing w:val="-20"/>
              <w:sz w:val="40"/>
            </w:rPr>
          </w:pPr>
        </w:p>
      </w:tc>
      <w:tc>
        <w:tcPr>
          <w:tcW w:w="2130" w:type="dxa"/>
        </w:tcPr>
        <w:p w:rsidR="00B34946" w:rsidRPr="00B85DD4" w:rsidRDefault="00B34946" w:rsidP="00B520BC">
          <w:pPr>
            <w:pStyle w:val="HeaderFooter"/>
            <w:rPr>
              <w:b/>
              <w:spacing w:val="-20"/>
              <w:sz w:val="40"/>
            </w:rPr>
          </w:pPr>
        </w:p>
      </w:tc>
      <w:tc>
        <w:tcPr>
          <w:tcW w:w="1721" w:type="dxa"/>
        </w:tcPr>
        <w:p w:rsidR="00B34946" w:rsidRPr="00B85DD4" w:rsidRDefault="00B34946" w:rsidP="00B520BC">
          <w:pPr>
            <w:pStyle w:val="HeaderFooter"/>
            <w:spacing w:before="227" w:after="340"/>
            <w:rPr>
              <w:b/>
              <w:spacing w:val="-20"/>
              <w:sz w:val="40"/>
            </w:rPr>
          </w:pPr>
        </w:p>
      </w:tc>
    </w:tr>
  </w:tbl>
  <w:p w:rsidR="00B34946" w:rsidRDefault="00B349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Default="00813A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Pr="00D27262" w:rsidRDefault="00B34946" w:rsidP="00B34946">
    <w:pPr>
      <w:spacing w:before="0" w:after="60"/>
      <w:jc w:val="right"/>
      <w:rPr>
        <w:sz w:val="22"/>
        <w:szCs w:val="22"/>
      </w:rPr>
    </w:pPr>
    <w:r w:rsidRPr="00D27262">
      <w:rPr>
        <w:sz w:val="22"/>
        <w:szCs w:val="22"/>
      </w:rPr>
      <w:t>Au</w:t>
    </w:r>
    <w:r>
      <w:rPr>
        <w:sz w:val="22"/>
        <w:szCs w:val="22"/>
      </w:rPr>
      <w:t>stralian Human Rights Commission</w:t>
    </w:r>
  </w:p>
  <w:p w:rsidR="00B34946" w:rsidRPr="001E5676" w:rsidRDefault="005A3946" w:rsidP="002F4CE1">
    <w:pPr>
      <w:pStyle w:val="Footer"/>
      <w:spacing w:after="240"/>
      <w:jc w:val="right"/>
      <w:rPr>
        <w:i/>
        <w:sz w:val="18"/>
        <w:szCs w:val="18"/>
      </w:rPr>
    </w:pPr>
    <w:r>
      <w:rPr>
        <w:b/>
        <w:i/>
        <w:sz w:val="18"/>
        <w:szCs w:val="18"/>
      </w:rPr>
      <w:t xml:space="preserve">Information and Communications Technology </w:t>
    </w:r>
    <w:r w:rsidR="007D51CF">
      <w:rPr>
        <w:b/>
        <w:i/>
        <w:sz w:val="18"/>
        <w:szCs w:val="18"/>
      </w:rPr>
      <w:t>in the APS</w:t>
    </w:r>
    <w:r>
      <w:rPr>
        <w:b/>
        <w:i/>
        <w:sz w:val="18"/>
        <w:szCs w:val="18"/>
      </w:rPr>
      <w:t xml:space="preserve">, the need for change </w:t>
    </w:r>
    <w:r w:rsidR="00B34946" w:rsidRPr="001E5676">
      <w:rPr>
        <w:i/>
        <w:sz w:val="18"/>
        <w:szCs w:val="18"/>
      </w:rPr>
      <w:t>–</w:t>
    </w:r>
    <w:r w:rsidR="00D713FC" w:rsidRPr="00813A1D">
      <w:rPr>
        <w:b/>
        <w:i/>
        <w:sz w:val="18"/>
        <w:szCs w:val="18"/>
      </w:rPr>
      <w:t>April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34946" w:rsidRPr="00B85DD4" w:rsidTr="002B1B65">
      <w:trPr>
        <w:trHeight w:val="1603"/>
      </w:trPr>
      <w:tc>
        <w:tcPr>
          <w:tcW w:w="1508" w:type="dxa"/>
        </w:tcPr>
        <w:p w:rsidR="00B34946" w:rsidRPr="00B85DD4" w:rsidRDefault="00813A1D"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5D657A">
            <w:rPr>
              <w:rFonts w:cs="ArialMT"/>
              <w:b/>
              <w:noProof/>
              <w:spacing w:val="-20"/>
            </w:rPr>
            <w:drawing>
              <wp:inline distT="0" distB="0" distL="0" distR="0" wp14:anchorId="68ED3A1A" wp14:editId="6FDAD9AC">
                <wp:extent cx="819150" cy="819150"/>
                <wp:effectExtent l="0" t="0" r="0" b="0"/>
                <wp:docPr id="1"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B34946" w:rsidRPr="00D36BB2" w:rsidRDefault="00B34946" w:rsidP="002B1B65">
          <w:pPr>
            <w:pStyle w:val="LogoType"/>
            <w:pBdr>
              <w:bottom w:val="single" w:sz="4" w:space="1" w:color="808080"/>
            </w:pBdr>
            <w:spacing w:line="240" w:lineRule="auto"/>
          </w:pPr>
          <w:r w:rsidRPr="00D36BB2">
            <w:t>Australian</w:t>
          </w:r>
        </w:p>
        <w:p w:rsidR="00B34946" w:rsidRPr="00D36BB2" w:rsidRDefault="00B34946" w:rsidP="002B1B65">
          <w:pPr>
            <w:pStyle w:val="LogoType"/>
            <w:pBdr>
              <w:bottom w:val="single" w:sz="4" w:space="1" w:color="808080"/>
            </w:pBdr>
            <w:spacing w:line="240" w:lineRule="auto"/>
          </w:pPr>
          <w:r w:rsidRPr="00D36BB2">
            <w:t>Human Rights</w:t>
          </w:r>
        </w:p>
        <w:p w:rsidR="00B34946" w:rsidRPr="00D36BB2" w:rsidRDefault="00B34946" w:rsidP="002B1B65">
          <w:pPr>
            <w:pStyle w:val="LogoType"/>
            <w:pBdr>
              <w:bottom w:val="single" w:sz="4" w:space="1" w:color="808080"/>
            </w:pBdr>
            <w:spacing w:line="240" w:lineRule="auto"/>
          </w:pPr>
          <w:r w:rsidRPr="00D36BB2">
            <w:t>Commission</w:t>
          </w:r>
        </w:p>
        <w:p w:rsidR="00B34946" w:rsidRPr="00B85DD4" w:rsidRDefault="00B34946"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B34946" w:rsidRPr="00B85DD4" w:rsidRDefault="00B34946" w:rsidP="00B520BC">
          <w:pPr>
            <w:pStyle w:val="HeaderFooter"/>
            <w:rPr>
              <w:b/>
              <w:spacing w:val="-20"/>
              <w:sz w:val="40"/>
            </w:rPr>
          </w:pPr>
        </w:p>
      </w:tc>
      <w:tc>
        <w:tcPr>
          <w:tcW w:w="2130" w:type="dxa"/>
        </w:tcPr>
        <w:p w:rsidR="00B34946" w:rsidRPr="00B85DD4" w:rsidRDefault="00B34946" w:rsidP="00B520BC">
          <w:pPr>
            <w:pStyle w:val="HeaderFooter"/>
            <w:rPr>
              <w:b/>
              <w:spacing w:val="-20"/>
              <w:sz w:val="40"/>
            </w:rPr>
          </w:pPr>
        </w:p>
      </w:tc>
      <w:tc>
        <w:tcPr>
          <w:tcW w:w="1721" w:type="dxa"/>
        </w:tcPr>
        <w:p w:rsidR="00B34946" w:rsidRPr="00B85DD4" w:rsidRDefault="00B34946" w:rsidP="00B520BC">
          <w:pPr>
            <w:pStyle w:val="HeaderFooter"/>
            <w:spacing w:before="227" w:after="340"/>
            <w:rPr>
              <w:b/>
              <w:spacing w:val="-20"/>
              <w:sz w:val="40"/>
            </w:rPr>
          </w:pPr>
        </w:p>
      </w:tc>
    </w:tr>
  </w:tbl>
  <w:p w:rsidR="00B34946" w:rsidRDefault="00B34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nsid w:val="0C350ADF"/>
    <w:multiLevelType w:val="hybridMultilevel"/>
    <w:tmpl w:val="82346D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6">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6"/>
  </w:num>
  <w:num w:numId="13">
    <w:abstractNumId w:val="14"/>
  </w:num>
  <w:num w:numId="14">
    <w:abstractNumId w:val="13"/>
  </w:num>
  <w:num w:numId="15">
    <w:abstractNumId w:val="12"/>
  </w:num>
  <w:num w:numId="16">
    <w:abstractNumId w:val="10"/>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7A"/>
    <w:rsid w:val="00007349"/>
    <w:rsid w:val="000115E7"/>
    <w:rsid w:val="000579B1"/>
    <w:rsid w:val="00074EC0"/>
    <w:rsid w:val="0008749C"/>
    <w:rsid w:val="000A1DB8"/>
    <w:rsid w:val="000A48AC"/>
    <w:rsid w:val="000A4988"/>
    <w:rsid w:val="000B0A5D"/>
    <w:rsid w:val="000B5811"/>
    <w:rsid w:val="000E130A"/>
    <w:rsid w:val="000F1010"/>
    <w:rsid w:val="00102099"/>
    <w:rsid w:val="0010226A"/>
    <w:rsid w:val="00114054"/>
    <w:rsid w:val="00121712"/>
    <w:rsid w:val="001274A0"/>
    <w:rsid w:val="00134774"/>
    <w:rsid w:val="00140274"/>
    <w:rsid w:val="0014298F"/>
    <w:rsid w:val="00151263"/>
    <w:rsid w:val="00154DB9"/>
    <w:rsid w:val="00162A8D"/>
    <w:rsid w:val="001638F8"/>
    <w:rsid w:val="00165E3C"/>
    <w:rsid w:val="001735B8"/>
    <w:rsid w:val="00173FB5"/>
    <w:rsid w:val="00180C80"/>
    <w:rsid w:val="001908FC"/>
    <w:rsid w:val="00191F1A"/>
    <w:rsid w:val="001B0353"/>
    <w:rsid w:val="001C1F8B"/>
    <w:rsid w:val="001C4146"/>
    <w:rsid w:val="001D4784"/>
    <w:rsid w:val="001D6A21"/>
    <w:rsid w:val="001E5676"/>
    <w:rsid w:val="001F2BBB"/>
    <w:rsid w:val="001F497F"/>
    <w:rsid w:val="00200677"/>
    <w:rsid w:val="002048DD"/>
    <w:rsid w:val="002073DC"/>
    <w:rsid w:val="00231ED1"/>
    <w:rsid w:val="00240D34"/>
    <w:rsid w:val="00242624"/>
    <w:rsid w:val="0024557E"/>
    <w:rsid w:val="00267E7A"/>
    <w:rsid w:val="00270DA4"/>
    <w:rsid w:val="002863D7"/>
    <w:rsid w:val="002873B4"/>
    <w:rsid w:val="00296423"/>
    <w:rsid w:val="002B1B65"/>
    <w:rsid w:val="002C1866"/>
    <w:rsid w:val="002D120E"/>
    <w:rsid w:val="002D1BAB"/>
    <w:rsid w:val="002D1D8B"/>
    <w:rsid w:val="002F4CE1"/>
    <w:rsid w:val="002F7165"/>
    <w:rsid w:val="00300F22"/>
    <w:rsid w:val="00304A37"/>
    <w:rsid w:val="00310ED4"/>
    <w:rsid w:val="00312301"/>
    <w:rsid w:val="0031492A"/>
    <w:rsid w:val="00316387"/>
    <w:rsid w:val="00316C1A"/>
    <w:rsid w:val="00323C73"/>
    <w:rsid w:val="00331141"/>
    <w:rsid w:val="00344758"/>
    <w:rsid w:val="00347142"/>
    <w:rsid w:val="003565A8"/>
    <w:rsid w:val="003566EA"/>
    <w:rsid w:val="00365842"/>
    <w:rsid w:val="0037097A"/>
    <w:rsid w:val="00372C79"/>
    <w:rsid w:val="003816FD"/>
    <w:rsid w:val="003B0B00"/>
    <w:rsid w:val="003C248D"/>
    <w:rsid w:val="003F1ABC"/>
    <w:rsid w:val="003F23B2"/>
    <w:rsid w:val="00403074"/>
    <w:rsid w:val="00411F5D"/>
    <w:rsid w:val="00422417"/>
    <w:rsid w:val="00424233"/>
    <w:rsid w:val="00424F1F"/>
    <w:rsid w:val="00441B99"/>
    <w:rsid w:val="004506C6"/>
    <w:rsid w:val="004712FB"/>
    <w:rsid w:val="00472EFF"/>
    <w:rsid w:val="00473080"/>
    <w:rsid w:val="00474063"/>
    <w:rsid w:val="00476793"/>
    <w:rsid w:val="004A187B"/>
    <w:rsid w:val="004A2D3C"/>
    <w:rsid w:val="004A64DD"/>
    <w:rsid w:val="004A78A7"/>
    <w:rsid w:val="004C7412"/>
    <w:rsid w:val="004D04BF"/>
    <w:rsid w:val="004E0DFF"/>
    <w:rsid w:val="004E564C"/>
    <w:rsid w:val="004F1C7C"/>
    <w:rsid w:val="005118CE"/>
    <w:rsid w:val="005123F0"/>
    <w:rsid w:val="00513540"/>
    <w:rsid w:val="00513941"/>
    <w:rsid w:val="005168AA"/>
    <w:rsid w:val="0053051D"/>
    <w:rsid w:val="00535701"/>
    <w:rsid w:val="00564208"/>
    <w:rsid w:val="00571CEB"/>
    <w:rsid w:val="00572BB5"/>
    <w:rsid w:val="00580DFE"/>
    <w:rsid w:val="00591951"/>
    <w:rsid w:val="005942DF"/>
    <w:rsid w:val="005A3946"/>
    <w:rsid w:val="005A699C"/>
    <w:rsid w:val="005B2D57"/>
    <w:rsid w:val="005B3966"/>
    <w:rsid w:val="005C5D41"/>
    <w:rsid w:val="005D1F34"/>
    <w:rsid w:val="005D383D"/>
    <w:rsid w:val="005D657A"/>
    <w:rsid w:val="005E5233"/>
    <w:rsid w:val="005F28A5"/>
    <w:rsid w:val="00603EF9"/>
    <w:rsid w:val="00636BBC"/>
    <w:rsid w:val="00654793"/>
    <w:rsid w:val="0067135C"/>
    <w:rsid w:val="0068327A"/>
    <w:rsid w:val="00691217"/>
    <w:rsid w:val="006A2AF5"/>
    <w:rsid w:val="006A6BB3"/>
    <w:rsid w:val="006D1B4B"/>
    <w:rsid w:val="006D5EE5"/>
    <w:rsid w:val="006E6D3B"/>
    <w:rsid w:val="00715AB9"/>
    <w:rsid w:val="00730BD2"/>
    <w:rsid w:val="0073140A"/>
    <w:rsid w:val="00733EAF"/>
    <w:rsid w:val="007540BF"/>
    <w:rsid w:val="00770DCB"/>
    <w:rsid w:val="00775485"/>
    <w:rsid w:val="00790A6A"/>
    <w:rsid w:val="00792B67"/>
    <w:rsid w:val="007A6350"/>
    <w:rsid w:val="007C5AB1"/>
    <w:rsid w:val="007D4747"/>
    <w:rsid w:val="007D51CF"/>
    <w:rsid w:val="007D6C72"/>
    <w:rsid w:val="007E5B88"/>
    <w:rsid w:val="007F0D0B"/>
    <w:rsid w:val="008007A8"/>
    <w:rsid w:val="008042D9"/>
    <w:rsid w:val="00813A1D"/>
    <w:rsid w:val="00814FC0"/>
    <w:rsid w:val="008305A4"/>
    <w:rsid w:val="008724DE"/>
    <w:rsid w:val="008832FC"/>
    <w:rsid w:val="008A3D57"/>
    <w:rsid w:val="008A4362"/>
    <w:rsid w:val="008B23BC"/>
    <w:rsid w:val="008D4EB0"/>
    <w:rsid w:val="008E3D60"/>
    <w:rsid w:val="008E3F4C"/>
    <w:rsid w:val="008E68F1"/>
    <w:rsid w:val="008F0E9A"/>
    <w:rsid w:val="0090035F"/>
    <w:rsid w:val="0090165F"/>
    <w:rsid w:val="00901B82"/>
    <w:rsid w:val="00912B09"/>
    <w:rsid w:val="00932409"/>
    <w:rsid w:val="00942AC2"/>
    <w:rsid w:val="009447E9"/>
    <w:rsid w:val="0094701B"/>
    <w:rsid w:val="009509F9"/>
    <w:rsid w:val="00955940"/>
    <w:rsid w:val="00955B7B"/>
    <w:rsid w:val="00962B1E"/>
    <w:rsid w:val="00966C2F"/>
    <w:rsid w:val="0097512B"/>
    <w:rsid w:val="00976079"/>
    <w:rsid w:val="009A2BFD"/>
    <w:rsid w:val="009C0856"/>
    <w:rsid w:val="009D310D"/>
    <w:rsid w:val="009D67F6"/>
    <w:rsid w:val="009E0FE1"/>
    <w:rsid w:val="009F041C"/>
    <w:rsid w:val="009F12E8"/>
    <w:rsid w:val="009F2764"/>
    <w:rsid w:val="00A0406E"/>
    <w:rsid w:val="00A05200"/>
    <w:rsid w:val="00A11307"/>
    <w:rsid w:val="00A13AF3"/>
    <w:rsid w:val="00A21388"/>
    <w:rsid w:val="00A27791"/>
    <w:rsid w:val="00A41355"/>
    <w:rsid w:val="00A43B92"/>
    <w:rsid w:val="00A45253"/>
    <w:rsid w:val="00A54251"/>
    <w:rsid w:val="00A54D2E"/>
    <w:rsid w:val="00A6179E"/>
    <w:rsid w:val="00A64316"/>
    <w:rsid w:val="00A7072E"/>
    <w:rsid w:val="00A74AF3"/>
    <w:rsid w:val="00A804D9"/>
    <w:rsid w:val="00A83CAD"/>
    <w:rsid w:val="00A85FAA"/>
    <w:rsid w:val="00A92915"/>
    <w:rsid w:val="00A92F92"/>
    <w:rsid w:val="00A96892"/>
    <w:rsid w:val="00AA2051"/>
    <w:rsid w:val="00AC3C53"/>
    <w:rsid w:val="00AF49DD"/>
    <w:rsid w:val="00AF7256"/>
    <w:rsid w:val="00B24B1D"/>
    <w:rsid w:val="00B277E0"/>
    <w:rsid w:val="00B34946"/>
    <w:rsid w:val="00B519FD"/>
    <w:rsid w:val="00B520BC"/>
    <w:rsid w:val="00B63D24"/>
    <w:rsid w:val="00B71A5D"/>
    <w:rsid w:val="00B924E6"/>
    <w:rsid w:val="00BA262D"/>
    <w:rsid w:val="00BA5698"/>
    <w:rsid w:val="00BC0544"/>
    <w:rsid w:val="00BC7614"/>
    <w:rsid w:val="00BC79EB"/>
    <w:rsid w:val="00BD4365"/>
    <w:rsid w:val="00BD7FCF"/>
    <w:rsid w:val="00BF2AAE"/>
    <w:rsid w:val="00C00C60"/>
    <w:rsid w:val="00C064DC"/>
    <w:rsid w:val="00C1043A"/>
    <w:rsid w:val="00C25BDA"/>
    <w:rsid w:val="00C33104"/>
    <w:rsid w:val="00C332D4"/>
    <w:rsid w:val="00C50F18"/>
    <w:rsid w:val="00C70820"/>
    <w:rsid w:val="00C854D4"/>
    <w:rsid w:val="00C90556"/>
    <w:rsid w:val="00C96D1C"/>
    <w:rsid w:val="00CA0D78"/>
    <w:rsid w:val="00CA4855"/>
    <w:rsid w:val="00CA5838"/>
    <w:rsid w:val="00CB24FE"/>
    <w:rsid w:val="00CB6517"/>
    <w:rsid w:val="00CD58FD"/>
    <w:rsid w:val="00D21A6B"/>
    <w:rsid w:val="00D343FA"/>
    <w:rsid w:val="00D353C8"/>
    <w:rsid w:val="00D418FF"/>
    <w:rsid w:val="00D46E61"/>
    <w:rsid w:val="00D65C76"/>
    <w:rsid w:val="00D713FC"/>
    <w:rsid w:val="00D734C7"/>
    <w:rsid w:val="00D873DE"/>
    <w:rsid w:val="00DA2F73"/>
    <w:rsid w:val="00DB00FB"/>
    <w:rsid w:val="00DB3A6F"/>
    <w:rsid w:val="00DC462F"/>
    <w:rsid w:val="00DD6A21"/>
    <w:rsid w:val="00DE60CA"/>
    <w:rsid w:val="00E0344E"/>
    <w:rsid w:val="00E24FA3"/>
    <w:rsid w:val="00E26B28"/>
    <w:rsid w:val="00E31465"/>
    <w:rsid w:val="00E328CD"/>
    <w:rsid w:val="00E35691"/>
    <w:rsid w:val="00E36B95"/>
    <w:rsid w:val="00E4003F"/>
    <w:rsid w:val="00E458F6"/>
    <w:rsid w:val="00E45954"/>
    <w:rsid w:val="00E52125"/>
    <w:rsid w:val="00E64461"/>
    <w:rsid w:val="00E72940"/>
    <w:rsid w:val="00E83913"/>
    <w:rsid w:val="00EA44D9"/>
    <w:rsid w:val="00EB2CC5"/>
    <w:rsid w:val="00EB6A76"/>
    <w:rsid w:val="00EC3EE9"/>
    <w:rsid w:val="00EE23F7"/>
    <w:rsid w:val="00EF6FA5"/>
    <w:rsid w:val="00F14C6D"/>
    <w:rsid w:val="00F216B5"/>
    <w:rsid w:val="00F34BC9"/>
    <w:rsid w:val="00F421AE"/>
    <w:rsid w:val="00F44D34"/>
    <w:rsid w:val="00F47078"/>
    <w:rsid w:val="00F8302E"/>
    <w:rsid w:val="00F96812"/>
    <w:rsid w:val="00FA4916"/>
    <w:rsid w:val="00FC191E"/>
    <w:rsid w:val="00FD01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styleId="ListParagraph">
    <w:name w:val="List Paragraph"/>
    <w:basedOn w:val="Normal"/>
    <w:uiPriority w:val="34"/>
    <w:qFormat/>
    <w:rsid w:val="0094701B"/>
    <w:pPr>
      <w:ind w:left="720"/>
      <w:contextualSpacing/>
    </w:pPr>
  </w:style>
  <w:style w:type="character" w:styleId="CommentReference">
    <w:name w:val="annotation reference"/>
    <w:basedOn w:val="DefaultParagraphFont"/>
    <w:locked/>
    <w:rsid w:val="002D1D8B"/>
    <w:rPr>
      <w:sz w:val="16"/>
      <w:szCs w:val="16"/>
    </w:rPr>
  </w:style>
  <w:style w:type="paragraph" w:styleId="CommentText">
    <w:name w:val="annotation text"/>
    <w:basedOn w:val="Normal"/>
    <w:link w:val="CommentTextChar"/>
    <w:locked/>
    <w:rsid w:val="002D1D8B"/>
    <w:rPr>
      <w:sz w:val="20"/>
      <w:szCs w:val="20"/>
    </w:rPr>
  </w:style>
  <w:style w:type="character" w:customStyle="1" w:styleId="CommentTextChar">
    <w:name w:val="Comment Text Char"/>
    <w:basedOn w:val="DefaultParagraphFont"/>
    <w:link w:val="CommentText"/>
    <w:rsid w:val="002D1D8B"/>
    <w:rPr>
      <w:rFonts w:ascii="Arial" w:eastAsia="MS Mincho" w:hAnsi="Arial"/>
    </w:rPr>
  </w:style>
  <w:style w:type="paragraph" w:styleId="CommentSubject">
    <w:name w:val="annotation subject"/>
    <w:basedOn w:val="CommentText"/>
    <w:next w:val="CommentText"/>
    <w:link w:val="CommentSubjectChar"/>
    <w:locked/>
    <w:rsid w:val="002D1D8B"/>
    <w:rPr>
      <w:b/>
      <w:bCs/>
    </w:rPr>
  </w:style>
  <w:style w:type="character" w:customStyle="1" w:styleId="CommentSubjectChar">
    <w:name w:val="Comment Subject Char"/>
    <w:basedOn w:val="CommentTextChar"/>
    <w:link w:val="CommentSubject"/>
    <w:rsid w:val="002D1D8B"/>
    <w:rPr>
      <w:rFonts w:ascii="Arial" w:eastAsia="MS Mincho"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styleId="ListParagraph">
    <w:name w:val="List Paragraph"/>
    <w:basedOn w:val="Normal"/>
    <w:uiPriority w:val="34"/>
    <w:qFormat/>
    <w:rsid w:val="0094701B"/>
    <w:pPr>
      <w:ind w:left="720"/>
      <w:contextualSpacing/>
    </w:pPr>
  </w:style>
  <w:style w:type="character" w:styleId="CommentReference">
    <w:name w:val="annotation reference"/>
    <w:basedOn w:val="DefaultParagraphFont"/>
    <w:locked/>
    <w:rsid w:val="002D1D8B"/>
    <w:rPr>
      <w:sz w:val="16"/>
      <w:szCs w:val="16"/>
    </w:rPr>
  </w:style>
  <w:style w:type="paragraph" w:styleId="CommentText">
    <w:name w:val="annotation text"/>
    <w:basedOn w:val="Normal"/>
    <w:link w:val="CommentTextChar"/>
    <w:locked/>
    <w:rsid w:val="002D1D8B"/>
    <w:rPr>
      <w:sz w:val="20"/>
      <w:szCs w:val="20"/>
    </w:rPr>
  </w:style>
  <w:style w:type="character" w:customStyle="1" w:styleId="CommentTextChar">
    <w:name w:val="Comment Text Char"/>
    <w:basedOn w:val="DefaultParagraphFont"/>
    <w:link w:val="CommentText"/>
    <w:rsid w:val="002D1D8B"/>
    <w:rPr>
      <w:rFonts w:ascii="Arial" w:eastAsia="MS Mincho" w:hAnsi="Arial"/>
    </w:rPr>
  </w:style>
  <w:style w:type="paragraph" w:styleId="CommentSubject">
    <w:name w:val="annotation subject"/>
    <w:basedOn w:val="CommentText"/>
    <w:next w:val="CommentText"/>
    <w:link w:val="CommentSubjectChar"/>
    <w:locked/>
    <w:rsid w:val="002D1D8B"/>
    <w:rPr>
      <w:b/>
      <w:bCs/>
    </w:rPr>
  </w:style>
  <w:style w:type="character" w:customStyle="1" w:styleId="CommentSubjectChar">
    <w:name w:val="Comment Subject Char"/>
    <w:basedOn w:val="CommentTextChar"/>
    <w:link w:val="CommentSubject"/>
    <w:rsid w:val="002D1D8B"/>
    <w:rPr>
      <w:rFonts w:ascii="Arial" w:eastAsia="MS Mincho"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5262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8" Type="http://schemas.openxmlformats.org/officeDocument/2006/relationships/hyperlink" Target="https://www.humanrights.gov.au/dda-conciliation-employment" TargetMode="External"/><Relationship Id="rId13" Type="http://schemas.openxmlformats.org/officeDocument/2006/relationships/hyperlink" Target="http://www.dss.gov.au/our-responsibilities/disability-and-carers/program-services/government-international/national-disability-strategy" TargetMode="External"/><Relationship Id="rId18" Type="http://schemas.openxmlformats.org/officeDocument/2006/relationships/hyperlink" Target="http://www.humanrights.gov.au/news/speeches/national-press-club-address" TargetMode="External"/><Relationship Id="rId26" Type="http://schemas.openxmlformats.org/officeDocument/2006/relationships/hyperlink" Target="http://www.malcolmturnbull.com.au/policy-faqs/faqs-the-digital-transformation-office" TargetMode="External"/><Relationship Id="rId3" Type="http://schemas.openxmlformats.org/officeDocument/2006/relationships/hyperlink" Target="https://www.apple.com/au/accessibility/ios/" TargetMode="External"/><Relationship Id="rId21" Type="http://schemas.openxmlformats.org/officeDocument/2006/relationships/hyperlink" Target="http://www.finance.gov.au/publications/ict_strategy_2012_2015/" TargetMode="External"/><Relationship Id="rId34" Type="http://schemas.openxmlformats.org/officeDocument/2006/relationships/hyperlink" Target="http://www.telstra.com.au/aboutus/%20community-environment/community-programs/disability/disability-action-plan/" TargetMode="External"/><Relationship Id="rId7" Type="http://schemas.openxmlformats.org/officeDocument/2006/relationships/hyperlink" Target="https://www.accan.org.au/our-work/policy/627-position-statement-ict-procurement" TargetMode="External"/><Relationship Id="rId12" Type="http://schemas.openxmlformats.org/officeDocument/2006/relationships/hyperlink" Target="http://www.dss.gov.au/our-responsibilities/disability-and-carers/program-services/government-international/national-disability-strategy" TargetMode="External"/><Relationship Id="rId17" Type="http://schemas.openxmlformats.org/officeDocument/2006/relationships/hyperlink" Target="http://www.humanrights.gov.au/news/speeches/national-press-club-address" TargetMode="External"/><Relationship Id="rId25" Type="http://schemas.openxmlformats.org/officeDocument/2006/relationships/hyperlink" Target="http://www.finance.gov.au/blog/2014/12/10/ict-hardware-and-associated-services-panel/" TargetMode="External"/><Relationship Id="rId33" Type="http://schemas.openxmlformats.org/officeDocument/2006/relationships/hyperlink" Target="https://bluenotes.anz.com/posts/2014/06/a-workforce-accessible-to-all-is-not-just-right,-its-good-business/" TargetMode="External"/><Relationship Id="rId2" Type="http://schemas.openxmlformats.org/officeDocument/2006/relationships/hyperlink" Target="http://www.asksource.info/topics/cross-cutting-issues/accessible-icts" TargetMode="External"/><Relationship Id="rId16" Type="http://schemas.openxmlformats.org/officeDocument/2006/relationships/hyperlink" Target="https://www.humanrights.gov.au/publications/workability-2-chapter-9#_Toc121636383" TargetMode="External"/><Relationship Id="rId20" Type="http://schemas.openxmlformats.org/officeDocument/2006/relationships/hyperlink" Target="http://www.visionaustralia.org/about-us/public-policy" TargetMode="External"/><Relationship Id="rId29" Type="http://schemas.openxmlformats.org/officeDocument/2006/relationships/hyperlink" Target="https://www.dss.gov.au/our-responsibilities/review-of-australias-welfare-system" TargetMode="External"/><Relationship Id="rId1" Type="http://schemas.openxmlformats.org/officeDocument/2006/relationships/hyperlink" Target="http://universaldesign.ie/What-is-Universal-Design/" TargetMode="External"/><Relationship Id="rId6" Type="http://schemas.openxmlformats.org/officeDocument/2006/relationships/hyperlink" Target="https://www.humanrights.gov.au/dda-conciliation-employment" TargetMode="External"/><Relationship Id="rId11" Type="http://schemas.openxmlformats.org/officeDocument/2006/relationships/hyperlink" Target="http://www.ohchr.org/EN/HRBodies/CRPD/Pages/ConventionRightsPersonsWithDisabilities.aspx" TargetMode="External"/><Relationship Id="rId24" Type="http://schemas.openxmlformats.org/officeDocument/2006/relationships/hyperlink" Target="http://www.apsc.gov.au/%20disability/diversity-council/ict-accessibility-roundtable" TargetMode="External"/><Relationship Id="rId32" Type="http://schemas.openxmlformats.org/officeDocument/2006/relationships/hyperlink" Target="http://mandate376.standards.eu/" TargetMode="External"/><Relationship Id="rId5" Type="http://schemas.openxmlformats.org/officeDocument/2006/relationships/hyperlink" Target="http://wordpress.bca.org.au/submissions/" TargetMode="External"/><Relationship Id="rId15" Type="http://schemas.openxmlformats.org/officeDocument/2006/relationships/hyperlink" Target="http://www.section508.gov/Section-508-Of-The-Rehabilitation-Act" TargetMode="External"/><Relationship Id="rId23" Type="http://schemas.openxmlformats.org/officeDocument/2006/relationships/hyperlink" Target="http://webguide.gov.au/accessibility-usability/accessibility/procurement-and-accessibility/" TargetMode="External"/><Relationship Id="rId28" Type="http://schemas.openxmlformats.org/officeDocument/2006/relationships/hyperlink" Target="http://www.humanrights.gov.au/publications/workability-2-table-contents" TargetMode="External"/><Relationship Id="rId10" Type="http://schemas.openxmlformats.org/officeDocument/2006/relationships/hyperlink" Target="http://www.comlaw.gov.au/series/c2004a04426" TargetMode="External"/><Relationship Id="rId19" Type="http://schemas.openxmlformats.org/officeDocument/2006/relationships/hyperlink" Target="https://www.accan.org.au/our-work/policy/627-position-statement-ict-procurement" TargetMode="External"/><Relationship Id="rId31" Type="http://schemas.openxmlformats.org/officeDocument/2006/relationships/hyperlink" Target="http://www.e-accessibilitytoolkit.org/toolkit/policy_guides/publicprocurement" TargetMode="External"/><Relationship Id="rId4" Type="http://schemas.openxmlformats.org/officeDocument/2006/relationships/hyperlink" Target="http://jobaccess.gov.au/content/about-us" TargetMode="External"/><Relationship Id="rId9" Type="http://schemas.openxmlformats.org/officeDocument/2006/relationships/hyperlink" Target="https://www.accan.org.au/our-work/policy/627-position-statement-ict-procurement" TargetMode="External"/><Relationship Id="rId14" Type="http://schemas.openxmlformats.org/officeDocument/2006/relationships/hyperlink" Target="http://www.section508.gov/section508-laws" TargetMode="External"/><Relationship Id="rId22" Type="http://schemas.openxmlformats.org/officeDocument/2006/relationships/hyperlink" Target="http://www.finance.gov.au/publications/wcag-2-implementation/" TargetMode="External"/><Relationship Id="rId27" Type="http://schemas.openxmlformats.org/officeDocument/2006/relationships/hyperlink" Target="http://www.apsc.gov.au/publications-and-media/current-publications/as-one" TargetMode="External"/><Relationship Id="rId30" Type="http://schemas.openxmlformats.org/officeDocument/2006/relationships/hyperlink" Target="http://www.section508.gov/beaccessi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EA6EC-3046-4039-9DE0-F430A675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30</TotalTime>
  <Pages>12</Pages>
  <Words>3113</Words>
  <Characters>18162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21233</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Darryl Barrett</dc:creator>
  <cp:lastModifiedBy>Darryl Barrett</cp:lastModifiedBy>
  <cp:revision>6</cp:revision>
  <cp:lastPrinted>2015-04-20T03:49:00Z</cp:lastPrinted>
  <dcterms:created xsi:type="dcterms:W3CDTF">2015-04-20T04:44:00Z</dcterms:created>
  <dcterms:modified xsi:type="dcterms:W3CDTF">2015-04-20T05:50:00Z</dcterms:modified>
</cp:coreProperties>
</file>