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A4785" w14:textId="6FF585F6" w:rsidR="00446DC4" w:rsidRDefault="00720C06" w:rsidP="00446DC4">
      <w:r>
        <w:rPr>
          <w:noProof/>
        </w:rPr>
        <w:drawing>
          <wp:anchor distT="0" distB="0" distL="114300" distR="114300" simplePos="0" relativeHeight="251658240" behindDoc="1" locked="0" layoutInCell="1" allowOverlap="1" wp14:anchorId="59BD3C7D" wp14:editId="4DEDD03C">
            <wp:simplePos x="0" y="0"/>
            <wp:positionH relativeFrom="column">
              <wp:posOffset>-947824</wp:posOffset>
            </wp:positionH>
            <wp:positionV relativeFrom="paragraph">
              <wp:posOffset>-1242060</wp:posOffset>
            </wp:positionV>
            <wp:extent cx="7609051" cy="10819119"/>
            <wp:effectExtent l="0" t="0" r="0" b="1905"/>
            <wp:wrapNone/>
            <wp:docPr id="3" name="Immagine 3"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screenshot&#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051" cy="10819119"/>
                    </a:xfrm>
                    <a:prstGeom prst="rect">
                      <a:avLst/>
                    </a:prstGeom>
                  </pic:spPr>
                </pic:pic>
              </a:graphicData>
            </a:graphic>
            <wp14:sizeRelH relativeFrom="margin">
              <wp14:pctWidth>0</wp14:pctWidth>
            </wp14:sizeRelH>
            <wp14:sizeRelV relativeFrom="margin">
              <wp14:pctHeight>0</wp14:pctHeight>
            </wp14:sizeRelV>
          </wp:anchor>
        </w:drawing>
      </w:r>
    </w:p>
    <w:p w14:paraId="6516A9B5" w14:textId="2F57C912" w:rsidR="00446DC4" w:rsidRDefault="00446DC4" w:rsidP="00446DC4"/>
    <w:p w14:paraId="75DF0C49" w14:textId="3766C2F2" w:rsidR="00720C06" w:rsidRDefault="00720C06">
      <w:pPr>
        <w:spacing w:after="160" w:line="259" w:lineRule="auto"/>
      </w:pPr>
      <w:r>
        <w:br w:type="page"/>
      </w:r>
    </w:p>
    <w:p w14:paraId="43056E7D" w14:textId="77777777" w:rsidR="00720C06" w:rsidRPr="00720C06" w:rsidRDefault="00720C06" w:rsidP="00480EBF">
      <w:pPr>
        <w:pStyle w:val="CopyrightText"/>
        <w:spacing w:after="240"/>
        <w:rPr>
          <w:szCs w:val="20"/>
          <w:lang w:val="en-US"/>
        </w:rPr>
      </w:pPr>
      <w:r w:rsidRPr="00720C06">
        <w:rPr>
          <w:szCs w:val="20"/>
          <w:lang w:val="en-US"/>
        </w:rPr>
        <w:lastRenderedPageBreak/>
        <w:t>© Australian Human Rights Commission 2020.</w:t>
      </w:r>
    </w:p>
    <w:p w14:paraId="426C8C39" w14:textId="77777777" w:rsidR="00720C06" w:rsidRPr="00720C06" w:rsidRDefault="00720C06" w:rsidP="00720C06">
      <w:pPr>
        <w:pStyle w:val="CopyrightText"/>
        <w:spacing w:after="240"/>
        <w:rPr>
          <w:szCs w:val="20"/>
          <w:lang w:val="en-US"/>
        </w:rPr>
      </w:pPr>
      <w:r w:rsidRPr="00720C06">
        <w:rPr>
          <w:szCs w:val="20"/>
          <w:lang w:val="en-US"/>
        </w:rPr>
        <w:t>The Australian Human Rights Commission encourages the dissemination and exchange of information presented in this publication.</w:t>
      </w:r>
    </w:p>
    <w:p w14:paraId="594C463D" w14:textId="16A6122F" w:rsidR="00720C06" w:rsidRPr="00720C06" w:rsidRDefault="00720C06" w:rsidP="00720C06">
      <w:pPr>
        <w:pStyle w:val="CopyrightText"/>
        <w:spacing w:after="240"/>
        <w:rPr>
          <w:szCs w:val="20"/>
          <w:lang w:val="en-US"/>
        </w:rPr>
      </w:pPr>
      <w:r w:rsidRPr="00720C06">
        <w:rPr>
          <w:noProof/>
          <w:szCs w:val="20"/>
          <w:lang w:val="en-US"/>
        </w:rPr>
        <w:drawing>
          <wp:inline distT="0" distB="0" distL="0" distR="0" wp14:anchorId="7C1456B5" wp14:editId="334F6274">
            <wp:extent cx="711200" cy="2413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1200" cy="241300"/>
                    </a:xfrm>
                    <a:prstGeom prst="rect">
                      <a:avLst/>
                    </a:prstGeom>
                  </pic:spPr>
                </pic:pic>
              </a:graphicData>
            </a:graphic>
          </wp:inline>
        </w:drawing>
      </w:r>
    </w:p>
    <w:p w14:paraId="5E2F82B3" w14:textId="5619CF3A" w:rsidR="00720C06" w:rsidRPr="00720C06" w:rsidRDefault="00720C06" w:rsidP="00480EBF">
      <w:pPr>
        <w:pStyle w:val="CopyrightText"/>
        <w:spacing w:after="240"/>
        <w:rPr>
          <w:szCs w:val="20"/>
          <w:lang w:val="en-US"/>
        </w:rPr>
      </w:pPr>
      <w:r w:rsidRPr="00720C06">
        <w:rPr>
          <w:szCs w:val="20"/>
          <w:lang w:val="en-US"/>
        </w:rPr>
        <w:t xml:space="preserve">All material presented in this publication is licensed under the Creative Commons Attribution 4.0 International </w:t>
      </w:r>
      <w:proofErr w:type="spellStart"/>
      <w:r w:rsidRPr="00720C06">
        <w:rPr>
          <w:szCs w:val="20"/>
          <w:lang w:val="en-US"/>
        </w:rPr>
        <w:t>Licence</w:t>
      </w:r>
      <w:proofErr w:type="spellEnd"/>
      <w:r w:rsidRPr="00720C06">
        <w:rPr>
          <w:szCs w:val="20"/>
          <w:lang w:val="en-US"/>
        </w:rPr>
        <w:t>, with the exception</w:t>
      </w:r>
      <w:r>
        <w:rPr>
          <w:szCs w:val="20"/>
          <w:lang w:val="en-US"/>
        </w:rPr>
        <w:t xml:space="preserve"> </w:t>
      </w:r>
      <w:r w:rsidRPr="00720C06">
        <w:rPr>
          <w:szCs w:val="20"/>
          <w:lang w:val="en-US"/>
        </w:rPr>
        <w:t>of:</w:t>
      </w:r>
    </w:p>
    <w:p w14:paraId="5FB6067C" w14:textId="77777777" w:rsidR="00720C06" w:rsidRPr="00720C06" w:rsidRDefault="00720C06" w:rsidP="00720C06">
      <w:pPr>
        <w:pStyle w:val="CopyrightText"/>
        <w:spacing w:after="0"/>
        <w:ind w:left="283" w:hanging="113"/>
        <w:rPr>
          <w:szCs w:val="20"/>
          <w:lang w:val="en-US"/>
        </w:rPr>
      </w:pPr>
      <w:r w:rsidRPr="00720C06">
        <w:rPr>
          <w:szCs w:val="20"/>
          <w:lang w:val="en-US"/>
        </w:rPr>
        <w:t>•</w:t>
      </w:r>
      <w:r w:rsidRPr="00720C06">
        <w:rPr>
          <w:szCs w:val="20"/>
          <w:lang w:val="en-US"/>
        </w:rPr>
        <w:tab/>
        <w:t>photographs and images;</w:t>
      </w:r>
    </w:p>
    <w:p w14:paraId="6523ADBE" w14:textId="77777777" w:rsidR="00720C06" w:rsidRPr="00720C06" w:rsidRDefault="00720C06" w:rsidP="00720C06">
      <w:pPr>
        <w:pStyle w:val="CopyrightText"/>
        <w:spacing w:after="0"/>
        <w:ind w:left="283" w:hanging="113"/>
        <w:rPr>
          <w:szCs w:val="20"/>
          <w:lang w:val="en-US"/>
        </w:rPr>
      </w:pPr>
      <w:r w:rsidRPr="00720C06">
        <w:rPr>
          <w:szCs w:val="20"/>
          <w:lang w:val="en-US"/>
        </w:rPr>
        <w:t>•</w:t>
      </w:r>
      <w:r w:rsidRPr="00720C06">
        <w:rPr>
          <w:szCs w:val="20"/>
          <w:lang w:val="en-US"/>
        </w:rPr>
        <w:tab/>
        <w:t>the Commission’s logo, any branding or trademarks;</w:t>
      </w:r>
    </w:p>
    <w:p w14:paraId="24CD450A" w14:textId="77777777" w:rsidR="00720C06" w:rsidRPr="00720C06" w:rsidRDefault="00720C06" w:rsidP="00720C06">
      <w:pPr>
        <w:pStyle w:val="CopyrightText"/>
        <w:spacing w:after="0"/>
        <w:ind w:left="283" w:hanging="113"/>
        <w:rPr>
          <w:szCs w:val="20"/>
          <w:lang w:val="en-US"/>
        </w:rPr>
      </w:pPr>
      <w:r w:rsidRPr="00720C06">
        <w:rPr>
          <w:szCs w:val="20"/>
          <w:lang w:val="en-US"/>
        </w:rPr>
        <w:t>•</w:t>
      </w:r>
      <w:r w:rsidRPr="00720C06">
        <w:rPr>
          <w:szCs w:val="20"/>
          <w:lang w:val="en-US"/>
        </w:rPr>
        <w:tab/>
        <w:t>content or material provided by third parties; and</w:t>
      </w:r>
    </w:p>
    <w:p w14:paraId="71DE6380" w14:textId="77777777" w:rsidR="00720C06" w:rsidRPr="00720C06" w:rsidRDefault="00720C06" w:rsidP="00720C06">
      <w:pPr>
        <w:pStyle w:val="CopyrightText"/>
        <w:spacing w:after="170"/>
        <w:ind w:left="283" w:hanging="113"/>
        <w:rPr>
          <w:szCs w:val="20"/>
          <w:lang w:val="en-US"/>
        </w:rPr>
      </w:pPr>
      <w:r w:rsidRPr="00720C06">
        <w:rPr>
          <w:szCs w:val="20"/>
          <w:lang w:val="en-US"/>
        </w:rPr>
        <w:t>•</w:t>
      </w:r>
      <w:r w:rsidRPr="00720C06">
        <w:rPr>
          <w:szCs w:val="20"/>
          <w:lang w:val="en-US"/>
        </w:rPr>
        <w:tab/>
        <w:t>where otherwise indicated.</w:t>
      </w:r>
    </w:p>
    <w:p w14:paraId="7B9C21A7" w14:textId="413A4A00" w:rsidR="00720C06" w:rsidRPr="00720C06" w:rsidRDefault="00720C06" w:rsidP="00720C06">
      <w:pPr>
        <w:pStyle w:val="CopyrightText"/>
        <w:spacing w:after="240"/>
        <w:rPr>
          <w:szCs w:val="20"/>
          <w:lang w:val="en-US"/>
        </w:rPr>
      </w:pPr>
      <w:r w:rsidRPr="00720C06">
        <w:rPr>
          <w:szCs w:val="20"/>
          <w:lang w:val="en-US"/>
        </w:rPr>
        <w:t xml:space="preserve">To view a copy of this </w:t>
      </w:r>
      <w:proofErr w:type="spellStart"/>
      <w:r w:rsidRPr="00720C06">
        <w:rPr>
          <w:szCs w:val="20"/>
          <w:lang w:val="en-US"/>
        </w:rPr>
        <w:t>licence</w:t>
      </w:r>
      <w:proofErr w:type="spellEnd"/>
      <w:r w:rsidRPr="00720C06">
        <w:rPr>
          <w:szCs w:val="20"/>
          <w:lang w:val="en-US"/>
        </w:rPr>
        <w:t xml:space="preserve">, visit </w:t>
      </w:r>
      <w:hyperlink r:id="rId16" w:history="1">
        <w:r w:rsidRPr="00720C06">
          <w:rPr>
            <w:rStyle w:val="Collegamentoipertestuale"/>
            <w:rFonts w:cs="Open Sans"/>
            <w:szCs w:val="20"/>
            <w:lang w:val="en-US"/>
          </w:rPr>
          <w:t>http://creativecommons.org/licenses/by/4.0/legalcode</w:t>
        </w:r>
      </w:hyperlink>
      <w:r w:rsidRPr="00720C06">
        <w:rPr>
          <w:szCs w:val="20"/>
          <w:lang w:val="en-US"/>
        </w:rPr>
        <w:t>.</w:t>
      </w:r>
    </w:p>
    <w:p w14:paraId="2FC4031F" w14:textId="77777777" w:rsidR="00720C06" w:rsidRPr="00720C06" w:rsidRDefault="00720C06" w:rsidP="00720C06">
      <w:pPr>
        <w:pStyle w:val="CopyrightText"/>
        <w:spacing w:after="240"/>
        <w:rPr>
          <w:szCs w:val="20"/>
          <w:lang w:val="en-US"/>
        </w:rPr>
      </w:pPr>
      <w:r w:rsidRPr="00720C06">
        <w:rPr>
          <w:szCs w:val="20"/>
          <w:lang w:val="en-US"/>
        </w:rPr>
        <w:t xml:space="preserve">In essence, you are free to copy, communicate and adapt the publication, as long as you attribute the Australian Human Rights Commission and abide by the other </w:t>
      </w:r>
      <w:proofErr w:type="spellStart"/>
      <w:r w:rsidRPr="00720C06">
        <w:rPr>
          <w:szCs w:val="20"/>
          <w:lang w:val="en-US"/>
        </w:rPr>
        <w:t>licence</w:t>
      </w:r>
      <w:proofErr w:type="spellEnd"/>
      <w:r w:rsidRPr="00720C06">
        <w:rPr>
          <w:szCs w:val="20"/>
          <w:lang w:val="en-US"/>
        </w:rPr>
        <w:t xml:space="preserve"> terms.</w:t>
      </w:r>
    </w:p>
    <w:p w14:paraId="0DB8950E" w14:textId="77777777" w:rsidR="00720C06" w:rsidRPr="00720C06" w:rsidRDefault="00720C06" w:rsidP="00720C06">
      <w:pPr>
        <w:pStyle w:val="CopyrightText"/>
        <w:spacing w:after="170"/>
        <w:rPr>
          <w:szCs w:val="20"/>
          <w:lang w:val="en-US"/>
        </w:rPr>
      </w:pPr>
      <w:r w:rsidRPr="00720C06">
        <w:rPr>
          <w:rStyle w:val="Bold"/>
          <w:szCs w:val="20"/>
          <w:lang w:val="en-US"/>
        </w:rPr>
        <w:t>Please give attribution to:</w:t>
      </w:r>
      <w:r w:rsidRPr="00720C06">
        <w:rPr>
          <w:szCs w:val="20"/>
          <w:lang w:val="en-US"/>
        </w:rPr>
        <w:t xml:space="preserve"> © Australian Human Rights Commission 2020.</w:t>
      </w:r>
    </w:p>
    <w:p w14:paraId="7D3AF6ED" w14:textId="77777777" w:rsidR="00720C06" w:rsidRPr="00720C06" w:rsidRDefault="00720C06" w:rsidP="00720C06">
      <w:pPr>
        <w:pStyle w:val="CopyrightText"/>
        <w:spacing w:after="170"/>
        <w:rPr>
          <w:szCs w:val="20"/>
          <w:lang w:val="en-US"/>
        </w:rPr>
      </w:pPr>
      <w:r w:rsidRPr="00720C06">
        <w:rPr>
          <w:rStyle w:val="Bold"/>
          <w:szCs w:val="20"/>
          <w:lang w:val="en-US"/>
        </w:rPr>
        <w:t>ISSN 1837-1183</w:t>
      </w:r>
    </w:p>
    <w:p w14:paraId="5A1FCED1" w14:textId="77777777" w:rsidR="00720C06" w:rsidRPr="00720C06" w:rsidRDefault="00720C06" w:rsidP="00720C06">
      <w:pPr>
        <w:pStyle w:val="CopyrightText"/>
        <w:rPr>
          <w:rStyle w:val="Bold"/>
          <w:szCs w:val="20"/>
          <w:lang w:val="en-US"/>
        </w:rPr>
      </w:pPr>
      <w:r w:rsidRPr="00720C06">
        <w:rPr>
          <w:rStyle w:val="Bold"/>
          <w:szCs w:val="20"/>
          <w:lang w:val="en-US"/>
        </w:rPr>
        <w:t>Further information</w:t>
      </w:r>
    </w:p>
    <w:p w14:paraId="3BEE6C98" w14:textId="71BBE2A0" w:rsidR="00480EBF" w:rsidRPr="00720C06" w:rsidRDefault="00720C06" w:rsidP="00720C06">
      <w:pPr>
        <w:pStyle w:val="CopyrightText"/>
        <w:spacing w:after="240"/>
        <w:rPr>
          <w:szCs w:val="20"/>
          <w:lang w:val="en-US"/>
        </w:rPr>
      </w:pPr>
      <w:r w:rsidRPr="00720C06">
        <w:rPr>
          <w:szCs w:val="20"/>
          <w:lang w:val="en-US"/>
        </w:rPr>
        <w:t>For further information about the Australian Human Rights Commission or copyright in this publication, please contact:</w:t>
      </w:r>
    </w:p>
    <w:p w14:paraId="7BE268A0" w14:textId="77777777" w:rsidR="00720C06" w:rsidRPr="00720C06" w:rsidRDefault="00720C06" w:rsidP="00720C06">
      <w:pPr>
        <w:pStyle w:val="CopyrightText"/>
        <w:spacing w:after="0"/>
        <w:rPr>
          <w:szCs w:val="20"/>
          <w:lang w:val="en-US"/>
        </w:rPr>
      </w:pPr>
      <w:r w:rsidRPr="00720C06">
        <w:rPr>
          <w:szCs w:val="20"/>
          <w:lang w:val="en-US"/>
        </w:rPr>
        <w:t>Communications Unit</w:t>
      </w:r>
    </w:p>
    <w:p w14:paraId="37D4C447" w14:textId="77777777" w:rsidR="00720C06" w:rsidRPr="00720C06" w:rsidRDefault="00720C06" w:rsidP="00720C06">
      <w:pPr>
        <w:pStyle w:val="CopyrightText"/>
        <w:spacing w:after="0"/>
        <w:rPr>
          <w:szCs w:val="20"/>
          <w:lang w:val="en-US"/>
        </w:rPr>
      </w:pPr>
      <w:r w:rsidRPr="00720C06">
        <w:rPr>
          <w:szCs w:val="20"/>
          <w:lang w:val="en-US"/>
        </w:rPr>
        <w:t>Australian Human Rights Commission</w:t>
      </w:r>
    </w:p>
    <w:p w14:paraId="787A9EE6" w14:textId="77777777" w:rsidR="00720C06" w:rsidRPr="00720C06" w:rsidRDefault="00720C06" w:rsidP="00720C06">
      <w:pPr>
        <w:pStyle w:val="CopyrightText"/>
        <w:spacing w:after="0"/>
        <w:rPr>
          <w:szCs w:val="20"/>
          <w:lang w:val="en-US"/>
        </w:rPr>
      </w:pPr>
      <w:r w:rsidRPr="00720C06">
        <w:rPr>
          <w:szCs w:val="20"/>
          <w:lang w:val="en-US"/>
        </w:rPr>
        <w:t>GPO Box 5218</w:t>
      </w:r>
    </w:p>
    <w:p w14:paraId="132EC5DC" w14:textId="77777777" w:rsidR="00720C06" w:rsidRPr="00720C06" w:rsidRDefault="00720C06" w:rsidP="00720C06">
      <w:pPr>
        <w:pStyle w:val="CopyrightText"/>
        <w:spacing w:after="0"/>
        <w:rPr>
          <w:szCs w:val="20"/>
          <w:lang w:val="en-US"/>
        </w:rPr>
      </w:pPr>
      <w:r w:rsidRPr="00720C06">
        <w:rPr>
          <w:szCs w:val="20"/>
          <w:lang w:val="en-US"/>
        </w:rPr>
        <w:t>SYDNEY NSW 2001</w:t>
      </w:r>
    </w:p>
    <w:p w14:paraId="04693668" w14:textId="77777777" w:rsidR="00720C06" w:rsidRPr="00720C06" w:rsidRDefault="00720C06" w:rsidP="00720C06">
      <w:pPr>
        <w:pStyle w:val="CopyrightText"/>
        <w:spacing w:after="0"/>
        <w:rPr>
          <w:szCs w:val="20"/>
          <w:lang w:val="en-US"/>
        </w:rPr>
      </w:pPr>
      <w:r w:rsidRPr="00720C06">
        <w:rPr>
          <w:szCs w:val="20"/>
          <w:lang w:val="en-US"/>
        </w:rPr>
        <w:t>Telephone: (02) 9284 9600</w:t>
      </w:r>
    </w:p>
    <w:p w14:paraId="5358F112" w14:textId="60D03E8C" w:rsidR="00720C06" w:rsidRPr="00720C06" w:rsidRDefault="00720C06" w:rsidP="00480EBF">
      <w:pPr>
        <w:pStyle w:val="CopyrightText"/>
        <w:spacing w:after="240"/>
        <w:rPr>
          <w:rStyle w:val="Collegamentoipertestuale"/>
          <w:szCs w:val="20"/>
          <w:lang w:val="en-US"/>
        </w:rPr>
      </w:pPr>
      <w:r w:rsidRPr="00720C06">
        <w:rPr>
          <w:szCs w:val="20"/>
          <w:lang w:val="en-US"/>
        </w:rPr>
        <w:t xml:space="preserve">Email: </w:t>
      </w:r>
      <w:hyperlink r:id="rId17" w:history="1">
        <w:r w:rsidRPr="00720C06">
          <w:rPr>
            <w:rStyle w:val="Collegamentoipertestuale"/>
            <w:rFonts w:cs="Open Sans"/>
            <w:szCs w:val="20"/>
            <w:lang w:val="en-US"/>
          </w:rPr>
          <w:t>communications@humanrights.gov.au</w:t>
        </w:r>
      </w:hyperlink>
    </w:p>
    <w:p w14:paraId="16252FB6" w14:textId="77777777" w:rsidR="00720C06" w:rsidRPr="00720C06" w:rsidRDefault="00720C06" w:rsidP="00720C06">
      <w:pPr>
        <w:pStyle w:val="CopyrightText"/>
        <w:rPr>
          <w:szCs w:val="20"/>
          <w:lang w:val="en-US"/>
        </w:rPr>
      </w:pPr>
      <w:r w:rsidRPr="00720C06">
        <w:rPr>
          <w:rStyle w:val="Bold"/>
          <w:szCs w:val="20"/>
          <w:lang w:val="en-US"/>
        </w:rPr>
        <w:t>Design and layout</w:t>
      </w:r>
      <w:r w:rsidRPr="00720C06">
        <w:rPr>
          <w:szCs w:val="20"/>
          <w:lang w:val="en-US"/>
        </w:rPr>
        <w:t xml:space="preserve"> Dancingirl Designs</w:t>
      </w:r>
    </w:p>
    <w:p w14:paraId="7C519726" w14:textId="2BA4095F" w:rsidR="00233FE8" w:rsidRPr="00720C06" w:rsidRDefault="00720C06" w:rsidP="00720C06">
      <w:pPr>
        <w:rPr>
          <w:sz w:val="20"/>
        </w:rPr>
      </w:pPr>
      <w:r w:rsidRPr="00720C06">
        <w:rPr>
          <w:rStyle w:val="Bold"/>
          <w:sz w:val="20"/>
        </w:rPr>
        <w:t>Printing</w:t>
      </w:r>
      <w:r w:rsidRPr="00720C06">
        <w:rPr>
          <w:sz w:val="20"/>
        </w:rPr>
        <w:t xml:space="preserve"> Masterprint Pty Limited</w:t>
      </w:r>
    </w:p>
    <w:p w14:paraId="2860D608" w14:textId="77777777" w:rsidR="00233FE8" w:rsidRPr="00480EBF" w:rsidRDefault="00233FE8" w:rsidP="00480EBF"/>
    <w:p w14:paraId="31797047" w14:textId="25FFAECD" w:rsidR="00446DC4" w:rsidRPr="00480EBF" w:rsidRDefault="00446DC4" w:rsidP="00480EBF">
      <w:r w:rsidRPr="00480EBF">
        <w:br w:type="page"/>
      </w:r>
    </w:p>
    <w:p w14:paraId="1AD5205F" w14:textId="0CF65150" w:rsidR="00446DC4" w:rsidRDefault="00446DC4" w:rsidP="00516335"/>
    <w:p w14:paraId="7D47A869" w14:textId="212E2B8F" w:rsidR="00446DC4" w:rsidRDefault="00446DC4" w:rsidP="00516335"/>
    <w:p w14:paraId="4114C46C" w14:textId="2E1AC336" w:rsidR="00446DC4" w:rsidRDefault="00446DC4" w:rsidP="00516335"/>
    <w:p w14:paraId="53BFAC48" w14:textId="7B4132CD" w:rsidR="00106527" w:rsidRDefault="00106527" w:rsidP="00516335"/>
    <w:p w14:paraId="0F46CADA" w14:textId="29E0C1B9" w:rsidR="00106527" w:rsidRDefault="00106527" w:rsidP="00516335"/>
    <w:p w14:paraId="2E749659" w14:textId="49B89A64" w:rsidR="00106527" w:rsidRDefault="00106527" w:rsidP="00516335"/>
    <w:p w14:paraId="4A07C1CC" w14:textId="77777777" w:rsidR="00106527" w:rsidRDefault="00106527" w:rsidP="00516335"/>
    <w:p w14:paraId="54C03BE0" w14:textId="549459FA" w:rsidR="00446DC4" w:rsidRDefault="00446DC4" w:rsidP="00516335"/>
    <w:p w14:paraId="5896E5B0" w14:textId="12D0D9BB" w:rsidR="00420B8C" w:rsidRPr="00772985" w:rsidRDefault="00420B8C" w:rsidP="00516335">
      <w:pPr>
        <w:rPr>
          <w:rFonts w:cs="Open Sans"/>
          <w:b/>
          <w:sz w:val="36"/>
          <w:szCs w:val="36"/>
        </w:rPr>
      </w:pPr>
      <w:r>
        <w:rPr>
          <w:rFonts w:cs="Open Sans"/>
          <w:b/>
          <w:sz w:val="36"/>
          <w:szCs w:val="36"/>
        </w:rPr>
        <w:t>Mr AC</w:t>
      </w:r>
      <w:r w:rsidRPr="00772985">
        <w:rPr>
          <w:rFonts w:cs="Open Sans"/>
          <w:b/>
          <w:sz w:val="36"/>
          <w:szCs w:val="36"/>
        </w:rPr>
        <w:t xml:space="preserve"> v Commonwealth</w:t>
      </w:r>
      <w:r w:rsidR="005D13CE">
        <w:rPr>
          <w:rFonts w:cs="Open Sans"/>
          <w:b/>
          <w:sz w:val="36"/>
          <w:szCs w:val="36"/>
        </w:rPr>
        <w:br/>
      </w:r>
      <w:r w:rsidRPr="00772985">
        <w:rPr>
          <w:rFonts w:cs="Open Sans"/>
          <w:b/>
          <w:sz w:val="36"/>
          <w:szCs w:val="36"/>
        </w:rPr>
        <w:t>(Department of Home Affairs)</w:t>
      </w:r>
    </w:p>
    <w:p w14:paraId="2FF668AE" w14:textId="77777777" w:rsidR="00420B8C" w:rsidRPr="00772985" w:rsidRDefault="00420B8C" w:rsidP="00516335">
      <w:pPr>
        <w:rPr>
          <w:rFonts w:cs="Open Sans"/>
          <w:szCs w:val="24"/>
        </w:rPr>
      </w:pPr>
    </w:p>
    <w:p w14:paraId="1B1AA997" w14:textId="183FFDD5" w:rsidR="00420B8C" w:rsidRDefault="00420B8C" w:rsidP="00516335">
      <w:pPr>
        <w:rPr>
          <w:rFonts w:cs="Open Sans"/>
          <w:szCs w:val="24"/>
        </w:rPr>
      </w:pPr>
      <w:r w:rsidRPr="00772985">
        <w:rPr>
          <w:rFonts w:cs="Open Sans"/>
          <w:szCs w:val="24"/>
        </w:rPr>
        <w:t>[20</w:t>
      </w:r>
      <w:r>
        <w:rPr>
          <w:rFonts w:cs="Open Sans"/>
          <w:szCs w:val="24"/>
        </w:rPr>
        <w:t>20</w:t>
      </w:r>
      <w:r w:rsidRPr="00772985">
        <w:rPr>
          <w:rFonts w:cs="Open Sans"/>
          <w:szCs w:val="24"/>
        </w:rPr>
        <w:t xml:space="preserve">] </w:t>
      </w:r>
      <w:proofErr w:type="spellStart"/>
      <w:r w:rsidRPr="00772985">
        <w:rPr>
          <w:rFonts w:cs="Open Sans"/>
          <w:szCs w:val="24"/>
        </w:rPr>
        <w:t>AusHRC</w:t>
      </w:r>
      <w:proofErr w:type="spellEnd"/>
      <w:r>
        <w:rPr>
          <w:rFonts w:cs="Open Sans"/>
          <w:szCs w:val="24"/>
        </w:rPr>
        <w:t xml:space="preserve"> 136</w:t>
      </w:r>
    </w:p>
    <w:p w14:paraId="69F9A1DA" w14:textId="28C3215B" w:rsidR="00420B8C" w:rsidRDefault="00420B8C" w:rsidP="00516335">
      <w:pPr>
        <w:rPr>
          <w:rFonts w:cs="Open Sans"/>
          <w:szCs w:val="24"/>
        </w:rPr>
      </w:pPr>
    </w:p>
    <w:p w14:paraId="60E36EE2" w14:textId="6CCAEA55" w:rsidR="00420B8C" w:rsidRDefault="00420B8C" w:rsidP="00516335">
      <w:pPr>
        <w:rPr>
          <w:rFonts w:cs="Open Sans"/>
          <w:i/>
          <w:iCs/>
          <w:szCs w:val="24"/>
        </w:rPr>
      </w:pPr>
      <w:r>
        <w:rPr>
          <w:rFonts w:cs="Open Sans"/>
          <w:i/>
          <w:iCs/>
          <w:szCs w:val="24"/>
        </w:rPr>
        <w:t>Report into arbitrary detention</w:t>
      </w:r>
    </w:p>
    <w:p w14:paraId="2A87A540" w14:textId="30DB5EA5" w:rsidR="00702CA3" w:rsidRDefault="00702CA3" w:rsidP="00516335">
      <w:pPr>
        <w:rPr>
          <w:rFonts w:cs="Open Sans"/>
          <w:i/>
          <w:iCs/>
          <w:szCs w:val="24"/>
        </w:rPr>
      </w:pPr>
    </w:p>
    <w:p w14:paraId="6ACAA3F9" w14:textId="7B0184F5" w:rsidR="00702CA3" w:rsidRDefault="00702CA3" w:rsidP="00516335">
      <w:pPr>
        <w:rPr>
          <w:rFonts w:cs="Open Sans"/>
          <w:i/>
          <w:iCs/>
          <w:szCs w:val="24"/>
        </w:rPr>
      </w:pPr>
    </w:p>
    <w:p w14:paraId="0456B4CD" w14:textId="77777777" w:rsidR="00702CA3" w:rsidRDefault="00702CA3" w:rsidP="00516335">
      <w:pPr>
        <w:rPr>
          <w:rFonts w:cs="Open Sans"/>
          <w:i/>
          <w:iCs/>
          <w:szCs w:val="24"/>
        </w:rPr>
      </w:pPr>
    </w:p>
    <w:p w14:paraId="422FED56" w14:textId="43B0C79F" w:rsidR="00420B8C" w:rsidRDefault="00420B8C" w:rsidP="00516335">
      <w:pPr>
        <w:rPr>
          <w:rFonts w:cs="Open Sans"/>
          <w:i/>
          <w:iCs/>
          <w:szCs w:val="24"/>
        </w:rPr>
      </w:pPr>
    </w:p>
    <w:p w14:paraId="6FE70543" w14:textId="47E52859" w:rsidR="00420B8C" w:rsidRPr="00420B8C" w:rsidRDefault="00420B8C" w:rsidP="00516335">
      <w:pPr>
        <w:rPr>
          <w:rFonts w:cs="Open Sans"/>
          <w:szCs w:val="24"/>
        </w:rPr>
      </w:pPr>
      <w:r>
        <w:rPr>
          <w:rFonts w:cs="Open Sans"/>
          <w:szCs w:val="24"/>
        </w:rPr>
        <w:t>Australian Human Rights Commission 2020</w:t>
      </w:r>
    </w:p>
    <w:p w14:paraId="6DC5D5A4" w14:textId="6267CD26" w:rsidR="00446DC4" w:rsidRDefault="00446DC4" w:rsidP="00516335"/>
    <w:p w14:paraId="7B8811AB" w14:textId="0A0241D1" w:rsidR="00106527" w:rsidRDefault="00106527" w:rsidP="00516335">
      <w:pPr>
        <w:pStyle w:val="CopyrightText"/>
        <w:rPr>
          <w:rFonts w:cs="Arial"/>
          <w:lang w:val="en-AU"/>
        </w:rPr>
      </w:pPr>
    </w:p>
    <w:p w14:paraId="13A3B403" w14:textId="0A3D9CB4" w:rsidR="007068D2" w:rsidRDefault="007068D2" w:rsidP="00516335">
      <w:pPr>
        <w:pStyle w:val="CopyrightText"/>
        <w:rPr>
          <w:rFonts w:cs="Arial"/>
          <w:lang w:val="en-AU"/>
        </w:rPr>
      </w:pPr>
    </w:p>
    <w:p w14:paraId="78B14F0C" w14:textId="0CC5EB26" w:rsidR="007068D2" w:rsidRDefault="007068D2" w:rsidP="00516335">
      <w:pPr>
        <w:pStyle w:val="CopyrightText"/>
        <w:rPr>
          <w:rFonts w:cs="Arial"/>
          <w:lang w:val="en-AU"/>
        </w:rPr>
      </w:pPr>
    </w:p>
    <w:p w14:paraId="1FDAC8EE" w14:textId="275B07D0" w:rsidR="0061169F" w:rsidRDefault="0061169F" w:rsidP="00516335">
      <w:pPr>
        <w:pStyle w:val="CopyrightText"/>
        <w:rPr>
          <w:rFonts w:cs="Arial"/>
          <w:lang w:val="en-AU"/>
        </w:rPr>
      </w:pPr>
    </w:p>
    <w:p w14:paraId="6A4776A0" w14:textId="529EBD94" w:rsidR="0061169F" w:rsidRDefault="0061169F" w:rsidP="00516335">
      <w:pPr>
        <w:pStyle w:val="CopyrightText"/>
        <w:rPr>
          <w:rFonts w:cs="Arial"/>
          <w:lang w:val="en-AU"/>
        </w:rPr>
      </w:pPr>
    </w:p>
    <w:p w14:paraId="2EDBAE5C" w14:textId="3CBCBFDC" w:rsidR="0061169F" w:rsidRDefault="0061169F" w:rsidP="00516335">
      <w:pPr>
        <w:pStyle w:val="CopyrightText"/>
        <w:rPr>
          <w:rFonts w:cs="Arial"/>
          <w:lang w:val="en-AU"/>
        </w:rPr>
      </w:pPr>
    </w:p>
    <w:p w14:paraId="30193CDB" w14:textId="48AD0BFD" w:rsidR="0061169F" w:rsidRDefault="0061169F" w:rsidP="00516335">
      <w:pPr>
        <w:pStyle w:val="CopyrightText"/>
        <w:rPr>
          <w:rFonts w:cs="Arial"/>
          <w:lang w:val="en-AU"/>
        </w:rPr>
      </w:pPr>
      <w:r w:rsidRPr="0061169F">
        <w:rPr>
          <w:rFonts w:cs="Arial"/>
          <w:noProof/>
          <w:lang w:val="en-AU"/>
        </w:rPr>
        <w:drawing>
          <wp:inline distT="0" distB="0" distL="0" distR="0" wp14:anchorId="31B1BD6E" wp14:editId="0ABCFA9C">
            <wp:extent cx="1689100" cy="546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9100" cy="546100"/>
                    </a:xfrm>
                    <a:prstGeom prst="rect">
                      <a:avLst/>
                    </a:prstGeom>
                  </pic:spPr>
                </pic:pic>
              </a:graphicData>
            </a:graphic>
          </wp:inline>
        </w:drawing>
      </w:r>
    </w:p>
    <w:p w14:paraId="2BC1211D" w14:textId="77777777" w:rsidR="00420B8C" w:rsidRDefault="00446DC4" w:rsidP="00C83BC9">
      <w:pPr>
        <w:jc w:val="center"/>
        <w:rPr>
          <w:rFonts w:cs="Arial"/>
        </w:rPr>
      </w:pPr>
      <w:r>
        <w:rPr>
          <w:rFonts w:cs="Arial"/>
        </w:rPr>
        <w:br w:type="page"/>
      </w:r>
    </w:p>
    <w:p w14:paraId="12024C01" w14:textId="77777777" w:rsidR="00420B8C" w:rsidRDefault="00420B8C" w:rsidP="000433F9">
      <w:pPr>
        <w:pStyle w:val="Titolosommario"/>
        <w:rPr>
          <w:rFonts w:cs="Open Sans"/>
          <w:b w:val="0"/>
          <w:sz w:val="24"/>
          <w:lang w:val="en-AU"/>
        </w:rPr>
      </w:pPr>
    </w:p>
    <w:sdt>
      <w:sdtPr>
        <w:rPr>
          <w:rFonts w:cs="Open Sans"/>
          <w:b w:val="0"/>
          <w:sz w:val="24"/>
          <w:lang w:val="en-AU"/>
        </w:rPr>
        <w:id w:val="-512752674"/>
        <w:docPartObj>
          <w:docPartGallery w:val="Table of Contents"/>
          <w:docPartUnique/>
        </w:docPartObj>
      </w:sdtPr>
      <w:sdtEndPr>
        <w:rPr>
          <w:bCs/>
          <w:noProof/>
        </w:rPr>
      </w:sdtEndPr>
      <w:sdtContent>
        <w:p w14:paraId="7B254907" w14:textId="3E4C5915" w:rsidR="000433F9" w:rsidRPr="00397230" w:rsidRDefault="000433F9" w:rsidP="000433F9">
          <w:pPr>
            <w:pStyle w:val="Titolosommario"/>
            <w:rPr>
              <w:rFonts w:cs="Open Sans"/>
            </w:rPr>
          </w:pPr>
          <w:r w:rsidRPr="001E4E9B">
            <w:rPr>
              <w:rFonts w:cs="Open Sans"/>
              <w:sz w:val="36"/>
              <w:szCs w:val="36"/>
            </w:rPr>
            <w:t>Contents</w:t>
          </w:r>
          <w:r w:rsidRPr="00397230">
            <w:rPr>
              <w:rFonts w:cs="Open Sans"/>
            </w:rPr>
            <w:br/>
          </w:r>
        </w:p>
        <w:p w14:paraId="3CF27BD0" w14:textId="5B1DCD19" w:rsidR="00FD1697" w:rsidRDefault="000433F9" w:rsidP="00FD1697">
          <w:pPr>
            <w:pStyle w:val="Sommario1"/>
            <w:rPr>
              <w:rFonts w:asciiTheme="minorHAnsi" w:eastAsiaTheme="minorEastAsia" w:hAnsiTheme="minorHAnsi" w:cstheme="minorBidi"/>
              <w:noProof/>
              <w:spacing w:val="0"/>
              <w:szCs w:val="24"/>
              <w:lang w:val="it-IT" w:eastAsia="it-IT"/>
            </w:rPr>
          </w:pPr>
          <w:r w:rsidRPr="001133D6">
            <w:rPr>
              <w:rFonts w:cs="Open Sans"/>
            </w:rPr>
            <w:fldChar w:fldCharType="begin"/>
          </w:r>
          <w:r w:rsidRPr="001133D6">
            <w:rPr>
              <w:rFonts w:cs="Open Sans"/>
            </w:rPr>
            <w:instrText xml:space="preserve"> TOC \o "1-3" \h \z \u </w:instrText>
          </w:r>
          <w:r w:rsidRPr="001133D6">
            <w:rPr>
              <w:rFonts w:cs="Open Sans"/>
            </w:rPr>
            <w:fldChar w:fldCharType="separate"/>
          </w:r>
          <w:hyperlink w:anchor="_Toc48229415" w:history="1">
            <w:r w:rsidR="00FD1697" w:rsidRPr="00944F4A">
              <w:rPr>
                <w:rStyle w:val="Collegamentoipertestuale"/>
                <w:noProof/>
              </w:rPr>
              <w:t>1</w:t>
            </w:r>
            <w:r w:rsidR="00FD1697">
              <w:rPr>
                <w:rFonts w:asciiTheme="minorHAnsi" w:eastAsiaTheme="minorEastAsia" w:hAnsiTheme="minorHAnsi" w:cstheme="minorBidi"/>
                <w:noProof/>
                <w:spacing w:val="0"/>
                <w:szCs w:val="24"/>
                <w:lang w:val="it-IT" w:eastAsia="it-IT"/>
              </w:rPr>
              <w:tab/>
            </w:r>
            <w:r w:rsidR="00FD1697" w:rsidRPr="00944F4A">
              <w:rPr>
                <w:rStyle w:val="Collegamentoipertestuale"/>
                <w:rFonts w:cs="Open Sans"/>
                <w:noProof/>
              </w:rPr>
              <w:t>Introduction to this inquiry</w:t>
            </w:r>
            <w:r w:rsidR="00FD1697">
              <w:rPr>
                <w:noProof/>
                <w:webHidden/>
              </w:rPr>
              <w:tab/>
            </w:r>
            <w:r w:rsidR="00FD1697">
              <w:rPr>
                <w:noProof/>
                <w:webHidden/>
              </w:rPr>
              <w:fldChar w:fldCharType="begin"/>
            </w:r>
            <w:r w:rsidR="00FD1697">
              <w:rPr>
                <w:noProof/>
                <w:webHidden/>
              </w:rPr>
              <w:instrText xml:space="preserve"> PAGEREF _Toc48229415 \h </w:instrText>
            </w:r>
            <w:r w:rsidR="00FD1697">
              <w:rPr>
                <w:noProof/>
                <w:webHidden/>
              </w:rPr>
            </w:r>
            <w:r w:rsidR="00FD1697">
              <w:rPr>
                <w:noProof/>
                <w:webHidden/>
              </w:rPr>
              <w:fldChar w:fldCharType="separate"/>
            </w:r>
            <w:r w:rsidR="00FD1697">
              <w:rPr>
                <w:noProof/>
                <w:webHidden/>
              </w:rPr>
              <w:t>6</w:t>
            </w:r>
            <w:r w:rsidR="00FD1697">
              <w:rPr>
                <w:noProof/>
                <w:webHidden/>
              </w:rPr>
              <w:fldChar w:fldCharType="end"/>
            </w:r>
          </w:hyperlink>
        </w:p>
        <w:p w14:paraId="3D849F1F" w14:textId="75A74F32" w:rsidR="00FD1697" w:rsidRDefault="00D25584" w:rsidP="00FD1697">
          <w:pPr>
            <w:pStyle w:val="Sommario1"/>
            <w:rPr>
              <w:rFonts w:asciiTheme="minorHAnsi" w:eastAsiaTheme="minorEastAsia" w:hAnsiTheme="minorHAnsi" w:cstheme="minorBidi"/>
              <w:noProof/>
              <w:spacing w:val="0"/>
              <w:szCs w:val="24"/>
              <w:lang w:val="it-IT" w:eastAsia="it-IT"/>
            </w:rPr>
          </w:pPr>
          <w:hyperlink w:anchor="_Toc48229416" w:history="1">
            <w:r w:rsidR="00FD1697" w:rsidRPr="00944F4A">
              <w:rPr>
                <w:rStyle w:val="Collegamentoipertestuale"/>
                <w:noProof/>
              </w:rPr>
              <w:t>2</w:t>
            </w:r>
            <w:r w:rsidR="00FD1697">
              <w:rPr>
                <w:rFonts w:asciiTheme="minorHAnsi" w:eastAsiaTheme="minorEastAsia" w:hAnsiTheme="minorHAnsi" w:cstheme="minorBidi"/>
                <w:noProof/>
                <w:spacing w:val="0"/>
                <w:szCs w:val="24"/>
                <w:lang w:val="it-IT" w:eastAsia="it-IT"/>
              </w:rPr>
              <w:tab/>
            </w:r>
            <w:r w:rsidR="00FD1697" w:rsidRPr="00944F4A">
              <w:rPr>
                <w:rStyle w:val="Collegamentoipertestuale"/>
                <w:rFonts w:cs="Open Sans"/>
                <w:noProof/>
              </w:rPr>
              <w:t>Background</w:t>
            </w:r>
            <w:r w:rsidR="00FD1697">
              <w:rPr>
                <w:noProof/>
                <w:webHidden/>
              </w:rPr>
              <w:tab/>
            </w:r>
            <w:r w:rsidR="00FD1697">
              <w:rPr>
                <w:noProof/>
                <w:webHidden/>
              </w:rPr>
              <w:fldChar w:fldCharType="begin"/>
            </w:r>
            <w:r w:rsidR="00FD1697">
              <w:rPr>
                <w:noProof/>
                <w:webHidden/>
              </w:rPr>
              <w:instrText xml:space="preserve"> PAGEREF _Toc48229416 \h </w:instrText>
            </w:r>
            <w:r w:rsidR="00FD1697">
              <w:rPr>
                <w:noProof/>
                <w:webHidden/>
              </w:rPr>
            </w:r>
            <w:r w:rsidR="00FD1697">
              <w:rPr>
                <w:noProof/>
                <w:webHidden/>
              </w:rPr>
              <w:fldChar w:fldCharType="separate"/>
            </w:r>
            <w:r w:rsidR="00FD1697">
              <w:rPr>
                <w:noProof/>
                <w:webHidden/>
              </w:rPr>
              <w:t>7</w:t>
            </w:r>
            <w:r w:rsidR="00FD1697">
              <w:rPr>
                <w:noProof/>
                <w:webHidden/>
              </w:rPr>
              <w:fldChar w:fldCharType="end"/>
            </w:r>
          </w:hyperlink>
        </w:p>
        <w:p w14:paraId="23D949D2" w14:textId="3A519FB0" w:rsidR="00FD1697" w:rsidRDefault="00D25584" w:rsidP="00FD1697">
          <w:pPr>
            <w:pStyle w:val="Sommario1"/>
            <w:rPr>
              <w:rFonts w:asciiTheme="minorHAnsi" w:eastAsiaTheme="minorEastAsia" w:hAnsiTheme="minorHAnsi" w:cstheme="minorBidi"/>
              <w:noProof/>
              <w:spacing w:val="0"/>
              <w:szCs w:val="24"/>
              <w:lang w:val="it-IT" w:eastAsia="it-IT"/>
            </w:rPr>
          </w:pPr>
          <w:hyperlink w:anchor="_Toc48229417" w:history="1">
            <w:r w:rsidR="00FD1697" w:rsidRPr="00944F4A">
              <w:rPr>
                <w:rStyle w:val="Collegamentoipertestuale"/>
                <w:noProof/>
              </w:rPr>
              <w:t>3</w:t>
            </w:r>
            <w:r w:rsidR="00FD1697">
              <w:rPr>
                <w:rFonts w:asciiTheme="minorHAnsi" w:eastAsiaTheme="minorEastAsia" w:hAnsiTheme="minorHAnsi" w:cstheme="minorBidi"/>
                <w:noProof/>
                <w:spacing w:val="0"/>
                <w:szCs w:val="24"/>
                <w:lang w:val="it-IT" w:eastAsia="it-IT"/>
              </w:rPr>
              <w:tab/>
            </w:r>
            <w:r w:rsidR="00FD1697" w:rsidRPr="00944F4A">
              <w:rPr>
                <w:rStyle w:val="Collegamentoipertestuale"/>
                <w:rFonts w:cs="Open Sans"/>
                <w:noProof/>
              </w:rPr>
              <w:t>Conciliation</w:t>
            </w:r>
            <w:r w:rsidR="00FD1697">
              <w:rPr>
                <w:noProof/>
                <w:webHidden/>
              </w:rPr>
              <w:tab/>
            </w:r>
            <w:r w:rsidR="00FD1697">
              <w:rPr>
                <w:noProof/>
                <w:webHidden/>
              </w:rPr>
              <w:fldChar w:fldCharType="begin"/>
            </w:r>
            <w:r w:rsidR="00FD1697">
              <w:rPr>
                <w:noProof/>
                <w:webHidden/>
              </w:rPr>
              <w:instrText xml:space="preserve"> PAGEREF _Toc48229417 \h </w:instrText>
            </w:r>
            <w:r w:rsidR="00FD1697">
              <w:rPr>
                <w:noProof/>
                <w:webHidden/>
              </w:rPr>
            </w:r>
            <w:r w:rsidR="00FD1697">
              <w:rPr>
                <w:noProof/>
                <w:webHidden/>
              </w:rPr>
              <w:fldChar w:fldCharType="separate"/>
            </w:r>
            <w:r w:rsidR="00FD1697">
              <w:rPr>
                <w:noProof/>
                <w:webHidden/>
              </w:rPr>
              <w:t>10</w:t>
            </w:r>
            <w:r w:rsidR="00FD1697">
              <w:rPr>
                <w:noProof/>
                <w:webHidden/>
              </w:rPr>
              <w:fldChar w:fldCharType="end"/>
            </w:r>
          </w:hyperlink>
        </w:p>
        <w:p w14:paraId="61F1C3CB" w14:textId="2F392F9E" w:rsidR="00FD1697" w:rsidRDefault="00D25584" w:rsidP="00FD1697">
          <w:pPr>
            <w:pStyle w:val="Sommario1"/>
            <w:rPr>
              <w:rFonts w:asciiTheme="minorHAnsi" w:eastAsiaTheme="minorEastAsia" w:hAnsiTheme="minorHAnsi" w:cstheme="minorBidi"/>
              <w:noProof/>
              <w:spacing w:val="0"/>
              <w:szCs w:val="24"/>
              <w:lang w:val="it-IT" w:eastAsia="it-IT"/>
            </w:rPr>
          </w:pPr>
          <w:hyperlink w:anchor="_Toc48229418" w:history="1">
            <w:r w:rsidR="00FD1697" w:rsidRPr="00944F4A">
              <w:rPr>
                <w:rStyle w:val="Collegamentoipertestuale"/>
                <w:noProof/>
              </w:rPr>
              <w:t>4</w:t>
            </w:r>
            <w:r w:rsidR="00FD1697">
              <w:rPr>
                <w:rFonts w:asciiTheme="minorHAnsi" w:eastAsiaTheme="minorEastAsia" w:hAnsiTheme="minorHAnsi" w:cstheme="minorBidi"/>
                <w:noProof/>
                <w:spacing w:val="0"/>
                <w:szCs w:val="24"/>
                <w:lang w:val="it-IT" w:eastAsia="it-IT"/>
              </w:rPr>
              <w:tab/>
            </w:r>
            <w:r w:rsidR="00FD1697" w:rsidRPr="00944F4A">
              <w:rPr>
                <w:rStyle w:val="Collegamentoipertestuale"/>
                <w:rFonts w:cs="Open Sans"/>
                <w:noProof/>
              </w:rPr>
              <w:t>Procedural history of this inquiry</w:t>
            </w:r>
            <w:r w:rsidR="00FD1697">
              <w:rPr>
                <w:noProof/>
                <w:webHidden/>
              </w:rPr>
              <w:tab/>
            </w:r>
            <w:r w:rsidR="00FD1697">
              <w:rPr>
                <w:noProof/>
                <w:webHidden/>
              </w:rPr>
              <w:fldChar w:fldCharType="begin"/>
            </w:r>
            <w:r w:rsidR="00FD1697">
              <w:rPr>
                <w:noProof/>
                <w:webHidden/>
              </w:rPr>
              <w:instrText xml:space="preserve"> PAGEREF _Toc48229418 \h </w:instrText>
            </w:r>
            <w:r w:rsidR="00FD1697">
              <w:rPr>
                <w:noProof/>
                <w:webHidden/>
              </w:rPr>
            </w:r>
            <w:r w:rsidR="00FD1697">
              <w:rPr>
                <w:noProof/>
                <w:webHidden/>
              </w:rPr>
              <w:fldChar w:fldCharType="separate"/>
            </w:r>
            <w:r w:rsidR="00FD1697">
              <w:rPr>
                <w:noProof/>
                <w:webHidden/>
              </w:rPr>
              <w:t>10</w:t>
            </w:r>
            <w:r w:rsidR="00FD1697">
              <w:rPr>
                <w:noProof/>
                <w:webHidden/>
              </w:rPr>
              <w:fldChar w:fldCharType="end"/>
            </w:r>
          </w:hyperlink>
        </w:p>
        <w:p w14:paraId="12F14007" w14:textId="6C50E46C" w:rsidR="00FD1697" w:rsidRDefault="00D25584" w:rsidP="00FD1697">
          <w:pPr>
            <w:pStyle w:val="Sommario1"/>
            <w:rPr>
              <w:rFonts w:asciiTheme="minorHAnsi" w:eastAsiaTheme="minorEastAsia" w:hAnsiTheme="minorHAnsi" w:cstheme="minorBidi"/>
              <w:noProof/>
              <w:spacing w:val="0"/>
              <w:szCs w:val="24"/>
              <w:lang w:val="it-IT" w:eastAsia="it-IT"/>
            </w:rPr>
          </w:pPr>
          <w:hyperlink w:anchor="_Toc48229419" w:history="1">
            <w:r w:rsidR="00FD1697" w:rsidRPr="00944F4A">
              <w:rPr>
                <w:rStyle w:val="Collegamentoipertestuale"/>
                <w:noProof/>
              </w:rPr>
              <w:t>5</w:t>
            </w:r>
            <w:r w:rsidR="00FD1697">
              <w:rPr>
                <w:rFonts w:asciiTheme="minorHAnsi" w:eastAsiaTheme="minorEastAsia" w:hAnsiTheme="minorHAnsi" w:cstheme="minorBidi"/>
                <w:noProof/>
                <w:spacing w:val="0"/>
                <w:szCs w:val="24"/>
                <w:lang w:val="it-IT" w:eastAsia="it-IT"/>
              </w:rPr>
              <w:tab/>
            </w:r>
            <w:r w:rsidR="00FD1697" w:rsidRPr="00944F4A">
              <w:rPr>
                <w:rStyle w:val="Collegamentoipertestuale"/>
                <w:rFonts w:cs="Open Sans"/>
                <w:noProof/>
              </w:rPr>
              <w:t>Legislative framework</w:t>
            </w:r>
            <w:r w:rsidR="00FD1697">
              <w:rPr>
                <w:noProof/>
                <w:webHidden/>
              </w:rPr>
              <w:tab/>
            </w:r>
            <w:r w:rsidR="00FD1697">
              <w:rPr>
                <w:noProof/>
                <w:webHidden/>
              </w:rPr>
              <w:fldChar w:fldCharType="begin"/>
            </w:r>
            <w:r w:rsidR="00FD1697">
              <w:rPr>
                <w:noProof/>
                <w:webHidden/>
              </w:rPr>
              <w:instrText xml:space="preserve"> PAGEREF _Toc48229419 \h </w:instrText>
            </w:r>
            <w:r w:rsidR="00FD1697">
              <w:rPr>
                <w:noProof/>
                <w:webHidden/>
              </w:rPr>
            </w:r>
            <w:r w:rsidR="00FD1697">
              <w:rPr>
                <w:noProof/>
                <w:webHidden/>
              </w:rPr>
              <w:fldChar w:fldCharType="separate"/>
            </w:r>
            <w:r w:rsidR="00FD1697">
              <w:rPr>
                <w:noProof/>
                <w:webHidden/>
              </w:rPr>
              <w:t>10</w:t>
            </w:r>
            <w:r w:rsidR="00FD1697">
              <w:rPr>
                <w:noProof/>
                <w:webHidden/>
              </w:rPr>
              <w:fldChar w:fldCharType="end"/>
            </w:r>
          </w:hyperlink>
        </w:p>
        <w:p w14:paraId="4C321AFE" w14:textId="6105BDDB" w:rsidR="00FD1697" w:rsidRDefault="00D25584">
          <w:pPr>
            <w:pStyle w:val="Sommario2"/>
            <w:tabs>
              <w:tab w:val="right" w:leader="dot" w:pos="9060"/>
            </w:tabs>
            <w:rPr>
              <w:rFonts w:asciiTheme="minorHAnsi" w:eastAsiaTheme="minorEastAsia" w:hAnsiTheme="minorHAnsi" w:cstheme="minorBidi"/>
              <w:b w:val="0"/>
              <w:i w:val="0"/>
              <w:noProof/>
              <w:spacing w:val="0"/>
              <w:szCs w:val="24"/>
              <w:lang w:val="it-IT" w:eastAsia="it-IT"/>
            </w:rPr>
          </w:pPr>
          <w:hyperlink w:anchor="_Toc48229420" w:history="1">
            <w:r w:rsidR="00FD1697" w:rsidRPr="00944F4A">
              <w:rPr>
                <w:rStyle w:val="Collegamentoipertestuale"/>
                <w:iCs/>
                <w:noProof/>
              </w:rPr>
              <w:t>5.1</w:t>
            </w:r>
            <w:r w:rsidR="00FD1697">
              <w:rPr>
                <w:rFonts w:asciiTheme="minorHAnsi" w:eastAsiaTheme="minorEastAsia" w:hAnsiTheme="minorHAnsi" w:cstheme="minorBidi"/>
                <w:b w:val="0"/>
                <w:i w:val="0"/>
                <w:noProof/>
                <w:spacing w:val="0"/>
                <w:szCs w:val="24"/>
                <w:lang w:val="it-IT" w:eastAsia="it-IT"/>
              </w:rPr>
              <w:tab/>
            </w:r>
            <w:r w:rsidR="00FD1697" w:rsidRPr="00944F4A">
              <w:rPr>
                <w:rStyle w:val="Collegamentoipertestuale"/>
                <w:rFonts w:cs="Open Sans"/>
                <w:noProof/>
              </w:rPr>
              <w:t>Functions of the Commission</w:t>
            </w:r>
            <w:r w:rsidR="00FD1697">
              <w:rPr>
                <w:noProof/>
                <w:webHidden/>
              </w:rPr>
              <w:tab/>
            </w:r>
            <w:r w:rsidR="00FD1697">
              <w:rPr>
                <w:noProof/>
                <w:webHidden/>
              </w:rPr>
              <w:fldChar w:fldCharType="begin"/>
            </w:r>
            <w:r w:rsidR="00FD1697">
              <w:rPr>
                <w:noProof/>
                <w:webHidden/>
              </w:rPr>
              <w:instrText xml:space="preserve"> PAGEREF _Toc48229420 \h </w:instrText>
            </w:r>
            <w:r w:rsidR="00FD1697">
              <w:rPr>
                <w:noProof/>
                <w:webHidden/>
              </w:rPr>
            </w:r>
            <w:r w:rsidR="00FD1697">
              <w:rPr>
                <w:noProof/>
                <w:webHidden/>
              </w:rPr>
              <w:fldChar w:fldCharType="separate"/>
            </w:r>
            <w:r w:rsidR="00FD1697">
              <w:rPr>
                <w:noProof/>
                <w:webHidden/>
              </w:rPr>
              <w:t>10</w:t>
            </w:r>
            <w:r w:rsidR="00FD1697">
              <w:rPr>
                <w:noProof/>
                <w:webHidden/>
              </w:rPr>
              <w:fldChar w:fldCharType="end"/>
            </w:r>
          </w:hyperlink>
        </w:p>
        <w:p w14:paraId="394262EF" w14:textId="2859BBE6" w:rsidR="00FD1697" w:rsidRDefault="00D25584">
          <w:pPr>
            <w:pStyle w:val="Sommario2"/>
            <w:tabs>
              <w:tab w:val="right" w:leader="dot" w:pos="9060"/>
            </w:tabs>
            <w:rPr>
              <w:rFonts w:asciiTheme="minorHAnsi" w:eastAsiaTheme="minorEastAsia" w:hAnsiTheme="minorHAnsi" w:cstheme="minorBidi"/>
              <w:b w:val="0"/>
              <w:i w:val="0"/>
              <w:noProof/>
              <w:spacing w:val="0"/>
              <w:szCs w:val="24"/>
              <w:lang w:val="it-IT" w:eastAsia="it-IT"/>
            </w:rPr>
          </w:pPr>
          <w:hyperlink w:anchor="_Toc48229421" w:history="1">
            <w:r w:rsidR="00FD1697" w:rsidRPr="00944F4A">
              <w:rPr>
                <w:rStyle w:val="Collegamentoipertestuale"/>
                <w:iCs/>
                <w:noProof/>
              </w:rPr>
              <w:t>5.2</w:t>
            </w:r>
            <w:r w:rsidR="00FD1697">
              <w:rPr>
                <w:rFonts w:asciiTheme="minorHAnsi" w:eastAsiaTheme="minorEastAsia" w:hAnsiTheme="minorHAnsi" w:cstheme="minorBidi"/>
                <w:b w:val="0"/>
                <w:i w:val="0"/>
                <w:noProof/>
                <w:spacing w:val="0"/>
                <w:szCs w:val="24"/>
                <w:lang w:val="it-IT" w:eastAsia="it-IT"/>
              </w:rPr>
              <w:tab/>
            </w:r>
            <w:r w:rsidR="00FD1697" w:rsidRPr="00944F4A">
              <w:rPr>
                <w:rStyle w:val="Collegamentoipertestuale"/>
                <w:rFonts w:cs="Open Sans"/>
                <w:noProof/>
              </w:rPr>
              <w:t>What is an ‘act’ or ‘practice’?</w:t>
            </w:r>
            <w:r w:rsidR="00FD1697">
              <w:rPr>
                <w:noProof/>
                <w:webHidden/>
              </w:rPr>
              <w:tab/>
            </w:r>
            <w:r w:rsidR="00FD1697">
              <w:rPr>
                <w:noProof/>
                <w:webHidden/>
              </w:rPr>
              <w:fldChar w:fldCharType="begin"/>
            </w:r>
            <w:r w:rsidR="00FD1697">
              <w:rPr>
                <w:noProof/>
                <w:webHidden/>
              </w:rPr>
              <w:instrText xml:space="preserve"> PAGEREF _Toc48229421 \h </w:instrText>
            </w:r>
            <w:r w:rsidR="00FD1697">
              <w:rPr>
                <w:noProof/>
                <w:webHidden/>
              </w:rPr>
            </w:r>
            <w:r w:rsidR="00FD1697">
              <w:rPr>
                <w:noProof/>
                <w:webHidden/>
              </w:rPr>
              <w:fldChar w:fldCharType="separate"/>
            </w:r>
            <w:r w:rsidR="00FD1697">
              <w:rPr>
                <w:noProof/>
                <w:webHidden/>
              </w:rPr>
              <w:t>11</w:t>
            </w:r>
            <w:r w:rsidR="00FD1697">
              <w:rPr>
                <w:noProof/>
                <w:webHidden/>
              </w:rPr>
              <w:fldChar w:fldCharType="end"/>
            </w:r>
          </w:hyperlink>
        </w:p>
        <w:p w14:paraId="42DA2A70" w14:textId="787D26FC" w:rsidR="00FD1697" w:rsidRDefault="00D25584">
          <w:pPr>
            <w:pStyle w:val="Sommario2"/>
            <w:tabs>
              <w:tab w:val="right" w:leader="dot" w:pos="9060"/>
            </w:tabs>
            <w:rPr>
              <w:rFonts w:asciiTheme="minorHAnsi" w:eastAsiaTheme="minorEastAsia" w:hAnsiTheme="minorHAnsi" w:cstheme="minorBidi"/>
              <w:b w:val="0"/>
              <w:i w:val="0"/>
              <w:noProof/>
              <w:spacing w:val="0"/>
              <w:szCs w:val="24"/>
              <w:lang w:val="it-IT" w:eastAsia="it-IT"/>
            </w:rPr>
          </w:pPr>
          <w:hyperlink w:anchor="_Toc48229422" w:history="1">
            <w:r w:rsidR="00FD1697" w:rsidRPr="00944F4A">
              <w:rPr>
                <w:rStyle w:val="Collegamentoipertestuale"/>
                <w:iCs/>
                <w:noProof/>
              </w:rPr>
              <w:t>5.3</w:t>
            </w:r>
            <w:r w:rsidR="00FD1697">
              <w:rPr>
                <w:rFonts w:asciiTheme="minorHAnsi" w:eastAsiaTheme="minorEastAsia" w:hAnsiTheme="minorHAnsi" w:cstheme="minorBidi"/>
                <w:b w:val="0"/>
                <w:i w:val="0"/>
                <w:noProof/>
                <w:spacing w:val="0"/>
                <w:szCs w:val="24"/>
                <w:lang w:val="it-IT" w:eastAsia="it-IT"/>
              </w:rPr>
              <w:tab/>
            </w:r>
            <w:r w:rsidR="00FD1697" w:rsidRPr="00944F4A">
              <w:rPr>
                <w:rStyle w:val="Collegamentoipertestuale"/>
                <w:rFonts w:cs="Open Sans"/>
                <w:noProof/>
              </w:rPr>
              <w:t>What is a human right?</w:t>
            </w:r>
            <w:r w:rsidR="00FD1697">
              <w:rPr>
                <w:noProof/>
                <w:webHidden/>
              </w:rPr>
              <w:tab/>
            </w:r>
            <w:r w:rsidR="00FD1697">
              <w:rPr>
                <w:noProof/>
                <w:webHidden/>
              </w:rPr>
              <w:fldChar w:fldCharType="begin"/>
            </w:r>
            <w:r w:rsidR="00FD1697">
              <w:rPr>
                <w:noProof/>
                <w:webHidden/>
              </w:rPr>
              <w:instrText xml:space="preserve"> PAGEREF _Toc48229422 \h </w:instrText>
            </w:r>
            <w:r w:rsidR="00FD1697">
              <w:rPr>
                <w:noProof/>
                <w:webHidden/>
              </w:rPr>
            </w:r>
            <w:r w:rsidR="00FD1697">
              <w:rPr>
                <w:noProof/>
                <w:webHidden/>
              </w:rPr>
              <w:fldChar w:fldCharType="separate"/>
            </w:r>
            <w:r w:rsidR="00FD1697">
              <w:rPr>
                <w:noProof/>
                <w:webHidden/>
              </w:rPr>
              <w:t>11</w:t>
            </w:r>
            <w:r w:rsidR="00FD1697">
              <w:rPr>
                <w:noProof/>
                <w:webHidden/>
              </w:rPr>
              <w:fldChar w:fldCharType="end"/>
            </w:r>
          </w:hyperlink>
        </w:p>
        <w:p w14:paraId="469AECB2" w14:textId="1282EBD3" w:rsidR="00FD1697" w:rsidRDefault="00D25584" w:rsidP="00FD1697">
          <w:pPr>
            <w:pStyle w:val="Sommario1"/>
            <w:rPr>
              <w:rFonts w:asciiTheme="minorHAnsi" w:eastAsiaTheme="minorEastAsia" w:hAnsiTheme="minorHAnsi" w:cstheme="minorBidi"/>
              <w:noProof/>
              <w:spacing w:val="0"/>
              <w:szCs w:val="24"/>
              <w:lang w:val="it-IT" w:eastAsia="it-IT"/>
            </w:rPr>
          </w:pPr>
          <w:hyperlink w:anchor="_Toc48229423" w:history="1">
            <w:r w:rsidR="00FD1697" w:rsidRPr="00944F4A">
              <w:rPr>
                <w:rStyle w:val="Collegamentoipertestuale"/>
                <w:noProof/>
              </w:rPr>
              <w:t>6</w:t>
            </w:r>
            <w:r w:rsidR="00FD1697">
              <w:rPr>
                <w:rFonts w:asciiTheme="minorHAnsi" w:eastAsiaTheme="minorEastAsia" w:hAnsiTheme="minorHAnsi" w:cstheme="minorBidi"/>
                <w:noProof/>
                <w:spacing w:val="0"/>
                <w:szCs w:val="24"/>
                <w:lang w:val="it-IT" w:eastAsia="it-IT"/>
              </w:rPr>
              <w:tab/>
            </w:r>
            <w:r w:rsidR="00FD1697" w:rsidRPr="00944F4A">
              <w:rPr>
                <w:rStyle w:val="Collegamentoipertestuale"/>
                <w:rFonts w:cs="Open Sans"/>
                <w:noProof/>
              </w:rPr>
              <w:t>Arbitrary detention</w:t>
            </w:r>
            <w:r w:rsidR="00FD1697">
              <w:rPr>
                <w:noProof/>
                <w:webHidden/>
              </w:rPr>
              <w:tab/>
            </w:r>
            <w:r w:rsidR="00FD1697">
              <w:rPr>
                <w:noProof/>
                <w:webHidden/>
              </w:rPr>
              <w:fldChar w:fldCharType="begin"/>
            </w:r>
            <w:r w:rsidR="00FD1697">
              <w:rPr>
                <w:noProof/>
                <w:webHidden/>
              </w:rPr>
              <w:instrText xml:space="preserve"> PAGEREF _Toc48229423 \h </w:instrText>
            </w:r>
            <w:r w:rsidR="00FD1697">
              <w:rPr>
                <w:noProof/>
                <w:webHidden/>
              </w:rPr>
            </w:r>
            <w:r w:rsidR="00FD1697">
              <w:rPr>
                <w:noProof/>
                <w:webHidden/>
              </w:rPr>
              <w:fldChar w:fldCharType="separate"/>
            </w:r>
            <w:r w:rsidR="00FD1697">
              <w:rPr>
                <w:noProof/>
                <w:webHidden/>
              </w:rPr>
              <w:t>11</w:t>
            </w:r>
            <w:r w:rsidR="00FD1697">
              <w:rPr>
                <w:noProof/>
                <w:webHidden/>
              </w:rPr>
              <w:fldChar w:fldCharType="end"/>
            </w:r>
          </w:hyperlink>
        </w:p>
        <w:p w14:paraId="4077329E" w14:textId="65011975" w:rsidR="00FD1697" w:rsidRDefault="00D25584">
          <w:pPr>
            <w:pStyle w:val="Sommario2"/>
            <w:tabs>
              <w:tab w:val="right" w:leader="dot" w:pos="9060"/>
            </w:tabs>
            <w:rPr>
              <w:rFonts w:asciiTheme="minorHAnsi" w:eastAsiaTheme="minorEastAsia" w:hAnsiTheme="minorHAnsi" w:cstheme="minorBidi"/>
              <w:b w:val="0"/>
              <w:i w:val="0"/>
              <w:noProof/>
              <w:spacing w:val="0"/>
              <w:szCs w:val="24"/>
              <w:lang w:val="it-IT" w:eastAsia="it-IT"/>
            </w:rPr>
          </w:pPr>
          <w:hyperlink w:anchor="_Toc48229424" w:history="1">
            <w:r w:rsidR="00FD1697" w:rsidRPr="00944F4A">
              <w:rPr>
                <w:rStyle w:val="Collegamentoipertestuale"/>
                <w:iCs/>
                <w:noProof/>
              </w:rPr>
              <w:t>6.1</w:t>
            </w:r>
            <w:r w:rsidR="00FD1697">
              <w:rPr>
                <w:rFonts w:asciiTheme="minorHAnsi" w:eastAsiaTheme="minorEastAsia" w:hAnsiTheme="minorHAnsi" w:cstheme="minorBidi"/>
                <w:b w:val="0"/>
                <w:i w:val="0"/>
                <w:noProof/>
                <w:spacing w:val="0"/>
                <w:szCs w:val="24"/>
                <w:lang w:val="it-IT" w:eastAsia="it-IT"/>
              </w:rPr>
              <w:tab/>
            </w:r>
            <w:r w:rsidR="00FD1697" w:rsidRPr="00944F4A">
              <w:rPr>
                <w:rStyle w:val="Collegamentoipertestuale"/>
                <w:rFonts w:cs="Open Sans"/>
                <w:noProof/>
              </w:rPr>
              <w:t>Law on article 9 of the ICCPR</w:t>
            </w:r>
            <w:r w:rsidR="00FD1697">
              <w:rPr>
                <w:noProof/>
                <w:webHidden/>
              </w:rPr>
              <w:tab/>
            </w:r>
            <w:r w:rsidR="00FD1697">
              <w:rPr>
                <w:noProof/>
                <w:webHidden/>
              </w:rPr>
              <w:fldChar w:fldCharType="begin"/>
            </w:r>
            <w:r w:rsidR="00FD1697">
              <w:rPr>
                <w:noProof/>
                <w:webHidden/>
              </w:rPr>
              <w:instrText xml:space="preserve"> PAGEREF _Toc48229424 \h </w:instrText>
            </w:r>
            <w:r w:rsidR="00FD1697">
              <w:rPr>
                <w:noProof/>
                <w:webHidden/>
              </w:rPr>
            </w:r>
            <w:r w:rsidR="00FD1697">
              <w:rPr>
                <w:noProof/>
                <w:webHidden/>
              </w:rPr>
              <w:fldChar w:fldCharType="separate"/>
            </w:r>
            <w:r w:rsidR="00FD1697">
              <w:rPr>
                <w:noProof/>
                <w:webHidden/>
              </w:rPr>
              <w:t>12</w:t>
            </w:r>
            <w:r w:rsidR="00FD1697">
              <w:rPr>
                <w:noProof/>
                <w:webHidden/>
              </w:rPr>
              <w:fldChar w:fldCharType="end"/>
            </w:r>
          </w:hyperlink>
        </w:p>
        <w:p w14:paraId="37DDBBF4" w14:textId="463E2609" w:rsidR="00FD1697" w:rsidRDefault="00D25584" w:rsidP="00FD1697">
          <w:pPr>
            <w:pStyle w:val="Sommario1"/>
            <w:rPr>
              <w:rFonts w:asciiTheme="minorHAnsi" w:eastAsiaTheme="minorEastAsia" w:hAnsiTheme="minorHAnsi" w:cstheme="minorBidi"/>
              <w:noProof/>
              <w:spacing w:val="0"/>
              <w:szCs w:val="24"/>
              <w:lang w:val="it-IT" w:eastAsia="it-IT"/>
            </w:rPr>
          </w:pPr>
          <w:hyperlink w:anchor="_Toc48229425" w:history="1">
            <w:r w:rsidR="00FD1697" w:rsidRPr="00944F4A">
              <w:rPr>
                <w:rStyle w:val="Collegamentoipertestuale"/>
                <w:noProof/>
              </w:rPr>
              <w:t>7</w:t>
            </w:r>
            <w:r w:rsidR="00FD1697">
              <w:rPr>
                <w:rFonts w:asciiTheme="minorHAnsi" w:eastAsiaTheme="minorEastAsia" w:hAnsiTheme="minorHAnsi" w:cstheme="minorBidi"/>
                <w:noProof/>
                <w:spacing w:val="0"/>
                <w:szCs w:val="24"/>
                <w:lang w:val="it-IT" w:eastAsia="it-IT"/>
              </w:rPr>
              <w:tab/>
            </w:r>
            <w:r w:rsidR="00FD1697" w:rsidRPr="00944F4A">
              <w:rPr>
                <w:rStyle w:val="Collegamentoipertestuale"/>
                <w:rFonts w:cs="Open Sans"/>
                <w:noProof/>
              </w:rPr>
              <w:t>Assessment</w:t>
            </w:r>
            <w:r w:rsidR="00FD1697">
              <w:rPr>
                <w:noProof/>
                <w:webHidden/>
              </w:rPr>
              <w:tab/>
            </w:r>
            <w:r w:rsidR="00FD1697">
              <w:rPr>
                <w:noProof/>
                <w:webHidden/>
              </w:rPr>
              <w:fldChar w:fldCharType="begin"/>
            </w:r>
            <w:r w:rsidR="00FD1697">
              <w:rPr>
                <w:noProof/>
                <w:webHidden/>
              </w:rPr>
              <w:instrText xml:space="preserve"> PAGEREF _Toc48229425 \h </w:instrText>
            </w:r>
            <w:r w:rsidR="00FD1697">
              <w:rPr>
                <w:noProof/>
                <w:webHidden/>
              </w:rPr>
            </w:r>
            <w:r w:rsidR="00FD1697">
              <w:rPr>
                <w:noProof/>
                <w:webHidden/>
              </w:rPr>
              <w:fldChar w:fldCharType="separate"/>
            </w:r>
            <w:r w:rsidR="00FD1697">
              <w:rPr>
                <w:noProof/>
                <w:webHidden/>
              </w:rPr>
              <w:t>13</w:t>
            </w:r>
            <w:r w:rsidR="00FD1697">
              <w:rPr>
                <w:noProof/>
                <w:webHidden/>
              </w:rPr>
              <w:fldChar w:fldCharType="end"/>
            </w:r>
          </w:hyperlink>
        </w:p>
        <w:p w14:paraId="50805056" w14:textId="072135CA" w:rsidR="00FD1697" w:rsidRDefault="00D25584">
          <w:pPr>
            <w:pStyle w:val="Sommario2"/>
            <w:tabs>
              <w:tab w:val="right" w:leader="dot" w:pos="9060"/>
            </w:tabs>
            <w:rPr>
              <w:rFonts w:asciiTheme="minorHAnsi" w:eastAsiaTheme="minorEastAsia" w:hAnsiTheme="minorHAnsi" w:cstheme="minorBidi"/>
              <w:b w:val="0"/>
              <w:i w:val="0"/>
              <w:noProof/>
              <w:spacing w:val="0"/>
              <w:szCs w:val="24"/>
              <w:lang w:val="it-IT" w:eastAsia="it-IT"/>
            </w:rPr>
          </w:pPr>
          <w:hyperlink w:anchor="_Toc48229426" w:history="1">
            <w:r w:rsidR="00FD1697" w:rsidRPr="00944F4A">
              <w:rPr>
                <w:rStyle w:val="Collegamentoipertestuale"/>
                <w:iCs/>
                <w:noProof/>
              </w:rPr>
              <w:t>7.1</w:t>
            </w:r>
            <w:r w:rsidR="00FD1697">
              <w:rPr>
                <w:rFonts w:asciiTheme="minorHAnsi" w:eastAsiaTheme="minorEastAsia" w:hAnsiTheme="minorHAnsi" w:cstheme="minorBidi"/>
                <w:b w:val="0"/>
                <w:i w:val="0"/>
                <w:noProof/>
                <w:spacing w:val="0"/>
                <w:szCs w:val="24"/>
                <w:lang w:val="it-IT" w:eastAsia="it-IT"/>
              </w:rPr>
              <w:tab/>
            </w:r>
            <w:r w:rsidR="00FD1697" w:rsidRPr="00944F4A">
              <w:rPr>
                <w:rStyle w:val="Collegamentoipertestuale"/>
                <w:rFonts w:cs="Open Sans"/>
                <w:noProof/>
              </w:rPr>
              <w:t>Act or practice of the Commonwealth?</w:t>
            </w:r>
            <w:r w:rsidR="00FD1697">
              <w:rPr>
                <w:noProof/>
                <w:webHidden/>
              </w:rPr>
              <w:tab/>
            </w:r>
            <w:r w:rsidR="00FD1697">
              <w:rPr>
                <w:noProof/>
                <w:webHidden/>
              </w:rPr>
              <w:fldChar w:fldCharType="begin"/>
            </w:r>
            <w:r w:rsidR="00FD1697">
              <w:rPr>
                <w:noProof/>
                <w:webHidden/>
              </w:rPr>
              <w:instrText xml:space="preserve"> PAGEREF _Toc48229426 \h </w:instrText>
            </w:r>
            <w:r w:rsidR="00FD1697">
              <w:rPr>
                <w:noProof/>
                <w:webHidden/>
              </w:rPr>
            </w:r>
            <w:r w:rsidR="00FD1697">
              <w:rPr>
                <w:noProof/>
                <w:webHidden/>
              </w:rPr>
              <w:fldChar w:fldCharType="separate"/>
            </w:r>
            <w:r w:rsidR="00FD1697">
              <w:rPr>
                <w:noProof/>
                <w:webHidden/>
              </w:rPr>
              <w:t>13</w:t>
            </w:r>
            <w:r w:rsidR="00FD1697">
              <w:rPr>
                <w:noProof/>
                <w:webHidden/>
              </w:rPr>
              <w:fldChar w:fldCharType="end"/>
            </w:r>
          </w:hyperlink>
        </w:p>
        <w:p w14:paraId="6596E522" w14:textId="68C9DEF1" w:rsidR="00FD1697" w:rsidRDefault="00D25584">
          <w:pPr>
            <w:pStyle w:val="Sommario2"/>
            <w:tabs>
              <w:tab w:val="right" w:leader="dot" w:pos="9060"/>
            </w:tabs>
            <w:rPr>
              <w:rFonts w:asciiTheme="minorHAnsi" w:eastAsiaTheme="minorEastAsia" w:hAnsiTheme="minorHAnsi" w:cstheme="minorBidi"/>
              <w:b w:val="0"/>
              <w:i w:val="0"/>
              <w:noProof/>
              <w:spacing w:val="0"/>
              <w:szCs w:val="24"/>
              <w:lang w:val="it-IT" w:eastAsia="it-IT"/>
            </w:rPr>
          </w:pPr>
          <w:hyperlink w:anchor="_Toc48229427" w:history="1">
            <w:r w:rsidR="00FD1697" w:rsidRPr="00944F4A">
              <w:rPr>
                <w:rStyle w:val="Collegamentoipertestuale"/>
                <w:iCs/>
                <w:noProof/>
              </w:rPr>
              <w:t>7.2</w:t>
            </w:r>
            <w:r w:rsidR="00FD1697">
              <w:rPr>
                <w:rFonts w:asciiTheme="minorHAnsi" w:eastAsiaTheme="minorEastAsia" w:hAnsiTheme="minorHAnsi" w:cstheme="minorBidi"/>
                <w:b w:val="0"/>
                <w:i w:val="0"/>
                <w:noProof/>
                <w:spacing w:val="0"/>
                <w:szCs w:val="24"/>
                <w:lang w:val="it-IT" w:eastAsia="it-IT"/>
              </w:rPr>
              <w:tab/>
            </w:r>
            <w:r w:rsidR="00FD1697" w:rsidRPr="00944F4A">
              <w:rPr>
                <w:rStyle w:val="Collegamentoipertestuale"/>
                <w:rFonts w:cs="Open Sans"/>
                <w:noProof/>
              </w:rPr>
              <w:t>Act 1: Failure by the Department to ask ASIO to assess the individual suitability of Mr AC for community based detention</w:t>
            </w:r>
            <w:r w:rsidR="00FD1697">
              <w:rPr>
                <w:noProof/>
                <w:webHidden/>
              </w:rPr>
              <w:tab/>
            </w:r>
            <w:r w:rsidR="00FD1697">
              <w:rPr>
                <w:noProof/>
                <w:webHidden/>
              </w:rPr>
              <w:fldChar w:fldCharType="begin"/>
            </w:r>
            <w:r w:rsidR="00FD1697">
              <w:rPr>
                <w:noProof/>
                <w:webHidden/>
              </w:rPr>
              <w:instrText xml:space="preserve"> PAGEREF _Toc48229427 \h </w:instrText>
            </w:r>
            <w:r w:rsidR="00FD1697">
              <w:rPr>
                <w:noProof/>
                <w:webHidden/>
              </w:rPr>
            </w:r>
            <w:r w:rsidR="00FD1697">
              <w:rPr>
                <w:noProof/>
                <w:webHidden/>
              </w:rPr>
              <w:fldChar w:fldCharType="separate"/>
            </w:r>
            <w:r w:rsidR="00FD1697">
              <w:rPr>
                <w:noProof/>
                <w:webHidden/>
              </w:rPr>
              <w:t>15</w:t>
            </w:r>
            <w:r w:rsidR="00FD1697">
              <w:rPr>
                <w:noProof/>
                <w:webHidden/>
              </w:rPr>
              <w:fldChar w:fldCharType="end"/>
            </w:r>
          </w:hyperlink>
        </w:p>
        <w:p w14:paraId="68E126C9" w14:textId="027284F6" w:rsidR="00FD1697" w:rsidRDefault="00D25584">
          <w:pPr>
            <w:pStyle w:val="Sommario2"/>
            <w:tabs>
              <w:tab w:val="right" w:leader="dot" w:pos="9060"/>
            </w:tabs>
            <w:rPr>
              <w:rFonts w:asciiTheme="minorHAnsi" w:eastAsiaTheme="minorEastAsia" w:hAnsiTheme="minorHAnsi" w:cstheme="minorBidi"/>
              <w:b w:val="0"/>
              <w:i w:val="0"/>
              <w:noProof/>
              <w:spacing w:val="0"/>
              <w:szCs w:val="24"/>
              <w:lang w:val="it-IT" w:eastAsia="it-IT"/>
            </w:rPr>
          </w:pPr>
          <w:hyperlink w:anchor="_Toc48229428" w:history="1">
            <w:r w:rsidR="00FD1697" w:rsidRPr="00944F4A">
              <w:rPr>
                <w:rStyle w:val="Collegamentoipertestuale"/>
                <w:iCs/>
                <w:noProof/>
              </w:rPr>
              <w:t>7.3</w:t>
            </w:r>
            <w:r w:rsidR="00FD1697">
              <w:rPr>
                <w:rFonts w:asciiTheme="minorHAnsi" w:eastAsiaTheme="minorEastAsia" w:hAnsiTheme="minorHAnsi" w:cstheme="minorBidi"/>
                <w:b w:val="0"/>
                <w:i w:val="0"/>
                <w:noProof/>
                <w:spacing w:val="0"/>
                <w:szCs w:val="24"/>
                <w:lang w:val="it-IT" w:eastAsia="it-IT"/>
              </w:rPr>
              <w:tab/>
            </w:r>
            <w:r w:rsidR="00FD1697" w:rsidRPr="00944F4A">
              <w:rPr>
                <w:rStyle w:val="Collegamentoipertestuale"/>
                <w:rFonts w:cs="Open Sans"/>
                <w:noProof/>
              </w:rPr>
              <w:t>Act 2: The failure to assess on an individual basis whether the circumstances of Mr AC indicated that he could be placed in a less restrictive form of detention</w:t>
            </w:r>
            <w:r w:rsidR="00FD1697">
              <w:rPr>
                <w:noProof/>
                <w:webHidden/>
              </w:rPr>
              <w:tab/>
            </w:r>
            <w:r w:rsidR="00FD1697">
              <w:rPr>
                <w:noProof/>
                <w:webHidden/>
              </w:rPr>
              <w:fldChar w:fldCharType="begin"/>
            </w:r>
            <w:r w:rsidR="00FD1697">
              <w:rPr>
                <w:noProof/>
                <w:webHidden/>
              </w:rPr>
              <w:instrText xml:space="preserve"> PAGEREF _Toc48229428 \h </w:instrText>
            </w:r>
            <w:r w:rsidR="00FD1697">
              <w:rPr>
                <w:noProof/>
                <w:webHidden/>
              </w:rPr>
            </w:r>
            <w:r w:rsidR="00FD1697">
              <w:rPr>
                <w:noProof/>
                <w:webHidden/>
              </w:rPr>
              <w:fldChar w:fldCharType="separate"/>
            </w:r>
            <w:r w:rsidR="00FD1697">
              <w:rPr>
                <w:noProof/>
                <w:webHidden/>
              </w:rPr>
              <w:t>17</w:t>
            </w:r>
            <w:r w:rsidR="00FD1697">
              <w:rPr>
                <w:noProof/>
                <w:webHidden/>
              </w:rPr>
              <w:fldChar w:fldCharType="end"/>
            </w:r>
          </w:hyperlink>
        </w:p>
        <w:p w14:paraId="2099DA44" w14:textId="793D632A" w:rsidR="00FD1697" w:rsidRDefault="00D25584" w:rsidP="00FD1697">
          <w:pPr>
            <w:pStyle w:val="Sommario1"/>
            <w:rPr>
              <w:rFonts w:asciiTheme="minorHAnsi" w:eastAsiaTheme="minorEastAsia" w:hAnsiTheme="minorHAnsi" w:cstheme="minorBidi"/>
              <w:noProof/>
              <w:spacing w:val="0"/>
              <w:szCs w:val="24"/>
              <w:lang w:val="it-IT" w:eastAsia="it-IT"/>
            </w:rPr>
          </w:pPr>
          <w:hyperlink w:anchor="_Toc48229429" w:history="1">
            <w:r w:rsidR="00FD1697" w:rsidRPr="00944F4A">
              <w:rPr>
                <w:rStyle w:val="Collegamentoipertestuale"/>
                <w:noProof/>
              </w:rPr>
              <w:t>8</w:t>
            </w:r>
            <w:r w:rsidR="00FD1697">
              <w:rPr>
                <w:rFonts w:asciiTheme="minorHAnsi" w:eastAsiaTheme="minorEastAsia" w:hAnsiTheme="minorHAnsi" w:cstheme="minorBidi"/>
                <w:noProof/>
                <w:spacing w:val="0"/>
                <w:szCs w:val="24"/>
                <w:lang w:val="it-IT" w:eastAsia="it-IT"/>
              </w:rPr>
              <w:tab/>
            </w:r>
            <w:r w:rsidR="00FD1697" w:rsidRPr="00944F4A">
              <w:rPr>
                <w:rStyle w:val="Collegamentoipertestuale"/>
                <w:rFonts w:cs="Open Sans"/>
                <w:noProof/>
              </w:rPr>
              <w:t>Findings and Recommendations</w:t>
            </w:r>
            <w:r w:rsidR="00FD1697">
              <w:rPr>
                <w:noProof/>
                <w:webHidden/>
              </w:rPr>
              <w:tab/>
            </w:r>
            <w:r w:rsidR="00FD1697">
              <w:rPr>
                <w:noProof/>
                <w:webHidden/>
              </w:rPr>
              <w:fldChar w:fldCharType="begin"/>
            </w:r>
            <w:r w:rsidR="00FD1697">
              <w:rPr>
                <w:noProof/>
                <w:webHidden/>
              </w:rPr>
              <w:instrText xml:space="preserve"> PAGEREF _Toc48229429 \h </w:instrText>
            </w:r>
            <w:r w:rsidR="00FD1697">
              <w:rPr>
                <w:noProof/>
                <w:webHidden/>
              </w:rPr>
            </w:r>
            <w:r w:rsidR="00FD1697">
              <w:rPr>
                <w:noProof/>
                <w:webHidden/>
              </w:rPr>
              <w:fldChar w:fldCharType="separate"/>
            </w:r>
            <w:r w:rsidR="00FD1697">
              <w:rPr>
                <w:noProof/>
                <w:webHidden/>
              </w:rPr>
              <w:t>23</w:t>
            </w:r>
            <w:r w:rsidR="00FD1697">
              <w:rPr>
                <w:noProof/>
                <w:webHidden/>
              </w:rPr>
              <w:fldChar w:fldCharType="end"/>
            </w:r>
          </w:hyperlink>
        </w:p>
        <w:p w14:paraId="49573619" w14:textId="0D67CB9A" w:rsidR="00FD1697" w:rsidRDefault="00D25584">
          <w:pPr>
            <w:pStyle w:val="Sommario2"/>
            <w:tabs>
              <w:tab w:val="right" w:leader="dot" w:pos="9060"/>
            </w:tabs>
            <w:rPr>
              <w:rFonts w:asciiTheme="minorHAnsi" w:eastAsiaTheme="minorEastAsia" w:hAnsiTheme="minorHAnsi" w:cstheme="minorBidi"/>
              <w:b w:val="0"/>
              <w:i w:val="0"/>
              <w:noProof/>
              <w:spacing w:val="0"/>
              <w:szCs w:val="24"/>
              <w:lang w:val="it-IT" w:eastAsia="it-IT"/>
            </w:rPr>
          </w:pPr>
          <w:hyperlink w:anchor="_Toc48229430" w:history="1">
            <w:r w:rsidR="00FD1697" w:rsidRPr="00944F4A">
              <w:rPr>
                <w:rStyle w:val="Collegamentoipertestuale"/>
                <w:iCs/>
                <w:noProof/>
              </w:rPr>
              <w:t>8.1</w:t>
            </w:r>
            <w:r w:rsidR="00FD1697">
              <w:rPr>
                <w:rFonts w:asciiTheme="minorHAnsi" w:eastAsiaTheme="minorEastAsia" w:hAnsiTheme="minorHAnsi" w:cstheme="minorBidi"/>
                <w:b w:val="0"/>
                <w:i w:val="0"/>
                <w:noProof/>
                <w:spacing w:val="0"/>
                <w:szCs w:val="24"/>
                <w:lang w:val="it-IT" w:eastAsia="it-IT"/>
              </w:rPr>
              <w:tab/>
            </w:r>
            <w:r w:rsidR="00FD1697" w:rsidRPr="00944F4A">
              <w:rPr>
                <w:rStyle w:val="Collegamentoipertestuale"/>
                <w:rFonts w:cs="Open Sans"/>
                <w:noProof/>
              </w:rPr>
              <w:t>Recommendation to the Minister</w:t>
            </w:r>
            <w:r w:rsidR="00FD1697">
              <w:rPr>
                <w:noProof/>
                <w:webHidden/>
              </w:rPr>
              <w:tab/>
            </w:r>
            <w:r w:rsidR="00FD1697">
              <w:rPr>
                <w:noProof/>
                <w:webHidden/>
              </w:rPr>
              <w:fldChar w:fldCharType="begin"/>
            </w:r>
            <w:r w:rsidR="00FD1697">
              <w:rPr>
                <w:noProof/>
                <w:webHidden/>
              </w:rPr>
              <w:instrText xml:space="preserve"> PAGEREF _Toc48229430 \h </w:instrText>
            </w:r>
            <w:r w:rsidR="00FD1697">
              <w:rPr>
                <w:noProof/>
                <w:webHidden/>
              </w:rPr>
            </w:r>
            <w:r w:rsidR="00FD1697">
              <w:rPr>
                <w:noProof/>
                <w:webHidden/>
              </w:rPr>
              <w:fldChar w:fldCharType="separate"/>
            </w:r>
            <w:r w:rsidR="00FD1697">
              <w:rPr>
                <w:noProof/>
                <w:webHidden/>
              </w:rPr>
              <w:t>24</w:t>
            </w:r>
            <w:r w:rsidR="00FD1697">
              <w:rPr>
                <w:noProof/>
                <w:webHidden/>
              </w:rPr>
              <w:fldChar w:fldCharType="end"/>
            </w:r>
          </w:hyperlink>
        </w:p>
        <w:p w14:paraId="31C33D4B" w14:textId="78608D93" w:rsidR="00FD1697" w:rsidRDefault="00D25584">
          <w:pPr>
            <w:pStyle w:val="Sommario2"/>
            <w:tabs>
              <w:tab w:val="right" w:leader="dot" w:pos="9060"/>
            </w:tabs>
            <w:rPr>
              <w:rFonts w:asciiTheme="minorHAnsi" w:eastAsiaTheme="minorEastAsia" w:hAnsiTheme="minorHAnsi" w:cstheme="minorBidi"/>
              <w:b w:val="0"/>
              <w:i w:val="0"/>
              <w:noProof/>
              <w:spacing w:val="0"/>
              <w:szCs w:val="24"/>
              <w:lang w:val="it-IT" w:eastAsia="it-IT"/>
            </w:rPr>
          </w:pPr>
          <w:hyperlink w:anchor="_Toc48229431" w:history="1">
            <w:r w:rsidR="00FD1697" w:rsidRPr="00944F4A">
              <w:rPr>
                <w:rStyle w:val="Collegamentoipertestuale"/>
                <w:iCs/>
                <w:noProof/>
              </w:rPr>
              <w:t>8.2</w:t>
            </w:r>
            <w:r w:rsidR="00FD1697">
              <w:rPr>
                <w:rFonts w:asciiTheme="minorHAnsi" w:eastAsiaTheme="minorEastAsia" w:hAnsiTheme="minorHAnsi" w:cstheme="minorBidi"/>
                <w:b w:val="0"/>
                <w:i w:val="0"/>
                <w:noProof/>
                <w:spacing w:val="0"/>
                <w:szCs w:val="24"/>
                <w:lang w:val="it-IT" w:eastAsia="it-IT"/>
              </w:rPr>
              <w:tab/>
            </w:r>
            <w:r w:rsidR="00FD1697" w:rsidRPr="00944F4A">
              <w:rPr>
                <w:rStyle w:val="Collegamentoipertestuale"/>
                <w:rFonts w:cs="Open Sans"/>
                <w:noProof/>
              </w:rPr>
              <w:t>Recommendations to the Department</w:t>
            </w:r>
            <w:r w:rsidR="00FD1697">
              <w:rPr>
                <w:noProof/>
                <w:webHidden/>
              </w:rPr>
              <w:tab/>
            </w:r>
            <w:r w:rsidR="00FD1697">
              <w:rPr>
                <w:noProof/>
                <w:webHidden/>
              </w:rPr>
              <w:fldChar w:fldCharType="begin"/>
            </w:r>
            <w:r w:rsidR="00FD1697">
              <w:rPr>
                <w:noProof/>
                <w:webHidden/>
              </w:rPr>
              <w:instrText xml:space="preserve"> PAGEREF _Toc48229431 \h </w:instrText>
            </w:r>
            <w:r w:rsidR="00FD1697">
              <w:rPr>
                <w:noProof/>
                <w:webHidden/>
              </w:rPr>
            </w:r>
            <w:r w:rsidR="00FD1697">
              <w:rPr>
                <w:noProof/>
                <w:webHidden/>
              </w:rPr>
              <w:fldChar w:fldCharType="separate"/>
            </w:r>
            <w:r w:rsidR="00FD1697">
              <w:rPr>
                <w:noProof/>
                <w:webHidden/>
              </w:rPr>
              <w:t>24</w:t>
            </w:r>
            <w:r w:rsidR="00FD1697">
              <w:rPr>
                <w:noProof/>
                <w:webHidden/>
              </w:rPr>
              <w:fldChar w:fldCharType="end"/>
            </w:r>
          </w:hyperlink>
        </w:p>
        <w:p w14:paraId="2A13226A" w14:textId="6CD42691" w:rsidR="00FD1697" w:rsidRDefault="00D25584" w:rsidP="00FD1697">
          <w:pPr>
            <w:pStyle w:val="Sommario1"/>
            <w:rPr>
              <w:rFonts w:asciiTheme="minorHAnsi" w:eastAsiaTheme="minorEastAsia" w:hAnsiTheme="minorHAnsi" w:cstheme="minorBidi"/>
              <w:noProof/>
              <w:spacing w:val="0"/>
              <w:szCs w:val="24"/>
              <w:lang w:val="it-IT" w:eastAsia="it-IT"/>
            </w:rPr>
          </w:pPr>
          <w:hyperlink w:anchor="_Toc48229432" w:history="1">
            <w:r w:rsidR="00FD1697" w:rsidRPr="00944F4A">
              <w:rPr>
                <w:rStyle w:val="Collegamentoipertestuale"/>
                <w:noProof/>
              </w:rPr>
              <w:t>9</w:t>
            </w:r>
            <w:r w:rsidR="00FD1697">
              <w:rPr>
                <w:rFonts w:asciiTheme="minorHAnsi" w:eastAsiaTheme="minorEastAsia" w:hAnsiTheme="minorHAnsi" w:cstheme="minorBidi"/>
                <w:noProof/>
                <w:spacing w:val="0"/>
                <w:szCs w:val="24"/>
                <w:lang w:val="it-IT" w:eastAsia="it-IT"/>
              </w:rPr>
              <w:tab/>
            </w:r>
            <w:r w:rsidR="00FD1697" w:rsidRPr="00944F4A">
              <w:rPr>
                <w:rStyle w:val="Collegamentoipertestuale"/>
                <w:rFonts w:cs="Open Sans"/>
                <w:noProof/>
              </w:rPr>
              <w:t>Response to my findings and recommendations</w:t>
            </w:r>
            <w:r w:rsidR="00FD1697">
              <w:rPr>
                <w:noProof/>
                <w:webHidden/>
              </w:rPr>
              <w:tab/>
            </w:r>
            <w:r w:rsidR="00FD1697">
              <w:rPr>
                <w:noProof/>
                <w:webHidden/>
              </w:rPr>
              <w:fldChar w:fldCharType="begin"/>
            </w:r>
            <w:r w:rsidR="00FD1697">
              <w:rPr>
                <w:noProof/>
                <w:webHidden/>
              </w:rPr>
              <w:instrText xml:space="preserve"> PAGEREF _Toc48229432 \h </w:instrText>
            </w:r>
            <w:r w:rsidR="00FD1697">
              <w:rPr>
                <w:noProof/>
                <w:webHidden/>
              </w:rPr>
            </w:r>
            <w:r w:rsidR="00FD1697">
              <w:rPr>
                <w:noProof/>
                <w:webHidden/>
              </w:rPr>
              <w:fldChar w:fldCharType="separate"/>
            </w:r>
            <w:r w:rsidR="00FD1697">
              <w:rPr>
                <w:noProof/>
                <w:webHidden/>
              </w:rPr>
              <w:t>25</w:t>
            </w:r>
            <w:r w:rsidR="00FD1697">
              <w:rPr>
                <w:noProof/>
                <w:webHidden/>
              </w:rPr>
              <w:fldChar w:fldCharType="end"/>
            </w:r>
          </w:hyperlink>
        </w:p>
        <w:p w14:paraId="27ABE793" w14:textId="3B1C10E1" w:rsidR="000433F9" w:rsidRDefault="000433F9" w:rsidP="000433F9">
          <w:pPr>
            <w:rPr>
              <w:rFonts w:cs="Open Sans"/>
              <w:b/>
              <w:bCs/>
              <w:noProof/>
            </w:rPr>
          </w:pPr>
          <w:r w:rsidRPr="001133D6">
            <w:rPr>
              <w:rFonts w:cs="Open Sans"/>
              <w:b/>
              <w:bCs/>
              <w:noProof/>
            </w:rPr>
            <w:fldChar w:fldCharType="end"/>
          </w:r>
        </w:p>
        <w:p w14:paraId="6738B6A1" w14:textId="6EBD04F5" w:rsidR="000433F9" w:rsidRPr="00C05418" w:rsidRDefault="00D25584" w:rsidP="000433F9">
          <w:pPr>
            <w:rPr>
              <w:rFonts w:cs="Open Sans"/>
              <w:bCs/>
              <w:noProof/>
            </w:rPr>
          </w:pPr>
        </w:p>
      </w:sdtContent>
    </w:sdt>
    <w:p w14:paraId="05C338ED" w14:textId="67DEE748" w:rsidR="00C05418" w:rsidRDefault="00C05418">
      <w:pPr>
        <w:spacing w:after="160" w:line="259" w:lineRule="auto"/>
        <w:rPr>
          <w:rFonts w:cs="Open Sans"/>
        </w:rPr>
      </w:pPr>
      <w:r>
        <w:rPr>
          <w:rFonts w:cs="Open Sans"/>
        </w:rPr>
        <w:br w:type="page"/>
      </w:r>
    </w:p>
    <w:p w14:paraId="45B1200F" w14:textId="77777777" w:rsidR="00860A56" w:rsidRPr="00BA3E37" w:rsidRDefault="00860A56" w:rsidP="00860A56">
      <w:r w:rsidRPr="00B34AEE">
        <w:rPr>
          <w:rFonts w:cs="Open Sans"/>
        </w:rPr>
        <w:lastRenderedPageBreak/>
        <w:t>The Hon Christian Porter MP</w:t>
      </w:r>
    </w:p>
    <w:p w14:paraId="3727B47E" w14:textId="2FEE271A" w:rsidR="00860A56" w:rsidRPr="00B34AEE" w:rsidRDefault="00860A56" w:rsidP="00860A56">
      <w:pPr>
        <w:rPr>
          <w:rFonts w:cs="Open Sans"/>
        </w:rPr>
      </w:pPr>
      <w:r w:rsidRPr="00B34AEE">
        <w:rPr>
          <w:rFonts w:cs="Open Sans"/>
        </w:rPr>
        <w:t>Attorney-General</w:t>
      </w:r>
    </w:p>
    <w:p w14:paraId="094425D6" w14:textId="77777777" w:rsidR="00860A56" w:rsidRPr="00B34AEE" w:rsidRDefault="00860A56" w:rsidP="00860A56">
      <w:pPr>
        <w:rPr>
          <w:rFonts w:cs="Open Sans"/>
          <w:color w:val="231F20"/>
        </w:rPr>
      </w:pPr>
      <w:r w:rsidRPr="00B34AEE">
        <w:rPr>
          <w:rFonts w:cs="Open Sans"/>
          <w:color w:val="231F20"/>
        </w:rPr>
        <w:t>Parliament House</w:t>
      </w:r>
    </w:p>
    <w:p w14:paraId="166C30FA" w14:textId="77777777" w:rsidR="00860A56" w:rsidRPr="00B34AEE" w:rsidRDefault="00860A56" w:rsidP="00860A56">
      <w:pPr>
        <w:rPr>
          <w:rFonts w:cs="Open Sans"/>
        </w:rPr>
      </w:pPr>
      <w:r w:rsidRPr="00B34AEE">
        <w:rPr>
          <w:rFonts w:cs="Open Sans"/>
          <w:color w:val="231F20"/>
        </w:rPr>
        <w:t>Canberra ACT 2600</w:t>
      </w:r>
    </w:p>
    <w:p w14:paraId="4F9F9D11" w14:textId="77777777" w:rsidR="00860A56" w:rsidRPr="00B34AEE" w:rsidRDefault="00860A56" w:rsidP="00860A56">
      <w:pPr>
        <w:rPr>
          <w:rFonts w:cs="Open Sans"/>
          <w:szCs w:val="24"/>
        </w:rPr>
      </w:pPr>
    </w:p>
    <w:p w14:paraId="3959827F" w14:textId="77777777" w:rsidR="00860A56" w:rsidRDefault="00860A56" w:rsidP="00860A56">
      <w:pPr>
        <w:rPr>
          <w:rFonts w:cs="Open Sans"/>
          <w:szCs w:val="24"/>
        </w:rPr>
      </w:pPr>
      <w:r w:rsidRPr="00B34AEE">
        <w:rPr>
          <w:rFonts w:cs="Open Sans"/>
          <w:szCs w:val="24"/>
        </w:rPr>
        <w:t>Dear Attorney</w:t>
      </w:r>
      <w:r>
        <w:rPr>
          <w:rFonts w:cs="Open Sans"/>
          <w:szCs w:val="24"/>
        </w:rPr>
        <w:t>,</w:t>
      </w:r>
    </w:p>
    <w:p w14:paraId="39F01C80" w14:textId="77777777" w:rsidR="00860A56" w:rsidRPr="00B34AEE" w:rsidRDefault="00860A56" w:rsidP="00860A56">
      <w:pPr>
        <w:rPr>
          <w:rFonts w:cs="Open Sans"/>
          <w:szCs w:val="24"/>
        </w:rPr>
      </w:pPr>
    </w:p>
    <w:p w14:paraId="4B823696" w14:textId="77777777" w:rsidR="00860A56" w:rsidRDefault="00860A56" w:rsidP="00860A56">
      <w:pPr>
        <w:rPr>
          <w:rFonts w:cs="Open Sans"/>
          <w:szCs w:val="24"/>
        </w:rPr>
      </w:pPr>
      <w:r w:rsidRPr="00B34AEE">
        <w:rPr>
          <w:rFonts w:cs="Open Sans"/>
          <w:szCs w:val="24"/>
        </w:rPr>
        <w:t xml:space="preserve">I have completed my report pursuant to s 11(1)(f) of the </w:t>
      </w:r>
      <w:r w:rsidRPr="00B34AEE">
        <w:rPr>
          <w:rFonts w:cs="Open Sans"/>
          <w:i/>
          <w:szCs w:val="24"/>
        </w:rPr>
        <w:t xml:space="preserve">Australian Human Rights Commission Act 1986 </w:t>
      </w:r>
      <w:r w:rsidRPr="00B34AEE">
        <w:rPr>
          <w:rFonts w:cs="Open Sans"/>
          <w:szCs w:val="24"/>
        </w:rPr>
        <w:t>(</w:t>
      </w:r>
      <w:proofErr w:type="spellStart"/>
      <w:r w:rsidRPr="00B34AEE">
        <w:rPr>
          <w:rFonts w:cs="Open Sans"/>
          <w:szCs w:val="24"/>
        </w:rPr>
        <w:t>Cth</w:t>
      </w:r>
      <w:proofErr w:type="spellEnd"/>
      <w:r w:rsidRPr="00B34AEE">
        <w:rPr>
          <w:rFonts w:cs="Open Sans"/>
          <w:szCs w:val="24"/>
        </w:rPr>
        <w:t xml:space="preserve">) into </w:t>
      </w:r>
      <w:r w:rsidRPr="00F40C28">
        <w:rPr>
          <w:rFonts w:cs="Open Sans"/>
          <w:szCs w:val="24"/>
        </w:rPr>
        <w:t xml:space="preserve">the </w:t>
      </w:r>
      <w:r>
        <w:rPr>
          <w:rFonts w:cs="Open Sans"/>
          <w:szCs w:val="24"/>
        </w:rPr>
        <w:t>complaint</w:t>
      </w:r>
      <w:r w:rsidRPr="00F40C28">
        <w:rPr>
          <w:rFonts w:cs="Open Sans"/>
          <w:szCs w:val="24"/>
        </w:rPr>
        <w:t xml:space="preserve"> </w:t>
      </w:r>
      <w:r>
        <w:rPr>
          <w:rFonts w:cs="Open Sans"/>
          <w:szCs w:val="24"/>
        </w:rPr>
        <w:t xml:space="preserve">made by </w:t>
      </w:r>
      <w:r w:rsidRPr="00C77B68">
        <w:rPr>
          <w:rFonts w:cs="Open Sans"/>
          <w:szCs w:val="24"/>
        </w:rPr>
        <w:t xml:space="preserve">Mr </w:t>
      </w:r>
      <w:r>
        <w:rPr>
          <w:rFonts w:cs="Open Sans"/>
          <w:szCs w:val="24"/>
        </w:rPr>
        <w:t>AC</w:t>
      </w:r>
      <w:r w:rsidRPr="00C77B68">
        <w:rPr>
          <w:rFonts w:cs="Open Sans"/>
          <w:szCs w:val="24"/>
        </w:rPr>
        <w:t xml:space="preserve"> </w:t>
      </w:r>
      <w:r>
        <w:rPr>
          <w:rFonts w:cs="Open Sans"/>
          <w:szCs w:val="24"/>
        </w:rPr>
        <w:t xml:space="preserve">against the Commonwealth of Australia, specifically against the former Department of Immigration and Border Protection and now the Department of Home Affairs (Department). </w:t>
      </w:r>
    </w:p>
    <w:p w14:paraId="5D74FB65" w14:textId="77777777" w:rsidR="00860A56" w:rsidRPr="00F40C28" w:rsidRDefault="00860A56" w:rsidP="00860A56">
      <w:pPr>
        <w:rPr>
          <w:rFonts w:cs="Open Sans"/>
          <w:szCs w:val="24"/>
        </w:rPr>
      </w:pPr>
    </w:p>
    <w:p w14:paraId="6BDD48E6" w14:textId="77777777" w:rsidR="00860A56" w:rsidRDefault="00860A56" w:rsidP="00860A56">
      <w:pPr>
        <w:rPr>
          <w:rFonts w:cs="Open Sans"/>
        </w:rPr>
      </w:pPr>
      <w:r w:rsidRPr="00CC7A67">
        <w:rPr>
          <w:rFonts w:cs="Open Sans"/>
        </w:rPr>
        <w:t>Mr</w:t>
      </w:r>
      <w:r w:rsidRPr="00C77B68">
        <w:rPr>
          <w:rFonts w:cs="Open Sans"/>
          <w:szCs w:val="24"/>
        </w:rPr>
        <w:t xml:space="preserve"> </w:t>
      </w:r>
      <w:r>
        <w:rPr>
          <w:rFonts w:cs="Open Sans"/>
          <w:szCs w:val="24"/>
        </w:rPr>
        <w:t>AC</w:t>
      </w:r>
      <w:r w:rsidRPr="00C77B68">
        <w:rPr>
          <w:rFonts w:cs="Open Sans"/>
          <w:szCs w:val="24"/>
        </w:rPr>
        <w:t xml:space="preserve"> </w:t>
      </w:r>
      <w:r>
        <w:rPr>
          <w:rFonts w:cs="Open Sans"/>
          <w:szCs w:val="24"/>
        </w:rPr>
        <w:t xml:space="preserve">complains that his detention in an immigration detention facility is arbitrary. He </w:t>
      </w:r>
      <w:r>
        <w:rPr>
          <w:rFonts w:cs="Open Sans"/>
        </w:rPr>
        <w:t>complains that the actions of</w:t>
      </w:r>
      <w:r w:rsidRPr="00CC7A67">
        <w:rPr>
          <w:rFonts w:cs="Open Sans"/>
        </w:rPr>
        <w:t xml:space="preserve"> the </w:t>
      </w:r>
      <w:r>
        <w:rPr>
          <w:rFonts w:cs="Open Sans"/>
        </w:rPr>
        <w:t xml:space="preserve">Department </w:t>
      </w:r>
      <w:r w:rsidRPr="00CC7A67">
        <w:rPr>
          <w:rFonts w:cs="Open Sans"/>
        </w:rPr>
        <w:t xml:space="preserve">amount to a breach of article </w:t>
      </w:r>
      <w:r>
        <w:rPr>
          <w:rFonts w:cs="Open Sans"/>
        </w:rPr>
        <w:t>9</w:t>
      </w:r>
      <w:r w:rsidRPr="00CC7A67">
        <w:rPr>
          <w:rFonts w:cs="Open Sans"/>
        </w:rPr>
        <w:t xml:space="preserve"> of the </w:t>
      </w:r>
      <w:r w:rsidRPr="00CC7A67">
        <w:rPr>
          <w:rFonts w:cs="Open Sans"/>
          <w:i/>
        </w:rPr>
        <w:t xml:space="preserve">International Covenant on Civil and Political Rights </w:t>
      </w:r>
      <w:r w:rsidRPr="00CC7A67">
        <w:rPr>
          <w:rFonts w:cs="Open Sans"/>
        </w:rPr>
        <w:t>(ICCPR</w:t>
      </w:r>
      <w:r>
        <w:rPr>
          <w:rFonts w:cs="Open Sans"/>
        </w:rPr>
        <w:t xml:space="preserve">). </w:t>
      </w:r>
    </w:p>
    <w:p w14:paraId="23429F62" w14:textId="77777777" w:rsidR="00860A56" w:rsidRPr="00CC7A67" w:rsidRDefault="00860A56" w:rsidP="00860A56">
      <w:pPr>
        <w:rPr>
          <w:rFonts w:cs="Open Sans"/>
        </w:rPr>
      </w:pPr>
    </w:p>
    <w:p w14:paraId="4DE947F2" w14:textId="2CE9A9FF" w:rsidR="00860A56" w:rsidRDefault="00860A56" w:rsidP="00860A56">
      <w:pPr>
        <w:rPr>
          <w:rFonts w:cs="Open Sans"/>
        </w:rPr>
      </w:pPr>
      <w:r>
        <w:rPr>
          <w:rFonts w:cs="Open Sans"/>
        </w:rPr>
        <w:t xml:space="preserve">I have found that </w:t>
      </w:r>
      <w:r w:rsidRPr="004B7B28">
        <w:rPr>
          <w:rFonts w:cs="Open Sans"/>
        </w:rPr>
        <w:t xml:space="preserve">the failure of the </w:t>
      </w:r>
      <w:r>
        <w:rPr>
          <w:rFonts w:cs="Open Sans"/>
        </w:rPr>
        <w:t>D</w:t>
      </w:r>
      <w:r w:rsidRPr="004B7B28">
        <w:rPr>
          <w:rFonts w:cs="Open Sans"/>
        </w:rPr>
        <w:t xml:space="preserve">epartment to ask the Australian Security Intelligence Organisation (ASIO) to assess Mr </w:t>
      </w:r>
      <w:r>
        <w:rPr>
          <w:rFonts w:cs="Open Sans"/>
        </w:rPr>
        <w:t>AC</w:t>
      </w:r>
      <w:r w:rsidRPr="004B7B28">
        <w:rPr>
          <w:rFonts w:cs="Open Sans"/>
        </w:rPr>
        <w:t>’s suitability for community-based detention, is inconsistent with or contrary to article 9 of the ICCPR.</w:t>
      </w:r>
      <w:r>
        <w:rPr>
          <w:rFonts w:cs="Open Sans"/>
        </w:rPr>
        <w:t xml:space="preserve"> </w:t>
      </w:r>
      <w:r w:rsidRPr="004B7B28">
        <w:rPr>
          <w:rFonts w:cs="Open Sans"/>
        </w:rPr>
        <w:t xml:space="preserve">I have also found that the </w:t>
      </w:r>
      <w:r>
        <w:rPr>
          <w:rFonts w:cs="Open Sans"/>
        </w:rPr>
        <w:t>D</w:t>
      </w:r>
      <w:r w:rsidRPr="004B7B28">
        <w:rPr>
          <w:rFonts w:cs="Open Sans"/>
        </w:rPr>
        <w:t xml:space="preserve">epartment’s failure to assess on an individual basis whether Mr </w:t>
      </w:r>
      <w:r>
        <w:rPr>
          <w:rFonts w:cs="Open Sans"/>
        </w:rPr>
        <w:t>AC</w:t>
      </w:r>
      <w:r w:rsidRPr="004B7B28">
        <w:rPr>
          <w:rFonts w:cs="Open Sans"/>
        </w:rPr>
        <w:t xml:space="preserve">’s circumstances indicated that he could be placed in a less restrictive form of detention, and to refer Mr </w:t>
      </w:r>
      <w:r>
        <w:rPr>
          <w:rFonts w:cs="Open Sans"/>
        </w:rPr>
        <w:t>AC</w:t>
      </w:r>
      <w:r w:rsidRPr="004B7B28">
        <w:rPr>
          <w:rFonts w:cs="Open Sans"/>
        </w:rPr>
        <w:t xml:space="preserve">’s case to the Minister for Home Affairs to consider exercising his discretionary powers under s 197AB of the </w:t>
      </w:r>
      <w:r w:rsidRPr="004B7B28">
        <w:rPr>
          <w:rFonts w:cs="Open Sans"/>
          <w:i/>
        </w:rPr>
        <w:t>Migration Act 1958</w:t>
      </w:r>
      <w:r w:rsidRPr="004B7B28">
        <w:rPr>
          <w:rFonts w:cs="Open Sans"/>
        </w:rPr>
        <w:t xml:space="preserve"> (</w:t>
      </w:r>
      <w:proofErr w:type="spellStart"/>
      <w:r w:rsidRPr="004B7B28">
        <w:rPr>
          <w:rFonts w:cs="Open Sans"/>
        </w:rPr>
        <w:t>Cth</w:t>
      </w:r>
      <w:proofErr w:type="spellEnd"/>
      <w:r w:rsidRPr="004B7B28">
        <w:rPr>
          <w:rFonts w:cs="Open Sans"/>
        </w:rPr>
        <w:t xml:space="preserve">), has resulted in Mr </w:t>
      </w:r>
      <w:r>
        <w:rPr>
          <w:rFonts w:cs="Open Sans"/>
        </w:rPr>
        <w:t>AC</w:t>
      </w:r>
      <w:r w:rsidRPr="004B7B28">
        <w:rPr>
          <w:rFonts w:cs="Open Sans"/>
        </w:rPr>
        <w:t>’s detention being arbitrary</w:t>
      </w:r>
      <w:r>
        <w:rPr>
          <w:rFonts w:cs="Open Sans"/>
        </w:rPr>
        <w:t xml:space="preserve">. </w:t>
      </w:r>
      <w:r w:rsidRPr="00CC7A67">
        <w:rPr>
          <w:rFonts w:cs="Open Sans"/>
        </w:rPr>
        <w:t>As a result of this inquiry</w:t>
      </w:r>
      <w:r w:rsidRPr="004B7B28">
        <w:rPr>
          <w:rFonts w:cs="Open Sans"/>
        </w:rPr>
        <w:t>, I have found that</w:t>
      </w:r>
      <w:r>
        <w:rPr>
          <w:rFonts w:cs="Open Sans"/>
        </w:rPr>
        <w:t xml:space="preserve"> Mr AC’s detention, for a period of over six years, is arbitrary and inconsistent with his human rights, specifically his right to liberty under article 9 of the ICCPR.</w:t>
      </w:r>
    </w:p>
    <w:p w14:paraId="0979E47C" w14:textId="77777777" w:rsidR="00860A56" w:rsidRDefault="00860A56" w:rsidP="00860A56">
      <w:pPr>
        <w:rPr>
          <w:rFonts w:cs="Open Sans"/>
        </w:rPr>
      </w:pPr>
    </w:p>
    <w:p w14:paraId="243F2D29" w14:textId="77777777" w:rsidR="00860A56" w:rsidRDefault="00860A56" w:rsidP="00860A56">
      <w:pPr>
        <w:rPr>
          <w:rFonts w:cs="Open Sans"/>
          <w:szCs w:val="24"/>
        </w:rPr>
      </w:pPr>
      <w:r w:rsidRPr="00CC7A67">
        <w:rPr>
          <w:rFonts w:cs="Open Sans"/>
          <w:szCs w:val="24"/>
        </w:rPr>
        <w:t xml:space="preserve">The </w:t>
      </w:r>
      <w:r>
        <w:rPr>
          <w:rFonts w:cs="Open Sans"/>
          <w:szCs w:val="24"/>
        </w:rPr>
        <w:t>D</w:t>
      </w:r>
      <w:r w:rsidRPr="00CC7A67">
        <w:rPr>
          <w:rFonts w:cs="Open Sans"/>
          <w:szCs w:val="24"/>
        </w:rPr>
        <w:t xml:space="preserve">epartment provided its response to my findings and recommendations </w:t>
      </w:r>
      <w:r w:rsidRPr="00A75EF2">
        <w:rPr>
          <w:rFonts w:cs="Open Sans"/>
          <w:szCs w:val="24"/>
        </w:rPr>
        <w:t>on 1 November 2019.</w:t>
      </w:r>
      <w:r>
        <w:rPr>
          <w:rFonts w:cs="Open Sans"/>
          <w:szCs w:val="24"/>
        </w:rPr>
        <w:t xml:space="preserve"> </w:t>
      </w:r>
      <w:r w:rsidRPr="00A75EF2">
        <w:rPr>
          <w:rFonts w:cs="Open Sans"/>
          <w:szCs w:val="24"/>
        </w:rPr>
        <w:t xml:space="preserve">The Minister provided his response to my findings and recommendations on </w:t>
      </w:r>
      <w:r>
        <w:rPr>
          <w:rFonts w:cs="Open Sans"/>
          <w:szCs w:val="24"/>
        </w:rPr>
        <w:t>2 December</w:t>
      </w:r>
      <w:r w:rsidRPr="00A75EF2">
        <w:rPr>
          <w:rFonts w:cs="Open Sans"/>
          <w:szCs w:val="24"/>
        </w:rPr>
        <w:t xml:space="preserve"> 2019.</w:t>
      </w:r>
      <w:r>
        <w:rPr>
          <w:rFonts w:cs="Open Sans"/>
          <w:szCs w:val="24"/>
        </w:rPr>
        <w:t xml:space="preserve"> I have set out these responses in </w:t>
      </w:r>
      <w:r w:rsidRPr="00655BF2">
        <w:rPr>
          <w:rFonts w:cs="Open Sans"/>
          <w:szCs w:val="24"/>
        </w:rPr>
        <w:t>Part</w:t>
      </w:r>
      <w:r>
        <w:rPr>
          <w:rFonts w:cs="Open Sans"/>
          <w:szCs w:val="24"/>
        </w:rPr>
        <w:t xml:space="preserve"> 9</w:t>
      </w:r>
      <w:r w:rsidRPr="00655BF2">
        <w:rPr>
          <w:rFonts w:cs="Open Sans"/>
          <w:szCs w:val="24"/>
        </w:rPr>
        <w:t xml:space="preserve"> of this report.</w:t>
      </w:r>
    </w:p>
    <w:p w14:paraId="26B435A5" w14:textId="77777777" w:rsidR="00860A56" w:rsidRPr="00655BF2" w:rsidRDefault="00860A56" w:rsidP="00860A56">
      <w:pPr>
        <w:rPr>
          <w:rFonts w:cs="Open Sans"/>
          <w:szCs w:val="24"/>
        </w:rPr>
      </w:pPr>
    </w:p>
    <w:p w14:paraId="6A7AB3CF" w14:textId="77777777" w:rsidR="00860A56" w:rsidRDefault="00860A56" w:rsidP="00860A56">
      <w:pPr>
        <w:keepNext/>
        <w:rPr>
          <w:rFonts w:cs="Open Sans"/>
          <w:szCs w:val="24"/>
        </w:rPr>
      </w:pPr>
      <w:r w:rsidRPr="00655BF2">
        <w:rPr>
          <w:rFonts w:cs="Open Sans"/>
          <w:szCs w:val="24"/>
        </w:rPr>
        <w:t>I enclose a copy of my report.</w:t>
      </w:r>
    </w:p>
    <w:p w14:paraId="0051073C" w14:textId="77777777" w:rsidR="00860A56" w:rsidRPr="00655BF2" w:rsidRDefault="00860A56" w:rsidP="00860A56">
      <w:pPr>
        <w:keepNext/>
        <w:rPr>
          <w:rFonts w:cs="Open Sans"/>
          <w:szCs w:val="24"/>
        </w:rPr>
      </w:pPr>
    </w:p>
    <w:p w14:paraId="767DCA4A" w14:textId="5E5EDE5F" w:rsidR="00860A56" w:rsidRPr="0092014B" w:rsidRDefault="00860A56" w:rsidP="00860A56">
      <w:pPr>
        <w:rPr>
          <w:rFonts w:cs="Open Sans"/>
          <w:szCs w:val="24"/>
        </w:rPr>
      </w:pPr>
      <w:r w:rsidRPr="00655BF2">
        <w:rPr>
          <w:rFonts w:cs="Open Sans"/>
          <w:szCs w:val="24"/>
        </w:rPr>
        <w:t>Yours sincerely,</w:t>
      </w:r>
    </w:p>
    <w:p w14:paraId="52C66202" w14:textId="7885B8C0" w:rsidR="00860A56" w:rsidRDefault="00860A56" w:rsidP="00860A56"/>
    <w:p w14:paraId="1FAABA93" w14:textId="77777777" w:rsidR="00860A56" w:rsidRPr="00655BF2" w:rsidRDefault="00860A56" w:rsidP="00860A56">
      <w:pPr>
        <w:rPr>
          <w:rFonts w:cs="Open Sans"/>
          <w:szCs w:val="24"/>
        </w:rPr>
      </w:pPr>
      <w:r w:rsidRPr="00655BF2">
        <w:rPr>
          <w:rFonts w:cs="Open Sans"/>
          <w:szCs w:val="24"/>
        </w:rPr>
        <w:t>Emeritus Professor Rosalind Croucher AM</w:t>
      </w:r>
    </w:p>
    <w:p w14:paraId="73C456B1" w14:textId="77777777" w:rsidR="00860A56" w:rsidRPr="00655BF2" w:rsidRDefault="00860A56" w:rsidP="00860A56">
      <w:pPr>
        <w:rPr>
          <w:rFonts w:cs="Open Sans"/>
          <w:b/>
          <w:szCs w:val="24"/>
        </w:rPr>
      </w:pPr>
      <w:r w:rsidRPr="00655BF2">
        <w:rPr>
          <w:rFonts w:cs="Open Sans"/>
          <w:b/>
          <w:szCs w:val="24"/>
        </w:rPr>
        <w:t xml:space="preserve">President </w:t>
      </w:r>
    </w:p>
    <w:p w14:paraId="4E3EB478" w14:textId="77777777" w:rsidR="00860A56" w:rsidRPr="00655BF2" w:rsidRDefault="00860A56" w:rsidP="0092014B">
      <w:pPr>
        <w:spacing w:after="120"/>
        <w:rPr>
          <w:rFonts w:cs="Open Sans"/>
          <w:szCs w:val="24"/>
        </w:rPr>
      </w:pPr>
      <w:r w:rsidRPr="00655BF2">
        <w:rPr>
          <w:rFonts w:cs="Open Sans"/>
          <w:szCs w:val="24"/>
        </w:rPr>
        <w:t>Australian Human Rights Commission</w:t>
      </w:r>
    </w:p>
    <w:p w14:paraId="68B6152E" w14:textId="635601EF" w:rsidR="000433F9" w:rsidRPr="00860A56" w:rsidRDefault="00D2691A" w:rsidP="000433F9">
      <w:pPr>
        <w:rPr>
          <w:rFonts w:cs="Open Sans"/>
          <w:szCs w:val="24"/>
        </w:rPr>
      </w:pPr>
      <w:r>
        <w:rPr>
          <w:rFonts w:cs="Open Sans"/>
          <w:szCs w:val="24"/>
        </w:rPr>
        <w:t>September</w:t>
      </w:r>
      <w:r w:rsidR="00860A56" w:rsidRPr="00655BF2">
        <w:rPr>
          <w:rFonts w:cs="Open Sans"/>
          <w:szCs w:val="24"/>
        </w:rPr>
        <w:t xml:space="preserve"> 20</w:t>
      </w:r>
      <w:r w:rsidR="00860A56">
        <w:rPr>
          <w:rFonts w:cs="Open Sans"/>
          <w:szCs w:val="24"/>
        </w:rPr>
        <w:t>20</w:t>
      </w:r>
    </w:p>
    <w:p w14:paraId="2C576FF6" w14:textId="647428CE" w:rsidR="000433F9" w:rsidRDefault="000433F9" w:rsidP="000433F9">
      <w:pPr>
        <w:pStyle w:val="Titolo1"/>
        <w:numPr>
          <w:ilvl w:val="0"/>
          <w:numId w:val="1"/>
        </w:numPr>
        <w:rPr>
          <w:rFonts w:cs="Open Sans"/>
          <w:sz w:val="36"/>
          <w:szCs w:val="36"/>
        </w:rPr>
      </w:pPr>
      <w:bookmarkStart w:id="0" w:name="_Toc452472689"/>
      <w:bookmarkStart w:id="1" w:name="_Toc487445596"/>
      <w:bookmarkStart w:id="2" w:name="_Toc487531381"/>
      <w:bookmarkStart w:id="3" w:name="_Toc487531400"/>
      <w:bookmarkStart w:id="4" w:name="_Toc487531470"/>
      <w:bookmarkStart w:id="5" w:name="_Toc487531590"/>
      <w:bookmarkStart w:id="6" w:name="_Toc48229415"/>
      <w:r w:rsidRPr="006129DA">
        <w:rPr>
          <w:rFonts w:cs="Open Sans"/>
          <w:sz w:val="36"/>
          <w:szCs w:val="36"/>
        </w:rPr>
        <w:lastRenderedPageBreak/>
        <w:t>Introduction to this inquiry</w:t>
      </w:r>
      <w:bookmarkEnd w:id="0"/>
      <w:bookmarkEnd w:id="1"/>
      <w:bookmarkEnd w:id="2"/>
      <w:bookmarkEnd w:id="3"/>
      <w:bookmarkEnd w:id="4"/>
      <w:bookmarkEnd w:id="5"/>
      <w:bookmarkEnd w:id="6"/>
    </w:p>
    <w:p w14:paraId="316EF993" w14:textId="77777777" w:rsidR="000433F9" w:rsidRPr="00514287" w:rsidRDefault="000433F9" w:rsidP="000433F9"/>
    <w:p w14:paraId="096941A4"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bookmarkStart w:id="7" w:name="_Toc452472690"/>
      <w:bookmarkStart w:id="8" w:name="_Toc487445597"/>
      <w:bookmarkStart w:id="9" w:name="_Toc487531382"/>
      <w:bookmarkStart w:id="10" w:name="_Toc487531401"/>
      <w:bookmarkStart w:id="11" w:name="_Toc487531471"/>
      <w:bookmarkStart w:id="12" w:name="_Toc487531591"/>
      <w:r w:rsidRPr="006129DA">
        <w:rPr>
          <w:rFonts w:cs="Open Sans"/>
          <w:szCs w:val="24"/>
        </w:rPr>
        <w:t xml:space="preserve">This is a </w:t>
      </w:r>
      <w:r>
        <w:rPr>
          <w:rFonts w:cs="Open Sans"/>
          <w:szCs w:val="24"/>
        </w:rPr>
        <w:t>report</w:t>
      </w:r>
      <w:r w:rsidRPr="006129DA">
        <w:rPr>
          <w:rFonts w:cs="Open Sans"/>
          <w:szCs w:val="24"/>
        </w:rPr>
        <w:t xml:space="preserve"> setting out the findings of the Australian Human Rights Commission (Commission) following an inquiry into a complaint by Mr AC against the Commonwealth of Australia (Department of Home Affairs) (Department), alleging a breach of his human rights. </w:t>
      </w:r>
    </w:p>
    <w:p w14:paraId="2607DDC3" w14:textId="77777777" w:rsidR="000433F9" w:rsidRPr="0046106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hanging="799"/>
        <w:contextualSpacing w:val="0"/>
        <w:rPr>
          <w:rFonts w:cs="Open Sans"/>
        </w:rPr>
      </w:pPr>
      <w:r w:rsidRPr="006129DA">
        <w:rPr>
          <w:rFonts w:cs="Open Sans"/>
        </w:rPr>
        <w:t xml:space="preserve">Mr AC is currently detained in Melbourne Immigration Transit Accommodation (MITA). Previously he was detained in Perth Immigration Detention Centre (IDC) and Villawood IDC. He was first detained on 19 June 2013 and </w:t>
      </w:r>
      <w:r w:rsidRPr="0046106B">
        <w:rPr>
          <w:rFonts w:cs="Open Sans"/>
        </w:rPr>
        <w:t xml:space="preserve">has remained in an IDC for over six years. </w:t>
      </w:r>
    </w:p>
    <w:p w14:paraId="16D349A0" w14:textId="77777777" w:rsidR="000433F9" w:rsidRPr="00397230"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46106B">
        <w:rPr>
          <w:rFonts w:cs="Open Sans"/>
          <w:szCs w:val="24"/>
        </w:rPr>
        <w:t>Mr AC complains that the length of time that he has been held in closed immigration detention is arbitrary, contrary to</w:t>
      </w:r>
      <w:r w:rsidRPr="006129DA">
        <w:rPr>
          <w:rFonts w:cs="Open Sans"/>
          <w:szCs w:val="24"/>
        </w:rPr>
        <w:t xml:space="preserve"> article 9 of the </w:t>
      </w:r>
      <w:r w:rsidRPr="006129DA">
        <w:rPr>
          <w:rFonts w:cs="Open Sans"/>
          <w:i/>
          <w:szCs w:val="24"/>
        </w:rPr>
        <w:t>International Covenant on Civil and Political Rights</w:t>
      </w:r>
      <w:r w:rsidRPr="006129DA">
        <w:rPr>
          <w:rFonts w:cs="Open Sans"/>
          <w:szCs w:val="24"/>
        </w:rPr>
        <w:t xml:space="preserve"> (ICCPR).</w:t>
      </w:r>
      <w:r w:rsidRPr="001E4E9B">
        <w:rPr>
          <w:rStyle w:val="Rimandonotadichiusura"/>
          <w:rFonts w:ascii="Open Sans" w:hAnsi="Open Sans" w:cs="Open Sans"/>
          <w:szCs w:val="24"/>
        </w:rPr>
        <w:endnoteReference w:id="1"/>
      </w:r>
      <w:r w:rsidRPr="001E4E9B">
        <w:rPr>
          <w:rFonts w:cs="Open Sans"/>
          <w:szCs w:val="24"/>
        </w:rPr>
        <w:t xml:space="preserve"> </w:t>
      </w:r>
    </w:p>
    <w:p w14:paraId="42BC330D" w14:textId="77777777" w:rsidR="000433F9" w:rsidRPr="008B146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8B146B">
        <w:rPr>
          <w:rFonts w:cs="Open Sans"/>
          <w:szCs w:val="24"/>
        </w:rPr>
        <w:t xml:space="preserve">This inquiry has been undertaken pursuant to s 11(1)(f) of the </w:t>
      </w:r>
      <w:r w:rsidRPr="008B146B">
        <w:rPr>
          <w:rFonts w:cs="Open Sans"/>
          <w:i/>
          <w:szCs w:val="24"/>
        </w:rPr>
        <w:t xml:space="preserve">Australian Human Rights Commission Act 1986 </w:t>
      </w:r>
      <w:r w:rsidRPr="008B146B">
        <w:rPr>
          <w:rFonts w:cs="Open Sans"/>
          <w:szCs w:val="24"/>
        </w:rPr>
        <w:t>(</w:t>
      </w:r>
      <w:proofErr w:type="spellStart"/>
      <w:r w:rsidRPr="008B146B">
        <w:rPr>
          <w:rFonts w:cs="Open Sans"/>
          <w:szCs w:val="24"/>
        </w:rPr>
        <w:t>Cth</w:t>
      </w:r>
      <w:proofErr w:type="spellEnd"/>
      <w:r w:rsidRPr="008B146B">
        <w:rPr>
          <w:rFonts w:cs="Open Sans"/>
          <w:szCs w:val="24"/>
        </w:rPr>
        <w:t>) (AHRC Act).</w:t>
      </w:r>
    </w:p>
    <w:p w14:paraId="48FF4ED7" w14:textId="77777777" w:rsidR="000433F9" w:rsidRPr="006129DA" w:rsidRDefault="000433F9" w:rsidP="000433F9">
      <w:pPr>
        <w:pStyle w:val="Paragrafoelenco"/>
        <w:keepNext/>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As a result of this inquiry, I make the finding that the following two acts of the Commonwealth are inconsistent with Mr AC’s rights under article 9(1) of the ICCPR:</w:t>
      </w:r>
    </w:p>
    <w:p w14:paraId="05807523" w14:textId="77777777" w:rsidR="000433F9" w:rsidRPr="006129DA" w:rsidRDefault="000433F9" w:rsidP="000433F9">
      <w:pPr>
        <w:pStyle w:val="Paragrafoelenco"/>
        <w:keepNext/>
        <w:widowControl w:val="0"/>
        <w:numPr>
          <w:ilvl w:val="1"/>
          <w:numId w:val="2"/>
        </w:numPr>
        <w:tabs>
          <w:tab w:val="left" w:pos="2127"/>
        </w:tabs>
        <w:autoSpaceDE w:val="0"/>
        <w:autoSpaceDN w:val="0"/>
        <w:spacing w:before="240" w:after="240" w:line="300" w:lineRule="exact"/>
        <w:ind w:left="1985" w:hanging="567"/>
        <w:contextualSpacing w:val="0"/>
        <w:rPr>
          <w:rFonts w:cs="Open Sans"/>
          <w:szCs w:val="24"/>
        </w:rPr>
      </w:pPr>
      <w:r w:rsidRPr="006129DA">
        <w:rPr>
          <w:rFonts w:cs="Open Sans"/>
          <w:szCs w:val="24"/>
        </w:rPr>
        <w:t xml:space="preserve">the failure of the Department to ask the Australian Security Intelligence Organisation (ASIO) to assess Mr AC’s suitability for </w:t>
      </w:r>
      <w:proofErr w:type="gramStart"/>
      <w:r w:rsidRPr="006129DA">
        <w:rPr>
          <w:rFonts w:cs="Open Sans"/>
          <w:szCs w:val="24"/>
        </w:rPr>
        <w:t>community based</w:t>
      </w:r>
      <w:proofErr w:type="gramEnd"/>
      <w:r w:rsidRPr="006129DA">
        <w:rPr>
          <w:rFonts w:cs="Open Sans"/>
          <w:szCs w:val="24"/>
        </w:rPr>
        <w:t xml:space="preserve"> detention </w:t>
      </w:r>
    </w:p>
    <w:p w14:paraId="2C1A69D3" w14:textId="574E6623" w:rsidR="000433F9" w:rsidRDefault="000433F9" w:rsidP="000433F9">
      <w:pPr>
        <w:pStyle w:val="Paragrafoelenco"/>
        <w:keepNext/>
        <w:widowControl w:val="0"/>
        <w:numPr>
          <w:ilvl w:val="1"/>
          <w:numId w:val="2"/>
        </w:numPr>
        <w:tabs>
          <w:tab w:val="left" w:pos="2127"/>
        </w:tabs>
        <w:autoSpaceDE w:val="0"/>
        <w:autoSpaceDN w:val="0"/>
        <w:spacing w:before="240" w:after="240" w:line="300" w:lineRule="exact"/>
        <w:ind w:left="1985" w:hanging="567"/>
        <w:contextualSpacing w:val="0"/>
        <w:rPr>
          <w:rFonts w:cs="Open Sans"/>
          <w:szCs w:val="24"/>
        </w:rPr>
      </w:pPr>
      <w:r w:rsidRPr="006129DA">
        <w:rPr>
          <w:rFonts w:cs="Open Sans"/>
          <w:szCs w:val="24"/>
        </w:rPr>
        <w:t>the failure of the Department to assess on an individual basis whether Mr AC’s circumstances indicated that he could be placed in a less restrictive form of detention, and to refer Mr AC’s case to the Minister</w:t>
      </w:r>
      <w:r>
        <w:rPr>
          <w:rFonts w:cs="Open Sans"/>
          <w:szCs w:val="24"/>
        </w:rPr>
        <w:t xml:space="preserve"> for Home Affairs (Minister)</w:t>
      </w:r>
      <w:r w:rsidRPr="00DF589B">
        <w:rPr>
          <w:rFonts w:cs="Open Sans"/>
          <w:szCs w:val="24"/>
        </w:rPr>
        <w:t xml:space="preserve"> to consider exercising his powers under s 197AB of the </w:t>
      </w:r>
      <w:r w:rsidRPr="005D3D15">
        <w:rPr>
          <w:rFonts w:cs="Open Sans"/>
          <w:i/>
          <w:iCs/>
          <w:szCs w:val="24"/>
        </w:rPr>
        <w:t>Migration Act 1958</w:t>
      </w:r>
      <w:r w:rsidRPr="005D3D15">
        <w:rPr>
          <w:rFonts w:cs="Open Sans"/>
          <w:szCs w:val="24"/>
        </w:rPr>
        <w:t xml:space="preserve"> (</w:t>
      </w:r>
      <w:proofErr w:type="spellStart"/>
      <w:r w:rsidRPr="005D3D15">
        <w:rPr>
          <w:rFonts w:cs="Open Sans"/>
          <w:szCs w:val="24"/>
        </w:rPr>
        <w:t>Cth</w:t>
      </w:r>
      <w:proofErr w:type="spellEnd"/>
      <w:r w:rsidRPr="005D3D15">
        <w:rPr>
          <w:rFonts w:cs="Open Sans"/>
          <w:szCs w:val="24"/>
        </w:rPr>
        <w:t>) (Migration Act), to allow Mr AC to reside outside a closed immigration detention centre.</w:t>
      </w:r>
    </w:p>
    <w:p w14:paraId="75B13DDB" w14:textId="2B9EDF0A" w:rsidR="00C05418" w:rsidRDefault="00C05418">
      <w:pPr>
        <w:spacing w:after="160" w:line="259" w:lineRule="auto"/>
        <w:rPr>
          <w:rFonts w:cs="Open Sans"/>
          <w:szCs w:val="24"/>
        </w:rPr>
      </w:pPr>
      <w:r>
        <w:rPr>
          <w:rFonts w:cs="Open Sans"/>
          <w:szCs w:val="24"/>
        </w:rPr>
        <w:br w:type="page"/>
      </w:r>
    </w:p>
    <w:p w14:paraId="0C5AA0A4" w14:textId="77777777" w:rsidR="000433F9" w:rsidRPr="002A3655" w:rsidRDefault="000433F9" w:rsidP="000433F9">
      <w:pPr>
        <w:pStyle w:val="Paragrafoelenco"/>
        <w:keepNext/>
        <w:widowControl w:val="0"/>
        <w:numPr>
          <w:ilvl w:val="0"/>
          <w:numId w:val="2"/>
        </w:numPr>
        <w:tabs>
          <w:tab w:val="left" w:pos="2127"/>
        </w:tabs>
        <w:autoSpaceDE w:val="0"/>
        <w:autoSpaceDN w:val="0"/>
        <w:spacing w:before="240" w:after="240" w:line="300" w:lineRule="exact"/>
        <w:contextualSpacing w:val="0"/>
        <w:rPr>
          <w:rFonts w:cs="Open Sans"/>
          <w:szCs w:val="24"/>
        </w:rPr>
      </w:pPr>
      <w:r w:rsidRPr="002A3655">
        <w:rPr>
          <w:rFonts w:cs="Open Sans"/>
          <w:szCs w:val="24"/>
        </w:rPr>
        <w:lastRenderedPageBreak/>
        <w:t>Based on those findings I ma</w:t>
      </w:r>
      <w:r>
        <w:rPr>
          <w:rFonts w:cs="Open Sans"/>
          <w:szCs w:val="24"/>
        </w:rPr>
        <w:t>ke</w:t>
      </w:r>
      <w:r w:rsidRPr="002A3655">
        <w:rPr>
          <w:rFonts w:cs="Open Sans"/>
          <w:szCs w:val="24"/>
        </w:rPr>
        <w:t xml:space="preserve"> the following recommendations: </w:t>
      </w:r>
    </w:p>
    <w:p w14:paraId="0BD17704" w14:textId="77777777" w:rsidR="000433F9" w:rsidRPr="002A3655" w:rsidRDefault="000433F9" w:rsidP="000433F9">
      <w:pPr>
        <w:pStyle w:val="Paragrafoelenco"/>
        <w:keepNext/>
        <w:widowControl w:val="0"/>
        <w:numPr>
          <w:ilvl w:val="1"/>
          <w:numId w:val="2"/>
        </w:numPr>
        <w:tabs>
          <w:tab w:val="left" w:pos="2127"/>
        </w:tabs>
        <w:autoSpaceDE w:val="0"/>
        <w:autoSpaceDN w:val="0"/>
        <w:spacing w:before="240" w:after="240" w:line="300" w:lineRule="exact"/>
        <w:ind w:left="1985" w:hanging="567"/>
        <w:rPr>
          <w:rFonts w:cs="Open Sans"/>
          <w:szCs w:val="24"/>
        </w:rPr>
      </w:pPr>
      <w:r w:rsidRPr="002A3655">
        <w:rPr>
          <w:rFonts w:cs="Open Sans"/>
          <w:szCs w:val="24"/>
        </w:rPr>
        <w:t>The Minister for Home Affairs indicate to his department that he will not refuse to consider a person in immigration detention for release from detention or placement in a less restrictive form of detention because the department has received an adverse security assessment in relation to that person from ASIO, unless the department has taken appropriate steps to determine whether any risks the individual might pose could be mitigated (for instance, through the imposition of appropriate conditions).</w:t>
      </w:r>
    </w:p>
    <w:p w14:paraId="7DCF9A35" w14:textId="77777777" w:rsidR="000433F9" w:rsidRPr="002A3655" w:rsidRDefault="000433F9" w:rsidP="000433F9">
      <w:pPr>
        <w:pStyle w:val="Paragrafoelenco"/>
        <w:keepNext/>
        <w:widowControl w:val="0"/>
        <w:tabs>
          <w:tab w:val="left" w:pos="2127"/>
        </w:tabs>
        <w:autoSpaceDE w:val="0"/>
        <w:autoSpaceDN w:val="0"/>
        <w:spacing w:before="240" w:after="240" w:line="300" w:lineRule="exact"/>
        <w:ind w:left="1985" w:hanging="567"/>
        <w:rPr>
          <w:rFonts w:cs="Open Sans"/>
          <w:szCs w:val="24"/>
        </w:rPr>
      </w:pPr>
    </w:p>
    <w:p w14:paraId="205BE794" w14:textId="260B345C" w:rsidR="000433F9" w:rsidRPr="002A3655" w:rsidRDefault="000433F9" w:rsidP="000433F9">
      <w:pPr>
        <w:pStyle w:val="Paragrafoelenco"/>
        <w:keepNext/>
        <w:widowControl w:val="0"/>
        <w:numPr>
          <w:ilvl w:val="1"/>
          <w:numId w:val="2"/>
        </w:numPr>
        <w:tabs>
          <w:tab w:val="left" w:pos="2127"/>
        </w:tabs>
        <w:autoSpaceDE w:val="0"/>
        <w:autoSpaceDN w:val="0"/>
        <w:spacing w:before="240" w:after="240" w:line="300" w:lineRule="exact"/>
        <w:ind w:left="1985" w:hanging="567"/>
        <w:rPr>
          <w:rFonts w:cs="Open Sans"/>
          <w:szCs w:val="24"/>
        </w:rPr>
      </w:pPr>
      <w:r w:rsidRPr="002A3655">
        <w:rPr>
          <w:rFonts w:cs="Open Sans"/>
        </w:rPr>
        <w:t xml:space="preserve">The Department refer Mr AC to ASIO and request that ASIO provide a security assessment pursuant to s 37(1) of the </w:t>
      </w:r>
      <w:r w:rsidRPr="002A3655">
        <w:rPr>
          <w:rFonts w:cs="Open Sans"/>
          <w:i/>
        </w:rPr>
        <w:t>ASIO Act</w:t>
      </w:r>
      <w:r w:rsidRPr="002A3655">
        <w:rPr>
          <w:rFonts w:cs="Open Sans"/>
        </w:rPr>
        <w:t xml:space="preserve"> relevant to the prescribed administrative action of making a residence determination under s 197AB of the Migration Act in favour of Mr AC, if necessary subject to special conditions to ameliorate any identified risk to security, for example, curfews, travel restrictions, reporting requirements or sureties.</w:t>
      </w:r>
    </w:p>
    <w:p w14:paraId="00CFEA38" w14:textId="77777777" w:rsidR="000433F9" w:rsidRPr="002A3655" w:rsidRDefault="000433F9" w:rsidP="000433F9">
      <w:pPr>
        <w:pStyle w:val="Paragrafoelenco"/>
        <w:ind w:left="1985" w:hanging="567"/>
        <w:rPr>
          <w:rFonts w:cs="Open Sans"/>
          <w:szCs w:val="24"/>
        </w:rPr>
      </w:pPr>
    </w:p>
    <w:p w14:paraId="43590477" w14:textId="77777777" w:rsidR="000433F9" w:rsidRPr="002A3655" w:rsidRDefault="000433F9" w:rsidP="000433F9">
      <w:pPr>
        <w:pStyle w:val="Paragrafoelenco"/>
        <w:keepNext/>
        <w:widowControl w:val="0"/>
        <w:numPr>
          <w:ilvl w:val="1"/>
          <w:numId w:val="2"/>
        </w:numPr>
        <w:tabs>
          <w:tab w:val="left" w:pos="2127"/>
        </w:tabs>
        <w:autoSpaceDE w:val="0"/>
        <w:autoSpaceDN w:val="0"/>
        <w:spacing w:before="240" w:after="240" w:line="300" w:lineRule="exact"/>
        <w:ind w:left="1985" w:hanging="567"/>
        <w:rPr>
          <w:rFonts w:cs="Open Sans"/>
          <w:szCs w:val="24"/>
        </w:rPr>
      </w:pPr>
      <w:r w:rsidRPr="002A3655">
        <w:rPr>
          <w:rFonts w:cs="Open Sans"/>
        </w:rPr>
        <w:t xml:space="preserve">To the extent that the security assessment carried out in Recommendation 2 would result in an adverse security assessment, the Department ask ASIO to advise it of any measures that could be taken to allow Mr AC to be placed in a less restrictive form of detention consistent with the requirements of national security. </w:t>
      </w:r>
    </w:p>
    <w:p w14:paraId="490D23D2" w14:textId="77777777" w:rsidR="000433F9" w:rsidRPr="002A3655" w:rsidRDefault="000433F9" w:rsidP="000433F9">
      <w:pPr>
        <w:pStyle w:val="Paragrafoelenco"/>
        <w:ind w:left="1985" w:hanging="567"/>
        <w:rPr>
          <w:rFonts w:cs="Open Sans"/>
          <w:szCs w:val="24"/>
        </w:rPr>
      </w:pPr>
    </w:p>
    <w:p w14:paraId="18240562" w14:textId="77777777" w:rsidR="000433F9" w:rsidRPr="002A3655" w:rsidRDefault="000433F9" w:rsidP="000433F9">
      <w:pPr>
        <w:pStyle w:val="Paragrafoelenco"/>
        <w:keepNext/>
        <w:widowControl w:val="0"/>
        <w:numPr>
          <w:ilvl w:val="1"/>
          <w:numId w:val="2"/>
        </w:numPr>
        <w:tabs>
          <w:tab w:val="left" w:pos="2127"/>
        </w:tabs>
        <w:autoSpaceDE w:val="0"/>
        <w:autoSpaceDN w:val="0"/>
        <w:spacing w:before="240" w:after="240" w:line="300" w:lineRule="exact"/>
        <w:ind w:left="1985" w:hanging="567"/>
        <w:rPr>
          <w:rFonts w:cs="Open Sans"/>
          <w:szCs w:val="24"/>
        </w:rPr>
      </w:pPr>
      <w:r w:rsidRPr="002A3655">
        <w:rPr>
          <w:rFonts w:cs="Open Sans"/>
        </w:rPr>
        <w:t xml:space="preserve">The Department refer Mr AC’s case to the Minister under s 197AB of the Migration Act. The submissions accompanying the referral should include the advice provided by ASIO in relation to Recommendation 2 and 3 and should include details of how any potential risk identified by ASIO can be mitigated. </w:t>
      </w:r>
    </w:p>
    <w:p w14:paraId="38EF4F21" w14:textId="33654B73" w:rsidR="000433F9" w:rsidRPr="006129DA" w:rsidRDefault="000433F9" w:rsidP="000433F9">
      <w:pPr>
        <w:pStyle w:val="Titolo1"/>
        <w:numPr>
          <w:ilvl w:val="0"/>
          <w:numId w:val="1"/>
        </w:numPr>
        <w:rPr>
          <w:rFonts w:cs="Open Sans"/>
          <w:sz w:val="36"/>
          <w:szCs w:val="36"/>
        </w:rPr>
      </w:pPr>
      <w:bookmarkStart w:id="13" w:name="_Toc48229416"/>
      <w:r w:rsidRPr="006129DA">
        <w:rPr>
          <w:rFonts w:cs="Open Sans"/>
          <w:sz w:val="36"/>
          <w:szCs w:val="36"/>
        </w:rPr>
        <w:t>Background</w:t>
      </w:r>
      <w:bookmarkEnd w:id="7"/>
      <w:bookmarkEnd w:id="8"/>
      <w:bookmarkEnd w:id="9"/>
      <w:bookmarkEnd w:id="10"/>
      <w:bookmarkEnd w:id="11"/>
      <w:bookmarkEnd w:id="12"/>
      <w:bookmarkEnd w:id="13"/>
    </w:p>
    <w:p w14:paraId="4FBB6640" w14:textId="500C56A4"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bookmarkStart w:id="14" w:name="_Toc452472691"/>
      <w:bookmarkStart w:id="15" w:name="_Toc487445598"/>
      <w:bookmarkStart w:id="16" w:name="_Toc487531383"/>
      <w:bookmarkStart w:id="17" w:name="_Toc487531402"/>
      <w:bookmarkStart w:id="18" w:name="_Toc487531472"/>
      <w:bookmarkStart w:id="19" w:name="_Toc487531592"/>
      <w:r w:rsidRPr="006129DA">
        <w:rPr>
          <w:rFonts w:cs="Open Sans"/>
        </w:rPr>
        <w:t xml:space="preserve">Mr </w:t>
      </w:r>
      <w:r w:rsidRPr="006129DA">
        <w:rPr>
          <w:rFonts w:cs="Open Sans"/>
          <w:szCs w:val="24"/>
        </w:rPr>
        <w:t>AC</w:t>
      </w:r>
      <w:r w:rsidRPr="006129DA">
        <w:rPr>
          <w:rFonts w:cs="Open Sans"/>
        </w:rPr>
        <w:t xml:space="preserve"> is from Afghanistan and is of Hazara ethnicity.</w:t>
      </w:r>
    </w:p>
    <w:p w14:paraId="634E871B"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On 20 October 2008, Mr AC was granted a Partner Provisional (subclass 309) visa and he arrived in Australia on 15 November 2008.</w:t>
      </w:r>
    </w:p>
    <w:p w14:paraId="56A1F930" w14:textId="56125363" w:rsidR="000433F9"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In or around 2012, the Australian Federal Police (AFP) began investigating Mr AC in relation to allegations of people smuggling. Mr AC was never charged in relation to these allegations, and I understand that the AFP’s investigation has concluded.</w:t>
      </w:r>
    </w:p>
    <w:p w14:paraId="1815E8F0" w14:textId="1B960F37" w:rsidR="00C05418" w:rsidRDefault="00C05418">
      <w:pPr>
        <w:spacing w:after="160" w:line="259" w:lineRule="auto"/>
      </w:pPr>
      <w:r>
        <w:br w:type="page"/>
      </w:r>
    </w:p>
    <w:p w14:paraId="1EE1933C" w14:textId="34C60AD9" w:rsidR="000433F9"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lastRenderedPageBreak/>
        <w:t xml:space="preserve">On 17 June 2013, ASIO assessed Mr AC to be directly or indirectly a risk to security within the meaning of s 4 of the </w:t>
      </w:r>
      <w:r w:rsidRPr="006129DA">
        <w:rPr>
          <w:rFonts w:cs="Open Sans"/>
          <w:i/>
        </w:rPr>
        <w:t xml:space="preserve">Australian Security Intelligence Organisation Act 1979 </w:t>
      </w:r>
      <w:r w:rsidRPr="006129DA">
        <w:rPr>
          <w:rFonts w:cs="Open Sans"/>
        </w:rPr>
        <w:t>(ASIO Act)</w:t>
      </w:r>
      <w:r w:rsidRPr="006129DA">
        <w:rPr>
          <w:rFonts w:cs="Open Sans"/>
          <w:i/>
        </w:rPr>
        <w:t xml:space="preserve">. </w:t>
      </w:r>
      <w:r w:rsidRPr="006129DA">
        <w:rPr>
          <w:rFonts w:cs="Open Sans"/>
        </w:rPr>
        <w:t>On 19 June 2013,</w:t>
      </w:r>
      <w:r w:rsidRPr="006129DA">
        <w:rPr>
          <w:rFonts w:cs="Open Sans"/>
          <w:i/>
        </w:rPr>
        <w:t xml:space="preserve"> </w:t>
      </w:r>
      <w:r w:rsidRPr="006129DA">
        <w:rPr>
          <w:rFonts w:cs="Open Sans"/>
        </w:rPr>
        <w:t xml:space="preserve">as a result of this adverse security assessment (ASA), the Department cancelled Mr AC’s Partner visa under s 116(1)(g) of the Migration Act and sub-regulation 2.43(1)(b) of the Migration Act and he was detained and transferred to Villawood IDC. </w:t>
      </w:r>
    </w:p>
    <w:p w14:paraId="4EDA34BF" w14:textId="0AC83405" w:rsidR="000433F9"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On 21 June 2013, Mr AC sought merits review of his Partner visa cancellation with the Migration Review Tribunal. On 19 July 2013, the Migration Review Tribunal determined that it had no jurisdiction to hear Mr AC’s case as he had not complied with the timeframe for payment of the prescribed application fee. </w:t>
      </w:r>
    </w:p>
    <w:p w14:paraId="242655F6" w14:textId="6861262C"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On 25 June 2013, Mr AC’s application for a second stage Partner (subclass 100) visa was refused on the basis that he was no longer the holder of a first stage Partner (subclass 309) visa. On 1 July 2013, Mr AC sought merits review of this decision with the Migration Review Tribunal. On 26 August 2013, the Migration Review Tribunal affirmed the Department’s decision.</w:t>
      </w:r>
    </w:p>
    <w:p w14:paraId="6DBC7849"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On 1 July 2013, Mr AC applied for a Bridging E (subclass 050) visa (BVE). On the same day, the matter was referred to the Visa Application Character Consideration Unit (VACCU) on the basis that Mr AC may not pass the character test under s 501(6) of the Migration Act. </w:t>
      </w:r>
    </w:p>
    <w:p w14:paraId="725F7204"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On 24 July 2013, the VACCU sent Mr AC a Notice of Intention to Consider Refusal o</w:t>
      </w:r>
      <w:r>
        <w:rPr>
          <w:rFonts w:cs="Open Sans"/>
        </w:rPr>
        <w:t>f</w:t>
      </w:r>
      <w:r w:rsidRPr="006129DA">
        <w:rPr>
          <w:rFonts w:cs="Open Sans"/>
        </w:rPr>
        <w:t xml:space="preserve"> his visa application under s 501(1) of the Act and provided him an opportunity to comment. Mr AC provided further information in support of his BVE application.</w:t>
      </w:r>
    </w:p>
    <w:p w14:paraId="52A5FA10"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On 25 September 2013, the then Minister for Immigration personally considered Mr AC’s application and found that Mr AC did not pass the character test under s 501(6) of the Migration Act. The Minister exercised his discretion under s 501(1) of the Migration Act to refuse Mr AC a BVE on that basis. </w:t>
      </w:r>
    </w:p>
    <w:p w14:paraId="44772655"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On 10 October 2013, Mr AC commenced proceedings in the High Court seeking judicial review of the ASA made on 17 June 2013 and the decisions made under the Migration Act. </w:t>
      </w:r>
    </w:p>
    <w:p w14:paraId="2A0661A6"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On 14 November 2013, the High Court remitted to the Federal Court those parts of the application which challenged the ASA and the BVE refusal decision made by the Minister and stood over in the High Court the remaining application challenging the Partner (subclass 309) visa cancellation, Partner (subclass 100) visa refusal and the Migration Review Tribunal affirmation of the Partner (subclass 100) visa refusal, pending the Federal Court outcome. </w:t>
      </w:r>
    </w:p>
    <w:p w14:paraId="51DCDDD1"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lastRenderedPageBreak/>
        <w:t xml:space="preserve">On 7 February 2014, the Federal Court determined that a full court of the Federal Court would hear the case. On 18 August 2014, the Federal Court dismissed Mr AC’s challenge to the security assessment. On 15 September 2014, Mr AC filed a Special Leave application, challenging the whole of the Federal Court’s decision and requesting it to be heard together with the balance of his High Court application. Ultimately, Mr AC was unsuccessful in the High Court. </w:t>
      </w:r>
    </w:p>
    <w:p w14:paraId="213683D4"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On 1 May 2015, Mr AC applied for a protection visa which was refused by the Department on 15 June 2016. The Administrative Appeals Tribunal subsequently affirmed the Department’s decision. On 27 October 2016, Mr AC applied to the Federal Circuit Court for judicial review. On 10 March 2017, the Court dismissed his matter. On 27 March 2017, Mr AC applied to the Federal Court for judicial review, and on 16 October 2018 the Court dismissed his matter. </w:t>
      </w:r>
    </w:p>
    <w:p w14:paraId="436C1AE1"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On 19 January 2018, Mr AC’s case was referred for assessment under the Minister’s guidelines for intervention under s 197AB of the Migration Act. On 14 February 2019, the Department assessed Mr AC’s case as not meeting the guidelines and his matter was not sent to the Minister for further consideration. </w:t>
      </w:r>
    </w:p>
    <w:p w14:paraId="255012CA"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In February 2019, Mr AC’s case was referred </w:t>
      </w:r>
      <w:r>
        <w:rPr>
          <w:rFonts w:cs="Open Sans"/>
        </w:rPr>
        <w:t>in</w:t>
      </w:r>
      <w:r w:rsidRPr="006129DA">
        <w:rPr>
          <w:rFonts w:cs="Open Sans"/>
        </w:rPr>
        <w:t xml:space="preserve"> a group submission to the former Assistant Minister to brief her on a number of long</w:t>
      </w:r>
      <w:r>
        <w:rPr>
          <w:rFonts w:cs="Open Sans"/>
        </w:rPr>
        <w:t>-</w:t>
      </w:r>
      <w:r w:rsidRPr="006129DA">
        <w:rPr>
          <w:rFonts w:cs="Open Sans"/>
        </w:rPr>
        <w:t xml:space="preserve">term detention cases. On 28 February 2019, the former Assistant Minister indicated that Mr AC’s case should not be referred for consideration under the Minister’s personal intervention powers under s 195A and s 197AB of the Migration Act. </w:t>
      </w:r>
    </w:p>
    <w:p w14:paraId="0BED9C30" w14:textId="65F17E40"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On 19 November 2018, Mr AC made a request for Ministerial Intervention under s 417 and s 48B of the Migration Act. The Department states that Mr AC’s request for intervention under s 417 of the Act was determined to be </w:t>
      </w:r>
      <w:r w:rsidR="00BA0BD2">
        <w:rPr>
          <w:rFonts w:cs="Open Sans"/>
        </w:rPr>
        <w:t>’</w:t>
      </w:r>
      <w:r w:rsidRPr="006129DA">
        <w:rPr>
          <w:rFonts w:cs="Open Sans"/>
        </w:rPr>
        <w:t>inappropriate to consider</w:t>
      </w:r>
      <w:r w:rsidR="00BA0BD2">
        <w:rPr>
          <w:rFonts w:cs="Open Sans"/>
        </w:rPr>
        <w:t>’</w:t>
      </w:r>
      <w:r w:rsidRPr="006129DA">
        <w:rPr>
          <w:rFonts w:cs="Open Sans"/>
        </w:rPr>
        <w:t xml:space="preserve"> in line with the Minister’s guidelines, as Mr AC </w:t>
      </w:r>
      <w:r>
        <w:rPr>
          <w:rFonts w:cs="Open Sans"/>
        </w:rPr>
        <w:t>was</w:t>
      </w:r>
      <w:r w:rsidRPr="006129DA">
        <w:rPr>
          <w:rFonts w:cs="Open Sans"/>
        </w:rPr>
        <w:t xml:space="preserve"> the subject of an ASA. The Department has said that it </w:t>
      </w:r>
      <w:r>
        <w:rPr>
          <w:rFonts w:cs="Open Sans"/>
        </w:rPr>
        <w:t>was</w:t>
      </w:r>
      <w:r w:rsidRPr="006129DA">
        <w:rPr>
          <w:rFonts w:cs="Open Sans"/>
        </w:rPr>
        <w:t xml:space="preserve"> considering Mr AC’s s 48B request against the Minister’s guidelines.</w:t>
      </w:r>
    </w:p>
    <w:p w14:paraId="358D97E2"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Mr AC has been in an IDC since he was detained on 19 June 2013. From 19 June 2013 to 1 June 2018 he was detained in Villawood IDC. On 1 June 2018 he was transferred to Perth IDC. In October 2018 he was transferred to MITA where he is currently detained. </w:t>
      </w:r>
    </w:p>
    <w:p w14:paraId="140886A8" w14:textId="72025912" w:rsidR="000433F9"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Since being detained, his marriage has broken down. Mr AC and his (now former) wife divorced on 25 September 2015. </w:t>
      </w:r>
    </w:p>
    <w:p w14:paraId="5F2007BD" w14:textId="6AD5D5C5" w:rsidR="00C05418" w:rsidRDefault="00C05418">
      <w:pPr>
        <w:spacing w:after="160" w:line="259" w:lineRule="auto"/>
      </w:pPr>
      <w:r>
        <w:br w:type="page"/>
      </w:r>
    </w:p>
    <w:p w14:paraId="26228E6F"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lastRenderedPageBreak/>
        <w:t xml:space="preserve">Mr AC has a history of mental health issues, and an ongoing health problem in relation to his back which requires medication and management. The International Health and Medical Services (IHMS) has advised that Mr AC has received treatment and continues to engage with the mental health team for the management of an adjustment disorder, anxiety, major depression and insomnia. IHMS has also advised that Mr AC has been referred for specialist psychological counselling and specialist treatment in early 2018 for an injury sustained in an assault that occurred while in detention. </w:t>
      </w:r>
    </w:p>
    <w:p w14:paraId="16BF0308"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Mr AC claims that the period of time he has been detained in an IDC, being over six years, is arbitrary and amounts to a breach of his human rights under article 9 of the ICCPR.</w:t>
      </w:r>
    </w:p>
    <w:p w14:paraId="38E4010E" w14:textId="6FBA3C59" w:rsidR="000433F9" w:rsidRPr="006129DA" w:rsidRDefault="000433F9" w:rsidP="000433F9">
      <w:pPr>
        <w:pStyle w:val="Titolo1"/>
        <w:numPr>
          <w:ilvl w:val="0"/>
          <w:numId w:val="1"/>
        </w:numPr>
        <w:rPr>
          <w:rFonts w:cs="Open Sans"/>
          <w:sz w:val="36"/>
          <w:szCs w:val="36"/>
        </w:rPr>
      </w:pPr>
      <w:bookmarkStart w:id="20" w:name="_Toc48229417"/>
      <w:r w:rsidRPr="006129DA">
        <w:rPr>
          <w:rFonts w:cs="Open Sans"/>
          <w:sz w:val="36"/>
          <w:szCs w:val="36"/>
        </w:rPr>
        <w:t>Conciliation</w:t>
      </w:r>
      <w:bookmarkEnd w:id="20"/>
    </w:p>
    <w:p w14:paraId="1E0943F0"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The Commonwealth indicated that it did not </w:t>
      </w:r>
      <w:r>
        <w:rPr>
          <w:rFonts w:cs="Open Sans"/>
        </w:rPr>
        <w:t>wish</w:t>
      </w:r>
      <w:r w:rsidRPr="006129DA">
        <w:rPr>
          <w:rFonts w:cs="Open Sans"/>
        </w:rPr>
        <w:t xml:space="preserve"> to participate in conciliation of this matter. </w:t>
      </w:r>
    </w:p>
    <w:p w14:paraId="64801D76" w14:textId="56AA22C2" w:rsidR="000433F9" w:rsidRPr="006129DA" w:rsidRDefault="000433F9" w:rsidP="000433F9">
      <w:pPr>
        <w:pStyle w:val="Titolo1"/>
        <w:numPr>
          <w:ilvl w:val="0"/>
          <w:numId w:val="1"/>
        </w:numPr>
        <w:rPr>
          <w:rFonts w:cs="Open Sans"/>
          <w:sz w:val="36"/>
          <w:szCs w:val="36"/>
        </w:rPr>
      </w:pPr>
      <w:bookmarkStart w:id="21" w:name="_Toc48229418"/>
      <w:r w:rsidRPr="006129DA">
        <w:rPr>
          <w:rFonts w:cs="Open Sans"/>
          <w:sz w:val="36"/>
          <w:szCs w:val="36"/>
        </w:rPr>
        <w:t>Procedural history of this inquiry</w:t>
      </w:r>
      <w:bookmarkEnd w:id="21"/>
    </w:p>
    <w:p w14:paraId="21F71874" w14:textId="58045334"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On 29 March 2019, I issued a preliminary view in this matter and gave both the complainant and the Department the opportunity to respond to my preliminary findings.</w:t>
      </w:r>
    </w:p>
    <w:p w14:paraId="1F71D2CA" w14:textId="38F8CCDB" w:rsidR="000433F9"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On 28 May 2019, the Department responded to my preliminary view and provided additional information regarding Mr AC’s circumstances.</w:t>
      </w:r>
    </w:p>
    <w:p w14:paraId="6CB04F25"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Pr>
          <w:rFonts w:cs="Open Sans"/>
        </w:rPr>
        <w:t xml:space="preserve">On 20 August 2019, I issued a notice in this matter and gave </w:t>
      </w:r>
      <w:r w:rsidRPr="006129DA">
        <w:rPr>
          <w:rFonts w:cs="Open Sans"/>
        </w:rPr>
        <w:t xml:space="preserve">both the complainant and the Department the opportunity to respond to my </w:t>
      </w:r>
      <w:r>
        <w:rPr>
          <w:rFonts w:cs="Open Sans"/>
        </w:rPr>
        <w:t xml:space="preserve">findings and recommendations. </w:t>
      </w:r>
    </w:p>
    <w:p w14:paraId="42D92E62"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CC7A67">
        <w:rPr>
          <w:rFonts w:cs="Open Sans"/>
          <w:szCs w:val="24"/>
        </w:rPr>
        <w:t xml:space="preserve">The </w:t>
      </w:r>
      <w:r>
        <w:rPr>
          <w:rFonts w:cs="Open Sans"/>
          <w:szCs w:val="24"/>
        </w:rPr>
        <w:t>D</w:t>
      </w:r>
      <w:r w:rsidRPr="00CC7A67">
        <w:rPr>
          <w:rFonts w:cs="Open Sans"/>
          <w:szCs w:val="24"/>
        </w:rPr>
        <w:t xml:space="preserve">epartment provided its response to my findings and recommendations </w:t>
      </w:r>
      <w:r w:rsidRPr="00A75EF2">
        <w:rPr>
          <w:rFonts w:cs="Open Sans"/>
          <w:szCs w:val="24"/>
        </w:rPr>
        <w:t>on 1 November 2019.</w:t>
      </w:r>
      <w:r>
        <w:rPr>
          <w:rFonts w:cs="Open Sans"/>
          <w:szCs w:val="24"/>
        </w:rPr>
        <w:t xml:space="preserve"> </w:t>
      </w:r>
      <w:r w:rsidRPr="00A75EF2">
        <w:rPr>
          <w:rFonts w:cs="Open Sans"/>
          <w:szCs w:val="24"/>
        </w:rPr>
        <w:t xml:space="preserve">The Minister provided his response to my findings and recommendations on </w:t>
      </w:r>
      <w:r>
        <w:rPr>
          <w:rFonts w:cs="Open Sans"/>
          <w:szCs w:val="24"/>
        </w:rPr>
        <w:t>2 December</w:t>
      </w:r>
      <w:r w:rsidRPr="00A75EF2">
        <w:rPr>
          <w:rFonts w:cs="Open Sans"/>
          <w:szCs w:val="24"/>
        </w:rPr>
        <w:t xml:space="preserve"> 2019.</w:t>
      </w:r>
    </w:p>
    <w:p w14:paraId="20D54DD4" w14:textId="77777777" w:rsidR="000433F9" w:rsidRPr="006129DA" w:rsidRDefault="000433F9" w:rsidP="000433F9">
      <w:pPr>
        <w:pStyle w:val="Titolo1"/>
        <w:numPr>
          <w:ilvl w:val="0"/>
          <w:numId w:val="1"/>
        </w:numPr>
        <w:rPr>
          <w:rFonts w:cs="Open Sans"/>
          <w:sz w:val="36"/>
          <w:szCs w:val="36"/>
        </w:rPr>
      </w:pPr>
      <w:bookmarkStart w:id="22" w:name="_Toc48229419"/>
      <w:r w:rsidRPr="006129DA">
        <w:rPr>
          <w:rFonts w:cs="Open Sans"/>
          <w:sz w:val="36"/>
          <w:szCs w:val="36"/>
        </w:rPr>
        <w:t>Legislative framework</w:t>
      </w:r>
      <w:bookmarkEnd w:id="14"/>
      <w:bookmarkEnd w:id="15"/>
      <w:bookmarkEnd w:id="16"/>
      <w:bookmarkEnd w:id="17"/>
      <w:bookmarkEnd w:id="18"/>
      <w:bookmarkEnd w:id="19"/>
      <w:bookmarkEnd w:id="22"/>
    </w:p>
    <w:p w14:paraId="32178AE5" w14:textId="77777777" w:rsidR="000433F9" w:rsidRPr="00AF0B41" w:rsidRDefault="000433F9" w:rsidP="000433F9">
      <w:pPr>
        <w:pStyle w:val="Titolo2"/>
        <w:numPr>
          <w:ilvl w:val="1"/>
          <w:numId w:val="1"/>
        </w:numPr>
        <w:tabs>
          <w:tab w:val="clear" w:pos="993"/>
          <w:tab w:val="num" w:pos="709"/>
        </w:tabs>
        <w:spacing w:before="360"/>
        <w:ind w:hanging="993"/>
        <w:rPr>
          <w:rFonts w:cs="Open Sans"/>
          <w:color w:val="auto"/>
        </w:rPr>
      </w:pPr>
      <w:bookmarkStart w:id="23" w:name="_Toc452472692"/>
      <w:bookmarkStart w:id="24" w:name="_Toc487445599"/>
      <w:bookmarkStart w:id="25" w:name="_Toc487531384"/>
      <w:bookmarkStart w:id="26" w:name="_Toc487531403"/>
      <w:bookmarkStart w:id="27" w:name="_Toc487531473"/>
      <w:bookmarkStart w:id="28" w:name="_Toc487531593"/>
      <w:bookmarkStart w:id="29" w:name="_Toc48229420"/>
      <w:r w:rsidRPr="00AF0B41">
        <w:rPr>
          <w:rFonts w:cs="Open Sans"/>
          <w:color w:val="auto"/>
        </w:rPr>
        <w:t>Functions of the Commission</w:t>
      </w:r>
      <w:bookmarkEnd w:id="23"/>
      <w:bookmarkEnd w:id="24"/>
      <w:bookmarkEnd w:id="25"/>
      <w:bookmarkEnd w:id="26"/>
      <w:bookmarkEnd w:id="27"/>
      <w:bookmarkEnd w:id="28"/>
      <w:bookmarkEnd w:id="29"/>
    </w:p>
    <w:p w14:paraId="4C38349A" w14:textId="77777777" w:rsidR="000433F9" w:rsidRPr="008B146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1E4E9B">
        <w:rPr>
          <w:rFonts w:cs="Open Sans"/>
          <w:szCs w:val="24"/>
        </w:rPr>
        <w:t>Section 11(1)</w:t>
      </w:r>
      <w:r w:rsidRPr="00397230">
        <w:rPr>
          <w:rFonts w:cs="Open Sans"/>
          <w:szCs w:val="24"/>
        </w:rPr>
        <w:t>(f) of the AHRC Act provides that</w:t>
      </w:r>
      <w:r w:rsidRPr="004C0A0D">
        <w:rPr>
          <w:rFonts w:cs="Open Sans"/>
          <w:szCs w:val="24"/>
        </w:rPr>
        <w:t xml:space="preserve"> the Commission has the function</w:t>
      </w:r>
      <w:r w:rsidRPr="008B146B">
        <w:rPr>
          <w:rFonts w:cs="Open Sans"/>
          <w:szCs w:val="24"/>
        </w:rPr>
        <w:t xml:space="preserve"> to inquire into any act or practice that may be inconsistent with, or contrary to, any human right. </w:t>
      </w:r>
    </w:p>
    <w:p w14:paraId="2346E7BE" w14:textId="77777777" w:rsidR="000433F9" w:rsidRPr="006129DA" w:rsidRDefault="000433F9" w:rsidP="000433F9">
      <w:pPr>
        <w:numPr>
          <w:ilvl w:val="0"/>
          <w:numId w:val="2"/>
        </w:numPr>
        <w:tabs>
          <w:tab w:val="num" w:pos="960"/>
        </w:tabs>
        <w:spacing w:before="240" w:after="240" w:line="300" w:lineRule="exact"/>
        <w:ind w:left="799" w:hanging="799"/>
        <w:rPr>
          <w:rFonts w:cs="Open Sans"/>
          <w:szCs w:val="24"/>
        </w:rPr>
      </w:pPr>
      <w:r w:rsidRPr="006129DA">
        <w:rPr>
          <w:rFonts w:cs="Open Sans"/>
          <w:szCs w:val="24"/>
        </w:rPr>
        <w:lastRenderedPageBreak/>
        <w:t xml:space="preserve">Section 20(1)(b) of the AHRC Act requires the Commission to perform this function when a complaint is made to it in writing alleging that an act is inconsistent with, or contrary to, any human right. </w:t>
      </w:r>
    </w:p>
    <w:p w14:paraId="723517CC" w14:textId="77777777" w:rsidR="000433F9" w:rsidRPr="006129DA" w:rsidRDefault="000433F9" w:rsidP="000433F9">
      <w:pPr>
        <w:numPr>
          <w:ilvl w:val="0"/>
          <w:numId w:val="2"/>
        </w:numPr>
        <w:tabs>
          <w:tab w:val="num" w:pos="960"/>
        </w:tabs>
        <w:spacing w:before="240" w:after="240" w:line="300" w:lineRule="exact"/>
        <w:ind w:left="799" w:hanging="799"/>
        <w:rPr>
          <w:rFonts w:cs="Open Sans"/>
          <w:szCs w:val="24"/>
        </w:rPr>
      </w:pPr>
      <w:r w:rsidRPr="006129DA">
        <w:rPr>
          <w:rFonts w:cs="Open Sans"/>
          <w:szCs w:val="24"/>
        </w:rPr>
        <w:t>Section 8(6) of the AHRC Act requires that the functions of the Commission under s 11(1)(f) be performed by the President.</w:t>
      </w:r>
    </w:p>
    <w:p w14:paraId="79DEDAA7" w14:textId="0F9A9222" w:rsidR="000433F9" w:rsidRPr="006129DA" w:rsidRDefault="000433F9" w:rsidP="000433F9">
      <w:pPr>
        <w:pStyle w:val="Titolo2"/>
        <w:numPr>
          <w:ilvl w:val="1"/>
          <w:numId w:val="1"/>
        </w:numPr>
        <w:tabs>
          <w:tab w:val="clear" w:pos="993"/>
          <w:tab w:val="num" w:pos="709"/>
        </w:tabs>
        <w:spacing w:before="360"/>
        <w:ind w:hanging="993"/>
        <w:rPr>
          <w:rFonts w:cs="Open Sans"/>
        </w:rPr>
      </w:pPr>
      <w:bookmarkStart w:id="30" w:name="_Toc328405012"/>
      <w:bookmarkStart w:id="31" w:name="_Toc452472693"/>
      <w:bookmarkStart w:id="32" w:name="_Toc487445600"/>
      <w:bookmarkStart w:id="33" w:name="_Toc487531385"/>
      <w:bookmarkStart w:id="34" w:name="_Toc487531404"/>
      <w:bookmarkStart w:id="35" w:name="_Toc487531474"/>
      <w:bookmarkStart w:id="36" w:name="_Toc487531594"/>
      <w:bookmarkStart w:id="37" w:name="_Toc48229421"/>
      <w:r w:rsidRPr="00AF0B41">
        <w:rPr>
          <w:rFonts w:cs="Open Sans"/>
          <w:color w:val="auto"/>
        </w:rPr>
        <w:t>What is an ‘act’ or ‘practice’</w:t>
      </w:r>
      <w:bookmarkEnd w:id="30"/>
      <w:bookmarkEnd w:id="31"/>
      <w:bookmarkEnd w:id="32"/>
      <w:bookmarkEnd w:id="33"/>
      <w:bookmarkEnd w:id="34"/>
      <w:bookmarkEnd w:id="35"/>
      <w:bookmarkEnd w:id="36"/>
      <w:r w:rsidR="00177DBD">
        <w:rPr>
          <w:rFonts w:cs="Open Sans"/>
        </w:rPr>
        <w:t>?</w:t>
      </w:r>
      <w:bookmarkEnd w:id="37"/>
    </w:p>
    <w:p w14:paraId="75772815" w14:textId="77777777" w:rsidR="000433F9" w:rsidRPr="00397230" w:rsidRDefault="000433F9" w:rsidP="000433F9">
      <w:pPr>
        <w:numPr>
          <w:ilvl w:val="0"/>
          <w:numId w:val="2"/>
        </w:numPr>
        <w:spacing w:before="240" w:after="240" w:line="300" w:lineRule="exact"/>
        <w:ind w:left="799" w:hanging="799"/>
        <w:rPr>
          <w:rFonts w:cs="Open Sans"/>
          <w:szCs w:val="24"/>
        </w:rPr>
      </w:pPr>
      <w:r w:rsidRPr="001E4E9B">
        <w:rPr>
          <w:rFonts w:cs="Open Sans"/>
          <w:szCs w:val="24"/>
        </w:rPr>
        <w:t>The terms ‘act’ and ‘practice’ are defined in s 3(1) of the AHRC Act to include an act done or a practice engaged in by or on behalf of the Commonwealth or an authority of the Commonwealth or under an enactment.</w:t>
      </w:r>
    </w:p>
    <w:p w14:paraId="7749B1B9" w14:textId="77777777" w:rsidR="000433F9" w:rsidRPr="008B146B" w:rsidRDefault="000433F9" w:rsidP="000433F9">
      <w:pPr>
        <w:numPr>
          <w:ilvl w:val="0"/>
          <w:numId w:val="2"/>
        </w:numPr>
        <w:spacing w:before="240" w:after="240" w:line="300" w:lineRule="exact"/>
        <w:ind w:left="799" w:hanging="799"/>
        <w:rPr>
          <w:rFonts w:cs="Open Sans"/>
          <w:szCs w:val="24"/>
        </w:rPr>
      </w:pPr>
      <w:r w:rsidRPr="008B146B">
        <w:rPr>
          <w:rFonts w:cs="Open Sans"/>
          <w:szCs w:val="24"/>
        </w:rPr>
        <w:t>Section 3(3) provides that the reference to, or to the doing of, an act includes a reference to a refusal or failure to do an act.</w:t>
      </w:r>
    </w:p>
    <w:p w14:paraId="61340F66" w14:textId="77777777" w:rsidR="000433F9" w:rsidRPr="00397230" w:rsidRDefault="000433F9" w:rsidP="000433F9">
      <w:pPr>
        <w:numPr>
          <w:ilvl w:val="0"/>
          <w:numId w:val="2"/>
        </w:numPr>
        <w:spacing w:before="240" w:after="240" w:line="300" w:lineRule="exact"/>
        <w:ind w:left="799" w:hanging="799"/>
        <w:rPr>
          <w:rFonts w:cs="Open Sans"/>
          <w:szCs w:val="24"/>
        </w:rPr>
      </w:pPr>
      <w:r w:rsidRPr="008B146B">
        <w:rPr>
          <w:rFonts w:cs="Open Sans"/>
          <w:szCs w:val="24"/>
        </w:rPr>
        <w:t xml:space="preserve">The functions of the Commission identified in s 11(1)(f) of the AHRC Act are only engaged where the act complained of is not one required by law to be </w:t>
      </w:r>
      <w:r w:rsidRPr="006129DA">
        <w:rPr>
          <w:rFonts w:cs="Open Sans"/>
          <w:szCs w:val="24"/>
        </w:rPr>
        <w:t>taken, that is, where the relevant act or practice is within the discretion of the Commonwealth.</w:t>
      </w:r>
      <w:r w:rsidRPr="001E4E9B">
        <w:rPr>
          <w:rStyle w:val="Rimandonotadichiusura"/>
          <w:rFonts w:ascii="Open Sans" w:hAnsi="Open Sans" w:cs="Open Sans"/>
        </w:rPr>
        <w:endnoteReference w:id="2"/>
      </w:r>
      <w:r w:rsidRPr="001E4E9B">
        <w:rPr>
          <w:rFonts w:cs="Open Sans"/>
          <w:szCs w:val="24"/>
        </w:rPr>
        <w:t xml:space="preserve"> </w:t>
      </w:r>
    </w:p>
    <w:p w14:paraId="253FAC60" w14:textId="77777777" w:rsidR="000433F9" w:rsidRPr="00AF0B41" w:rsidRDefault="000433F9" w:rsidP="000433F9">
      <w:pPr>
        <w:pStyle w:val="Titolo2"/>
        <w:numPr>
          <w:ilvl w:val="1"/>
          <w:numId w:val="1"/>
        </w:numPr>
        <w:tabs>
          <w:tab w:val="clear" w:pos="993"/>
          <w:tab w:val="num" w:pos="709"/>
        </w:tabs>
        <w:spacing w:before="360"/>
        <w:ind w:hanging="993"/>
        <w:rPr>
          <w:rFonts w:cs="Open Sans"/>
          <w:color w:val="auto"/>
        </w:rPr>
      </w:pPr>
      <w:bookmarkStart w:id="38" w:name="_Toc452472694"/>
      <w:bookmarkStart w:id="39" w:name="_Toc487445601"/>
      <w:bookmarkStart w:id="40" w:name="_Toc487531386"/>
      <w:bookmarkStart w:id="41" w:name="_Toc487531405"/>
      <w:bookmarkStart w:id="42" w:name="_Toc487531475"/>
      <w:bookmarkStart w:id="43" w:name="_Toc487531595"/>
      <w:bookmarkStart w:id="44" w:name="_Toc48229422"/>
      <w:r w:rsidRPr="00AF0B41">
        <w:rPr>
          <w:rFonts w:cs="Open Sans"/>
          <w:color w:val="auto"/>
        </w:rPr>
        <w:t>What is a human right?</w:t>
      </w:r>
      <w:bookmarkEnd w:id="38"/>
      <w:bookmarkEnd w:id="39"/>
      <w:bookmarkEnd w:id="40"/>
      <w:bookmarkEnd w:id="41"/>
      <w:bookmarkEnd w:id="42"/>
      <w:bookmarkEnd w:id="43"/>
      <w:bookmarkEnd w:id="44"/>
    </w:p>
    <w:p w14:paraId="16C49D11" w14:textId="77777777" w:rsidR="000433F9" w:rsidRPr="008B146B" w:rsidRDefault="000433F9" w:rsidP="000433F9">
      <w:pPr>
        <w:numPr>
          <w:ilvl w:val="0"/>
          <w:numId w:val="2"/>
        </w:numPr>
        <w:tabs>
          <w:tab w:val="num" w:pos="960"/>
        </w:tabs>
        <w:spacing w:before="240" w:after="240" w:line="300" w:lineRule="exact"/>
        <w:ind w:left="799" w:hanging="799"/>
        <w:rPr>
          <w:rFonts w:cs="Open Sans"/>
          <w:szCs w:val="24"/>
        </w:rPr>
      </w:pPr>
      <w:r w:rsidRPr="001E4E9B">
        <w:rPr>
          <w:rFonts w:cs="Open Sans"/>
          <w:szCs w:val="24"/>
        </w:rPr>
        <w:t xml:space="preserve">The phrase ‘human rights’ is defined by s 3(1) of the AHRC Act to include the rights and freedoms recognised in the </w:t>
      </w:r>
      <w:r w:rsidRPr="00397230">
        <w:rPr>
          <w:rFonts w:cs="Open Sans"/>
          <w:szCs w:val="24"/>
        </w:rPr>
        <w:t>ICCPR.</w:t>
      </w:r>
      <w:r w:rsidRPr="004C0A0D">
        <w:rPr>
          <w:rFonts w:cs="Open Sans"/>
          <w:szCs w:val="24"/>
        </w:rPr>
        <w:t xml:space="preserve"> </w:t>
      </w:r>
    </w:p>
    <w:p w14:paraId="0FCA65E0" w14:textId="77777777" w:rsidR="000433F9" w:rsidRPr="008B146B" w:rsidRDefault="000433F9" w:rsidP="000433F9">
      <w:pPr>
        <w:keepNext/>
        <w:numPr>
          <w:ilvl w:val="0"/>
          <w:numId w:val="2"/>
        </w:numPr>
        <w:spacing w:before="240" w:after="240" w:line="300" w:lineRule="exact"/>
        <w:ind w:left="799" w:hanging="799"/>
        <w:rPr>
          <w:rFonts w:cs="Open Sans"/>
          <w:szCs w:val="24"/>
        </w:rPr>
      </w:pPr>
      <w:r w:rsidRPr="008B146B">
        <w:rPr>
          <w:rFonts w:cs="Open Sans"/>
          <w:szCs w:val="24"/>
        </w:rPr>
        <w:t>Article 9(1) of the ICCPR provides:</w:t>
      </w:r>
    </w:p>
    <w:p w14:paraId="62B30DE7" w14:textId="77777777" w:rsidR="000433F9" w:rsidRPr="006129DA" w:rsidRDefault="000433F9" w:rsidP="000433F9">
      <w:pPr>
        <w:spacing w:before="240" w:after="240"/>
        <w:ind w:left="1418"/>
        <w:rPr>
          <w:rFonts w:cs="Open Sans"/>
          <w:iCs/>
          <w:sz w:val="22"/>
          <w:szCs w:val="22"/>
        </w:rPr>
      </w:pPr>
      <w:r w:rsidRPr="006129DA">
        <w:rPr>
          <w:rFonts w:cs="Open Sans"/>
          <w:iCs/>
          <w:sz w:val="22"/>
          <w:szCs w:val="22"/>
        </w:rPr>
        <w:t>Everyone has the right to liberty and security of person. No one shall be subjected to arbitrary arrest or detention. No one shall be deprived of his liberty except on such grounds and in accordance with such procedure as are established by law.</w:t>
      </w:r>
    </w:p>
    <w:p w14:paraId="0A29345B" w14:textId="77777777" w:rsidR="000433F9" w:rsidRPr="006129DA" w:rsidRDefault="000433F9" w:rsidP="000433F9">
      <w:pPr>
        <w:pStyle w:val="Titolo1"/>
        <w:numPr>
          <w:ilvl w:val="0"/>
          <w:numId w:val="1"/>
        </w:numPr>
        <w:rPr>
          <w:rFonts w:cs="Open Sans"/>
          <w:sz w:val="36"/>
          <w:szCs w:val="36"/>
        </w:rPr>
      </w:pPr>
      <w:bookmarkStart w:id="45" w:name="_Toc452472695"/>
      <w:bookmarkStart w:id="46" w:name="_Toc487445602"/>
      <w:bookmarkStart w:id="47" w:name="_Toc487531387"/>
      <w:bookmarkStart w:id="48" w:name="_Toc487531406"/>
      <w:bookmarkStart w:id="49" w:name="_Toc487531476"/>
      <w:bookmarkStart w:id="50" w:name="_Toc487531596"/>
      <w:bookmarkStart w:id="51" w:name="_Toc48229423"/>
      <w:r w:rsidRPr="006129DA">
        <w:rPr>
          <w:rFonts w:cs="Open Sans"/>
          <w:sz w:val="36"/>
          <w:szCs w:val="36"/>
        </w:rPr>
        <w:t>Arbitrary detention</w:t>
      </w:r>
      <w:bookmarkEnd w:id="45"/>
      <w:bookmarkEnd w:id="46"/>
      <w:bookmarkEnd w:id="47"/>
      <w:bookmarkEnd w:id="48"/>
      <w:bookmarkEnd w:id="49"/>
      <w:bookmarkEnd w:id="50"/>
      <w:bookmarkEnd w:id="51"/>
    </w:p>
    <w:p w14:paraId="46417DDE" w14:textId="417D3879" w:rsidR="00C05418" w:rsidRDefault="000433F9" w:rsidP="00C05418">
      <w:pPr>
        <w:numPr>
          <w:ilvl w:val="0"/>
          <w:numId w:val="2"/>
        </w:numPr>
        <w:spacing w:before="240" w:after="240" w:line="300" w:lineRule="exact"/>
        <w:ind w:left="793" w:hanging="793"/>
        <w:rPr>
          <w:rFonts w:cs="Open Sans"/>
        </w:rPr>
      </w:pPr>
      <w:r w:rsidRPr="006129DA">
        <w:rPr>
          <w:rFonts w:cs="Open Sans"/>
        </w:rPr>
        <w:t>Mr AC complains about his continuing detention in an IDC. This requires consideration to be given to whether his detention is arbitrary contrary to article 9(1) of the ICCPR.</w:t>
      </w:r>
    </w:p>
    <w:p w14:paraId="7BEC590A" w14:textId="3520C1BB" w:rsidR="00C05418" w:rsidRDefault="00C05418">
      <w:pPr>
        <w:spacing w:after="160" w:line="259" w:lineRule="auto"/>
      </w:pPr>
      <w:r>
        <w:br w:type="page"/>
      </w:r>
    </w:p>
    <w:p w14:paraId="111CE9F3" w14:textId="314DA464" w:rsidR="000433F9" w:rsidRPr="00AF0B41" w:rsidRDefault="000433F9" w:rsidP="000433F9">
      <w:pPr>
        <w:pStyle w:val="Titolo2"/>
        <w:numPr>
          <w:ilvl w:val="1"/>
          <w:numId w:val="1"/>
        </w:numPr>
        <w:tabs>
          <w:tab w:val="clear" w:pos="993"/>
          <w:tab w:val="num" w:pos="709"/>
        </w:tabs>
        <w:spacing w:before="360"/>
        <w:ind w:hanging="993"/>
        <w:rPr>
          <w:rFonts w:cs="Open Sans"/>
          <w:color w:val="auto"/>
        </w:rPr>
      </w:pPr>
      <w:bookmarkStart w:id="52" w:name="_Toc452472696"/>
      <w:bookmarkStart w:id="53" w:name="_Toc487445603"/>
      <w:bookmarkStart w:id="54" w:name="_Toc487531388"/>
      <w:bookmarkStart w:id="55" w:name="_Toc487531407"/>
      <w:bookmarkStart w:id="56" w:name="_Toc487531477"/>
      <w:bookmarkStart w:id="57" w:name="_Toc487531597"/>
      <w:bookmarkStart w:id="58" w:name="_Toc48229424"/>
      <w:r w:rsidRPr="00AF0B41">
        <w:rPr>
          <w:rFonts w:cs="Open Sans"/>
          <w:color w:val="auto"/>
        </w:rPr>
        <w:lastRenderedPageBreak/>
        <w:t>Law on article 9 of the ICCPR</w:t>
      </w:r>
      <w:bookmarkEnd w:id="52"/>
      <w:bookmarkEnd w:id="53"/>
      <w:bookmarkEnd w:id="54"/>
      <w:bookmarkEnd w:id="55"/>
      <w:bookmarkEnd w:id="56"/>
      <w:bookmarkEnd w:id="57"/>
      <w:bookmarkEnd w:id="58"/>
    </w:p>
    <w:p w14:paraId="1D47C920" w14:textId="77777777" w:rsidR="000433F9" w:rsidRPr="004C0A0D" w:rsidRDefault="000433F9" w:rsidP="000433F9">
      <w:pPr>
        <w:numPr>
          <w:ilvl w:val="0"/>
          <w:numId w:val="2"/>
        </w:numPr>
        <w:spacing w:before="240" w:after="240" w:line="300" w:lineRule="exact"/>
        <w:ind w:left="793" w:hanging="793"/>
        <w:rPr>
          <w:rFonts w:cs="Open Sans"/>
          <w:szCs w:val="24"/>
        </w:rPr>
      </w:pPr>
      <w:r w:rsidRPr="001E4E9B">
        <w:rPr>
          <w:rFonts w:cs="Open Sans"/>
          <w:szCs w:val="24"/>
        </w:rPr>
        <w:t>The following principles relating to arbitrary detention within the meaning of article</w:t>
      </w:r>
      <w:r w:rsidRPr="00397230">
        <w:rPr>
          <w:rFonts w:cs="Open Sans"/>
          <w:szCs w:val="24"/>
        </w:rPr>
        <w:t> 9 of the ICCPR arise from international human rights jurisprudence:</w:t>
      </w:r>
    </w:p>
    <w:p w14:paraId="65FB8CCA" w14:textId="77777777" w:rsidR="000433F9" w:rsidRPr="001E4E9B" w:rsidRDefault="000433F9" w:rsidP="000433F9">
      <w:pPr>
        <w:pStyle w:val="Paragrafoelenco"/>
        <w:keepNext/>
        <w:widowControl w:val="0"/>
        <w:numPr>
          <w:ilvl w:val="1"/>
          <w:numId w:val="2"/>
        </w:numPr>
        <w:tabs>
          <w:tab w:val="left" w:pos="2127"/>
        </w:tabs>
        <w:autoSpaceDE w:val="0"/>
        <w:autoSpaceDN w:val="0"/>
        <w:spacing w:before="240" w:after="240" w:line="300" w:lineRule="exact"/>
        <w:ind w:left="1985" w:hanging="567"/>
        <w:contextualSpacing w:val="0"/>
        <w:rPr>
          <w:rFonts w:cs="Open Sans"/>
          <w:szCs w:val="24"/>
        </w:rPr>
      </w:pPr>
      <w:r w:rsidRPr="008B146B">
        <w:rPr>
          <w:rFonts w:cs="Open Sans"/>
          <w:szCs w:val="24"/>
        </w:rPr>
        <w:t>‘detention’ includes immigration detention</w:t>
      </w:r>
      <w:r w:rsidRPr="001E4E9B">
        <w:rPr>
          <w:rFonts w:cs="Open Sans"/>
          <w:szCs w:val="24"/>
          <w:vertAlign w:val="superscript"/>
        </w:rPr>
        <w:endnoteReference w:id="3"/>
      </w:r>
    </w:p>
    <w:p w14:paraId="7E551C1D" w14:textId="77777777" w:rsidR="000433F9" w:rsidRPr="001E4E9B" w:rsidRDefault="000433F9" w:rsidP="000433F9">
      <w:pPr>
        <w:pStyle w:val="Paragrafoelenco"/>
        <w:keepNext/>
        <w:widowControl w:val="0"/>
        <w:numPr>
          <w:ilvl w:val="1"/>
          <w:numId w:val="2"/>
        </w:numPr>
        <w:tabs>
          <w:tab w:val="left" w:pos="2127"/>
        </w:tabs>
        <w:autoSpaceDE w:val="0"/>
        <w:autoSpaceDN w:val="0"/>
        <w:spacing w:before="240" w:after="240" w:line="300" w:lineRule="exact"/>
        <w:ind w:left="1985" w:hanging="567"/>
        <w:contextualSpacing w:val="0"/>
        <w:rPr>
          <w:rFonts w:cs="Open Sans"/>
          <w:szCs w:val="24"/>
        </w:rPr>
      </w:pPr>
      <w:r w:rsidRPr="00397230">
        <w:rPr>
          <w:rFonts w:cs="Open Sans"/>
          <w:szCs w:val="24"/>
        </w:rPr>
        <w:t xml:space="preserve">lawful detention may become arbitrary when a person’s deprivation of liberty becomes unjust, unreasonable </w:t>
      </w:r>
      <w:r w:rsidRPr="008B146B">
        <w:rPr>
          <w:rFonts w:cs="Open Sans"/>
          <w:szCs w:val="24"/>
        </w:rPr>
        <w:t>or disproportionate to the Commonwealth’s legitimate aim of ensuring the effective operation of Australia’s migration system</w:t>
      </w:r>
      <w:r w:rsidRPr="001E4E9B">
        <w:rPr>
          <w:rFonts w:cs="Open Sans"/>
          <w:szCs w:val="24"/>
          <w:vertAlign w:val="superscript"/>
        </w:rPr>
        <w:endnoteReference w:id="4"/>
      </w:r>
    </w:p>
    <w:p w14:paraId="2224729B" w14:textId="77777777" w:rsidR="000433F9" w:rsidRPr="001E4E9B" w:rsidRDefault="000433F9" w:rsidP="000433F9">
      <w:pPr>
        <w:pStyle w:val="Paragrafoelenco"/>
        <w:keepNext/>
        <w:widowControl w:val="0"/>
        <w:numPr>
          <w:ilvl w:val="1"/>
          <w:numId w:val="2"/>
        </w:numPr>
        <w:tabs>
          <w:tab w:val="left" w:pos="2127"/>
        </w:tabs>
        <w:autoSpaceDE w:val="0"/>
        <w:autoSpaceDN w:val="0"/>
        <w:spacing w:before="240" w:after="240" w:line="300" w:lineRule="exact"/>
        <w:ind w:left="1985" w:hanging="567"/>
        <w:contextualSpacing w:val="0"/>
        <w:rPr>
          <w:rFonts w:cs="Open Sans"/>
          <w:szCs w:val="24"/>
        </w:rPr>
      </w:pPr>
      <w:r w:rsidRPr="00397230">
        <w:rPr>
          <w:rFonts w:cs="Open Sans"/>
          <w:szCs w:val="24"/>
        </w:rPr>
        <w:t>arbitrariness is not to be equated with ‘against the law’; it must be interpreted more broadly to include elements of inappropriateness, inju</w:t>
      </w:r>
      <w:r w:rsidRPr="008B146B">
        <w:rPr>
          <w:rFonts w:cs="Open Sans"/>
          <w:szCs w:val="24"/>
        </w:rPr>
        <w:t>stice or lack of predictability</w:t>
      </w:r>
      <w:r w:rsidRPr="001E4E9B">
        <w:rPr>
          <w:rFonts w:cs="Open Sans"/>
          <w:szCs w:val="24"/>
          <w:vertAlign w:val="superscript"/>
        </w:rPr>
        <w:endnoteReference w:id="5"/>
      </w:r>
    </w:p>
    <w:p w14:paraId="6B4D77B4" w14:textId="77777777" w:rsidR="000433F9" w:rsidRPr="00397230" w:rsidRDefault="000433F9" w:rsidP="000433F9">
      <w:pPr>
        <w:pStyle w:val="Paragrafoelenco"/>
        <w:keepNext/>
        <w:widowControl w:val="0"/>
        <w:numPr>
          <w:ilvl w:val="1"/>
          <w:numId w:val="2"/>
        </w:numPr>
        <w:tabs>
          <w:tab w:val="left" w:pos="2127"/>
        </w:tabs>
        <w:autoSpaceDE w:val="0"/>
        <w:autoSpaceDN w:val="0"/>
        <w:spacing w:before="240" w:after="240" w:line="300" w:lineRule="exact"/>
        <w:ind w:left="1985" w:hanging="567"/>
        <w:contextualSpacing w:val="0"/>
        <w:rPr>
          <w:rFonts w:cs="Open Sans"/>
          <w:szCs w:val="24"/>
        </w:rPr>
      </w:pPr>
      <w:r w:rsidRPr="00397230">
        <w:rPr>
          <w:rFonts w:cs="Open Sans"/>
          <w:szCs w:val="24"/>
        </w:rPr>
        <w:t>detention should not continue beyond the period for which a State party can provide appropriate justification.</w:t>
      </w:r>
      <w:r w:rsidRPr="001E4E9B">
        <w:rPr>
          <w:rFonts w:cs="Open Sans"/>
          <w:szCs w:val="24"/>
          <w:vertAlign w:val="superscript"/>
        </w:rPr>
        <w:endnoteReference w:id="6"/>
      </w:r>
      <w:r w:rsidRPr="001E4E9B">
        <w:rPr>
          <w:rFonts w:cs="Open Sans"/>
          <w:szCs w:val="24"/>
          <w:vertAlign w:val="superscript"/>
        </w:rPr>
        <w:t xml:space="preserve"> </w:t>
      </w:r>
    </w:p>
    <w:p w14:paraId="15F6149A" w14:textId="77777777" w:rsidR="000433F9" w:rsidRPr="00397230"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3"/>
        <w:contextualSpacing w:val="0"/>
        <w:rPr>
          <w:rFonts w:cs="Open Sans"/>
          <w:szCs w:val="24"/>
        </w:rPr>
      </w:pPr>
      <w:r w:rsidRPr="008B146B">
        <w:rPr>
          <w:rFonts w:cs="Open Sans"/>
          <w:szCs w:val="24"/>
        </w:rPr>
        <w:t xml:space="preserve">In </w:t>
      </w:r>
      <w:r w:rsidRPr="008B146B">
        <w:rPr>
          <w:rFonts w:cs="Open Sans"/>
          <w:i/>
          <w:szCs w:val="24"/>
        </w:rPr>
        <w:t>Van Alphen v The Netherlands</w:t>
      </w:r>
      <w:r w:rsidRPr="008B146B">
        <w:rPr>
          <w:rFonts w:cs="Open Sans"/>
          <w:szCs w:val="24"/>
        </w:rPr>
        <w:t xml:space="preserve"> the United N</w:t>
      </w:r>
      <w:r w:rsidRPr="00DF589B">
        <w:rPr>
          <w:rFonts w:cs="Open Sans"/>
          <w:szCs w:val="24"/>
        </w:rPr>
        <w:t xml:space="preserve">ations Human Rights Committee </w:t>
      </w:r>
      <w:r w:rsidRPr="006129DA">
        <w:rPr>
          <w:rFonts w:cs="Open Sans"/>
          <w:szCs w:val="24"/>
        </w:rPr>
        <w:t>(UN HR Committee) found detention for a period of two months to be arbitrary because the State Party did not show that remand in custody was necessary to prevent flight, interference with evidence or recurrence of crime.</w:t>
      </w:r>
      <w:r w:rsidRPr="001E4E9B">
        <w:rPr>
          <w:rFonts w:cs="Open Sans"/>
          <w:sz w:val="20"/>
          <w:vertAlign w:val="superscript"/>
        </w:rPr>
        <w:endnoteReference w:id="7"/>
      </w:r>
      <w:r w:rsidRPr="001E4E9B">
        <w:rPr>
          <w:rFonts w:cs="Open Sans"/>
          <w:szCs w:val="24"/>
        </w:rPr>
        <w:t xml:space="preserve"> </w:t>
      </w:r>
    </w:p>
    <w:p w14:paraId="1C81141D" w14:textId="77777777" w:rsidR="000433F9" w:rsidRPr="00397230"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3"/>
        <w:contextualSpacing w:val="0"/>
        <w:rPr>
          <w:rFonts w:cs="Open Sans"/>
          <w:szCs w:val="24"/>
        </w:rPr>
      </w:pPr>
      <w:r w:rsidRPr="008B146B">
        <w:rPr>
          <w:rFonts w:cs="Open Sans"/>
          <w:szCs w:val="24"/>
        </w:rPr>
        <w:t xml:space="preserve">The UN HR </w:t>
      </w:r>
      <w:r w:rsidRPr="00DF589B">
        <w:rPr>
          <w:rFonts w:cs="Open Sans"/>
          <w:szCs w:val="24"/>
        </w:rPr>
        <w:t xml:space="preserve">Committee has held in several communications </w:t>
      </w:r>
      <w:r w:rsidRPr="005D3D15">
        <w:rPr>
          <w:rFonts w:cs="Open Sans"/>
          <w:szCs w:val="24"/>
        </w:rPr>
        <w:t>that there is an obligation on the State Party to demonstrate that there was not a less invasive way than</w:t>
      </w:r>
      <w:r w:rsidRPr="006129DA">
        <w:rPr>
          <w:rFonts w:cs="Open Sans"/>
          <w:szCs w:val="24"/>
        </w:rPr>
        <w:t xml:space="preserve"> closed detention to achieve the ends of the State Party’s immigration policy (for example the imposition of reporting obligations, sureties or other conditions) in order to avoid the conclusion that detention was arbitrary.</w:t>
      </w:r>
      <w:r w:rsidRPr="001E4E9B">
        <w:rPr>
          <w:rFonts w:cs="Open Sans"/>
          <w:sz w:val="20"/>
          <w:szCs w:val="24"/>
          <w:vertAlign w:val="superscript"/>
        </w:rPr>
        <w:endnoteReference w:id="8"/>
      </w:r>
      <w:r w:rsidRPr="001E4E9B">
        <w:rPr>
          <w:rFonts w:cs="Open Sans"/>
          <w:szCs w:val="24"/>
        </w:rPr>
        <w:t xml:space="preserve"> </w:t>
      </w:r>
    </w:p>
    <w:p w14:paraId="1EED70E8" w14:textId="77777777" w:rsidR="000433F9" w:rsidRPr="00DF589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3"/>
        <w:contextualSpacing w:val="0"/>
        <w:rPr>
          <w:rFonts w:cs="Open Sans"/>
        </w:rPr>
      </w:pPr>
      <w:bookmarkStart w:id="60" w:name="_Toc452472697"/>
      <w:bookmarkStart w:id="61" w:name="_Toc487445604"/>
      <w:bookmarkStart w:id="62" w:name="_Toc487531389"/>
      <w:bookmarkStart w:id="63" w:name="_Toc487531408"/>
      <w:bookmarkStart w:id="64" w:name="_Toc487531478"/>
      <w:bookmarkStart w:id="65" w:name="_Toc487531598"/>
      <w:r w:rsidRPr="008B146B">
        <w:rPr>
          <w:rFonts w:cs="Open Sans"/>
        </w:rPr>
        <w:t>The United Nations Working Group on Arbitrary Detention has expressed the view that the use of administrative detention for national security purposes is not compatible with international human rights law where detention continues for long periods or for an unlimited period without effective judicial oversight.</w:t>
      </w:r>
      <w:r w:rsidRPr="001E4E9B">
        <w:rPr>
          <w:rStyle w:val="Rimandonotadichiusura"/>
          <w:rFonts w:ascii="Open Sans" w:hAnsi="Open Sans" w:cs="Open Sans"/>
        </w:rPr>
        <w:endnoteReference w:id="9"/>
      </w:r>
      <w:r w:rsidRPr="001E4E9B">
        <w:rPr>
          <w:rFonts w:cs="Open Sans"/>
        </w:rPr>
        <w:t xml:space="preserve"> </w:t>
      </w:r>
      <w:r w:rsidRPr="00397230">
        <w:rPr>
          <w:rFonts w:cs="Open Sans"/>
        </w:rPr>
        <w:t xml:space="preserve">A similar view has been expressed by the </w:t>
      </w:r>
      <w:r w:rsidRPr="004C0A0D">
        <w:rPr>
          <w:rFonts w:cs="Open Sans"/>
        </w:rPr>
        <w:t>UN</w:t>
      </w:r>
      <w:r w:rsidRPr="008B146B">
        <w:rPr>
          <w:rFonts w:cs="Open Sans"/>
        </w:rPr>
        <w:t xml:space="preserve"> HR Committee</w:t>
      </w:r>
      <w:r w:rsidRPr="00DF589B">
        <w:rPr>
          <w:rFonts w:cs="Open Sans"/>
        </w:rPr>
        <w:t>, which has said:</w:t>
      </w:r>
    </w:p>
    <w:p w14:paraId="16113BFE" w14:textId="78BEB3A5" w:rsidR="000433F9" w:rsidRDefault="000433F9" w:rsidP="000433F9">
      <w:pPr>
        <w:pStyle w:val="ListParaNumbered"/>
        <w:tabs>
          <w:tab w:val="clear" w:pos="680"/>
        </w:tabs>
        <w:spacing w:before="240" w:after="240" w:line="240" w:lineRule="auto"/>
        <w:ind w:left="1418" w:firstLine="0"/>
        <w:rPr>
          <w:rFonts w:cs="Open Sans"/>
          <w:sz w:val="22"/>
          <w:szCs w:val="22"/>
        </w:rPr>
      </w:pPr>
      <w:r w:rsidRPr="006129DA">
        <w:rPr>
          <w:rFonts w:cs="Open Sans"/>
          <w:sz w:val="22"/>
          <w:szCs w:val="22"/>
        </w:rPr>
        <w:t>if so-called preventive detention is used, for reasons of public security, it must be controlled by these same provisions, i.e. it must not be arbitrary, and must be based on grounds and procedures established by law … information of the reasons must be given … and court control of the detention must be available … as well as compensation in the case of a breach …</w:t>
      </w:r>
      <w:r w:rsidRPr="001E4E9B">
        <w:rPr>
          <w:rStyle w:val="Rimandonotadichiusura"/>
          <w:rFonts w:ascii="Open Sans" w:hAnsi="Open Sans" w:cs="Open Sans"/>
          <w:sz w:val="22"/>
          <w:szCs w:val="22"/>
        </w:rPr>
        <w:endnoteReference w:id="10"/>
      </w:r>
    </w:p>
    <w:p w14:paraId="46FEBDC6" w14:textId="5353AA54" w:rsidR="00C05418" w:rsidRDefault="00C05418">
      <w:pPr>
        <w:spacing w:after="160" w:line="259" w:lineRule="auto"/>
      </w:pPr>
      <w:r>
        <w:br w:type="page"/>
      </w:r>
    </w:p>
    <w:p w14:paraId="2E372C3B" w14:textId="77777777" w:rsidR="000433F9" w:rsidRPr="001E4E9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3"/>
        <w:contextualSpacing w:val="0"/>
        <w:rPr>
          <w:rFonts w:cs="Open Sans"/>
          <w:szCs w:val="24"/>
        </w:rPr>
      </w:pPr>
      <w:r w:rsidRPr="008B146B">
        <w:rPr>
          <w:rFonts w:cs="Open Sans"/>
          <w:szCs w:val="24"/>
        </w:rPr>
        <w:lastRenderedPageBreak/>
        <w:t>The Working Group emphasised that people who are administratively detained must have access to judicial review of the substantive justification of detention as well as sufficiently frequent review of the ongoing circumstances in which they are detained, in accordance with the rights recognised under article 9(4) of the ICCPR.</w:t>
      </w:r>
      <w:r w:rsidRPr="001E4E9B">
        <w:rPr>
          <w:rFonts w:cs="Open Sans"/>
          <w:szCs w:val="24"/>
          <w:vertAlign w:val="superscript"/>
        </w:rPr>
        <w:endnoteReference w:id="11"/>
      </w:r>
    </w:p>
    <w:p w14:paraId="15A8ACAD" w14:textId="77777777" w:rsidR="000433F9" w:rsidRPr="001E4E9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3"/>
        <w:contextualSpacing w:val="0"/>
        <w:rPr>
          <w:rFonts w:cs="Open Sans"/>
          <w:szCs w:val="24"/>
        </w:rPr>
      </w:pPr>
      <w:r w:rsidRPr="00397230">
        <w:rPr>
          <w:rFonts w:cs="Open Sans"/>
          <w:szCs w:val="24"/>
        </w:rPr>
        <w:t xml:space="preserve">A short period of administrative detention for the purposes of developing a more durable solution to a person’s immigration status may be a reasonable and appropriate response by the Commonwealth. However, </w:t>
      </w:r>
      <w:r w:rsidRPr="008B146B">
        <w:rPr>
          <w:rFonts w:cs="Open Sans"/>
          <w:szCs w:val="24"/>
        </w:rPr>
        <w:t>closed detention for immigration purposes without reasonable prospect of removal may contravene article 9(1) of the ICCPR.</w:t>
      </w:r>
      <w:r w:rsidRPr="001E4E9B">
        <w:rPr>
          <w:rFonts w:cs="Open Sans"/>
          <w:szCs w:val="24"/>
          <w:vertAlign w:val="superscript"/>
        </w:rPr>
        <w:endnoteReference w:id="12"/>
      </w:r>
    </w:p>
    <w:p w14:paraId="02F52924" w14:textId="403089FB" w:rsidR="000433F9" w:rsidRPr="00397230"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3"/>
        <w:contextualSpacing w:val="0"/>
        <w:rPr>
          <w:rFonts w:cs="Open Sans"/>
          <w:szCs w:val="24"/>
        </w:rPr>
      </w:pPr>
      <w:r w:rsidRPr="00397230">
        <w:rPr>
          <w:rFonts w:cs="Open Sans"/>
          <w:szCs w:val="24"/>
        </w:rPr>
        <w:t>Under international law the guiding standard for restricting rights is proportionality, which means that deprivation of liberty</w:t>
      </w:r>
      <w:r w:rsidRPr="004C0A0D">
        <w:rPr>
          <w:rFonts w:cs="Open Sans"/>
          <w:szCs w:val="24"/>
        </w:rPr>
        <w:t xml:space="preserve"> (</w:t>
      </w:r>
      <w:r w:rsidRPr="008B146B">
        <w:rPr>
          <w:rFonts w:cs="Open Sans"/>
          <w:szCs w:val="24"/>
        </w:rPr>
        <w:t xml:space="preserve">in this case, closed immigration detention) must be necessary and proportionate to a legitimate aim of the State </w:t>
      </w:r>
      <w:r w:rsidRPr="006129DA">
        <w:rPr>
          <w:rFonts w:cs="Open Sans"/>
          <w:szCs w:val="24"/>
        </w:rPr>
        <w:t>Party (in this case, the Commonwealth) in order to avoid being arbitrary.</w:t>
      </w:r>
      <w:r w:rsidRPr="001E4E9B">
        <w:rPr>
          <w:rFonts w:cs="Open Sans"/>
          <w:szCs w:val="24"/>
          <w:vertAlign w:val="superscript"/>
        </w:rPr>
        <w:endnoteReference w:id="13"/>
      </w:r>
    </w:p>
    <w:p w14:paraId="1237F7B6" w14:textId="77777777" w:rsidR="000433F9" w:rsidRPr="008B146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3"/>
        <w:contextualSpacing w:val="0"/>
        <w:rPr>
          <w:rFonts w:cs="Open Sans"/>
          <w:szCs w:val="24"/>
        </w:rPr>
      </w:pPr>
      <w:r w:rsidRPr="008B146B">
        <w:rPr>
          <w:rFonts w:cs="Open Sans"/>
          <w:szCs w:val="24"/>
        </w:rPr>
        <w:t>Accordingly, where alternative places or modes of detention that impose a lesser restriction on a person’s liberty are reasonably available, and in the absence of particular reasons specific to the individual, prolonged detention in an immigration detention centre may be disproportionate to the Commonwealth’s legitimate aim of ensuring the effective operation of Australia’s migration system.</w:t>
      </w:r>
    </w:p>
    <w:p w14:paraId="0826CC5A"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3"/>
        <w:contextualSpacing w:val="0"/>
        <w:rPr>
          <w:rFonts w:cs="Open Sans"/>
          <w:szCs w:val="24"/>
        </w:rPr>
      </w:pPr>
      <w:r w:rsidRPr="006129DA">
        <w:rPr>
          <w:rFonts w:cs="Open Sans"/>
          <w:szCs w:val="24"/>
        </w:rPr>
        <w:t xml:space="preserve">It is therefore necessary to consider whether the detention of Mr AC in a closed immigration facility can be justified as reasonable, necessary and proportionate on the basis of particular reasons specific to him, and in light of the available alternatives to closed detention. If his detention cannot be justified on these grounds, it will be disproportionate to the Commonwealth’s legitimate aim of ensuring the effective operation of Australia’s migration system and therefore considered ‘arbitrary’ under article 9 of the ICCPR. </w:t>
      </w:r>
    </w:p>
    <w:p w14:paraId="537A4AE5" w14:textId="77777777" w:rsidR="000433F9" w:rsidRPr="006129DA" w:rsidRDefault="000433F9" w:rsidP="000433F9">
      <w:pPr>
        <w:pStyle w:val="Titolo1"/>
        <w:numPr>
          <w:ilvl w:val="0"/>
          <w:numId w:val="1"/>
        </w:numPr>
        <w:rPr>
          <w:rFonts w:cs="Open Sans"/>
          <w:sz w:val="36"/>
          <w:szCs w:val="36"/>
        </w:rPr>
      </w:pPr>
      <w:bookmarkStart w:id="66" w:name="_Toc48229425"/>
      <w:r w:rsidRPr="006129DA">
        <w:rPr>
          <w:rFonts w:cs="Open Sans"/>
          <w:sz w:val="36"/>
          <w:szCs w:val="36"/>
        </w:rPr>
        <w:t>Assessment</w:t>
      </w:r>
      <w:bookmarkEnd w:id="66"/>
    </w:p>
    <w:p w14:paraId="159827DC" w14:textId="77777777" w:rsidR="000433F9" w:rsidRPr="00AF0B41" w:rsidRDefault="000433F9" w:rsidP="000433F9">
      <w:pPr>
        <w:pStyle w:val="Titolo2"/>
        <w:numPr>
          <w:ilvl w:val="1"/>
          <w:numId w:val="1"/>
        </w:numPr>
        <w:tabs>
          <w:tab w:val="clear" w:pos="993"/>
          <w:tab w:val="num" w:pos="709"/>
        </w:tabs>
        <w:spacing w:before="360"/>
        <w:ind w:hanging="993"/>
        <w:rPr>
          <w:rFonts w:cs="Open Sans"/>
          <w:color w:val="auto"/>
        </w:rPr>
      </w:pPr>
      <w:bookmarkStart w:id="67" w:name="_Toc48229426"/>
      <w:r w:rsidRPr="00AF0B41">
        <w:rPr>
          <w:rFonts w:cs="Open Sans"/>
          <w:color w:val="auto"/>
        </w:rPr>
        <w:t>Act or practice of the Commonwealth?</w:t>
      </w:r>
      <w:bookmarkEnd w:id="60"/>
      <w:bookmarkEnd w:id="61"/>
      <w:bookmarkEnd w:id="62"/>
      <w:bookmarkEnd w:id="63"/>
      <w:bookmarkEnd w:id="64"/>
      <w:bookmarkEnd w:id="65"/>
      <w:bookmarkEnd w:id="67"/>
    </w:p>
    <w:p w14:paraId="093DCF48" w14:textId="212A48D6" w:rsidR="000433F9"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bookmarkStart w:id="68" w:name="_Toc452472698"/>
      <w:bookmarkStart w:id="69" w:name="_Toc487445605"/>
      <w:bookmarkStart w:id="70" w:name="_Toc487531390"/>
      <w:bookmarkStart w:id="71" w:name="_Toc487531409"/>
      <w:bookmarkStart w:id="72" w:name="_Toc487531479"/>
      <w:bookmarkStart w:id="73" w:name="_Toc487531599"/>
      <w:r w:rsidRPr="001E4E9B">
        <w:rPr>
          <w:rFonts w:cs="Open Sans"/>
          <w:szCs w:val="24"/>
        </w:rPr>
        <w:t xml:space="preserve">On 19 July 2013, Mr </w:t>
      </w:r>
      <w:r w:rsidRPr="00397230">
        <w:rPr>
          <w:rFonts w:cs="Open Sans"/>
          <w:szCs w:val="24"/>
        </w:rPr>
        <w:t>AC’s Partner visa was cancelled, and he was detained pursuant to s 189(1)</w:t>
      </w:r>
      <w:r w:rsidRPr="008B146B">
        <w:rPr>
          <w:rFonts w:cs="Open Sans"/>
          <w:szCs w:val="24"/>
        </w:rPr>
        <w:t xml:space="preserve"> of the Migration Act. He has remained in closed immigration detention since that date. When his Partner visa was cancelled, Mr AC became an ‘unlawful non-citizen’, and the Migration Act required that he be detained.</w:t>
      </w:r>
    </w:p>
    <w:p w14:paraId="6E390DBC" w14:textId="1DD0D6E4" w:rsidR="00C05418" w:rsidRDefault="00C05418">
      <w:pPr>
        <w:spacing w:after="160" w:line="259" w:lineRule="auto"/>
      </w:pPr>
      <w:r>
        <w:br w:type="page"/>
      </w:r>
    </w:p>
    <w:p w14:paraId="2345C504" w14:textId="58755EFD"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lastRenderedPageBreak/>
        <w:t>The ASA made by ASIO in relation to Mr AC on 17 June 2013 has remained in place over the course of the last six years. A letter dated 24 April 2018, provided by the Inspector-General of Intelligence and Security (IGIS) states that the IGIS has reviewed ASIO’s handling of Mr AC’s case. The letter states that ASIO has an internal review process for ASAs and, where appropriate, issues new assessments informed by updated information or changes in the security environment. The IGIS has written to the Director-General of Security regarding Mr AC’s adverse security assessment.</w:t>
      </w:r>
    </w:p>
    <w:p w14:paraId="46A3E559" w14:textId="46E2E722"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 xml:space="preserve">The Department has not asked ASIO to assess Mr AC’s suitability for </w:t>
      </w:r>
      <w:proofErr w:type="gramStart"/>
      <w:r w:rsidRPr="006129DA">
        <w:rPr>
          <w:rFonts w:cs="Open Sans"/>
          <w:szCs w:val="24"/>
        </w:rPr>
        <w:t>community based</w:t>
      </w:r>
      <w:proofErr w:type="gramEnd"/>
      <w:r w:rsidRPr="006129DA">
        <w:rPr>
          <w:rFonts w:cs="Open Sans"/>
          <w:szCs w:val="24"/>
        </w:rPr>
        <w:t xml:space="preserve"> detention. The Department has not asked ASIO to provide advice about any risk that Mr AC might pose to the Australian community which would preclude him from being placed in community detention, nor has the Department asked ASIO to consider whether any risk Mr AC might pose to the community can be mitigated.</w:t>
      </w:r>
    </w:p>
    <w:p w14:paraId="18A25855" w14:textId="09C9E74F"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 xml:space="preserve">It is my view that the failure of the Department to ask ASIO to assess Mr AC’s suitability for </w:t>
      </w:r>
      <w:proofErr w:type="gramStart"/>
      <w:r w:rsidRPr="006129DA">
        <w:rPr>
          <w:rFonts w:cs="Open Sans"/>
          <w:szCs w:val="24"/>
        </w:rPr>
        <w:t>community based</w:t>
      </w:r>
      <w:proofErr w:type="gramEnd"/>
      <w:r w:rsidRPr="006129DA">
        <w:rPr>
          <w:rFonts w:cs="Open Sans"/>
          <w:szCs w:val="24"/>
        </w:rPr>
        <w:t xml:space="preserve"> detention is an ‘act’ within the definition of s 3 of the AHRC Act.</w:t>
      </w:r>
    </w:p>
    <w:p w14:paraId="272375EB"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 xml:space="preserve">Further, while the Migration Act requires the detention of unlawful non-citizens, there are a number of powers that the Minister can exercise to detain a person in a manner less restrictive than a closed immigration detention facility. </w:t>
      </w:r>
    </w:p>
    <w:p w14:paraId="166F8553"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 xml:space="preserve">Section 197AB of the Migration Act permits the Minister, where he thinks that it is in the public interest to do so, to make a ‘residence determination’ to allow a person to reside in a specified place, instead of being detained in closed immigration detention. A ‘specified place’ may be a place in the community. This is commonly referred to as ‘community detention’. Section 197AB(2)(b) allows the Minister to specify the conditions to be complied with by the person or persons covered by the residence determination. </w:t>
      </w:r>
    </w:p>
    <w:p w14:paraId="4F5A8988" w14:textId="332595B2" w:rsidR="000433F9"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It is my view that the Department’s failure to assess on an individual basis whether Mr AC’s circumstances indicated that he could be placed in a less restrictive form of detention and, if his circumstances allowed, refer Mr AC’s case to the Minister to consider exercising his discretionary powers under s 197AB of the Migration Act (if necessary with conditions to mitigate any risk), is an ‘act’ within the definition of s 3 of the AHRC Act.</w:t>
      </w:r>
    </w:p>
    <w:p w14:paraId="43EC9FB6" w14:textId="67B7DEFC" w:rsidR="00C05418" w:rsidRDefault="00C05418">
      <w:pPr>
        <w:spacing w:after="160" w:line="259" w:lineRule="auto"/>
      </w:pPr>
      <w:r>
        <w:br w:type="page"/>
      </w:r>
    </w:p>
    <w:p w14:paraId="5F5B1214" w14:textId="77777777" w:rsidR="000433F9" w:rsidRPr="002027D1" w:rsidRDefault="000433F9" w:rsidP="000433F9">
      <w:pPr>
        <w:pStyle w:val="Titolo2"/>
        <w:numPr>
          <w:ilvl w:val="1"/>
          <w:numId w:val="1"/>
        </w:numPr>
        <w:tabs>
          <w:tab w:val="clear" w:pos="993"/>
          <w:tab w:val="num" w:pos="709"/>
        </w:tabs>
        <w:spacing w:before="360"/>
        <w:ind w:left="709" w:hanging="709"/>
        <w:rPr>
          <w:rFonts w:cs="Open Sans"/>
          <w:color w:val="auto"/>
        </w:rPr>
      </w:pPr>
      <w:bookmarkStart w:id="74" w:name="_Toc48229427"/>
      <w:r w:rsidRPr="002027D1">
        <w:rPr>
          <w:rFonts w:cs="Open Sans"/>
          <w:color w:val="auto"/>
        </w:rPr>
        <w:lastRenderedPageBreak/>
        <w:t xml:space="preserve">Act 1: Failure by the Department to ask ASIO to assess the individual suitability of Mr AC for </w:t>
      </w:r>
      <w:proofErr w:type="gramStart"/>
      <w:r w:rsidRPr="002027D1">
        <w:rPr>
          <w:rFonts w:cs="Open Sans"/>
          <w:color w:val="auto"/>
        </w:rPr>
        <w:t>community based</w:t>
      </w:r>
      <w:proofErr w:type="gramEnd"/>
      <w:r w:rsidRPr="002027D1">
        <w:rPr>
          <w:rFonts w:cs="Open Sans"/>
          <w:color w:val="auto"/>
        </w:rPr>
        <w:t xml:space="preserve"> detention</w:t>
      </w:r>
      <w:bookmarkEnd w:id="74"/>
    </w:p>
    <w:p w14:paraId="43D163C7" w14:textId="77777777" w:rsidR="000433F9" w:rsidRPr="008B146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1E4E9B">
        <w:rPr>
          <w:rFonts w:cs="Open Sans"/>
          <w:szCs w:val="24"/>
        </w:rPr>
        <w:t>ASIO has the function under s 37 of the ASIO Act of furnishing security assessm</w:t>
      </w:r>
      <w:r w:rsidRPr="00397230">
        <w:rPr>
          <w:rFonts w:cs="Open Sans"/>
          <w:szCs w:val="24"/>
        </w:rPr>
        <w:t xml:space="preserve">ents to Commonwealth agencies that are relevant to the functions and responsibilities of those agencies. A security assessment is relevantly defined in s 35 of the ASIO Act as a statement in writing furnished by ASIO to a Commonwealth agency expressing any recommendation, opinion or advice on whether it would be consistent with the requirements of security for a prescribed administrative action to be taken in respect of a person. </w:t>
      </w:r>
    </w:p>
    <w:p w14:paraId="52EDB351" w14:textId="5D8C6E87" w:rsidR="000433F9" w:rsidRPr="00397230"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8B146B">
        <w:rPr>
          <w:rFonts w:cs="Open Sans"/>
          <w:szCs w:val="24"/>
        </w:rPr>
        <w:t xml:space="preserve">The Department may ask ASIO to carry out assessments for different purposes. </w:t>
      </w:r>
      <w:r w:rsidRPr="006129DA">
        <w:rPr>
          <w:rFonts w:cs="Open Sans"/>
          <w:szCs w:val="24"/>
        </w:rPr>
        <w:t>In the past, ASIO has noted that the type of assessment that it carries out varies according to the purpose for which it has been asked to make an assessment. In particular, the assessment will relate to the particular administrative act that is proposed (for example, the act of granting a visa or the act of placing someone in community detention).</w:t>
      </w:r>
      <w:r w:rsidRPr="001E4E9B">
        <w:rPr>
          <w:rFonts w:cs="Open Sans"/>
          <w:szCs w:val="24"/>
          <w:vertAlign w:val="superscript"/>
        </w:rPr>
        <w:endnoteReference w:id="14"/>
      </w:r>
    </w:p>
    <w:p w14:paraId="04050518" w14:textId="77777777" w:rsidR="000433F9" w:rsidRPr="001E4E9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8B146B">
        <w:rPr>
          <w:rFonts w:cs="Open Sans"/>
          <w:szCs w:val="24"/>
        </w:rPr>
        <w:t>Our understanding is that the Department can ask ASIO to provide security assessments in relation to the Minister exercising his powers to make residence determinations allowing persons in immigration detention to be placed in community detention (under s 197AB of the Migration Act) or to grant a bridging (or other) visa (under s 195A of the</w:t>
      </w:r>
      <w:r w:rsidRPr="006129DA">
        <w:rPr>
          <w:rFonts w:cs="Open Sans"/>
          <w:szCs w:val="24"/>
        </w:rPr>
        <w:t xml:space="preserve"> Migration Act). These assessments can frequently be completed within 24 hours.</w:t>
      </w:r>
      <w:r w:rsidRPr="001E4E9B">
        <w:rPr>
          <w:rFonts w:cs="Open Sans"/>
          <w:szCs w:val="24"/>
          <w:vertAlign w:val="superscript"/>
        </w:rPr>
        <w:endnoteReference w:id="15"/>
      </w:r>
    </w:p>
    <w:p w14:paraId="4FA114F4" w14:textId="77777777" w:rsidR="000433F9" w:rsidRPr="00397230"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397230">
        <w:rPr>
          <w:rFonts w:cs="Open Sans"/>
          <w:szCs w:val="24"/>
        </w:rPr>
        <w:t>The security assessment process has been discussed in detail in previous Commission reports.</w:t>
      </w:r>
      <w:r w:rsidRPr="001E4E9B">
        <w:rPr>
          <w:rFonts w:cs="Open Sans"/>
          <w:szCs w:val="24"/>
          <w:vertAlign w:val="superscript"/>
        </w:rPr>
        <w:endnoteReference w:id="16"/>
      </w:r>
      <w:r w:rsidRPr="001E4E9B">
        <w:rPr>
          <w:rFonts w:cs="Open Sans"/>
          <w:szCs w:val="24"/>
          <w:vertAlign w:val="superscript"/>
        </w:rPr>
        <w:t xml:space="preserve"> </w:t>
      </w:r>
    </w:p>
    <w:p w14:paraId="71ADA70F" w14:textId="77777777" w:rsidR="000433F9" w:rsidRPr="008B146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8B146B">
        <w:rPr>
          <w:rFonts w:cs="Open Sans"/>
          <w:szCs w:val="24"/>
        </w:rPr>
        <w:t>On 14 January 2019, the Commission wrote to the Department and asked the following:</w:t>
      </w:r>
    </w:p>
    <w:p w14:paraId="2DEEE329" w14:textId="77777777" w:rsidR="000433F9" w:rsidRPr="006129DA" w:rsidRDefault="000433F9" w:rsidP="000433F9">
      <w:pPr>
        <w:widowControl w:val="0"/>
        <w:tabs>
          <w:tab w:val="left" w:pos="797"/>
          <w:tab w:val="left" w:pos="798"/>
        </w:tabs>
        <w:autoSpaceDE w:val="0"/>
        <w:autoSpaceDN w:val="0"/>
        <w:spacing w:before="240" w:after="240"/>
        <w:ind w:left="1418"/>
        <w:rPr>
          <w:rFonts w:cs="Open Sans"/>
          <w:sz w:val="22"/>
          <w:szCs w:val="22"/>
        </w:rPr>
      </w:pPr>
      <w:r w:rsidRPr="006129DA">
        <w:rPr>
          <w:rFonts w:cs="Open Sans"/>
          <w:sz w:val="22"/>
          <w:szCs w:val="22"/>
        </w:rPr>
        <w:t xml:space="preserve">Since he was detained, has the Department sought advice from ASIO as to whether Mr AC was or is suitable for </w:t>
      </w:r>
      <w:proofErr w:type="gramStart"/>
      <w:r w:rsidRPr="006129DA">
        <w:rPr>
          <w:rFonts w:cs="Open Sans"/>
          <w:sz w:val="22"/>
          <w:szCs w:val="22"/>
        </w:rPr>
        <w:t>community based</w:t>
      </w:r>
      <w:proofErr w:type="gramEnd"/>
      <w:r w:rsidRPr="006129DA">
        <w:rPr>
          <w:rFonts w:cs="Open Sans"/>
          <w:sz w:val="22"/>
          <w:szCs w:val="22"/>
        </w:rPr>
        <w:t xml:space="preserve"> detention? Has the Department asked ASIO to provide advice about any risk that Mr AC poses to the Australian community which would preclude him from being placed in community detention? If yes, what was ASIO’s advice/assessment?</w:t>
      </w:r>
    </w:p>
    <w:p w14:paraId="408D6759"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 xml:space="preserve">On 1 February 2019, the Department provided a response as follows: </w:t>
      </w:r>
    </w:p>
    <w:p w14:paraId="0BC297CE" w14:textId="679F23C7" w:rsidR="000433F9" w:rsidRDefault="000433F9" w:rsidP="000433F9">
      <w:pPr>
        <w:pStyle w:val="Paragrafoelenco"/>
        <w:widowControl w:val="0"/>
        <w:tabs>
          <w:tab w:val="left" w:pos="797"/>
          <w:tab w:val="left" w:pos="798"/>
        </w:tabs>
        <w:autoSpaceDE w:val="0"/>
        <w:autoSpaceDN w:val="0"/>
        <w:spacing w:before="240" w:after="240"/>
        <w:ind w:left="1418"/>
        <w:contextualSpacing w:val="0"/>
        <w:rPr>
          <w:rFonts w:cs="Open Sans"/>
          <w:sz w:val="22"/>
          <w:szCs w:val="22"/>
        </w:rPr>
      </w:pPr>
      <w:r w:rsidRPr="006129DA">
        <w:rPr>
          <w:rFonts w:cs="Open Sans"/>
          <w:sz w:val="22"/>
          <w:szCs w:val="22"/>
        </w:rPr>
        <w:t>The Australian Security Intelligence Organisation (ASIO) does not provide advice to inform risk considerations related to placement of ASA holders, including community detention.</w:t>
      </w:r>
    </w:p>
    <w:p w14:paraId="5F2C79FC" w14:textId="48509994" w:rsidR="00C05418" w:rsidRDefault="00C05418">
      <w:pPr>
        <w:spacing w:after="160" w:line="259" w:lineRule="auto"/>
      </w:pPr>
      <w:r>
        <w:br w:type="page"/>
      </w:r>
    </w:p>
    <w:p w14:paraId="43465E7A" w14:textId="0E1883FE" w:rsidR="000433F9" w:rsidRPr="008B146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lastRenderedPageBreak/>
        <w:t>In my preliminary view, I noted that the Department has, in the past, sought such advice from ASIO, and ASIO has provided the requested advice.</w:t>
      </w:r>
      <w:r w:rsidRPr="006129DA">
        <w:rPr>
          <w:rStyle w:val="Rimandonotadichiusura"/>
          <w:rFonts w:ascii="Open Sans" w:hAnsi="Open Sans" w:cs="Open Sans"/>
          <w:szCs w:val="24"/>
        </w:rPr>
        <w:endnoteReference w:id="17"/>
      </w:r>
      <w:r w:rsidRPr="001E4E9B">
        <w:rPr>
          <w:rFonts w:cs="Open Sans"/>
          <w:szCs w:val="24"/>
        </w:rPr>
        <w:t xml:space="preserve"> I</w:t>
      </w:r>
      <w:r w:rsidR="00694ED0" w:rsidRPr="006129DA">
        <w:rPr>
          <w:rFonts w:cs="Open Sans"/>
          <w:szCs w:val="24"/>
        </w:rPr>
        <w:t> </w:t>
      </w:r>
      <w:r w:rsidRPr="001E4E9B">
        <w:rPr>
          <w:rFonts w:cs="Open Sans"/>
          <w:szCs w:val="24"/>
        </w:rPr>
        <w:t>noted that it is unclear why, in this case</w:t>
      </w:r>
      <w:r w:rsidRPr="00397230">
        <w:rPr>
          <w:rFonts w:cs="Open Sans"/>
          <w:szCs w:val="24"/>
        </w:rPr>
        <w:t>, the Department has not sought ASIO’s advice. In my preliminary view, I welcomed any clarification on this point that the Department could provide.</w:t>
      </w:r>
    </w:p>
    <w:p w14:paraId="7DA34156" w14:textId="1A6F491C"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8B146B">
        <w:rPr>
          <w:rFonts w:cs="Open Sans"/>
          <w:szCs w:val="24"/>
        </w:rPr>
        <w:t>The Department, in its response dated 28 May 2019,</w:t>
      </w:r>
      <w:r w:rsidRPr="00DF589B">
        <w:rPr>
          <w:rFonts w:cs="Open Sans"/>
          <w:szCs w:val="24"/>
        </w:rPr>
        <w:t xml:space="preserve"> provided the following information:</w:t>
      </w:r>
    </w:p>
    <w:p w14:paraId="7B0E8A55" w14:textId="3A548300" w:rsidR="000433F9" w:rsidRPr="006129DA" w:rsidRDefault="000433F9" w:rsidP="000433F9">
      <w:pPr>
        <w:pStyle w:val="Paragrafoelenco"/>
        <w:widowControl w:val="0"/>
        <w:tabs>
          <w:tab w:val="left" w:pos="797"/>
          <w:tab w:val="left" w:pos="798"/>
        </w:tabs>
        <w:autoSpaceDE w:val="0"/>
        <w:autoSpaceDN w:val="0"/>
        <w:spacing w:before="240" w:after="240" w:line="300" w:lineRule="exact"/>
        <w:ind w:left="1440" w:hanging="22"/>
        <w:contextualSpacing w:val="0"/>
        <w:rPr>
          <w:rFonts w:cs="Open Sans"/>
          <w:sz w:val="22"/>
          <w:szCs w:val="22"/>
        </w:rPr>
      </w:pPr>
      <w:r w:rsidRPr="006129DA">
        <w:rPr>
          <w:rFonts w:cs="Open Sans"/>
          <w:sz w:val="22"/>
          <w:szCs w:val="22"/>
        </w:rPr>
        <w:tab/>
        <w:t xml:space="preserve">The references cited by the AHRC in paragraphs 51-59 of the preliminary findings are historical (2011-2013) and are in relation to a cohort of individuals who arrived as illegal maritime arrivals. From late 2010, ASIO provided advice to the Department in the form of ‘community detention’ security assessments, which were limited in scope. These were interim measures pending completion of a full security assessment. These security assessments were undertaken on a limited basis by ASIO due to the security environment at the time, on the request of the Department, to enable community management of a large number of Illegal Maritime Arrivals (IMA). The Department notes that Mr AC is not an IMA, and therefore the </w:t>
      </w:r>
      <w:proofErr w:type="gramStart"/>
      <w:r w:rsidRPr="006129DA">
        <w:rPr>
          <w:rFonts w:cs="Open Sans"/>
          <w:sz w:val="22"/>
          <w:szCs w:val="22"/>
        </w:rPr>
        <w:t>above mentioned</w:t>
      </w:r>
      <w:proofErr w:type="gramEnd"/>
      <w:r w:rsidRPr="006129DA">
        <w:rPr>
          <w:rFonts w:cs="Open Sans"/>
          <w:sz w:val="22"/>
          <w:szCs w:val="22"/>
        </w:rPr>
        <w:t xml:space="preserve"> process does not apply in his case.</w:t>
      </w:r>
    </w:p>
    <w:p w14:paraId="77DDD616"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 xml:space="preserve">The operation of ASIO’s function under s 37 of the ASIO Act is broader than that suggested by the Department in its response. Section 37 of the ASIO Act allows ASIO to advise the Department on whether there would be security concerns with the Department taking a prescribed administrative action in respect of a person—in this case, whether it would be consistent with the requirements of security for the Minister to exercise his power under s 197AB of the Migration Act to allow Mr AC to be placed in community detention. That Mr AC is not an IMA, does not prevent the Department from seeking ASIO’s advice as to whether he was or is suitable for </w:t>
      </w:r>
      <w:proofErr w:type="gramStart"/>
      <w:r w:rsidRPr="006129DA">
        <w:rPr>
          <w:rFonts w:cs="Open Sans"/>
          <w:szCs w:val="24"/>
        </w:rPr>
        <w:t>community based</w:t>
      </w:r>
      <w:proofErr w:type="gramEnd"/>
      <w:r w:rsidRPr="006129DA">
        <w:rPr>
          <w:rFonts w:cs="Open Sans"/>
          <w:szCs w:val="24"/>
        </w:rPr>
        <w:t xml:space="preserve"> detention.</w:t>
      </w:r>
    </w:p>
    <w:p w14:paraId="146B09E6" w14:textId="573269F2" w:rsidR="000433F9" w:rsidRPr="00397230"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 xml:space="preserve">My view is that the failure of the Department to request that ASIO conduct a security assessment to assess the suitability of Mr AC for </w:t>
      </w:r>
      <w:proofErr w:type="gramStart"/>
      <w:r w:rsidRPr="006129DA">
        <w:rPr>
          <w:rFonts w:cs="Open Sans"/>
          <w:szCs w:val="24"/>
        </w:rPr>
        <w:t>community based</w:t>
      </w:r>
      <w:proofErr w:type="gramEnd"/>
      <w:r w:rsidRPr="006129DA">
        <w:rPr>
          <w:rFonts w:cs="Open Sans"/>
          <w:szCs w:val="24"/>
        </w:rPr>
        <w:t xml:space="preserve"> detention, is inconsistent with or contrary to article 9(1) of the ICCPR. A community detention security assessment could have been requested by the Department and conducted by ASIO and might have led to Mr AC being held in a less restrictive form of detention.</w:t>
      </w:r>
      <w:r w:rsidRPr="001E4E9B">
        <w:rPr>
          <w:rFonts w:cs="Open Sans"/>
          <w:szCs w:val="24"/>
          <w:vertAlign w:val="superscript"/>
        </w:rPr>
        <w:endnoteReference w:id="18"/>
      </w:r>
    </w:p>
    <w:p w14:paraId="6967726D" w14:textId="77777777" w:rsidR="000433F9" w:rsidRPr="00DF589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4C0A0D">
        <w:rPr>
          <w:rFonts w:cs="Open Sans"/>
          <w:szCs w:val="24"/>
        </w:rPr>
        <w:t xml:space="preserve">As discussed above, detention for an extended period </w:t>
      </w:r>
      <w:r w:rsidRPr="008B146B">
        <w:rPr>
          <w:rFonts w:cs="Open Sans"/>
          <w:szCs w:val="24"/>
        </w:rPr>
        <w:t xml:space="preserve">(in this case, </w:t>
      </w:r>
      <w:r>
        <w:rPr>
          <w:rFonts w:cs="Open Sans"/>
          <w:szCs w:val="24"/>
        </w:rPr>
        <w:t xml:space="preserve">over </w:t>
      </w:r>
      <w:r w:rsidRPr="008B146B">
        <w:rPr>
          <w:rFonts w:cs="Open Sans"/>
          <w:szCs w:val="24"/>
        </w:rPr>
        <w:t>six years) without considering whether there was a less restrictive way of achieving the aims of the Commonwealth’s immigration policy,</w:t>
      </w:r>
      <w:r w:rsidRPr="00DF589B">
        <w:rPr>
          <w:rFonts w:cs="Open Sans"/>
          <w:szCs w:val="24"/>
        </w:rPr>
        <w:t xml:space="preserve"> is arbitrary within the meaning of article 9 of the ICCPR.</w:t>
      </w:r>
    </w:p>
    <w:p w14:paraId="409DB071" w14:textId="441745AD" w:rsidR="000433F9" w:rsidRPr="002027D1" w:rsidRDefault="000433F9" w:rsidP="000433F9">
      <w:pPr>
        <w:pStyle w:val="Titolo2"/>
        <w:numPr>
          <w:ilvl w:val="1"/>
          <w:numId w:val="1"/>
        </w:numPr>
        <w:tabs>
          <w:tab w:val="clear" w:pos="993"/>
          <w:tab w:val="num" w:pos="851"/>
        </w:tabs>
        <w:spacing w:before="360"/>
        <w:ind w:left="851"/>
        <w:rPr>
          <w:rFonts w:cs="Open Sans"/>
          <w:color w:val="auto"/>
        </w:rPr>
      </w:pPr>
      <w:bookmarkStart w:id="77" w:name="_Toc48229428"/>
      <w:r w:rsidRPr="002027D1">
        <w:rPr>
          <w:rFonts w:cs="Open Sans"/>
          <w:color w:val="auto"/>
        </w:rPr>
        <w:lastRenderedPageBreak/>
        <w:t>Act 2: The failure to assess on an individual basis whether the circumstances of Mr AC indicated that he could be placed in a less restrictive form of detention</w:t>
      </w:r>
      <w:bookmarkEnd w:id="77"/>
    </w:p>
    <w:p w14:paraId="7C86A7A7" w14:textId="77777777" w:rsidR="000433F9" w:rsidRPr="008B146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1E4E9B">
        <w:rPr>
          <w:rFonts w:cs="Open Sans"/>
          <w:szCs w:val="24"/>
        </w:rPr>
        <w:t>As the Commission has discussed in relation to previous inquiries,</w:t>
      </w:r>
      <w:r w:rsidRPr="001E4E9B">
        <w:rPr>
          <w:rFonts w:cs="Open Sans"/>
          <w:szCs w:val="24"/>
          <w:vertAlign w:val="superscript"/>
        </w:rPr>
        <w:endnoteReference w:id="19"/>
      </w:r>
      <w:r w:rsidRPr="001E4E9B">
        <w:rPr>
          <w:rFonts w:cs="Open Sans"/>
          <w:szCs w:val="24"/>
        </w:rPr>
        <w:t xml:space="preserve"> the Minister at all relevant times had, and continues to have, the power to make a residence determination under s 197AB of the Migration Act, to allow </w:t>
      </w:r>
      <w:r w:rsidRPr="00397230">
        <w:rPr>
          <w:rFonts w:cs="Open Sans"/>
          <w:szCs w:val="24"/>
        </w:rPr>
        <w:t>individuals to be placed in community detention. The Minister also has the power to grant temporary vis</w:t>
      </w:r>
      <w:r w:rsidRPr="008B146B">
        <w:rPr>
          <w:rFonts w:cs="Open Sans"/>
          <w:szCs w:val="24"/>
        </w:rPr>
        <w:t>as under s 195A, or to approve some other less restrictive place of ‘immigration detention’ under s 5 of the Migration Act.</w:t>
      </w:r>
    </w:p>
    <w:p w14:paraId="54DAB23E" w14:textId="5AA740DB"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8B146B">
        <w:rPr>
          <w:rFonts w:cs="Open Sans"/>
          <w:szCs w:val="24"/>
        </w:rPr>
        <w:t>Since being detained in mid-2013, the Minister has only once (in September 2013) personally considered Mr AC’s case. On that occasio</w:t>
      </w:r>
      <w:r w:rsidRPr="00DF589B">
        <w:rPr>
          <w:rFonts w:cs="Open Sans"/>
          <w:szCs w:val="24"/>
        </w:rPr>
        <w:t xml:space="preserve">n, the Minister’s consideration was in relation to whether Mr </w:t>
      </w:r>
      <w:r w:rsidRPr="006129DA">
        <w:rPr>
          <w:rFonts w:cs="Open Sans"/>
          <w:szCs w:val="24"/>
        </w:rPr>
        <w:t xml:space="preserve">AC should be granted a BVE. The Minister decided that Mr AC did not pass the character test under s 501(6) of the Migration </w:t>
      </w:r>
      <w:proofErr w:type="gramStart"/>
      <w:r w:rsidRPr="006129DA">
        <w:rPr>
          <w:rFonts w:cs="Open Sans"/>
          <w:szCs w:val="24"/>
        </w:rPr>
        <w:t>Act, and</w:t>
      </w:r>
      <w:proofErr w:type="gramEnd"/>
      <w:r w:rsidRPr="006129DA">
        <w:rPr>
          <w:rFonts w:cs="Open Sans"/>
          <w:szCs w:val="24"/>
        </w:rPr>
        <w:t xml:space="preserve"> refused Mr AC a BVE on that basis. On 24 July 2013, Mr</w:t>
      </w:r>
      <w:r w:rsidR="00FA4802" w:rsidRPr="006129DA">
        <w:rPr>
          <w:rFonts w:cs="Open Sans"/>
          <w:szCs w:val="24"/>
        </w:rPr>
        <w:t> </w:t>
      </w:r>
      <w:r w:rsidRPr="006129DA">
        <w:rPr>
          <w:rFonts w:cs="Open Sans"/>
          <w:szCs w:val="24"/>
        </w:rPr>
        <w:t>AC was issued with a Notice of Intention to Consider Refusal (NOICR) of his application for a BVE. The NOICR advised Mr AC of the grounds on which a decision to refuse his visa may be based and the matters that may be taken into account in making that decision. The NOICR specified the particular element of the character test considered relevant to Mr AC’s case, specifically:</w:t>
      </w:r>
    </w:p>
    <w:p w14:paraId="64F4E909" w14:textId="77777777" w:rsidR="000433F9" w:rsidRPr="006129DA" w:rsidRDefault="000433F9" w:rsidP="000433F9">
      <w:pPr>
        <w:pStyle w:val="ListParaNumbered"/>
        <w:tabs>
          <w:tab w:val="clear" w:pos="680"/>
        </w:tabs>
        <w:spacing w:before="240" w:after="240" w:line="240" w:lineRule="auto"/>
        <w:ind w:left="1418" w:firstLine="0"/>
        <w:rPr>
          <w:rFonts w:cs="Open Sans"/>
          <w:i/>
          <w:sz w:val="22"/>
          <w:szCs w:val="22"/>
        </w:rPr>
      </w:pPr>
      <w:r w:rsidRPr="006129DA">
        <w:rPr>
          <w:rFonts w:cs="Open Sans"/>
          <w:i/>
          <w:sz w:val="22"/>
          <w:szCs w:val="22"/>
        </w:rPr>
        <w:t>Subparagraph 501(6)(D)(v):</w:t>
      </w:r>
    </w:p>
    <w:p w14:paraId="229CE96B" w14:textId="1FD5CF7B" w:rsidR="000433F9" w:rsidRPr="006129DA" w:rsidRDefault="000433F9" w:rsidP="000433F9">
      <w:pPr>
        <w:pStyle w:val="ListParaNumbered"/>
        <w:tabs>
          <w:tab w:val="clear" w:pos="680"/>
        </w:tabs>
        <w:spacing w:before="240" w:after="240" w:line="240" w:lineRule="auto"/>
        <w:ind w:left="1418" w:firstLine="0"/>
        <w:rPr>
          <w:rFonts w:cs="Open Sans"/>
          <w:i/>
          <w:sz w:val="22"/>
          <w:szCs w:val="22"/>
        </w:rPr>
      </w:pPr>
      <w:r w:rsidRPr="006129DA">
        <w:rPr>
          <w:rFonts w:cs="Open Sans"/>
          <w:i/>
          <w:sz w:val="22"/>
          <w:szCs w:val="22"/>
        </w:rPr>
        <w:t>(6) For the purpose of this section, a person does not pass the character test if:</w:t>
      </w:r>
    </w:p>
    <w:p w14:paraId="78B37DF7" w14:textId="77777777" w:rsidR="000433F9" w:rsidRPr="006129DA" w:rsidRDefault="000433F9" w:rsidP="000433F9">
      <w:pPr>
        <w:pStyle w:val="ListParaNumbered"/>
        <w:tabs>
          <w:tab w:val="clear" w:pos="680"/>
        </w:tabs>
        <w:spacing w:before="240" w:after="240" w:line="240" w:lineRule="auto"/>
        <w:ind w:left="1418" w:firstLine="0"/>
        <w:rPr>
          <w:rFonts w:cs="Open Sans"/>
          <w:i/>
          <w:sz w:val="22"/>
          <w:szCs w:val="22"/>
        </w:rPr>
      </w:pPr>
      <w:r w:rsidRPr="006129DA">
        <w:rPr>
          <w:rFonts w:cs="Open Sans"/>
          <w:i/>
          <w:sz w:val="22"/>
          <w:szCs w:val="22"/>
        </w:rPr>
        <w:t>…</w:t>
      </w:r>
    </w:p>
    <w:p w14:paraId="18F4739B" w14:textId="77777777" w:rsidR="000433F9" w:rsidRPr="006129DA" w:rsidRDefault="000433F9" w:rsidP="000433F9">
      <w:pPr>
        <w:pStyle w:val="ListParaNumbered"/>
        <w:tabs>
          <w:tab w:val="clear" w:pos="680"/>
        </w:tabs>
        <w:spacing w:before="240" w:after="240" w:line="240" w:lineRule="auto"/>
        <w:ind w:left="1418" w:firstLine="0"/>
        <w:rPr>
          <w:rFonts w:cs="Open Sans"/>
          <w:i/>
          <w:sz w:val="22"/>
          <w:szCs w:val="22"/>
        </w:rPr>
      </w:pPr>
      <w:r w:rsidRPr="006129DA">
        <w:rPr>
          <w:rFonts w:cs="Open Sans"/>
          <w:i/>
          <w:sz w:val="22"/>
          <w:szCs w:val="22"/>
        </w:rPr>
        <w:t xml:space="preserve">In the event the person </w:t>
      </w:r>
      <w:proofErr w:type="gramStart"/>
      <w:r w:rsidRPr="006129DA">
        <w:rPr>
          <w:rFonts w:cs="Open Sans"/>
          <w:i/>
          <w:sz w:val="22"/>
          <w:szCs w:val="22"/>
        </w:rPr>
        <w:t>were</w:t>
      </w:r>
      <w:proofErr w:type="gramEnd"/>
      <w:r w:rsidRPr="006129DA">
        <w:rPr>
          <w:rFonts w:cs="Open Sans"/>
          <w:i/>
          <w:sz w:val="22"/>
          <w:szCs w:val="22"/>
        </w:rPr>
        <w:t xml:space="preserve"> allowed to enter or to remain in Australia, there is a significant risk that the person would:</w:t>
      </w:r>
    </w:p>
    <w:p w14:paraId="7503B2FC" w14:textId="77777777" w:rsidR="000433F9" w:rsidRPr="006129DA" w:rsidRDefault="000433F9" w:rsidP="000433F9">
      <w:pPr>
        <w:pStyle w:val="ListParaNumbered"/>
        <w:tabs>
          <w:tab w:val="clear" w:pos="680"/>
        </w:tabs>
        <w:spacing w:before="240" w:after="240" w:line="240" w:lineRule="auto"/>
        <w:ind w:left="1418" w:firstLine="0"/>
        <w:rPr>
          <w:rFonts w:cs="Open Sans"/>
          <w:i/>
          <w:sz w:val="22"/>
          <w:szCs w:val="22"/>
        </w:rPr>
      </w:pPr>
      <w:r w:rsidRPr="006129DA">
        <w:rPr>
          <w:rFonts w:cs="Open Sans"/>
          <w:i/>
          <w:sz w:val="22"/>
          <w:szCs w:val="22"/>
        </w:rPr>
        <w:t>…</w:t>
      </w:r>
    </w:p>
    <w:p w14:paraId="29F657CC" w14:textId="77777777" w:rsidR="000433F9" w:rsidRPr="006129DA" w:rsidRDefault="000433F9" w:rsidP="000433F9">
      <w:pPr>
        <w:pStyle w:val="ListParaNumbered"/>
        <w:tabs>
          <w:tab w:val="clear" w:pos="680"/>
        </w:tabs>
        <w:spacing w:before="240" w:after="240" w:line="240" w:lineRule="auto"/>
        <w:ind w:left="1418" w:firstLine="0"/>
        <w:rPr>
          <w:rFonts w:cs="Open Sans"/>
          <w:i/>
          <w:sz w:val="22"/>
          <w:szCs w:val="22"/>
        </w:rPr>
      </w:pPr>
      <w:r w:rsidRPr="006129DA">
        <w:rPr>
          <w:rFonts w:cs="Open Sans"/>
          <w:i/>
          <w:sz w:val="22"/>
          <w:szCs w:val="22"/>
        </w:rPr>
        <w:t>(v) represent a danger to the Australian community or to a segment of that community, whether by way of being liable to become involved in activities that are disruptive to, or in violence threatening harm to, that community or segment, or in any other way.</w:t>
      </w:r>
    </w:p>
    <w:p w14:paraId="6A92F676" w14:textId="1A1E3C05"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The NOICR stated that consideration was being given to the refusal of Mr AC’s application for a BVE in light of the ASIO assessment dated 17 June 2013 that Mr AC was directly or indirectly a risk to security within the meaning of s 4 of the ASIO Act.</w:t>
      </w:r>
    </w:p>
    <w:p w14:paraId="23060667" w14:textId="5D6FF476" w:rsidR="000433F9"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The Commission’s understanding is that government policy dictates that those with ASAs are unable to pass the character test.</w:t>
      </w:r>
    </w:p>
    <w:p w14:paraId="2B024A14" w14:textId="11E0BABC" w:rsidR="00FA4802" w:rsidRDefault="00FA4802">
      <w:pPr>
        <w:spacing w:after="160" w:line="259" w:lineRule="auto"/>
      </w:pPr>
      <w:r>
        <w:br w:type="page"/>
      </w:r>
    </w:p>
    <w:p w14:paraId="393068B9" w14:textId="422F529F"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lastRenderedPageBreak/>
        <w:t>Mr AC was invited to comment on the NOICR, and he responded in a submission that was received on 19 August 2013 and a supplementary submission that was received on 21 August 2013.</w:t>
      </w:r>
    </w:p>
    <w:p w14:paraId="112E49BE"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 xml:space="preserve">On 30 August 2013, a further invitation to provide comment was sent by the Department to Mr AC. That letter advised that, in addition to the grounds specified in the NOICR, subparagraph 501(6)(b) may also be relied upon to assess whether Mr AC passed the character test. Subparagraph 501(6)(b) provides: </w:t>
      </w:r>
    </w:p>
    <w:p w14:paraId="443EA34C" w14:textId="77777777" w:rsidR="00FA4802" w:rsidRDefault="000433F9" w:rsidP="00FA4802">
      <w:pPr>
        <w:pStyle w:val="ListParaNumbered"/>
        <w:tabs>
          <w:tab w:val="clear" w:pos="680"/>
        </w:tabs>
        <w:spacing w:before="240" w:after="240" w:line="240" w:lineRule="auto"/>
        <w:ind w:left="1418" w:firstLine="0"/>
        <w:rPr>
          <w:rFonts w:cs="Open Sans"/>
          <w:i/>
          <w:sz w:val="22"/>
          <w:szCs w:val="22"/>
        </w:rPr>
      </w:pPr>
      <w:r w:rsidRPr="006129DA">
        <w:rPr>
          <w:rFonts w:cs="Open Sans"/>
          <w:i/>
          <w:sz w:val="22"/>
          <w:szCs w:val="22"/>
        </w:rPr>
        <w:t>(6) For the purpose of this section, a person does not pass the character test if:</w:t>
      </w:r>
    </w:p>
    <w:p w14:paraId="34DC588E" w14:textId="56A99ED1" w:rsidR="000433F9" w:rsidRPr="006129DA" w:rsidRDefault="000433F9" w:rsidP="00FA4802">
      <w:pPr>
        <w:pStyle w:val="ListParaNumbered"/>
        <w:tabs>
          <w:tab w:val="clear" w:pos="680"/>
        </w:tabs>
        <w:spacing w:before="240" w:after="240" w:line="240" w:lineRule="auto"/>
        <w:ind w:left="1418" w:firstLine="0"/>
        <w:rPr>
          <w:rFonts w:cs="Open Sans"/>
          <w:i/>
          <w:sz w:val="22"/>
          <w:szCs w:val="22"/>
        </w:rPr>
      </w:pPr>
      <w:r w:rsidRPr="006129DA">
        <w:rPr>
          <w:rFonts w:cs="Open Sans"/>
          <w:i/>
          <w:sz w:val="22"/>
          <w:szCs w:val="22"/>
        </w:rPr>
        <w:t>…</w:t>
      </w:r>
    </w:p>
    <w:p w14:paraId="043E0400" w14:textId="77777777" w:rsidR="000433F9" w:rsidRPr="006129DA" w:rsidRDefault="000433F9" w:rsidP="000433F9">
      <w:pPr>
        <w:pStyle w:val="ListParaNumbered"/>
        <w:tabs>
          <w:tab w:val="clear" w:pos="680"/>
        </w:tabs>
        <w:spacing w:before="240" w:after="240" w:line="240" w:lineRule="auto"/>
        <w:ind w:left="1418" w:firstLine="0"/>
        <w:rPr>
          <w:rFonts w:cs="Open Sans"/>
          <w:i/>
          <w:sz w:val="22"/>
          <w:szCs w:val="22"/>
        </w:rPr>
      </w:pPr>
      <w:r w:rsidRPr="006129DA">
        <w:rPr>
          <w:rFonts w:cs="Open Sans"/>
          <w:i/>
          <w:sz w:val="22"/>
          <w:szCs w:val="22"/>
        </w:rPr>
        <w:t xml:space="preserve">Subparagraph 501(6)(b): the person has or has had an association with someone else, or with a group or </w:t>
      </w:r>
      <w:proofErr w:type="spellStart"/>
      <w:r w:rsidRPr="006129DA">
        <w:rPr>
          <w:rFonts w:cs="Open Sans"/>
          <w:i/>
          <w:sz w:val="22"/>
          <w:szCs w:val="22"/>
        </w:rPr>
        <w:t>organisation</w:t>
      </w:r>
      <w:proofErr w:type="spellEnd"/>
      <w:r w:rsidRPr="006129DA">
        <w:rPr>
          <w:rFonts w:cs="Open Sans"/>
          <w:i/>
          <w:sz w:val="22"/>
          <w:szCs w:val="22"/>
        </w:rPr>
        <w:t xml:space="preserve">, whom the Minister reasonably suspects </w:t>
      </w:r>
      <w:proofErr w:type="gramStart"/>
      <w:r w:rsidRPr="006129DA">
        <w:rPr>
          <w:rFonts w:cs="Open Sans"/>
          <w:i/>
          <w:sz w:val="22"/>
          <w:szCs w:val="22"/>
        </w:rPr>
        <w:t>has</w:t>
      </w:r>
      <w:proofErr w:type="gramEnd"/>
      <w:r w:rsidRPr="006129DA">
        <w:rPr>
          <w:rFonts w:cs="Open Sans"/>
          <w:i/>
          <w:sz w:val="22"/>
          <w:szCs w:val="22"/>
        </w:rPr>
        <w:t xml:space="preserve"> been or is involved in criminal conduct.</w:t>
      </w:r>
    </w:p>
    <w:p w14:paraId="5A2C2141" w14:textId="0D940836"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The letter of 30 August 2013 also indicated that, since the 24 July 2013 NOICR was issued, the Department had received further information which may be relied upon by the Minister or a delegate to assess whether Mr AC failed the character test and whether to exercise the discretion to refuse his visa application. According to the Department, this information consisted of a summary document issued by ASIO of which the Commission does not have a copy. It is not clear from the documents currently before the Commission whether this summary document issued by ASIO consisted of an assessment and advice from ASIO in relation to whether the Department should grant Mr</w:t>
      </w:r>
      <w:r w:rsidR="00FA4802" w:rsidRPr="006129DA">
        <w:rPr>
          <w:rFonts w:cs="Open Sans"/>
          <w:szCs w:val="24"/>
        </w:rPr>
        <w:t> </w:t>
      </w:r>
      <w:r w:rsidRPr="006129DA">
        <w:rPr>
          <w:rFonts w:cs="Open Sans"/>
          <w:szCs w:val="24"/>
        </w:rPr>
        <w:t>AC a BVE. In my preliminary view, I sought any clarity the Department could provide regarding the content and purpose of this document. I note that no further information has been provided by the Department on this point.</w:t>
      </w:r>
    </w:p>
    <w:p w14:paraId="6A04AFB9" w14:textId="030BBF4F"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On 25 September 2013, the then Minister refused to grant Mr AC a BVE on the basis that he had been found to fail the character test.</w:t>
      </w:r>
    </w:p>
    <w:p w14:paraId="50D648BD"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The Commission has asked the Department to advise whether alternative, less restrictive, detention options have been canvassed for Mr AC. In response, by letter dated 22 August 2016, the Department said that:</w:t>
      </w:r>
    </w:p>
    <w:p w14:paraId="47B15027" w14:textId="74B6FC4F" w:rsidR="000433F9" w:rsidRDefault="000433F9" w:rsidP="000433F9">
      <w:pPr>
        <w:pStyle w:val="ListParaNumbered"/>
        <w:tabs>
          <w:tab w:val="clear" w:pos="680"/>
        </w:tabs>
        <w:spacing w:before="240" w:after="240" w:line="240" w:lineRule="auto"/>
        <w:ind w:left="1418" w:firstLine="0"/>
        <w:rPr>
          <w:rFonts w:cs="Open Sans"/>
          <w:sz w:val="22"/>
          <w:szCs w:val="22"/>
        </w:rPr>
      </w:pPr>
      <w:r w:rsidRPr="006129DA">
        <w:rPr>
          <w:rFonts w:cs="Open Sans"/>
          <w:sz w:val="22"/>
          <w:szCs w:val="22"/>
        </w:rPr>
        <w:t>It is Government policy that generally individuals who have received an adverse security assessment from ASIO and have consequently been assessed to be directly or indirectly a risk to Australia’s security, will remain in immigration detention until such time as a durable solution is found that is consistent with Australia’s international obligations.</w:t>
      </w:r>
    </w:p>
    <w:p w14:paraId="2AFA4EE6" w14:textId="5FB1A332" w:rsidR="00FA4802" w:rsidRDefault="00FA4802">
      <w:pPr>
        <w:spacing w:after="160" w:line="259" w:lineRule="auto"/>
      </w:pPr>
      <w:r>
        <w:br w:type="page"/>
      </w:r>
    </w:p>
    <w:p w14:paraId="785CCBAB"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lastRenderedPageBreak/>
        <w:t>In the same letter, the Department also stated that:</w:t>
      </w:r>
    </w:p>
    <w:p w14:paraId="1AFE67B8" w14:textId="3E068A01" w:rsidR="000433F9" w:rsidRPr="006129DA" w:rsidRDefault="000433F9" w:rsidP="000433F9">
      <w:pPr>
        <w:pStyle w:val="ListParaNumbered"/>
        <w:tabs>
          <w:tab w:val="clear" w:pos="680"/>
        </w:tabs>
        <w:spacing w:before="240" w:after="240" w:line="240" w:lineRule="auto"/>
        <w:ind w:left="1418" w:firstLine="0"/>
        <w:rPr>
          <w:rFonts w:cs="Open Sans"/>
          <w:sz w:val="22"/>
          <w:szCs w:val="22"/>
        </w:rPr>
      </w:pPr>
      <w:r w:rsidRPr="006129DA">
        <w:rPr>
          <w:rFonts w:cs="Open Sans"/>
          <w:sz w:val="22"/>
          <w:szCs w:val="22"/>
        </w:rPr>
        <w:t xml:space="preserve">Under the ASIO Act, ASIO is only required to provide a statement of grounds for an ASA furnished in connection with a matter under the Act, when the assessment relates to certain categories of persons. </w:t>
      </w:r>
      <w:proofErr w:type="spellStart"/>
      <w:r w:rsidRPr="006129DA">
        <w:rPr>
          <w:rFonts w:cs="Open Sans"/>
          <w:sz w:val="22"/>
          <w:szCs w:val="22"/>
        </w:rPr>
        <w:t>Mr</w:t>
      </w:r>
      <w:proofErr w:type="spellEnd"/>
      <w:r w:rsidRPr="006129DA">
        <w:rPr>
          <w:rFonts w:cs="Open Sans"/>
          <w:sz w:val="22"/>
          <w:szCs w:val="22"/>
        </w:rPr>
        <w:t xml:space="preserve"> AC does not come within any of those categories. Accordingly, the Department is not in a position to provide any further information in relation to the ASA issued to </w:t>
      </w:r>
      <w:proofErr w:type="spellStart"/>
      <w:r w:rsidRPr="006129DA">
        <w:rPr>
          <w:rFonts w:cs="Open Sans"/>
          <w:sz w:val="22"/>
          <w:szCs w:val="22"/>
        </w:rPr>
        <w:t>Mr</w:t>
      </w:r>
      <w:proofErr w:type="spellEnd"/>
      <w:r w:rsidRPr="006129DA">
        <w:rPr>
          <w:rFonts w:cs="Open Sans"/>
          <w:sz w:val="22"/>
          <w:szCs w:val="22"/>
        </w:rPr>
        <w:t xml:space="preserve"> AC.</w:t>
      </w:r>
    </w:p>
    <w:p w14:paraId="2CDDB66B" w14:textId="77777777" w:rsidR="000433F9" w:rsidRPr="006129DA" w:rsidRDefault="000433F9" w:rsidP="000433F9">
      <w:pPr>
        <w:pStyle w:val="ListParaNumbered"/>
        <w:tabs>
          <w:tab w:val="clear" w:pos="680"/>
        </w:tabs>
        <w:spacing w:before="240" w:after="240" w:line="240" w:lineRule="auto"/>
        <w:ind w:left="1418" w:firstLine="0"/>
        <w:rPr>
          <w:rFonts w:cs="Open Sans"/>
          <w:sz w:val="22"/>
          <w:szCs w:val="22"/>
        </w:rPr>
      </w:pPr>
      <w:proofErr w:type="spellStart"/>
      <w:r w:rsidRPr="006129DA">
        <w:rPr>
          <w:rFonts w:cs="Open Sans"/>
          <w:sz w:val="22"/>
          <w:szCs w:val="22"/>
        </w:rPr>
        <w:t>Mr</w:t>
      </w:r>
      <w:proofErr w:type="spellEnd"/>
      <w:r w:rsidRPr="006129DA">
        <w:rPr>
          <w:rFonts w:cs="Open Sans"/>
          <w:sz w:val="22"/>
          <w:szCs w:val="22"/>
        </w:rPr>
        <w:t xml:space="preserve"> AC is detained because he does not hold a visa and is therefore an unlawful non-citizen. He is not being detained because of an assessment or allegations against him.</w:t>
      </w:r>
    </w:p>
    <w:p w14:paraId="50ABDFAB" w14:textId="386962F8"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Further, in its response to my preliminary view, the Department stated that:</w:t>
      </w:r>
    </w:p>
    <w:p w14:paraId="6CB070D2" w14:textId="5EDA624C" w:rsidR="000433F9" w:rsidRPr="006129DA" w:rsidRDefault="000433F9" w:rsidP="000433F9">
      <w:pPr>
        <w:pStyle w:val="Sommario3"/>
      </w:pPr>
      <w:r w:rsidRPr="006129DA">
        <w:t>It is Government policy to manage individuals with an adverse security assessment issued by ASIO in immigration detention pending their removal from Australia, either in their country of origin or a third country, where it is safe to do so.</w:t>
      </w:r>
    </w:p>
    <w:p w14:paraId="47E50FFD" w14:textId="7D75885B" w:rsidR="000433F9" w:rsidRPr="006129DA" w:rsidRDefault="000433F9" w:rsidP="000433F9">
      <w:pPr>
        <w:spacing w:before="240" w:after="240"/>
        <w:ind w:left="1418" w:hanging="567"/>
        <w:rPr>
          <w:rFonts w:cs="Open Sans"/>
          <w:sz w:val="22"/>
          <w:szCs w:val="22"/>
        </w:rPr>
      </w:pPr>
      <w:r w:rsidRPr="006129DA">
        <w:rPr>
          <w:rFonts w:cs="Open Sans"/>
          <w:sz w:val="22"/>
          <w:szCs w:val="22"/>
        </w:rPr>
        <w:tab/>
        <w:t>…</w:t>
      </w:r>
    </w:p>
    <w:p w14:paraId="39A345BC" w14:textId="20FCFB14" w:rsidR="000433F9" w:rsidRPr="006129DA" w:rsidRDefault="000433F9" w:rsidP="000433F9">
      <w:pPr>
        <w:spacing w:before="240" w:after="240"/>
        <w:ind w:left="1418" w:hanging="567"/>
        <w:rPr>
          <w:rFonts w:cs="Open Sans"/>
          <w:sz w:val="22"/>
          <w:szCs w:val="22"/>
        </w:rPr>
      </w:pPr>
      <w:r w:rsidRPr="006129DA">
        <w:rPr>
          <w:rFonts w:cs="Open Sans"/>
          <w:sz w:val="22"/>
          <w:szCs w:val="22"/>
        </w:rPr>
        <w:tab/>
        <w:t>In line with this policy, the Minister’s guidelines under section 195A and 197AB stipulate that generally, persons who are subject to an adverse security assessment by ASIO, or persons who present character issues that indicate they may fail the character test under section 501 of the Act, should not be referred to the Minister for consideration.</w:t>
      </w:r>
    </w:p>
    <w:p w14:paraId="47B71B8E" w14:textId="0905CEEF"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Despite the Department’s statement that Mr AC is ‘not being detained because of an assessment … against him’, it appears that, due to government policy, Mr AC’s ASA means that he is not being considered by the Department and the Minister for alternative, less restrictive, detention options. The Commonwealth Ombudsman noted in its 2017 assessment o</w:t>
      </w:r>
      <w:r>
        <w:rPr>
          <w:rFonts w:cs="Open Sans"/>
          <w:szCs w:val="24"/>
        </w:rPr>
        <w:t>f</w:t>
      </w:r>
      <w:r w:rsidRPr="006129DA">
        <w:rPr>
          <w:rFonts w:cs="Open Sans"/>
          <w:szCs w:val="24"/>
        </w:rPr>
        <w:t xml:space="preserve"> Mr AC’s case, carried out under s 486</w:t>
      </w:r>
      <w:r w:rsidR="008148FE">
        <w:rPr>
          <w:rFonts w:cs="Open Sans"/>
          <w:szCs w:val="24"/>
        </w:rPr>
        <w:t>O</w:t>
      </w:r>
      <w:r w:rsidRPr="006129DA">
        <w:rPr>
          <w:rFonts w:cs="Open Sans"/>
          <w:szCs w:val="24"/>
        </w:rPr>
        <w:t xml:space="preserve"> of the Migration Act, that ‘without changes to current policy and practice relating to individuals who are the subject of adverse security assessments, Mr AC will remain in an immigration detention facility for an indefinite period’.</w:t>
      </w:r>
    </w:p>
    <w:p w14:paraId="56A903C1"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t>On 14 January 2019, the Commission wrote to the Department and asked the following:</w:t>
      </w:r>
    </w:p>
    <w:p w14:paraId="2D01F5E8" w14:textId="77777777" w:rsidR="000433F9" w:rsidRPr="006129DA" w:rsidRDefault="000433F9" w:rsidP="000433F9">
      <w:pPr>
        <w:spacing w:before="240" w:after="240"/>
        <w:ind w:left="1418"/>
        <w:rPr>
          <w:rFonts w:cs="Open Sans"/>
          <w:sz w:val="22"/>
          <w:szCs w:val="22"/>
        </w:rPr>
      </w:pPr>
      <w:r w:rsidRPr="006129DA">
        <w:rPr>
          <w:rFonts w:cs="Open Sans"/>
          <w:sz w:val="22"/>
          <w:szCs w:val="22"/>
        </w:rPr>
        <w:t>Has the Department conducted any individualised assessment of whether any risk that Mr AC poses to the Australian community could be mitigated in a way that would allow him to reside in the community or some other less restrictive place of detention? Has the Department asked ASIO to consider whether any risk Mr AC poses to the community can be mitigated? If yes, what were the outcomes of any such assessments?</w:t>
      </w:r>
    </w:p>
    <w:p w14:paraId="3F43833F" w14:textId="28A83F5D"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szCs w:val="24"/>
        </w:rPr>
      </w:pPr>
      <w:r w:rsidRPr="006129DA">
        <w:rPr>
          <w:rFonts w:cs="Open Sans"/>
          <w:szCs w:val="24"/>
        </w:rPr>
        <w:lastRenderedPageBreak/>
        <w:t>On 1 February 2019, the Department provided a response as follows:</w:t>
      </w:r>
    </w:p>
    <w:p w14:paraId="1C0EEA0C" w14:textId="59938F53" w:rsidR="000433F9" w:rsidRPr="006129DA" w:rsidRDefault="000433F9" w:rsidP="000433F9">
      <w:pPr>
        <w:pStyle w:val="Sommario3"/>
      </w:pPr>
      <w:r w:rsidRPr="006129DA">
        <w:t>The Department has not conducted an assessment of whether any risk Mr AC posts to the Australian community could be mitigated in a way that would allow him to reside in the community. Nor has the Department asked ASIO to comment or advise on mitigation strategies (please refer to the response to question two).</w:t>
      </w:r>
    </w:p>
    <w:p w14:paraId="03357FE4" w14:textId="1891FD2F" w:rsidR="000433F9" w:rsidRPr="006129DA" w:rsidRDefault="000433F9" w:rsidP="000433F9">
      <w:pPr>
        <w:spacing w:before="240" w:after="240"/>
        <w:ind w:left="1418"/>
        <w:rPr>
          <w:rFonts w:cs="Open Sans"/>
          <w:sz w:val="22"/>
          <w:szCs w:val="22"/>
        </w:rPr>
      </w:pPr>
      <w:r w:rsidRPr="006129DA">
        <w:rPr>
          <w:rFonts w:cs="Open Sans"/>
          <w:sz w:val="22"/>
          <w:szCs w:val="22"/>
        </w:rPr>
        <w:t>It is government policy that persons subject to adverse security assessment issued by ASIO, which states that the person is directly or indirectly a risk to security</w:t>
      </w:r>
      <w:r w:rsidRPr="006129DA">
        <w:rPr>
          <w:rFonts w:cs="Open Sans"/>
          <w:szCs w:val="24"/>
        </w:rPr>
        <w:t xml:space="preserve"> </w:t>
      </w:r>
      <w:r w:rsidRPr="006129DA">
        <w:rPr>
          <w:rFonts w:cs="Open Sans"/>
          <w:sz w:val="22"/>
          <w:szCs w:val="22"/>
        </w:rPr>
        <w:t xml:space="preserve">within the meaning of section 4 of the </w:t>
      </w:r>
      <w:r w:rsidRPr="006129DA">
        <w:rPr>
          <w:rFonts w:cs="Open Sans"/>
          <w:i/>
          <w:sz w:val="22"/>
          <w:szCs w:val="22"/>
        </w:rPr>
        <w:t>Australian Security Intelligence Organisation Act 1979</w:t>
      </w:r>
      <w:r w:rsidRPr="006129DA">
        <w:rPr>
          <w:rFonts w:cs="Open Sans"/>
          <w:sz w:val="22"/>
          <w:szCs w:val="22"/>
        </w:rPr>
        <w:t>, are to remain in detention until such time as they can be removed from Australia. In line with this policy, the Minister’s guidelines under section 195A and 197AB stipulate that generally, persons who are subject to adverse security assessments by ASIO, or persons who present character issues that indicate they may fail the character test under section 501 of the Act, should not be referred to the Minister for consideration.</w:t>
      </w:r>
    </w:p>
    <w:p w14:paraId="367803C7"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Further, in response to my preliminary view, the Department stated as follows:</w:t>
      </w:r>
    </w:p>
    <w:p w14:paraId="3535BABE" w14:textId="41CC786F" w:rsidR="000433F9" w:rsidRPr="006129DA" w:rsidRDefault="000433F9" w:rsidP="000433F9">
      <w:pPr>
        <w:pStyle w:val="Sommario3"/>
      </w:pPr>
      <w:r w:rsidRPr="006129DA">
        <w:t>Given Government policy and the Minister’s intervention guidelines, the Department maintains that there is no requirement to request ASIO conduct an assessment of whether any risk Mr AC poses to the Australian community could be mitigated in a way that woud allow him to reside in the community.</w:t>
      </w:r>
    </w:p>
    <w:p w14:paraId="6949E682"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The Department has not conducted any individualised assessment of whether any risk that Mr AC posed to the Australian community could be mitigated in a way that would allow him to reside in the community or some other less restrictive place of detention, in a manner consistent with national security. Nor has the Department asked ASIO to consider whether any risk Mr AC poses to the community could be mitigated.</w:t>
      </w:r>
    </w:p>
    <w:p w14:paraId="531D011C" w14:textId="0CEE5A5E" w:rsidR="000433F9"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It may well be that there are alternatives to prolonged detention in secure facilities which can appropriately address any risk posed by Mr AC. These alternative options may include less restrictive places of detention than immigration detention centres, as well as community detention, if </w:t>
      </w:r>
      <w:proofErr w:type="gramStart"/>
      <w:r w:rsidRPr="006129DA">
        <w:rPr>
          <w:rFonts w:cs="Open Sans"/>
        </w:rPr>
        <w:t>necessary</w:t>
      </w:r>
      <w:proofErr w:type="gramEnd"/>
      <w:r w:rsidRPr="006129DA">
        <w:rPr>
          <w:rFonts w:cs="Open Sans"/>
        </w:rPr>
        <w:t xml:space="preserve"> with conditions to mitigate any identified risks. As mentioned above, s</w:t>
      </w:r>
      <w:r w:rsidR="00FA4802" w:rsidRPr="006129DA">
        <w:rPr>
          <w:rFonts w:cs="Open Sans"/>
          <w:szCs w:val="24"/>
        </w:rPr>
        <w:t> </w:t>
      </w:r>
      <w:r w:rsidRPr="006129DA">
        <w:rPr>
          <w:rFonts w:cs="Open Sans"/>
        </w:rPr>
        <w:t>197AB(2)(b) of the Migration Act permits the Minister to specify the conditions to be complied with by the person covered by a residence determination. Conditions could include parole</w:t>
      </w:r>
      <w:r>
        <w:rPr>
          <w:rFonts w:cs="Open Sans"/>
        </w:rPr>
        <w:t>-</w:t>
      </w:r>
      <w:r w:rsidRPr="006129DA">
        <w:rPr>
          <w:rFonts w:cs="Open Sans"/>
        </w:rPr>
        <w:t>like conditions such as a requirement to reside at a specified location, curfews, travel restrictions, regular reporting and possibly even electronic monitoring.</w:t>
      </w:r>
    </w:p>
    <w:p w14:paraId="2F0D7B40" w14:textId="333E1B72" w:rsidR="005B1CEF" w:rsidRDefault="005B1CEF">
      <w:pPr>
        <w:spacing w:after="160" w:line="259" w:lineRule="auto"/>
      </w:pPr>
      <w:r>
        <w:br w:type="page"/>
      </w:r>
    </w:p>
    <w:p w14:paraId="1AC080FE"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lastRenderedPageBreak/>
        <w:t>It is my view that in failing to consider whether any risks could and can be mitigated, the Department has failed to assess on an individual basis whether the circumstances of Mr AC indicate that he could be placed in a less restrictive form of detention. It is my view that this failure may be considered as inconsistent with the rights protected in article 9(1) of the ICCPR.</w:t>
      </w:r>
    </w:p>
    <w:p w14:paraId="66214060"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Since September 2013, Mr AC’s matter has not been referred to the Minister by the Department.</w:t>
      </w:r>
    </w:p>
    <w:p w14:paraId="24AF943E"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 xml:space="preserve">In its response to my preliminary view, the Department provided the following information: </w:t>
      </w:r>
    </w:p>
    <w:p w14:paraId="7ED6E18A" w14:textId="77777777" w:rsidR="000433F9" w:rsidRPr="006129DA" w:rsidRDefault="000433F9" w:rsidP="000433F9">
      <w:pPr>
        <w:ind w:left="1418"/>
        <w:rPr>
          <w:rFonts w:cs="Open Sans"/>
          <w:sz w:val="22"/>
          <w:szCs w:val="22"/>
        </w:rPr>
      </w:pPr>
      <w:r w:rsidRPr="006129DA">
        <w:rPr>
          <w:rFonts w:cs="Open Sans"/>
          <w:sz w:val="22"/>
          <w:szCs w:val="22"/>
        </w:rPr>
        <w:t>The Department notes that Mr AC’s case was assessed against the Minister’s section 197B guidelines in February 2018. That assessment found that while Mr AC had some mental health issues and had been detained for over four and a half years, his case fell into the categories of cases that the Minister has indicated should not be referred:</w:t>
      </w:r>
    </w:p>
    <w:p w14:paraId="1497753B" w14:textId="77777777" w:rsidR="000433F9" w:rsidRPr="006129DA" w:rsidRDefault="000433F9" w:rsidP="000433F9">
      <w:pPr>
        <w:pStyle w:val="Paragrafoelenco"/>
        <w:numPr>
          <w:ilvl w:val="0"/>
          <w:numId w:val="4"/>
        </w:numPr>
        <w:spacing w:before="240" w:after="240"/>
        <w:ind w:hanging="442"/>
        <w:contextualSpacing w:val="0"/>
        <w:rPr>
          <w:rFonts w:cs="Open Sans"/>
          <w:sz w:val="22"/>
          <w:szCs w:val="22"/>
        </w:rPr>
      </w:pPr>
      <w:r w:rsidRPr="006129DA">
        <w:rPr>
          <w:rFonts w:cs="Open Sans"/>
          <w:sz w:val="22"/>
          <w:szCs w:val="22"/>
        </w:rPr>
        <w:t xml:space="preserve">where a person has had their </w:t>
      </w:r>
      <w:proofErr w:type="gramStart"/>
      <w:r w:rsidRPr="006129DA">
        <w:rPr>
          <w:rFonts w:cs="Open Sans"/>
          <w:sz w:val="22"/>
          <w:szCs w:val="22"/>
        </w:rPr>
        <w:t>asylum</w:t>
      </w:r>
      <w:proofErr w:type="gramEnd"/>
      <w:r w:rsidRPr="006129DA">
        <w:rPr>
          <w:rFonts w:cs="Open Sans"/>
          <w:sz w:val="22"/>
          <w:szCs w:val="22"/>
        </w:rPr>
        <w:t xml:space="preserve"> claims rejected at primary and review stages; </w:t>
      </w:r>
    </w:p>
    <w:p w14:paraId="117902EC" w14:textId="1E6814B7" w:rsidR="000433F9" w:rsidRPr="006129DA" w:rsidRDefault="000433F9" w:rsidP="000433F9">
      <w:pPr>
        <w:pStyle w:val="Paragrafoelenco"/>
        <w:numPr>
          <w:ilvl w:val="0"/>
          <w:numId w:val="4"/>
        </w:numPr>
        <w:spacing w:before="240" w:after="240"/>
        <w:ind w:hanging="442"/>
        <w:contextualSpacing w:val="0"/>
        <w:rPr>
          <w:rFonts w:cs="Open Sans"/>
          <w:sz w:val="22"/>
          <w:szCs w:val="22"/>
        </w:rPr>
      </w:pPr>
      <w:r w:rsidRPr="006129DA">
        <w:rPr>
          <w:rFonts w:cs="Open Sans"/>
          <w:sz w:val="22"/>
          <w:szCs w:val="22"/>
        </w:rPr>
        <w:t>where ASIO has issued an adverse security assessment; and</w:t>
      </w:r>
    </w:p>
    <w:p w14:paraId="6A71CAD5" w14:textId="77777777" w:rsidR="000433F9" w:rsidRPr="006129DA" w:rsidRDefault="000433F9" w:rsidP="000433F9">
      <w:pPr>
        <w:pStyle w:val="Paragrafoelenco"/>
        <w:numPr>
          <w:ilvl w:val="0"/>
          <w:numId w:val="4"/>
        </w:numPr>
        <w:spacing w:before="240" w:after="240"/>
        <w:ind w:hanging="442"/>
        <w:contextualSpacing w:val="0"/>
        <w:rPr>
          <w:rFonts w:cs="Open Sans"/>
          <w:sz w:val="22"/>
          <w:szCs w:val="22"/>
        </w:rPr>
      </w:pPr>
      <w:r w:rsidRPr="006129DA">
        <w:rPr>
          <w:rFonts w:cs="Open Sans"/>
          <w:sz w:val="22"/>
          <w:szCs w:val="22"/>
        </w:rPr>
        <w:t xml:space="preserve">where it is believed that a person presents character issues that indicate that they may fail the character test under section 501 of the Act. </w:t>
      </w:r>
    </w:p>
    <w:p w14:paraId="2A7F48F0" w14:textId="77777777" w:rsidR="000433F9" w:rsidRPr="006129DA" w:rsidRDefault="000433F9" w:rsidP="000433F9">
      <w:pPr>
        <w:spacing w:before="240" w:after="240"/>
        <w:ind w:left="1418"/>
        <w:rPr>
          <w:rFonts w:cs="Open Sans"/>
          <w:sz w:val="22"/>
          <w:szCs w:val="22"/>
        </w:rPr>
      </w:pPr>
      <w:r w:rsidRPr="006129DA">
        <w:rPr>
          <w:rFonts w:cs="Open Sans"/>
          <w:sz w:val="22"/>
          <w:szCs w:val="22"/>
        </w:rPr>
        <w:t xml:space="preserve">On balance, there did not appear to be exceptional circumstances in Mr AC’s case that would outweigh </w:t>
      </w:r>
      <w:r>
        <w:rPr>
          <w:rFonts w:cs="Open Sans"/>
          <w:sz w:val="22"/>
          <w:szCs w:val="22"/>
        </w:rPr>
        <w:t xml:space="preserve">the </w:t>
      </w:r>
      <w:r w:rsidRPr="006129DA">
        <w:rPr>
          <w:rFonts w:cs="Open Sans"/>
          <w:sz w:val="22"/>
          <w:szCs w:val="22"/>
        </w:rPr>
        <w:t xml:space="preserve">above factors and his case was not referred for the Minister’s consideration. </w:t>
      </w:r>
    </w:p>
    <w:p w14:paraId="701DE6D1" w14:textId="77777777" w:rsidR="000433F9" w:rsidRPr="006129DA" w:rsidRDefault="000433F9" w:rsidP="000433F9">
      <w:pPr>
        <w:spacing w:before="240" w:after="240"/>
        <w:ind w:left="1440" w:hanging="22"/>
        <w:rPr>
          <w:rFonts w:cs="Open Sans"/>
          <w:sz w:val="22"/>
          <w:szCs w:val="22"/>
        </w:rPr>
      </w:pPr>
      <w:r w:rsidRPr="006129DA">
        <w:rPr>
          <w:rFonts w:cs="Open Sans"/>
          <w:sz w:val="22"/>
          <w:szCs w:val="22"/>
        </w:rPr>
        <w:t>…</w:t>
      </w:r>
    </w:p>
    <w:p w14:paraId="462CD2A4" w14:textId="6227C170" w:rsidR="000433F9" w:rsidRPr="006129DA" w:rsidRDefault="000433F9" w:rsidP="000433F9">
      <w:pPr>
        <w:spacing w:before="240" w:after="240"/>
        <w:ind w:left="1418"/>
        <w:rPr>
          <w:rFonts w:cs="Open Sans"/>
          <w:sz w:val="22"/>
          <w:szCs w:val="22"/>
        </w:rPr>
      </w:pPr>
      <w:r w:rsidRPr="006129DA">
        <w:rPr>
          <w:rFonts w:cs="Open Sans"/>
          <w:sz w:val="22"/>
          <w:szCs w:val="22"/>
        </w:rPr>
        <w:t xml:space="preserve">The Department wishes to advise the AHRC that in February 2019, Mr AC's case was referred on a group submission to the former Assistant Minister to brief her on a number of </w:t>
      </w:r>
      <w:proofErr w:type="gramStart"/>
      <w:r w:rsidRPr="006129DA">
        <w:rPr>
          <w:rFonts w:cs="Open Sans"/>
          <w:sz w:val="22"/>
          <w:szCs w:val="22"/>
        </w:rPr>
        <w:t>long term</w:t>
      </w:r>
      <w:proofErr w:type="gramEnd"/>
      <w:r w:rsidRPr="006129DA">
        <w:rPr>
          <w:rFonts w:cs="Open Sans"/>
          <w:sz w:val="22"/>
          <w:szCs w:val="22"/>
        </w:rPr>
        <w:t xml:space="preserve"> detention cases. The submission provided the former Assistant Minister an opportunity to indicate whether she was willing to consider the case on an individual basis.</w:t>
      </w:r>
    </w:p>
    <w:p w14:paraId="4099BB04" w14:textId="19EF678E"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On 28 February 2019, the former Assistant Minister indicated that Mr AC’s case should not be referred for consideration under the Minister’s proposed intervention powers under section 195A and 197AB of the Act.</w:t>
      </w:r>
    </w:p>
    <w:p w14:paraId="64A84F55"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Over the course of Mr AC’s detention, there have been various guidelines in place for the exercise of the Minister’s discretionary powers under s 197AB of the Migration Act. In accordance with these guidelines, generally the Department will not refer cases to the Minister where ASIO has issued an ASA or where the person presents character issues that indicate that they may fail the character test under s 501 of the Migration Act.</w:t>
      </w:r>
    </w:p>
    <w:p w14:paraId="27F869A4" w14:textId="10647979" w:rsidR="000433F9" w:rsidRPr="00397230"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lastRenderedPageBreak/>
        <w:t>However, I note that cases can still be referred to the Minister where there are exceptional circumstances involved. When the 2013 guidelines came into effect, the (then) Minister the Hon Brendan O’Connor MP indicated that he would consider exercising his discretion in favour of single adults with ‘diagnosed mental illness’. This was retained, although slightly modified, in the 2014, 2015 and most recent 2017 Guidelines which stated that the Minister would consider referrals of single adults if they had ongoing illnesses, including mental health illnesses, requiring ongoing medical intervention, and cases where there are ‘unique or exceptional circumstances’.</w:t>
      </w:r>
      <w:r w:rsidRPr="001E4E9B">
        <w:rPr>
          <w:rFonts w:cs="Open Sans"/>
          <w:szCs w:val="24"/>
          <w:vertAlign w:val="superscript"/>
        </w:rPr>
        <w:endnoteReference w:id="20"/>
      </w:r>
    </w:p>
    <w:p w14:paraId="7FF9726B"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8B146B">
        <w:rPr>
          <w:rFonts w:cs="Open Sans"/>
        </w:rPr>
        <w:t xml:space="preserve">The phrase ‘unique or exceptional circumstances’ is not defined in the </w:t>
      </w:r>
      <w:proofErr w:type="gramStart"/>
      <w:r w:rsidRPr="008B146B">
        <w:rPr>
          <w:rFonts w:cs="Open Sans"/>
        </w:rPr>
        <w:t>guidelines,</w:t>
      </w:r>
      <w:proofErr w:type="gramEnd"/>
      <w:r w:rsidRPr="008B146B">
        <w:rPr>
          <w:rFonts w:cs="Open Sans"/>
        </w:rPr>
        <w:t xml:space="preserve"> however it is defined in similar guidelines relating to the Minister’s power to grant visas in the public interest.</w:t>
      </w:r>
      <w:r w:rsidRPr="001E4E9B">
        <w:rPr>
          <w:rFonts w:cs="Open Sans"/>
          <w:szCs w:val="24"/>
          <w:vertAlign w:val="superscript"/>
        </w:rPr>
        <w:endnoteReference w:id="21"/>
      </w:r>
      <w:r w:rsidRPr="001E4E9B">
        <w:rPr>
          <w:rFonts w:cs="Open Sans"/>
          <w:szCs w:val="24"/>
          <w:vertAlign w:val="superscript"/>
        </w:rPr>
        <w:t xml:space="preserve"> </w:t>
      </w:r>
      <w:r w:rsidRPr="00397230">
        <w:rPr>
          <w:rFonts w:cs="Open Sans"/>
        </w:rPr>
        <w:t>In those guidelines, factors that are relevant to an assessment of</w:t>
      </w:r>
      <w:r w:rsidRPr="006129DA">
        <w:rPr>
          <w:rFonts w:cs="Open Sans"/>
        </w:rPr>
        <w:t xml:space="preserve"> unique or exceptional circumstances include:</w:t>
      </w:r>
    </w:p>
    <w:p w14:paraId="1FA77BC4" w14:textId="77777777" w:rsidR="000433F9" w:rsidRPr="008B146B" w:rsidRDefault="000433F9" w:rsidP="000433F9">
      <w:pPr>
        <w:pStyle w:val="Paragrafoelenco"/>
        <w:widowControl w:val="0"/>
        <w:numPr>
          <w:ilvl w:val="1"/>
          <w:numId w:val="3"/>
        </w:numPr>
        <w:autoSpaceDE w:val="0"/>
        <w:autoSpaceDN w:val="0"/>
        <w:spacing w:before="240" w:after="240"/>
        <w:ind w:left="1985" w:hanging="567"/>
        <w:contextualSpacing w:val="0"/>
        <w:rPr>
          <w:rFonts w:cs="Open Sans"/>
        </w:rPr>
      </w:pPr>
      <w:r w:rsidRPr="00397230">
        <w:rPr>
          <w:rFonts w:cs="Open Sans"/>
        </w:rPr>
        <w:t>circumstances that may bring Australia’</w:t>
      </w:r>
      <w:r w:rsidRPr="004C0A0D">
        <w:rPr>
          <w:rFonts w:cs="Open Sans"/>
        </w:rPr>
        <w:t xml:space="preserve">s obligations as a party to the </w:t>
      </w:r>
      <w:r w:rsidRPr="008B146B">
        <w:rPr>
          <w:rFonts w:cs="Open Sans"/>
        </w:rPr>
        <w:t>ICCPR into consideration</w:t>
      </w:r>
    </w:p>
    <w:p w14:paraId="7743E2A5" w14:textId="77777777" w:rsidR="000433F9" w:rsidRPr="006129DA" w:rsidRDefault="000433F9" w:rsidP="000433F9">
      <w:pPr>
        <w:pStyle w:val="Paragrafoelenco"/>
        <w:widowControl w:val="0"/>
        <w:numPr>
          <w:ilvl w:val="1"/>
          <w:numId w:val="3"/>
        </w:numPr>
        <w:autoSpaceDE w:val="0"/>
        <w:autoSpaceDN w:val="0"/>
        <w:spacing w:before="240" w:after="240"/>
        <w:ind w:left="1985" w:hanging="567"/>
        <w:contextualSpacing w:val="0"/>
        <w:rPr>
          <w:rFonts w:cs="Open Sans"/>
        </w:rPr>
      </w:pPr>
      <w:r w:rsidRPr="008B146B">
        <w:rPr>
          <w:rFonts w:cs="Open Sans"/>
        </w:rPr>
        <w:t>the length of time the person has b</w:t>
      </w:r>
      <w:r w:rsidRPr="0048591B">
        <w:rPr>
          <w:rFonts w:cs="Open Sans"/>
        </w:rPr>
        <w:t>een present in Australia (including time spent in detention) and their level of integration into the Australian community</w:t>
      </w:r>
    </w:p>
    <w:p w14:paraId="025AC8FC" w14:textId="77777777" w:rsidR="000433F9" w:rsidRPr="006129DA" w:rsidRDefault="000433F9" w:rsidP="000433F9">
      <w:pPr>
        <w:pStyle w:val="Paragrafoelenco"/>
        <w:widowControl w:val="0"/>
        <w:numPr>
          <w:ilvl w:val="1"/>
          <w:numId w:val="3"/>
        </w:numPr>
        <w:tabs>
          <w:tab w:val="left" w:pos="1985"/>
        </w:tabs>
        <w:autoSpaceDE w:val="0"/>
        <w:autoSpaceDN w:val="0"/>
        <w:spacing w:before="240" w:after="240"/>
        <w:ind w:left="1985" w:hanging="567"/>
        <w:contextualSpacing w:val="0"/>
        <w:rPr>
          <w:rFonts w:cs="Open Sans"/>
          <w:i/>
        </w:rPr>
      </w:pPr>
      <w:r w:rsidRPr="006129DA">
        <w:rPr>
          <w:rFonts w:cs="Open Sans"/>
        </w:rPr>
        <w:t>compassionate circumstances regarding the age and/or health and/or psychological state of the person such that a failure to recognise them would result in irreparable harm and continuing hardship to the person.</w:t>
      </w:r>
    </w:p>
    <w:p w14:paraId="6FDD1488" w14:textId="700DF2C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Viewed cumulatively, I consider the following factors relevant to my view that Mr AC’s case presents ‘unique or exceptional’ circumstances:</w:t>
      </w:r>
    </w:p>
    <w:p w14:paraId="0F698CF6" w14:textId="7994C3FC" w:rsidR="000433F9" w:rsidRPr="006129DA" w:rsidRDefault="000433F9" w:rsidP="000433F9">
      <w:pPr>
        <w:pStyle w:val="Paragrafoelenco"/>
        <w:widowControl w:val="0"/>
        <w:numPr>
          <w:ilvl w:val="1"/>
          <w:numId w:val="2"/>
        </w:numPr>
        <w:tabs>
          <w:tab w:val="left" w:pos="797"/>
          <w:tab w:val="left" w:pos="798"/>
        </w:tabs>
        <w:autoSpaceDE w:val="0"/>
        <w:autoSpaceDN w:val="0"/>
        <w:spacing w:before="240" w:after="240" w:line="300" w:lineRule="exact"/>
        <w:ind w:left="1985" w:hanging="567"/>
        <w:contextualSpacing w:val="0"/>
        <w:rPr>
          <w:rFonts w:cs="Open Sans"/>
          <w:szCs w:val="24"/>
        </w:rPr>
      </w:pPr>
      <w:r>
        <w:rPr>
          <w:rFonts w:cs="Open Sans"/>
          <w:szCs w:val="24"/>
        </w:rPr>
        <w:t>H</w:t>
      </w:r>
      <w:r w:rsidRPr="006129DA">
        <w:rPr>
          <w:rFonts w:cs="Open Sans"/>
          <w:szCs w:val="24"/>
        </w:rPr>
        <w:t>e has now been detained in an immigration detention centre for over six years</w:t>
      </w:r>
      <w:r>
        <w:rPr>
          <w:rFonts w:cs="Open Sans"/>
          <w:szCs w:val="24"/>
        </w:rPr>
        <w:t>.</w:t>
      </w:r>
    </w:p>
    <w:p w14:paraId="5F5184F8" w14:textId="5B2FA11E" w:rsidR="000433F9" w:rsidRPr="006129DA" w:rsidRDefault="000433F9" w:rsidP="000433F9">
      <w:pPr>
        <w:pStyle w:val="Paragrafoelenco"/>
        <w:widowControl w:val="0"/>
        <w:numPr>
          <w:ilvl w:val="1"/>
          <w:numId w:val="2"/>
        </w:numPr>
        <w:tabs>
          <w:tab w:val="left" w:pos="797"/>
          <w:tab w:val="left" w:pos="798"/>
        </w:tabs>
        <w:autoSpaceDE w:val="0"/>
        <w:autoSpaceDN w:val="0"/>
        <w:spacing w:before="240" w:after="240" w:line="300" w:lineRule="exact"/>
        <w:ind w:left="1985" w:hanging="567"/>
        <w:contextualSpacing w:val="0"/>
        <w:rPr>
          <w:rFonts w:cs="Open Sans"/>
          <w:szCs w:val="24"/>
        </w:rPr>
      </w:pPr>
      <w:r>
        <w:rPr>
          <w:rFonts w:cs="Open Sans"/>
          <w:szCs w:val="24"/>
        </w:rPr>
        <w:t>G</w:t>
      </w:r>
      <w:r w:rsidRPr="006129DA">
        <w:rPr>
          <w:rFonts w:cs="Open Sans"/>
          <w:szCs w:val="24"/>
        </w:rPr>
        <w:t>iven his lengthy detention, there are circumstances that bring Australia’s obligations as a party to the ICCPR into consideration</w:t>
      </w:r>
      <w:r>
        <w:rPr>
          <w:rFonts w:cs="Open Sans"/>
          <w:szCs w:val="24"/>
        </w:rPr>
        <w:t>.</w:t>
      </w:r>
    </w:p>
    <w:p w14:paraId="5567027F" w14:textId="4D44DE6E" w:rsidR="000433F9" w:rsidRPr="006129DA" w:rsidRDefault="000433F9" w:rsidP="000433F9">
      <w:pPr>
        <w:pStyle w:val="Paragrafoelenco"/>
        <w:widowControl w:val="0"/>
        <w:numPr>
          <w:ilvl w:val="1"/>
          <w:numId w:val="2"/>
        </w:numPr>
        <w:autoSpaceDE w:val="0"/>
        <w:autoSpaceDN w:val="0"/>
        <w:spacing w:before="240" w:after="240" w:line="300" w:lineRule="exact"/>
        <w:ind w:left="1985" w:hanging="567"/>
        <w:contextualSpacing w:val="0"/>
        <w:rPr>
          <w:rFonts w:cs="Open Sans"/>
          <w:szCs w:val="24"/>
        </w:rPr>
      </w:pPr>
      <w:r>
        <w:rPr>
          <w:rFonts w:cs="Open Sans"/>
          <w:szCs w:val="24"/>
        </w:rPr>
        <w:t>H</w:t>
      </w:r>
      <w:r w:rsidRPr="006129DA">
        <w:rPr>
          <w:rFonts w:cs="Open Sans"/>
          <w:szCs w:val="24"/>
        </w:rPr>
        <w:t>e has a history of mental health issues, and an ongoing health problem in relation to his back which requires medication and management. IHMS has advised that Mr AC has received treatment and continues to engage with the mental health team for the management of an adjustment disorder, anxiety, major depression and insomnia</w:t>
      </w:r>
      <w:r>
        <w:rPr>
          <w:rFonts w:cs="Open Sans"/>
          <w:szCs w:val="24"/>
        </w:rPr>
        <w:t>.</w:t>
      </w:r>
    </w:p>
    <w:p w14:paraId="6BD7AB42" w14:textId="6615F654" w:rsidR="000433F9" w:rsidRPr="006129DA" w:rsidRDefault="000433F9" w:rsidP="000433F9">
      <w:pPr>
        <w:pStyle w:val="Paragrafoelenco"/>
        <w:numPr>
          <w:ilvl w:val="1"/>
          <w:numId w:val="2"/>
        </w:numPr>
        <w:spacing w:before="240" w:after="240"/>
        <w:ind w:left="1985" w:hanging="567"/>
        <w:contextualSpacing w:val="0"/>
        <w:rPr>
          <w:rFonts w:cs="Open Sans"/>
          <w:szCs w:val="24"/>
        </w:rPr>
      </w:pPr>
      <w:r w:rsidRPr="006129DA">
        <w:rPr>
          <w:rFonts w:cs="Open Sans"/>
          <w:szCs w:val="24"/>
        </w:rPr>
        <w:lastRenderedPageBreak/>
        <w:t>If the Department does not consider Mr AC’s individual circumstances and assess whether there are any alternatives to prolonged detention in a secure facility, which can appropriately address any risk he poses, Mr AC will remain in prolonged indefinite detention.</w:t>
      </w:r>
    </w:p>
    <w:p w14:paraId="4BD1FD1C" w14:textId="77777777" w:rsidR="000433F9" w:rsidRPr="006129DA" w:rsidRDefault="000433F9" w:rsidP="000433F9">
      <w:pPr>
        <w:pStyle w:val="Titolo1"/>
        <w:numPr>
          <w:ilvl w:val="0"/>
          <w:numId w:val="1"/>
        </w:numPr>
        <w:rPr>
          <w:rFonts w:cs="Open Sans"/>
          <w:sz w:val="36"/>
          <w:szCs w:val="36"/>
        </w:rPr>
      </w:pPr>
      <w:bookmarkStart w:id="78" w:name="_Toc48229429"/>
      <w:r w:rsidRPr="006129DA">
        <w:rPr>
          <w:rFonts w:cs="Open Sans"/>
          <w:sz w:val="36"/>
          <w:szCs w:val="36"/>
        </w:rPr>
        <w:t>Findings and Recommendations</w:t>
      </w:r>
      <w:bookmarkEnd w:id="78"/>
    </w:p>
    <w:p w14:paraId="51E7F802" w14:textId="7397E295" w:rsidR="000433F9" w:rsidRPr="008B146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1E4E9B">
        <w:rPr>
          <w:rFonts w:cs="Open Sans"/>
        </w:rPr>
        <w:t xml:space="preserve">Mr </w:t>
      </w:r>
      <w:r w:rsidRPr="00397230">
        <w:rPr>
          <w:rFonts w:cs="Open Sans"/>
        </w:rPr>
        <w:t xml:space="preserve">AC has been detained in a closed immigration detention centre for over </w:t>
      </w:r>
      <w:r w:rsidRPr="008B146B">
        <w:rPr>
          <w:rFonts w:cs="Open Sans"/>
        </w:rPr>
        <w:t>six years.</w:t>
      </w:r>
    </w:p>
    <w:p w14:paraId="4B224097" w14:textId="24DC67D0"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8B146B">
        <w:rPr>
          <w:rFonts w:cs="Open Sans"/>
        </w:rPr>
        <w:t>Having considered the material before me, I cannot be satisfied that Mr AC</w:t>
      </w:r>
      <w:r w:rsidRPr="0048591B">
        <w:rPr>
          <w:rFonts w:cs="Open Sans"/>
        </w:rPr>
        <w:t xml:space="preserve">’s lengthy and continuing detention in an immigration detention centre is necessary or proportionate </w:t>
      </w:r>
      <w:r w:rsidRPr="006129DA">
        <w:rPr>
          <w:rFonts w:cs="Open Sans"/>
        </w:rPr>
        <w:t>to the Commonwealth’s legitimate aim of ensuring the effective operation of its migration system.</w:t>
      </w:r>
    </w:p>
    <w:p w14:paraId="7C14AEDA" w14:textId="36876FCE"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I am not satisfied that the Department has provided sufficient reason for failing to ask ASIO to conduct a security assessment to assess the suitability of Mr AC for community detention or some other less restrictive form of detention.</w:t>
      </w:r>
    </w:p>
    <w:p w14:paraId="4084E4C5" w14:textId="04D8F221"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I am also not satisfied that the Department has provided sufficient reason for failing to consider whether any risk that Mr AC might pose to the Australian community could be mitigated in a way that would allow him to reside in the community or some other less restrictive place of detention, in a manner consistent with national security. I note that the Department has not sought advice from ASIO on this matter.</w:t>
      </w:r>
    </w:p>
    <w:p w14:paraId="454931E8" w14:textId="11CD899F"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A community detention security assessment conducted by ASIO, on the Department’s request, might have led to Mr AC being held in a less restrictive form of detention and might have allowed the Department to better consider Mr AC’s individual circumstances.</w:t>
      </w:r>
    </w:p>
    <w:p w14:paraId="240C710B" w14:textId="77777777" w:rsidR="000433F9" w:rsidRPr="006129DA"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t>Consequently, I have formed the view that:</w:t>
      </w:r>
    </w:p>
    <w:p w14:paraId="0C596BB8" w14:textId="152563FE" w:rsidR="000433F9" w:rsidRPr="006129DA" w:rsidRDefault="000433F9" w:rsidP="000433F9">
      <w:pPr>
        <w:pStyle w:val="Paragrafoelenco"/>
        <w:widowControl w:val="0"/>
        <w:numPr>
          <w:ilvl w:val="0"/>
          <w:numId w:val="5"/>
        </w:numPr>
        <w:autoSpaceDE w:val="0"/>
        <w:autoSpaceDN w:val="0"/>
        <w:spacing w:before="240" w:after="240" w:line="300" w:lineRule="exact"/>
        <w:ind w:left="1985" w:hanging="567"/>
        <w:contextualSpacing w:val="0"/>
        <w:rPr>
          <w:rFonts w:cs="Open Sans"/>
        </w:rPr>
      </w:pPr>
      <w:r w:rsidRPr="006129DA">
        <w:rPr>
          <w:rFonts w:cs="Open Sans"/>
        </w:rPr>
        <w:t>the Department’s failure to request such advice from ASIO</w:t>
      </w:r>
      <w:r>
        <w:rPr>
          <w:rFonts w:cs="Open Sans"/>
        </w:rPr>
        <w:t>, and</w:t>
      </w:r>
    </w:p>
    <w:p w14:paraId="5D863893" w14:textId="77777777" w:rsidR="000433F9" w:rsidRPr="006129DA" w:rsidRDefault="000433F9" w:rsidP="000433F9">
      <w:pPr>
        <w:pStyle w:val="Paragrafoelenco"/>
        <w:widowControl w:val="0"/>
        <w:numPr>
          <w:ilvl w:val="0"/>
          <w:numId w:val="5"/>
        </w:numPr>
        <w:tabs>
          <w:tab w:val="left" w:pos="797"/>
          <w:tab w:val="left" w:pos="798"/>
        </w:tabs>
        <w:autoSpaceDE w:val="0"/>
        <w:autoSpaceDN w:val="0"/>
        <w:spacing w:before="240" w:after="240" w:line="300" w:lineRule="exact"/>
        <w:ind w:left="1985" w:hanging="567"/>
        <w:contextualSpacing w:val="0"/>
        <w:rPr>
          <w:rFonts w:cs="Open Sans"/>
        </w:rPr>
      </w:pPr>
      <w:r w:rsidRPr="006129DA">
        <w:rPr>
          <w:rFonts w:cs="Open Sans"/>
        </w:rPr>
        <w:t>the Department’s failure to assess on an individual basis whether Mr AC’s circumstances indicated that he could be placed in a less restrictive form of detention, and refer Mr AC’s case to the Minister to consider exercising his discretionary powers under s 197AB of the Migration Act (if necessary with conditions to mitigate any identified risk),</w:t>
      </w:r>
    </w:p>
    <w:p w14:paraId="01354B3A" w14:textId="77777777" w:rsidR="000433F9" w:rsidRPr="006129DA" w:rsidRDefault="000433F9" w:rsidP="000433F9">
      <w:pPr>
        <w:pStyle w:val="Paragrafoelenco"/>
        <w:widowControl w:val="0"/>
        <w:tabs>
          <w:tab w:val="left" w:pos="797"/>
          <w:tab w:val="left" w:pos="798"/>
        </w:tabs>
        <w:autoSpaceDE w:val="0"/>
        <w:autoSpaceDN w:val="0"/>
        <w:spacing w:before="240" w:after="240" w:line="300" w:lineRule="exact"/>
        <w:ind w:left="799"/>
        <w:contextualSpacing w:val="0"/>
        <w:rPr>
          <w:rFonts w:cs="Open Sans"/>
        </w:rPr>
      </w:pPr>
      <w:r w:rsidRPr="006129DA">
        <w:rPr>
          <w:rFonts w:cs="Open Sans"/>
        </w:rPr>
        <w:t>has resulted in Mr AC’s detention becoming arbitrary, contrary to article 9 of the ICCPR.</w:t>
      </w:r>
    </w:p>
    <w:p w14:paraId="7493B227" w14:textId="77777777" w:rsidR="000433F9" w:rsidRPr="001E4E9B"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6129DA">
        <w:rPr>
          <w:rFonts w:cs="Open Sans"/>
        </w:rPr>
        <w:lastRenderedPageBreak/>
        <w:t>Where, after conducting an inquiry, the Commission finds that an act or practice engaged in by a respondent is inconsistent with, or contrary to, any human right, the Commission is required to serve notice on the respondent setting out its findings and reasons for those findings.</w:t>
      </w:r>
      <w:r w:rsidRPr="001E4E9B">
        <w:rPr>
          <w:rFonts w:cs="Open Sans"/>
          <w:szCs w:val="24"/>
          <w:vertAlign w:val="superscript"/>
        </w:rPr>
        <w:endnoteReference w:id="22"/>
      </w:r>
      <w:r w:rsidRPr="001E4E9B">
        <w:rPr>
          <w:rFonts w:cs="Open Sans"/>
        </w:rPr>
        <w:t xml:space="preserve"> The Commission may include in the notice any recommendation for preventing a repetition of the act or a continuation of the practice.</w:t>
      </w:r>
      <w:r w:rsidRPr="001E4E9B">
        <w:rPr>
          <w:rFonts w:cs="Open Sans"/>
          <w:szCs w:val="24"/>
          <w:vertAlign w:val="superscript"/>
        </w:rPr>
        <w:endnoteReference w:id="23"/>
      </w:r>
      <w:r w:rsidRPr="001E4E9B">
        <w:rPr>
          <w:rFonts w:cs="Open Sans"/>
        </w:rPr>
        <w:t xml:space="preserve"> The Commission may also recommend other action to re</w:t>
      </w:r>
      <w:r w:rsidRPr="00397230">
        <w:rPr>
          <w:rFonts w:cs="Open Sans"/>
        </w:rPr>
        <w:t>medy or reduce the loss or damage suffered by a person.</w:t>
      </w:r>
      <w:r w:rsidRPr="001E4E9B">
        <w:rPr>
          <w:rFonts w:cs="Open Sans"/>
          <w:szCs w:val="24"/>
          <w:vertAlign w:val="superscript"/>
        </w:rPr>
        <w:endnoteReference w:id="24"/>
      </w:r>
    </w:p>
    <w:p w14:paraId="61268A50" w14:textId="5679C8D6" w:rsidR="000433F9" w:rsidRPr="002F241C" w:rsidRDefault="000433F9" w:rsidP="000433F9">
      <w:pPr>
        <w:pStyle w:val="Titolo2"/>
        <w:numPr>
          <w:ilvl w:val="1"/>
          <w:numId w:val="1"/>
        </w:numPr>
        <w:tabs>
          <w:tab w:val="clear" w:pos="993"/>
          <w:tab w:val="num" w:pos="709"/>
        </w:tabs>
        <w:spacing w:before="360"/>
        <w:rPr>
          <w:rFonts w:cs="Open Sans"/>
          <w:color w:val="auto"/>
        </w:rPr>
      </w:pPr>
      <w:bookmarkStart w:id="79" w:name="_Toc48229430"/>
      <w:r w:rsidRPr="002F241C">
        <w:rPr>
          <w:rFonts w:cs="Open Sans"/>
          <w:color w:val="auto"/>
        </w:rPr>
        <w:t>Recommendation to the Minister</w:t>
      </w:r>
      <w:bookmarkEnd w:id="79"/>
    </w:p>
    <w:p w14:paraId="1E950617" w14:textId="77777777" w:rsidR="000433F9" w:rsidRPr="006129DA" w:rsidRDefault="000433F9" w:rsidP="000433F9">
      <w:pPr>
        <w:rPr>
          <w:rFonts w:cs="Open Sans"/>
          <w:szCs w:val="24"/>
        </w:rPr>
      </w:pPr>
    </w:p>
    <w:p w14:paraId="561770D4" w14:textId="191A911C" w:rsidR="000433F9" w:rsidRDefault="000433F9" w:rsidP="000433F9">
      <w:pPr>
        <w:pStyle w:val="Paragrafoelenco"/>
        <w:numPr>
          <w:ilvl w:val="0"/>
          <w:numId w:val="2"/>
        </w:numPr>
        <w:rPr>
          <w:rFonts w:cs="Open Sans"/>
          <w:szCs w:val="24"/>
        </w:rPr>
      </w:pPr>
      <w:r w:rsidRPr="006129DA">
        <w:rPr>
          <w:rFonts w:cs="Open Sans"/>
          <w:szCs w:val="24"/>
        </w:rPr>
        <w:t xml:space="preserve">I have found that the detention of </w:t>
      </w:r>
      <w:r>
        <w:rPr>
          <w:rFonts w:cs="Open Sans"/>
          <w:szCs w:val="24"/>
        </w:rPr>
        <w:t>Mr AC</w:t>
      </w:r>
      <w:r w:rsidRPr="006129DA">
        <w:rPr>
          <w:rFonts w:cs="Open Sans"/>
          <w:szCs w:val="24"/>
        </w:rPr>
        <w:t xml:space="preserve"> is arbitrary. That was in part because the Migration Act bestows discretionary powers on the Minister which would have enabled him to allow </w:t>
      </w:r>
      <w:r>
        <w:rPr>
          <w:rFonts w:cs="Open Sans"/>
          <w:szCs w:val="24"/>
        </w:rPr>
        <w:t>Mr AC</w:t>
      </w:r>
      <w:r w:rsidRPr="006129DA">
        <w:rPr>
          <w:rFonts w:cs="Open Sans"/>
          <w:szCs w:val="24"/>
        </w:rPr>
        <w:t xml:space="preserve"> to reside in the community, either on a bridging visa or in community detention. </w:t>
      </w:r>
      <w:r>
        <w:rPr>
          <w:rFonts w:cs="Open Sans"/>
          <w:szCs w:val="24"/>
        </w:rPr>
        <w:t>Mr AC’s case</w:t>
      </w:r>
      <w:r w:rsidRPr="006129DA">
        <w:rPr>
          <w:rFonts w:cs="Open Sans"/>
          <w:szCs w:val="24"/>
        </w:rPr>
        <w:t xml:space="preserve"> w</w:t>
      </w:r>
      <w:r>
        <w:rPr>
          <w:rFonts w:cs="Open Sans"/>
          <w:szCs w:val="24"/>
        </w:rPr>
        <w:t>as</w:t>
      </w:r>
      <w:r w:rsidRPr="006129DA">
        <w:rPr>
          <w:rFonts w:cs="Open Sans"/>
          <w:szCs w:val="24"/>
        </w:rPr>
        <w:t xml:space="preserve"> not referred to the Minister for him to consider exercising these powers as a result of the government’s policy that individuals who have been assessed by ASIO to be directly or indirectly a risk to security should remain in held detention, rather than the community, until such time as resettlement in a third country or removal is practicable.</w:t>
      </w:r>
      <w:r>
        <w:rPr>
          <w:rStyle w:val="Rimandonotadichiusura"/>
          <w:szCs w:val="24"/>
        </w:rPr>
        <w:endnoteReference w:id="25"/>
      </w:r>
      <w:r w:rsidRPr="006129DA">
        <w:rPr>
          <w:rFonts w:cs="Open Sans"/>
          <w:szCs w:val="24"/>
        </w:rPr>
        <w:t xml:space="preserve"> </w:t>
      </w:r>
      <w:r>
        <w:rPr>
          <w:rFonts w:cs="Open Sans"/>
          <w:szCs w:val="24"/>
        </w:rPr>
        <w:t>Even if the Minister was to personally consider Mr AC’s matter and decide that he is not appropriate for community based detention, his status should be resolved one way or another.</w:t>
      </w:r>
    </w:p>
    <w:p w14:paraId="5C505200" w14:textId="77777777" w:rsidR="000433F9" w:rsidRPr="006129DA" w:rsidRDefault="000433F9" w:rsidP="000433F9">
      <w:pPr>
        <w:pStyle w:val="Paragrafoelenco"/>
        <w:ind w:left="797"/>
        <w:rPr>
          <w:rFonts w:cs="Open Sans"/>
          <w:szCs w:val="24"/>
        </w:rPr>
      </w:pPr>
    </w:p>
    <w:p w14:paraId="1066B3CD" w14:textId="77777777" w:rsidR="000433F9" w:rsidRPr="006129DA" w:rsidRDefault="000433F9" w:rsidP="000433F9">
      <w:pPr>
        <w:pStyle w:val="Paragrafoelenco"/>
        <w:numPr>
          <w:ilvl w:val="0"/>
          <w:numId w:val="2"/>
        </w:numPr>
        <w:rPr>
          <w:rFonts w:cs="Open Sans"/>
        </w:rPr>
      </w:pPr>
      <w:r w:rsidRPr="00295B1C">
        <w:rPr>
          <w:rFonts w:cs="Open Sans"/>
        </w:rPr>
        <w:t xml:space="preserve">In these circumstances, I consider it is appropriate to make a recommendation to the Minister in the following terms. </w:t>
      </w:r>
    </w:p>
    <w:p w14:paraId="4F0C853B" w14:textId="77777777" w:rsidR="000433F9" w:rsidRPr="00397230" w:rsidRDefault="000433F9" w:rsidP="000433F9">
      <w:pPr>
        <w:pStyle w:val="Paragrafoelenco"/>
        <w:widowControl w:val="0"/>
        <w:tabs>
          <w:tab w:val="left" w:pos="797"/>
          <w:tab w:val="left" w:pos="798"/>
        </w:tabs>
        <w:autoSpaceDE w:val="0"/>
        <w:autoSpaceDN w:val="0"/>
        <w:spacing w:before="240" w:after="240" w:line="300" w:lineRule="exact"/>
        <w:ind w:left="799"/>
        <w:contextualSpacing w:val="0"/>
        <w:rPr>
          <w:rFonts w:cs="Open Sans"/>
          <w:b/>
          <w:bCs/>
        </w:rPr>
      </w:pPr>
      <w:r w:rsidRPr="001E4E9B">
        <w:rPr>
          <w:rFonts w:cs="Open Sans"/>
          <w:b/>
          <w:bCs/>
        </w:rPr>
        <w:t xml:space="preserve">Recommendation 1 </w:t>
      </w:r>
    </w:p>
    <w:p w14:paraId="2E600665" w14:textId="77777777" w:rsidR="000433F9" w:rsidRDefault="000433F9" w:rsidP="000433F9">
      <w:pPr>
        <w:pStyle w:val="Paragrafoelenco"/>
        <w:widowControl w:val="0"/>
        <w:tabs>
          <w:tab w:val="left" w:pos="797"/>
          <w:tab w:val="left" w:pos="798"/>
        </w:tabs>
        <w:autoSpaceDE w:val="0"/>
        <w:autoSpaceDN w:val="0"/>
        <w:spacing w:before="240" w:after="240" w:line="300" w:lineRule="exact"/>
        <w:ind w:left="799"/>
        <w:contextualSpacing w:val="0"/>
        <w:rPr>
          <w:rFonts w:cs="Open Sans"/>
        </w:rPr>
      </w:pPr>
      <w:r w:rsidRPr="006B4E7F">
        <w:rPr>
          <w:rFonts w:cs="Open Sans"/>
        </w:rPr>
        <w:t xml:space="preserve">The Minister for </w:t>
      </w:r>
      <w:r>
        <w:rPr>
          <w:rFonts w:cs="Open Sans"/>
        </w:rPr>
        <w:t xml:space="preserve">Home Affairs </w:t>
      </w:r>
      <w:r w:rsidRPr="006B4E7F">
        <w:rPr>
          <w:rFonts w:cs="Open Sans"/>
        </w:rPr>
        <w:t xml:space="preserve">indicate to his department that he will not refuse to consider a person in immigration detention for release from detention or placement in a less restrictive form of detention because the department has received an </w:t>
      </w:r>
      <w:r>
        <w:rPr>
          <w:rFonts w:cs="Open Sans"/>
        </w:rPr>
        <w:t>a</w:t>
      </w:r>
      <w:r w:rsidRPr="006B4E7F">
        <w:rPr>
          <w:rFonts w:cs="Open Sans"/>
        </w:rPr>
        <w:t xml:space="preserve">dverse </w:t>
      </w:r>
      <w:r>
        <w:rPr>
          <w:rFonts w:cs="Open Sans"/>
        </w:rPr>
        <w:t>s</w:t>
      </w:r>
      <w:r w:rsidRPr="006B4E7F">
        <w:rPr>
          <w:rFonts w:cs="Open Sans"/>
        </w:rPr>
        <w:t xml:space="preserve">ecurity </w:t>
      </w:r>
      <w:r>
        <w:rPr>
          <w:rFonts w:cs="Open Sans"/>
        </w:rPr>
        <w:t>a</w:t>
      </w:r>
      <w:r w:rsidRPr="006B4E7F">
        <w:rPr>
          <w:rFonts w:cs="Open Sans"/>
        </w:rPr>
        <w:t>ssessment in relation to that person from ASIO, unless the department has taken appropriate steps to determine whether any risks the individual might pose could be mitigated (for instance, through the imposition of appropriate conditions).</w:t>
      </w:r>
    </w:p>
    <w:p w14:paraId="34E221FD" w14:textId="65119F02" w:rsidR="000433F9" w:rsidRPr="002F241C" w:rsidRDefault="000433F9" w:rsidP="000433F9">
      <w:pPr>
        <w:pStyle w:val="Titolo2"/>
        <w:numPr>
          <w:ilvl w:val="1"/>
          <w:numId w:val="1"/>
        </w:numPr>
        <w:tabs>
          <w:tab w:val="clear" w:pos="993"/>
          <w:tab w:val="num" w:pos="709"/>
        </w:tabs>
        <w:spacing w:before="360"/>
        <w:rPr>
          <w:rFonts w:cs="Open Sans"/>
          <w:color w:val="auto"/>
        </w:rPr>
      </w:pPr>
      <w:r w:rsidRPr="002F241C">
        <w:rPr>
          <w:rFonts w:cs="Open Sans"/>
          <w:color w:val="auto"/>
        </w:rPr>
        <w:t xml:space="preserve"> </w:t>
      </w:r>
      <w:bookmarkStart w:id="80" w:name="_Toc48229431"/>
      <w:r w:rsidRPr="002F241C">
        <w:rPr>
          <w:rFonts w:cs="Open Sans"/>
          <w:color w:val="auto"/>
        </w:rPr>
        <w:t>Recommendations to the Department</w:t>
      </w:r>
      <w:bookmarkEnd w:id="80"/>
    </w:p>
    <w:p w14:paraId="623EC3D2" w14:textId="77777777" w:rsidR="000433F9" w:rsidRPr="006129DA" w:rsidRDefault="000433F9" w:rsidP="000433F9">
      <w:pPr>
        <w:pStyle w:val="Paragrafoelenco"/>
        <w:widowControl w:val="0"/>
        <w:tabs>
          <w:tab w:val="left" w:pos="797"/>
          <w:tab w:val="left" w:pos="798"/>
        </w:tabs>
        <w:autoSpaceDE w:val="0"/>
        <w:autoSpaceDN w:val="0"/>
        <w:spacing w:before="240" w:after="240" w:line="300" w:lineRule="exact"/>
        <w:ind w:left="799"/>
        <w:contextualSpacing w:val="0"/>
        <w:rPr>
          <w:rFonts w:cs="Open Sans"/>
          <w:b/>
          <w:bCs/>
        </w:rPr>
      </w:pPr>
      <w:r w:rsidRPr="006129DA">
        <w:rPr>
          <w:rFonts w:cs="Open Sans"/>
          <w:b/>
          <w:bCs/>
        </w:rPr>
        <w:t>Recommendation 2</w:t>
      </w:r>
    </w:p>
    <w:p w14:paraId="1CEB321F" w14:textId="196B93CE" w:rsidR="000433F9" w:rsidRPr="006129DA" w:rsidRDefault="000433F9" w:rsidP="000433F9">
      <w:pPr>
        <w:pStyle w:val="Paragrafoelenco"/>
        <w:widowControl w:val="0"/>
        <w:tabs>
          <w:tab w:val="left" w:pos="797"/>
          <w:tab w:val="left" w:pos="798"/>
        </w:tabs>
        <w:autoSpaceDE w:val="0"/>
        <w:autoSpaceDN w:val="0"/>
        <w:spacing w:before="240" w:after="240" w:line="300" w:lineRule="exact"/>
        <w:ind w:left="799"/>
        <w:contextualSpacing w:val="0"/>
        <w:rPr>
          <w:rFonts w:cs="Open Sans"/>
        </w:rPr>
      </w:pPr>
      <w:r>
        <w:rPr>
          <w:rFonts w:cs="Open Sans"/>
        </w:rPr>
        <w:t xml:space="preserve">The Department refer Mr AC to ASIO and request that ASIO provide a security assessment pursuant to s 37(1) of the </w:t>
      </w:r>
      <w:r w:rsidRPr="006129DA">
        <w:rPr>
          <w:rFonts w:cs="Open Sans"/>
          <w:i/>
          <w:iCs/>
        </w:rPr>
        <w:t>ASIO Act</w:t>
      </w:r>
      <w:r>
        <w:rPr>
          <w:rFonts w:cs="Open Sans"/>
        </w:rPr>
        <w:t xml:space="preserve"> relevant to the prescribed administrative action of making a </w:t>
      </w:r>
      <w:r w:rsidRPr="006129DA">
        <w:rPr>
          <w:rFonts w:cs="Open Sans"/>
        </w:rPr>
        <w:t xml:space="preserve">residence determination under </w:t>
      </w:r>
      <w:r w:rsidRPr="006129DA">
        <w:rPr>
          <w:rFonts w:cs="Open Sans"/>
        </w:rPr>
        <w:lastRenderedPageBreak/>
        <w:t>s 197AB of the Migration Act in favour of Mr AC</w:t>
      </w:r>
      <w:r>
        <w:rPr>
          <w:rFonts w:cs="Open Sans"/>
        </w:rPr>
        <w:t xml:space="preserve">, </w:t>
      </w:r>
      <w:r w:rsidRPr="006129DA">
        <w:rPr>
          <w:rFonts w:cs="Open Sans"/>
        </w:rPr>
        <w:t>if necessary subject to special conditions to ameliorate any identified risk to security, for example, curfews, travel restrictions, reporting requirements or sureties.</w:t>
      </w:r>
    </w:p>
    <w:p w14:paraId="05EE9925" w14:textId="77777777" w:rsidR="000433F9" w:rsidRPr="008479CD" w:rsidRDefault="000433F9" w:rsidP="000433F9">
      <w:pPr>
        <w:pStyle w:val="Paragrafoelenco"/>
        <w:widowControl w:val="0"/>
        <w:tabs>
          <w:tab w:val="left" w:pos="797"/>
          <w:tab w:val="left" w:pos="798"/>
        </w:tabs>
        <w:autoSpaceDE w:val="0"/>
        <w:autoSpaceDN w:val="0"/>
        <w:spacing w:before="240" w:after="240" w:line="300" w:lineRule="exact"/>
        <w:ind w:left="799"/>
        <w:contextualSpacing w:val="0"/>
        <w:rPr>
          <w:rFonts w:cs="Open Sans"/>
          <w:b/>
          <w:bCs/>
        </w:rPr>
      </w:pPr>
      <w:r w:rsidRPr="008479CD">
        <w:rPr>
          <w:rFonts w:cs="Open Sans"/>
          <w:b/>
          <w:bCs/>
        </w:rPr>
        <w:t xml:space="preserve">Recommendation </w:t>
      </w:r>
      <w:r>
        <w:rPr>
          <w:rFonts w:cs="Open Sans"/>
          <w:b/>
          <w:bCs/>
        </w:rPr>
        <w:t>3</w:t>
      </w:r>
      <w:r w:rsidRPr="008479CD">
        <w:rPr>
          <w:rFonts w:cs="Open Sans"/>
          <w:b/>
          <w:bCs/>
        </w:rPr>
        <w:t xml:space="preserve"> </w:t>
      </w:r>
    </w:p>
    <w:p w14:paraId="2D75D7AA" w14:textId="0E9429BB" w:rsidR="000433F9" w:rsidRDefault="000433F9" w:rsidP="000433F9">
      <w:pPr>
        <w:pStyle w:val="Paragrafoelenco"/>
        <w:widowControl w:val="0"/>
        <w:tabs>
          <w:tab w:val="left" w:pos="797"/>
          <w:tab w:val="left" w:pos="798"/>
        </w:tabs>
        <w:autoSpaceDE w:val="0"/>
        <w:autoSpaceDN w:val="0"/>
        <w:spacing w:before="240" w:after="240" w:line="300" w:lineRule="exact"/>
        <w:ind w:left="799"/>
        <w:contextualSpacing w:val="0"/>
        <w:rPr>
          <w:rFonts w:cs="Open Sans"/>
        </w:rPr>
      </w:pPr>
      <w:r>
        <w:rPr>
          <w:rFonts w:cs="Open Sans"/>
        </w:rPr>
        <w:t>To the extent that the security assessment carried out in Recommendation 2 would result in an adverse security assessment, the Department ask ASIO to advise it of any measures that could be taken to allow Mr AC to be placed in a less restrictive form of detention consistent with the requirements of national security.</w:t>
      </w:r>
    </w:p>
    <w:p w14:paraId="1CDF6994" w14:textId="77777777" w:rsidR="000433F9" w:rsidRPr="006129DA" w:rsidRDefault="000433F9" w:rsidP="000433F9">
      <w:pPr>
        <w:pStyle w:val="Paragrafoelenco"/>
        <w:widowControl w:val="0"/>
        <w:tabs>
          <w:tab w:val="left" w:pos="797"/>
          <w:tab w:val="left" w:pos="798"/>
        </w:tabs>
        <w:autoSpaceDE w:val="0"/>
        <w:autoSpaceDN w:val="0"/>
        <w:spacing w:before="240" w:after="240" w:line="300" w:lineRule="exact"/>
        <w:ind w:left="799"/>
        <w:contextualSpacing w:val="0"/>
        <w:rPr>
          <w:rFonts w:cs="Open Sans"/>
          <w:b/>
          <w:bCs/>
        </w:rPr>
      </w:pPr>
      <w:r w:rsidRPr="006129DA">
        <w:rPr>
          <w:rFonts w:cs="Open Sans"/>
          <w:b/>
          <w:bCs/>
        </w:rPr>
        <w:t>Recommendation 4</w:t>
      </w:r>
    </w:p>
    <w:p w14:paraId="41E21DEB" w14:textId="7BD0A699" w:rsidR="000433F9" w:rsidRPr="00DB7C05" w:rsidRDefault="000433F9" w:rsidP="000433F9">
      <w:pPr>
        <w:pStyle w:val="Paragrafoelenco"/>
        <w:widowControl w:val="0"/>
        <w:tabs>
          <w:tab w:val="left" w:pos="797"/>
          <w:tab w:val="left" w:pos="798"/>
        </w:tabs>
        <w:autoSpaceDE w:val="0"/>
        <w:autoSpaceDN w:val="0"/>
        <w:spacing w:before="240" w:after="240" w:line="300" w:lineRule="exact"/>
        <w:ind w:left="799"/>
        <w:contextualSpacing w:val="0"/>
        <w:rPr>
          <w:rFonts w:cs="Open Sans"/>
        </w:rPr>
      </w:pPr>
      <w:r w:rsidRPr="00FF2235">
        <w:rPr>
          <w:rFonts w:cs="Open Sans"/>
        </w:rPr>
        <w:t xml:space="preserve">The Department refer Mr </w:t>
      </w:r>
      <w:r w:rsidRPr="00667E1D">
        <w:rPr>
          <w:rFonts w:cs="Open Sans"/>
        </w:rPr>
        <w:t>AC’s case to the Minister under s 1</w:t>
      </w:r>
      <w:r w:rsidRPr="008B6BDC">
        <w:rPr>
          <w:rFonts w:cs="Open Sans"/>
        </w:rPr>
        <w:t>97AB of the Migration Act</w:t>
      </w:r>
      <w:r w:rsidRPr="00B03A79">
        <w:rPr>
          <w:rFonts w:cs="Open Sans"/>
        </w:rPr>
        <w:t xml:space="preserve">. </w:t>
      </w:r>
      <w:r>
        <w:rPr>
          <w:rFonts w:cs="Open Sans"/>
        </w:rPr>
        <w:t>The submissions accompanying the referral should include the advice provided by ASIO in relation to Recommendation 2 and 3 and should include details of how any potential risk identified by ASIO can be mitigated.</w:t>
      </w:r>
    </w:p>
    <w:p w14:paraId="6C13EF00" w14:textId="30572697" w:rsidR="000433F9" w:rsidRPr="005B1CEF" w:rsidRDefault="000433F9" w:rsidP="000433F9">
      <w:pPr>
        <w:pStyle w:val="Titolo1"/>
        <w:numPr>
          <w:ilvl w:val="0"/>
          <w:numId w:val="1"/>
        </w:numPr>
        <w:rPr>
          <w:rFonts w:cs="Open Sans"/>
          <w:sz w:val="36"/>
          <w:szCs w:val="36"/>
        </w:rPr>
      </w:pPr>
      <w:bookmarkStart w:id="81" w:name="_Toc48229432"/>
      <w:r>
        <w:rPr>
          <w:rFonts w:cs="Open Sans"/>
          <w:sz w:val="36"/>
          <w:szCs w:val="36"/>
        </w:rPr>
        <w:t>Response to my findings and recommendations</w:t>
      </w:r>
      <w:bookmarkEnd w:id="81"/>
    </w:p>
    <w:p w14:paraId="53C4CAE2" w14:textId="77777777" w:rsidR="000433F9"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Pr>
          <w:rFonts w:cs="Open Sans"/>
        </w:rPr>
        <w:t xml:space="preserve">On </w:t>
      </w:r>
      <w:r w:rsidRPr="001303EA">
        <w:rPr>
          <w:rFonts w:cs="Open Sans"/>
        </w:rPr>
        <w:t>20 August 2019,</w:t>
      </w:r>
      <w:r>
        <w:rPr>
          <w:rFonts w:cs="Open Sans"/>
        </w:rPr>
        <w:t xml:space="preserve"> I provided the Minister and Department with separate notices of my findings and recommendations. </w:t>
      </w:r>
    </w:p>
    <w:p w14:paraId="3FA831EB" w14:textId="77777777" w:rsidR="000433F9"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Pr>
          <w:rFonts w:cs="Open Sans"/>
        </w:rPr>
        <w:t xml:space="preserve">On </w:t>
      </w:r>
      <w:r w:rsidRPr="003F1D3D">
        <w:rPr>
          <w:rFonts w:cs="Open Sans"/>
        </w:rPr>
        <w:t>2 December 2019</w:t>
      </w:r>
      <w:r>
        <w:rPr>
          <w:rFonts w:cs="Open Sans"/>
        </w:rPr>
        <w:t xml:space="preserve">, the Minister provided the following response to my findings and recommendations: </w:t>
      </w:r>
    </w:p>
    <w:p w14:paraId="328FDAD7" w14:textId="1A704972" w:rsidR="000433F9" w:rsidRPr="00DB7C05" w:rsidRDefault="000433F9" w:rsidP="000433F9">
      <w:pPr>
        <w:widowControl w:val="0"/>
        <w:autoSpaceDE w:val="0"/>
        <w:autoSpaceDN w:val="0"/>
        <w:spacing w:before="240" w:after="240" w:line="300" w:lineRule="exact"/>
        <w:ind w:left="1418"/>
        <w:rPr>
          <w:rFonts w:cs="Open Sans"/>
          <w:b/>
          <w:bCs/>
          <w:sz w:val="22"/>
          <w:szCs w:val="22"/>
        </w:rPr>
      </w:pPr>
      <w:r w:rsidRPr="00DB7C05">
        <w:rPr>
          <w:rFonts w:cs="Open Sans"/>
          <w:b/>
          <w:bCs/>
          <w:sz w:val="22"/>
          <w:szCs w:val="22"/>
        </w:rPr>
        <w:t xml:space="preserve">Recommendation 1 </w:t>
      </w:r>
    </w:p>
    <w:p w14:paraId="53CB351C" w14:textId="60BE650A" w:rsidR="000433F9" w:rsidRDefault="000433F9" w:rsidP="000433F9">
      <w:pPr>
        <w:widowControl w:val="0"/>
        <w:autoSpaceDE w:val="0"/>
        <w:autoSpaceDN w:val="0"/>
        <w:spacing w:before="240" w:after="240" w:line="300" w:lineRule="exact"/>
        <w:ind w:left="1418"/>
        <w:rPr>
          <w:rFonts w:cs="Open Sans"/>
          <w:i/>
          <w:iCs/>
          <w:sz w:val="22"/>
          <w:szCs w:val="22"/>
        </w:rPr>
      </w:pPr>
      <w:r w:rsidRPr="00DB7C05">
        <w:rPr>
          <w:rFonts w:cs="Open Sans"/>
          <w:i/>
          <w:iCs/>
          <w:sz w:val="22"/>
          <w:szCs w:val="22"/>
        </w:rPr>
        <w:t>The Minister for Home Affairs indicate to his department that he will not refuse to consider a person in immigration detention for release from detention or placement in a less restrictive form of detention because the department has received an adverse security assessment in relation to that person from ASIO, unless the department has taken appropriate steps to determine whether any risks the individual might pose could be mitigated (for instance, through the imposition of appropriate conditions).</w:t>
      </w:r>
    </w:p>
    <w:p w14:paraId="03372D8B" w14:textId="76DAD91A" w:rsidR="005B1CEF" w:rsidRDefault="005B1CEF">
      <w:pPr>
        <w:spacing w:after="160" w:line="259" w:lineRule="auto"/>
      </w:pPr>
      <w:r>
        <w:br w:type="page"/>
      </w:r>
    </w:p>
    <w:p w14:paraId="35C14632" w14:textId="77777777" w:rsidR="000433F9" w:rsidRDefault="000433F9" w:rsidP="000433F9">
      <w:pPr>
        <w:widowControl w:val="0"/>
        <w:autoSpaceDE w:val="0"/>
        <w:autoSpaceDN w:val="0"/>
        <w:spacing w:before="240" w:after="240" w:line="300" w:lineRule="exact"/>
        <w:ind w:left="1418"/>
        <w:rPr>
          <w:rFonts w:cs="Open Sans"/>
          <w:b/>
          <w:bCs/>
          <w:sz w:val="22"/>
          <w:szCs w:val="22"/>
        </w:rPr>
      </w:pPr>
      <w:r>
        <w:rPr>
          <w:rFonts w:cs="Open Sans"/>
          <w:b/>
          <w:bCs/>
          <w:sz w:val="22"/>
          <w:szCs w:val="22"/>
        </w:rPr>
        <w:lastRenderedPageBreak/>
        <w:t xml:space="preserve">Response to </w:t>
      </w:r>
      <w:r w:rsidRPr="00693A2E">
        <w:rPr>
          <w:rFonts w:cs="Open Sans"/>
          <w:b/>
          <w:sz w:val="22"/>
          <w:szCs w:val="22"/>
        </w:rPr>
        <w:t>recommendation 1</w:t>
      </w:r>
    </w:p>
    <w:p w14:paraId="52AEA988" w14:textId="77777777" w:rsidR="000433F9" w:rsidRPr="00516A9D" w:rsidRDefault="000433F9" w:rsidP="000433F9">
      <w:pPr>
        <w:widowControl w:val="0"/>
        <w:autoSpaceDE w:val="0"/>
        <w:autoSpaceDN w:val="0"/>
        <w:spacing w:before="240" w:after="240" w:line="300" w:lineRule="exact"/>
        <w:ind w:left="1418"/>
        <w:rPr>
          <w:rFonts w:cs="Open Sans"/>
          <w:sz w:val="22"/>
          <w:szCs w:val="22"/>
        </w:rPr>
      </w:pPr>
      <w:r w:rsidRPr="00516A9D">
        <w:rPr>
          <w:rFonts w:cs="Open Sans"/>
          <w:sz w:val="22"/>
          <w:szCs w:val="22"/>
        </w:rPr>
        <w:t>I do not accept this recommendation.</w:t>
      </w:r>
    </w:p>
    <w:p w14:paraId="11AA972F" w14:textId="77777777" w:rsidR="000433F9" w:rsidRPr="00516A9D" w:rsidRDefault="000433F9" w:rsidP="000433F9">
      <w:pPr>
        <w:widowControl w:val="0"/>
        <w:autoSpaceDE w:val="0"/>
        <w:autoSpaceDN w:val="0"/>
        <w:spacing w:before="240" w:after="240" w:line="300" w:lineRule="exact"/>
        <w:ind w:left="1418"/>
        <w:rPr>
          <w:rFonts w:cs="Open Sans"/>
          <w:sz w:val="22"/>
          <w:szCs w:val="22"/>
        </w:rPr>
      </w:pPr>
      <w:r w:rsidRPr="00516A9D">
        <w:rPr>
          <w:rFonts w:cs="Open Sans"/>
          <w:sz w:val="22"/>
          <w:szCs w:val="22"/>
        </w:rPr>
        <w:t>It is Australian Government policy that individuals who have been assessed to be directly or indirectly a risk to Australia’s security will remain in held immigration detention until such time that a durable solution for individuals with adverse security assessments is found that is consistent with Australia’s international obligations.</w:t>
      </w:r>
    </w:p>
    <w:p w14:paraId="58769235" w14:textId="77777777" w:rsidR="000433F9" w:rsidRPr="00516A9D" w:rsidRDefault="000433F9" w:rsidP="000433F9">
      <w:pPr>
        <w:widowControl w:val="0"/>
        <w:autoSpaceDE w:val="0"/>
        <w:autoSpaceDN w:val="0"/>
        <w:spacing w:before="240" w:after="240" w:line="300" w:lineRule="exact"/>
        <w:ind w:left="1418"/>
        <w:rPr>
          <w:rFonts w:cs="Open Sans"/>
          <w:sz w:val="22"/>
          <w:szCs w:val="22"/>
        </w:rPr>
      </w:pPr>
      <w:r w:rsidRPr="00516A9D">
        <w:rPr>
          <w:rFonts w:cs="Open Sans"/>
          <w:sz w:val="22"/>
          <w:szCs w:val="22"/>
        </w:rPr>
        <w:t xml:space="preserve">Given the serious nature of the assessment by ASIO, and in light of Australian Government policy, I am not minded </w:t>
      </w:r>
      <w:proofErr w:type="gramStart"/>
      <w:r w:rsidRPr="00516A9D">
        <w:rPr>
          <w:rFonts w:cs="Open Sans"/>
          <w:sz w:val="22"/>
          <w:szCs w:val="22"/>
        </w:rPr>
        <w:t>to exercise</w:t>
      </w:r>
      <w:proofErr w:type="gramEnd"/>
      <w:r w:rsidRPr="00516A9D">
        <w:rPr>
          <w:rFonts w:cs="Open Sans"/>
          <w:sz w:val="22"/>
          <w:szCs w:val="22"/>
        </w:rPr>
        <w:t xml:space="preserve"> my Ministerial Intervention powers in respect of individuals with adverse security assessments.</w:t>
      </w:r>
    </w:p>
    <w:p w14:paraId="57D3D491" w14:textId="77777777" w:rsidR="000433F9" w:rsidRPr="00DB7C05" w:rsidRDefault="000433F9" w:rsidP="000433F9">
      <w:pPr>
        <w:widowControl w:val="0"/>
        <w:autoSpaceDE w:val="0"/>
        <w:autoSpaceDN w:val="0"/>
        <w:spacing w:before="240" w:after="240" w:line="300" w:lineRule="exact"/>
        <w:ind w:left="1418"/>
        <w:rPr>
          <w:rFonts w:cs="Open Sans"/>
          <w:sz w:val="22"/>
          <w:szCs w:val="22"/>
        </w:rPr>
      </w:pPr>
      <w:r w:rsidRPr="00516A9D">
        <w:rPr>
          <w:rFonts w:cs="Open Sans"/>
          <w:sz w:val="22"/>
          <w:szCs w:val="22"/>
        </w:rPr>
        <w:t>Former Ministers for Immigration and Border Protection, the Hon Scott Morrison MP and the Hon Peter Dutton MP, also previously declined to accept this recommendation.</w:t>
      </w:r>
    </w:p>
    <w:p w14:paraId="748EAC4B" w14:textId="1091751A" w:rsidR="000433F9" w:rsidRPr="00DB7C05" w:rsidRDefault="000433F9" w:rsidP="000433F9">
      <w:pPr>
        <w:pStyle w:val="Paragrafoelenco"/>
        <w:widowControl w:val="0"/>
        <w:numPr>
          <w:ilvl w:val="0"/>
          <w:numId w:val="2"/>
        </w:numPr>
        <w:tabs>
          <w:tab w:val="left" w:pos="797"/>
          <w:tab w:val="left" w:pos="798"/>
        </w:tabs>
        <w:autoSpaceDE w:val="0"/>
        <w:autoSpaceDN w:val="0"/>
        <w:spacing w:before="240" w:after="240" w:line="300" w:lineRule="exact"/>
        <w:ind w:left="799" w:hanging="799"/>
        <w:contextualSpacing w:val="0"/>
        <w:rPr>
          <w:rFonts w:cs="Open Sans"/>
        </w:rPr>
      </w:pPr>
      <w:r w:rsidRPr="00AC4A79">
        <w:rPr>
          <w:rFonts w:cs="Open Sans"/>
        </w:rPr>
        <w:t>On 1 November 2019</w:t>
      </w:r>
      <w:r>
        <w:rPr>
          <w:rFonts w:cs="Open Sans"/>
        </w:rPr>
        <w:t>, the department provided the following response to my findings and recommendations:</w:t>
      </w:r>
    </w:p>
    <w:p w14:paraId="2074AF7C" w14:textId="77777777" w:rsidR="000433F9" w:rsidRDefault="000433F9" w:rsidP="000433F9">
      <w:pPr>
        <w:widowControl w:val="0"/>
        <w:autoSpaceDE w:val="0"/>
        <w:autoSpaceDN w:val="0"/>
        <w:spacing w:before="240" w:after="240" w:line="300" w:lineRule="exact"/>
        <w:ind w:left="1418"/>
        <w:rPr>
          <w:rFonts w:cs="Open Sans"/>
          <w:b/>
          <w:bCs/>
          <w:sz w:val="22"/>
          <w:szCs w:val="22"/>
        </w:rPr>
      </w:pPr>
      <w:r w:rsidRPr="00DB7C05">
        <w:rPr>
          <w:rFonts w:cs="Open Sans"/>
          <w:b/>
          <w:bCs/>
          <w:sz w:val="22"/>
          <w:szCs w:val="22"/>
        </w:rPr>
        <w:t xml:space="preserve">Recommendation </w:t>
      </w:r>
      <w:r>
        <w:rPr>
          <w:rFonts w:cs="Open Sans"/>
          <w:b/>
          <w:bCs/>
          <w:sz w:val="22"/>
          <w:szCs w:val="22"/>
        </w:rPr>
        <w:t>2</w:t>
      </w:r>
    </w:p>
    <w:p w14:paraId="377CF3CD" w14:textId="6A96BB78" w:rsidR="000433F9" w:rsidRDefault="000433F9" w:rsidP="000433F9">
      <w:pPr>
        <w:pStyle w:val="Paragrafoelenco"/>
        <w:widowControl w:val="0"/>
        <w:autoSpaceDE w:val="0"/>
        <w:autoSpaceDN w:val="0"/>
        <w:spacing w:before="240" w:after="240" w:line="300" w:lineRule="exact"/>
        <w:ind w:left="1418"/>
        <w:contextualSpacing w:val="0"/>
        <w:rPr>
          <w:rFonts w:cs="Open Sans"/>
          <w:i/>
          <w:iCs/>
          <w:sz w:val="22"/>
          <w:szCs w:val="22"/>
        </w:rPr>
      </w:pPr>
      <w:r w:rsidRPr="00DB7C05">
        <w:rPr>
          <w:rFonts w:cs="Open Sans"/>
          <w:i/>
          <w:iCs/>
          <w:sz w:val="22"/>
          <w:szCs w:val="22"/>
        </w:rPr>
        <w:t>The Department refer Mr AC to ASIO and request that ASIO provide a security assessment pursuant to s 37(1) of the ASIO Act relevant to the prescribed administrative action of making a residence determination under s 197AB of the Migration Act in favour of Mr AC, if necessary subject to special conditions to ameliorate any identified risk to security, for example, curfews, travel restrictions, reporting requirements or sureties.</w:t>
      </w:r>
    </w:p>
    <w:p w14:paraId="4FA1CB73" w14:textId="77777777" w:rsidR="000433F9" w:rsidRPr="00DB7C05" w:rsidRDefault="000433F9" w:rsidP="000433F9">
      <w:pPr>
        <w:widowControl w:val="0"/>
        <w:autoSpaceDE w:val="0"/>
        <w:autoSpaceDN w:val="0"/>
        <w:spacing w:before="240" w:after="240" w:line="300" w:lineRule="exact"/>
        <w:ind w:left="1418"/>
        <w:rPr>
          <w:rFonts w:cs="Open Sans"/>
          <w:b/>
          <w:bCs/>
          <w:sz w:val="22"/>
          <w:szCs w:val="22"/>
        </w:rPr>
      </w:pPr>
      <w:r>
        <w:rPr>
          <w:rFonts w:cs="Open Sans"/>
          <w:b/>
          <w:bCs/>
          <w:sz w:val="22"/>
          <w:szCs w:val="22"/>
        </w:rPr>
        <w:t xml:space="preserve">Response to </w:t>
      </w:r>
      <w:r w:rsidRPr="00693A2E">
        <w:rPr>
          <w:rFonts w:cs="Open Sans"/>
          <w:b/>
          <w:sz w:val="22"/>
          <w:szCs w:val="22"/>
        </w:rPr>
        <w:t>recommendation 2</w:t>
      </w:r>
    </w:p>
    <w:p w14:paraId="0D06DBAA" w14:textId="3EF4299D" w:rsidR="000433F9" w:rsidRDefault="000433F9" w:rsidP="000433F9">
      <w:pPr>
        <w:pStyle w:val="Paragrafoelenco"/>
        <w:widowControl w:val="0"/>
        <w:autoSpaceDE w:val="0"/>
        <w:autoSpaceDN w:val="0"/>
        <w:spacing w:before="240" w:after="240" w:line="300" w:lineRule="exact"/>
        <w:ind w:left="1418"/>
        <w:rPr>
          <w:rFonts w:cs="Open Sans"/>
          <w:sz w:val="22"/>
          <w:szCs w:val="22"/>
        </w:rPr>
      </w:pPr>
      <w:r w:rsidRPr="00DB7C05">
        <w:rPr>
          <w:rFonts w:cs="Open Sans"/>
          <w:sz w:val="22"/>
          <w:szCs w:val="22"/>
        </w:rPr>
        <w:t xml:space="preserve">ASIO security assessments are undertaken to identify individuals whose entry into, or continued stay in, Australia may be directly or indirectly a risk to national </w:t>
      </w:r>
      <w:proofErr w:type="gramStart"/>
      <w:r w:rsidRPr="00DB7C05">
        <w:rPr>
          <w:rFonts w:cs="Open Sans"/>
          <w:sz w:val="22"/>
          <w:szCs w:val="22"/>
        </w:rPr>
        <w:t>security, and</w:t>
      </w:r>
      <w:proofErr w:type="gramEnd"/>
      <w:r w:rsidRPr="00DB7C05">
        <w:rPr>
          <w:rFonts w:cs="Open Sans"/>
          <w:sz w:val="22"/>
          <w:szCs w:val="22"/>
        </w:rPr>
        <w:t xml:space="preserve"> inform visa and citizenship decision ma</w:t>
      </w:r>
      <w:r>
        <w:rPr>
          <w:rFonts w:cs="Open Sans"/>
          <w:sz w:val="22"/>
          <w:szCs w:val="22"/>
        </w:rPr>
        <w:t>de</w:t>
      </w:r>
      <w:r w:rsidRPr="00DB7C05">
        <w:rPr>
          <w:rFonts w:cs="Open Sans"/>
          <w:sz w:val="22"/>
          <w:szCs w:val="22"/>
        </w:rPr>
        <w:t xml:space="preserve"> by the Department. ASIO does not provide advice to the Department, in the form of a security assessment or otherwise, on the placement of individuals who do not hold a visa, or the risk associated with the placement of individuals who do not hold a visa.</w:t>
      </w:r>
    </w:p>
    <w:p w14:paraId="5B25B6EA" w14:textId="77777777" w:rsidR="000433F9" w:rsidRPr="00DB7C05" w:rsidRDefault="000433F9" w:rsidP="000433F9">
      <w:pPr>
        <w:pStyle w:val="Paragrafoelenco"/>
        <w:widowControl w:val="0"/>
        <w:autoSpaceDE w:val="0"/>
        <w:autoSpaceDN w:val="0"/>
        <w:spacing w:before="240" w:after="240" w:line="300" w:lineRule="exact"/>
        <w:ind w:left="1418"/>
        <w:rPr>
          <w:rFonts w:cs="Open Sans"/>
          <w:sz w:val="22"/>
          <w:szCs w:val="22"/>
        </w:rPr>
      </w:pPr>
    </w:p>
    <w:p w14:paraId="50E704A6" w14:textId="4F11F591" w:rsidR="000433F9" w:rsidRDefault="000433F9" w:rsidP="000433F9">
      <w:pPr>
        <w:pStyle w:val="Paragrafoelenco"/>
        <w:widowControl w:val="0"/>
        <w:autoSpaceDE w:val="0"/>
        <w:autoSpaceDN w:val="0"/>
        <w:spacing w:before="240" w:after="240" w:line="300" w:lineRule="exact"/>
        <w:ind w:left="1418"/>
        <w:rPr>
          <w:rFonts w:cs="Open Sans"/>
          <w:sz w:val="22"/>
          <w:szCs w:val="22"/>
        </w:rPr>
      </w:pPr>
      <w:r w:rsidRPr="00DB7C05">
        <w:rPr>
          <w:rFonts w:cs="Open Sans"/>
          <w:sz w:val="22"/>
          <w:szCs w:val="22"/>
        </w:rPr>
        <w:t>There is no requirement for ASIO to undertake a further security assessment for Mr AC as he is currently subject to an ASA. Generally, this assessment remains in effect until such time as ASIO furnishes a subsequent security assessment, or a Court sets it aside. In this case, Mr AC’s application for judicial review of the ASA was dismissed by the Full Court of the Federal Court of Australia on 18 August 2014.</w:t>
      </w:r>
    </w:p>
    <w:p w14:paraId="51AA87BB" w14:textId="77777777" w:rsidR="000433F9" w:rsidRPr="00DB7C05" w:rsidRDefault="000433F9" w:rsidP="000433F9">
      <w:pPr>
        <w:pStyle w:val="Paragrafoelenco"/>
        <w:widowControl w:val="0"/>
        <w:autoSpaceDE w:val="0"/>
        <w:autoSpaceDN w:val="0"/>
        <w:spacing w:before="240" w:after="240" w:line="300" w:lineRule="exact"/>
        <w:ind w:left="1418"/>
        <w:rPr>
          <w:rFonts w:cs="Open Sans"/>
          <w:sz w:val="22"/>
          <w:szCs w:val="22"/>
        </w:rPr>
      </w:pPr>
    </w:p>
    <w:p w14:paraId="24428A61" w14:textId="0455F01A" w:rsidR="000433F9" w:rsidRPr="00DB7C05" w:rsidRDefault="000433F9" w:rsidP="000433F9">
      <w:pPr>
        <w:pStyle w:val="Paragrafoelenco"/>
        <w:widowControl w:val="0"/>
        <w:autoSpaceDE w:val="0"/>
        <w:autoSpaceDN w:val="0"/>
        <w:spacing w:before="240" w:after="240" w:line="300" w:lineRule="exact"/>
        <w:ind w:left="1418"/>
        <w:contextualSpacing w:val="0"/>
        <w:rPr>
          <w:rFonts w:cs="Open Sans"/>
          <w:sz w:val="22"/>
          <w:szCs w:val="22"/>
        </w:rPr>
      </w:pPr>
      <w:r w:rsidRPr="00DB7C05">
        <w:rPr>
          <w:rFonts w:cs="Open Sans"/>
          <w:sz w:val="22"/>
          <w:szCs w:val="22"/>
        </w:rPr>
        <w:lastRenderedPageBreak/>
        <w:t>Mr AC’s visa was cancelled following the ASA. Mr AC has been held in immigration detention because he does not hold a visa. It is Australian Government policy that individuals who are subject to ASAs issued by ASIO, which state that the person is directly or indirectly a risk to security within the meaning of section 4 of the Australian Security Intelligence Organisation Act 1979, are to remain in detention until such time they can be removed from Australia. In line with this policy, the Minister’s guidelines under section 195A and section 197AB stipulate that generally, persons who are subject to an ASA by ASIO, or persons who present character issues that indicate they may fail the character test under section 501 of the Act, should not be referred to the Minister for consideration.</w:t>
      </w:r>
    </w:p>
    <w:p w14:paraId="27C3647C" w14:textId="77777777" w:rsidR="000433F9" w:rsidRDefault="000433F9" w:rsidP="000433F9">
      <w:pPr>
        <w:widowControl w:val="0"/>
        <w:autoSpaceDE w:val="0"/>
        <w:autoSpaceDN w:val="0"/>
        <w:spacing w:before="240" w:after="240" w:line="300" w:lineRule="exact"/>
        <w:ind w:left="1418"/>
        <w:rPr>
          <w:rFonts w:cs="Open Sans"/>
          <w:b/>
          <w:bCs/>
          <w:sz w:val="22"/>
          <w:szCs w:val="22"/>
        </w:rPr>
      </w:pPr>
      <w:r w:rsidRPr="00DB7C05">
        <w:rPr>
          <w:rFonts w:cs="Open Sans"/>
          <w:b/>
          <w:bCs/>
          <w:sz w:val="22"/>
          <w:szCs w:val="22"/>
        </w:rPr>
        <w:t xml:space="preserve">Recommendation </w:t>
      </w:r>
      <w:r>
        <w:rPr>
          <w:rFonts w:cs="Open Sans"/>
          <w:b/>
          <w:bCs/>
          <w:sz w:val="22"/>
          <w:szCs w:val="22"/>
        </w:rPr>
        <w:t>3</w:t>
      </w:r>
    </w:p>
    <w:p w14:paraId="0DF2BA33" w14:textId="77777777" w:rsidR="000433F9" w:rsidRDefault="000433F9" w:rsidP="000433F9">
      <w:pPr>
        <w:pStyle w:val="Paragrafoelenco"/>
        <w:widowControl w:val="0"/>
        <w:autoSpaceDE w:val="0"/>
        <w:autoSpaceDN w:val="0"/>
        <w:spacing w:before="240" w:after="240" w:line="300" w:lineRule="exact"/>
        <w:ind w:left="1418"/>
        <w:contextualSpacing w:val="0"/>
        <w:rPr>
          <w:rFonts w:cs="Open Sans"/>
          <w:i/>
          <w:iCs/>
          <w:sz w:val="22"/>
          <w:szCs w:val="22"/>
        </w:rPr>
      </w:pPr>
      <w:r w:rsidRPr="00DB7C05">
        <w:rPr>
          <w:rFonts w:cs="Open Sans"/>
          <w:i/>
          <w:iCs/>
          <w:sz w:val="22"/>
          <w:szCs w:val="22"/>
        </w:rPr>
        <w:t xml:space="preserve">To the extent that the security assessment carried out in Recommendation 2 would result in an adverse security assessment, the Department ask ASIO to advise it of any measures that could be taken to allow Mr AC to be placed in a less restrictive form of detention consistent with the requirements of national security. </w:t>
      </w:r>
    </w:p>
    <w:p w14:paraId="33DDDF24" w14:textId="77777777" w:rsidR="000433F9" w:rsidRPr="00DB7C05" w:rsidRDefault="000433F9" w:rsidP="000433F9">
      <w:pPr>
        <w:widowControl w:val="0"/>
        <w:autoSpaceDE w:val="0"/>
        <w:autoSpaceDN w:val="0"/>
        <w:spacing w:before="240" w:after="240" w:line="300" w:lineRule="exact"/>
        <w:ind w:left="1418"/>
        <w:rPr>
          <w:rFonts w:cs="Open Sans"/>
          <w:b/>
          <w:bCs/>
          <w:sz w:val="22"/>
          <w:szCs w:val="22"/>
        </w:rPr>
      </w:pPr>
      <w:r>
        <w:rPr>
          <w:rFonts w:cs="Open Sans"/>
          <w:b/>
          <w:bCs/>
          <w:sz w:val="22"/>
          <w:szCs w:val="22"/>
        </w:rPr>
        <w:t xml:space="preserve">Response to </w:t>
      </w:r>
      <w:r w:rsidRPr="00693A2E">
        <w:rPr>
          <w:rFonts w:cs="Open Sans"/>
          <w:b/>
          <w:sz w:val="22"/>
          <w:szCs w:val="22"/>
        </w:rPr>
        <w:t xml:space="preserve">recommendation </w:t>
      </w:r>
      <w:r>
        <w:rPr>
          <w:rFonts w:cs="Open Sans"/>
          <w:b/>
          <w:sz w:val="22"/>
          <w:szCs w:val="22"/>
        </w:rPr>
        <w:t>3</w:t>
      </w:r>
    </w:p>
    <w:p w14:paraId="61C62CC9" w14:textId="77777777" w:rsidR="000433F9" w:rsidRDefault="000433F9" w:rsidP="000433F9">
      <w:pPr>
        <w:pStyle w:val="Paragrafoelenco"/>
        <w:widowControl w:val="0"/>
        <w:autoSpaceDE w:val="0"/>
        <w:autoSpaceDN w:val="0"/>
        <w:spacing w:before="240" w:after="240" w:line="300" w:lineRule="exact"/>
        <w:ind w:left="1418"/>
        <w:contextualSpacing w:val="0"/>
        <w:rPr>
          <w:rFonts w:cs="Open Sans"/>
          <w:sz w:val="22"/>
          <w:szCs w:val="22"/>
        </w:rPr>
      </w:pPr>
      <w:r w:rsidRPr="00DB7C05">
        <w:rPr>
          <w:rFonts w:cs="Open Sans"/>
          <w:sz w:val="22"/>
          <w:szCs w:val="22"/>
        </w:rPr>
        <w:t xml:space="preserve">As outlined above, ASIO does not provide advice to the Department, in the form of a security assessment or otherwise, and due to current government </w:t>
      </w:r>
      <w:proofErr w:type="gramStart"/>
      <w:r w:rsidRPr="00DB7C05">
        <w:rPr>
          <w:rFonts w:cs="Open Sans"/>
          <w:sz w:val="22"/>
          <w:szCs w:val="22"/>
        </w:rPr>
        <w:t>policy</w:t>
      </w:r>
      <w:proofErr w:type="gramEnd"/>
      <w:r w:rsidRPr="00DB7C05">
        <w:rPr>
          <w:rFonts w:cs="Open Sans"/>
          <w:sz w:val="22"/>
          <w:szCs w:val="22"/>
        </w:rPr>
        <w:t xml:space="preserve"> the Department would not ask ASIO to provide advice regarding measures that could be implemented to allow a less restrictive form of detention</w:t>
      </w:r>
      <w:r>
        <w:rPr>
          <w:rFonts w:cs="Open Sans"/>
          <w:sz w:val="22"/>
          <w:szCs w:val="22"/>
        </w:rPr>
        <w:t>.</w:t>
      </w:r>
    </w:p>
    <w:p w14:paraId="0AB10A84" w14:textId="77777777" w:rsidR="000433F9" w:rsidRDefault="000433F9" w:rsidP="000433F9">
      <w:pPr>
        <w:widowControl w:val="0"/>
        <w:autoSpaceDE w:val="0"/>
        <w:autoSpaceDN w:val="0"/>
        <w:spacing w:before="240" w:after="240" w:line="300" w:lineRule="exact"/>
        <w:ind w:left="1418"/>
        <w:rPr>
          <w:rFonts w:cs="Open Sans"/>
          <w:b/>
          <w:bCs/>
          <w:sz w:val="22"/>
          <w:szCs w:val="22"/>
        </w:rPr>
      </w:pPr>
      <w:r w:rsidRPr="00DB7C05">
        <w:rPr>
          <w:rFonts w:cs="Open Sans"/>
          <w:b/>
          <w:bCs/>
          <w:sz w:val="22"/>
          <w:szCs w:val="22"/>
        </w:rPr>
        <w:t xml:space="preserve">Recommendation </w:t>
      </w:r>
      <w:r>
        <w:rPr>
          <w:rFonts w:cs="Open Sans"/>
          <w:b/>
          <w:bCs/>
          <w:sz w:val="22"/>
          <w:szCs w:val="22"/>
        </w:rPr>
        <w:t>4</w:t>
      </w:r>
    </w:p>
    <w:p w14:paraId="44ED2838" w14:textId="6FE8D86E" w:rsidR="000433F9" w:rsidRPr="00DB7C05" w:rsidRDefault="000433F9" w:rsidP="000433F9">
      <w:pPr>
        <w:widowControl w:val="0"/>
        <w:autoSpaceDE w:val="0"/>
        <w:autoSpaceDN w:val="0"/>
        <w:spacing w:before="240" w:after="240" w:line="300" w:lineRule="exact"/>
        <w:ind w:left="1418"/>
        <w:rPr>
          <w:rFonts w:cs="Open Sans"/>
          <w:i/>
          <w:iCs/>
          <w:sz w:val="22"/>
          <w:szCs w:val="22"/>
        </w:rPr>
      </w:pPr>
      <w:r w:rsidRPr="00DB7C05">
        <w:rPr>
          <w:rFonts w:cs="Open Sans"/>
          <w:i/>
          <w:iCs/>
          <w:sz w:val="22"/>
          <w:szCs w:val="22"/>
        </w:rPr>
        <w:t>The Department refer Mr AC’s case to the Minister under section 197AB of the Migration Act. The submissions accompanying the referral should include the advice provided by ASIO in relation to Recommendation 2 and 3 and should include details of how any potential risk identified by ASIO can be mitigated.</w:t>
      </w:r>
    </w:p>
    <w:p w14:paraId="592CC402" w14:textId="77777777" w:rsidR="000433F9" w:rsidRDefault="000433F9" w:rsidP="000433F9">
      <w:pPr>
        <w:widowControl w:val="0"/>
        <w:autoSpaceDE w:val="0"/>
        <w:autoSpaceDN w:val="0"/>
        <w:spacing w:before="240" w:after="240" w:line="300" w:lineRule="exact"/>
        <w:ind w:left="1418"/>
        <w:rPr>
          <w:rFonts w:cs="Open Sans"/>
          <w:b/>
          <w:sz w:val="22"/>
          <w:szCs w:val="22"/>
        </w:rPr>
      </w:pPr>
      <w:r>
        <w:rPr>
          <w:rFonts w:cs="Open Sans"/>
          <w:b/>
          <w:bCs/>
          <w:sz w:val="22"/>
          <w:szCs w:val="22"/>
        </w:rPr>
        <w:t xml:space="preserve">Response to </w:t>
      </w:r>
      <w:r w:rsidRPr="00693A2E">
        <w:rPr>
          <w:rFonts w:cs="Open Sans"/>
          <w:b/>
          <w:sz w:val="22"/>
          <w:szCs w:val="22"/>
        </w:rPr>
        <w:t xml:space="preserve">recommendation </w:t>
      </w:r>
      <w:r>
        <w:rPr>
          <w:rFonts w:cs="Open Sans"/>
          <w:b/>
          <w:sz w:val="22"/>
          <w:szCs w:val="22"/>
        </w:rPr>
        <w:t>4</w:t>
      </w:r>
    </w:p>
    <w:p w14:paraId="25686E80" w14:textId="0708F631" w:rsidR="000433F9" w:rsidRPr="00DB7C05" w:rsidRDefault="000433F9" w:rsidP="000433F9">
      <w:pPr>
        <w:widowControl w:val="0"/>
        <w:autoSpaceDE w:val="0"/>
        <w:autoSpaceDN w:val="0"/>
        <w:spacing w:before="240" w:after="240" w:line="300" w:lineRule="exact"/>
        <w:ind w:left="1418"/>
        <w:rPr>
          <w:rFonts w:cs="Open Sans"/>
          <w:bCs/>
          <w:sz w:val="22"/>
          <w:szCs w:val="22"/>
        </w:rPr>
      </w:pPr>
      <w:r w:rsidRPr="00DB7C05">
        <w:rPr>
          <w:rFonts w:cs="Open Sans"/>
          <w:bCs/>
          <w:sz w:val="22"/>
          <w:szCs w:val="22"/>
        </w:rPr>
        <w:t>Mr AC’s case was assessed and on 13 February 2018 was found not to meet the Ministerial guidelines for referral under section 197AB of the Act. His case was also referred to the Assistant</w:t>
      </w:r>
      <w:r w:rsidRPr="00DB7C05">
        <w:rPr>
          <w:sz w:val="22"/>
          <w:szCs w:val="22"/>
        </w:rPr>
        <w:t xml:space="preserve"> </w:t>
      </w:r>
      <w:r w:rsidRPr="00DB7C05">
        <w:rPr>
          <w:rFonts w:cs="Open Sans"/>
          <w:bCs/>
          <w:sz w:val="22"/>
          <w:szCs w:val="22"/>
        </w:rPr>
        <w:t>Minister, who on 26 February 2019 indicated that Mr AC’s case should not be referred for consideration under section 195A or section 197AB of the Act.</w:t>
      </w:r>
    </w:p>
    <w:p w14:paraId="3263DBF3" w14:textId="7DD96048" w:rsidR="000433F9" w:rsidRDefault="000433F9" w:rsidP="000433F9">
      <w:pPr>
        <w:widowControl w:val="0"/>
        <w:autoSpaceDE w:val="0"/>
        <w:autoSpaceDN w:val="0"/>
        <w:spacing w:before="240" w:after="240" w:line="300" w:lineRule="exact"/>
        <w:ind w:left="1418"/>
        <w:rPr>
          <w:rFonts w:cs="Open Sans"/>
          <w:bCs/>
          <w:sz w:val="22"/>
          <w:szCs w:val="22"/>
        </w:rPr>
      </w:pPr>
      <w:r w:rsidRPr="00DB7C05">
        <w:rPr>
          <w:rFonts w:cs="Open Sans"/>
          <w:bCs/>
          <w:sz w:val="22"/>
          <w:szCs w:val="22"/>
        </w:rPr>
        <w:t>Should there be a change in Mr AC’s circumstances, his case will be reassessed against the Ministerial guidelines and if found to fall within their scope, will be referred to the Minister for possible consideration.</w:t>
      </w:r>
    </w:p>
    <w:p w14:paraId="174FA9FD" w14:textId="77777777" w:rsidR="005B1CEF" w:rsidRPr="00DB7C05" w:rsidRDefault="005B1CEF" w:rsidP="000433F9">
      <w:pPr>
        <w:widowControl w:val="0"/>
        <w:autoSpaceDE w:val="0"/>
        <w:autoSpaceDN w:val="0"/>
        <w:spacing w:before="240" w:after="240" w:line="300" w:lineRule="exact"/>
        <w:ind w:left="1418"/>
        <w:rPr>
          <w:rFonts w:cs="Open Sans"/>
          <w:bCs/>
          <w:sz w:val="22"/>
          <w:szCs w:val="22"/>
        </w:rPr>
      </w:pPr>
    </w:p>
    <w:bookmarkEnd w:id="68"/>
    <w:bookmarkEnd w:id="69"/>
    <w:bookmarkEnd w:id="70"/>
    <w:bookmarkEnd w:id="71"/>
    <w:bookmarkEnd w:id="72"/>
    <w:bookmarkEnd w:id="73"/>
    <w:p w14:paraId="3BF9BCA3" w14:textId="77777777" w:rsidR="000433F9" w:rsidRPr="00316A7E" w:rsidRDefault="000433F9" w:rsidP="000433F9">
      <w:pPr>
        <w:pStyle w:val="Paragrafoelenco"/>
        <w:numPr>
          <w:ilvl w:val="0"/>
          <w:numId w:val="2"/>
        </w:numPr>
        <w:rPr>
          <w:rFonts w:cs="Open Sans"/>
          <w:bCs/>
          <w:lang w:val="en-US"/>
        </w:rPr>
      </w:pPr>
      <w:r>
        <w:rPr>
          <w:rFonts w:cs="Open Sans"/>
          <w:bCs/>
          <w:lang w:val="en-US"/>
        </w:rPr>
        <w:lastRenderedPageBreak/>
        <w:t xml:space="preserve">I report accordingly to the Attorney-General. </w:t>
      </w:r>
    </w:p>
    <w:p w14:paraId="76C69E5D" w14:textId="25D587B1" w:rsidR="000433F9" w:rsidRPr="006129DA" w:rsidRDefault="000433F9" w:rsidP="000433F9">
      <w:pPr>
        <w:rPr>
          <w:rFonts w:cs="Open Sans"/>
          <w:bCs/>
          <w:lang w:val="en-US"/>
        </w:rPr>
      </w:pPr>
    </w:p>
    <w:p w14:paraId="3CB65E3B" w14:textId="77777777" w:rsidR="000433F9" w:rsidRPr="006129DA" w:rsidRDefault="000433F9" w:rsidP="000433F9">
      <w:pPr>
        <w:rPr>
          <w:rFonts w:cs="Open Sans"/>
          <w:bCs/>
          <w:lang w:val="en-US"/>
        </w:rPr>
      </w:pPr>
      <w:r w:rsidRPr="006129DA">
        <w:rPr>
          <w:rFonts w:cs="Open Sans"/>
          <w:bCs/>
          <w:lang w:val="en-US"/>
        </w:rPr>
        <w:t>Emeritus Professor Rosalind Croucher AM</w:t>
      </w:r>
    </w:p>
    <w:p w14:paraId="3B49CE6F" w14:textId="77777777" w:rsidR="000433F9" w:rsidRPr="006129DA" w:rsidRDefault="000433F9" w:rsidP="000433F9">
      <w:pPr>
        <w:rPr>
          <w:rFonts w:cs="Open Sans"/>
          <w:b/>
          <w:bCs/>
          <w:lang w:val="en-US"/>
        </w:rPr>
      </w:pPr>
      <w:r w:rsidRPr="006129DA">
        <w:rPr>
          <w:rFonts w:cs="Open Sans"/>
          <w:b/>
          <w:bCs/>
          <w:lang w:val="en-US"/>
        </w:rPr>
        <w:t xml:space="preserve">President </w:t>
      </w:r>
    </w:p>
    <w:p w14:paraId="1981395D" w14:textId="77777777" w:rsidR="000433F9" w:rsidRPr="006129DA" w:rsidRDefault="000433F9" w:rsidP="005B1CEF">
      <w:pPr>
        <w:spacing w:after="120"/>
        <w:rPr>
          <w:rFonts w:cs="Open Sans"/>
          <w:bCs/>
          <w:lang w:val="en-US"/>
        </w:rPr>
      </w:pPr>
      <w:r w:rsidRPr="006129DA">
        <w:rPr>
          <w:rFonts w:cs="Open Sans"/>
          <w:bCs/>
          <w:lang w:val="en-US"/>
        </w:rPr>
        <w:t>Australian Human Rights Commission</w:t>
      </w:r>
    </w:p>
    <w:p w14:paraId="5E5787A5" w14:textId="2A82D6EC" w:rsidR="007444EA" w:rsidRDefault="00D2691A" w:rsidP="00C44D37">
      <w:pPr>
        <w:spacing w:after="120"/>
        <w:rPr>
          <w:rFonts w:cs="Open Sans"/>
          <w:szCs w:val="24"/>
        </w:rPr>
      </w:pPr>
      <w:r>
        <w:rPr>
          <w:rFonts w:cs="Open Sans"/>
          <w:szCs w:val="24"/>
        </w:rPr>
        <w:t>9 September</w:t>
      </w:r>
      <w:r w:rsidR="000433F9">
        <w:rPr>
          <w:rFonts w:cs="Open Sans"/>
          <w:szCs w:val="24"/>
        </w:rPr>
        <w:t>2020</w:t>
      </w:r>
    </w:p>
    <w:p w14:paraId="0BE50DCD" w14:textId="6D4F32E2" w:rsidR="005B1CEF" w:rsidRDefault="005B1CEF">
      <w:pPr>
        <w:spacing w:after="160" w:line="259" w:lineRule="auto"/>
        <w:rPr>
          <w:rFonts w:cs="Open Sans"/>
          <w:szCs w:val="24"/>
        </w:rPr>
      </w:pPr>
      <w:r>
        <w:rPr>
          <w:rFonts w:cs="Open Sans"/>
          <w:szCs w:val="24"/>
        </w:rPr>
        <w:br w:type="page"/>
      </w:r>
    </w:p>
    <w:p w14:paraId="125FF7E6" w14:textId="011737C2" w:rsidR="005B1CEF" w:rsidRPr="005B1CEF" w:rsidRDefault="005B1CEF" w:rsidP="00C44D37">
      <w:pPr>
        <w:spacing w:after="120"/>
        <w:rPr>
          <w:rFonts w:cs="Open Sans"/>
          <w:b/>
          <w:bCs/>
          <w:szCs w:val="24"/>
        </w:rPr>
      </w:pPr>
      <w:r w:rsidRPr="005B1CEF">
        <w:rPr>
          <w:rFonts w:cs="Open Sans"/>
          <w:b/>
          <w:bCs/>
          <w:szCs w:val="24"/>
        </w:rPr>
        <w:lastRenderedPageBreak/>
        <w:t>Endnotes</w:t>
      </w:r>
    </w:p>
    <w:sectPr w:rsidR="005B1CEF" w:rsidRPr="005B1CEF" w:rsidSect="00531356">
      <w:headerReference w:type="default" r:id="rId19"/>
      <w:footerReference w:type="default" r:id="rId20"/>
      <w:endnotePr>
        <w:numFmt w:val="decimal"/>
      </w:endnotePr>
      <w:pgSz w:w="11906" w:h="16838" w:code="9"/>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3FE94" w14:textId="77777777" w:rsidR="00D25584" w:rsidRDefault="00D25584" w:rsidP="000433F9">
      <w:r>
        <w:separator/>
      </w:r>
    </w:p>
  </w:endnote>
  <w:endnote w:type="continuationSeparator" w:id="0">
    <w:p w14:paraId="564F4C89" w14:textId="77777777" w:rsidR="00D25584" w:rsidRDefault="00D25584" w:rsidP="000433F9">
      <w:r>
        <w:continuationSeparator/>
      </w:r>
    </w:p>
  </w:endnote>
  <w:endnote w:id="1">
    <w:p w14:paraId="4033BB39" w14:textId="77777777"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Opened for signature 16 December 1966, 999 UNTS 171 (entered into force 23 March 1976).</w:t>
      </w:r>
    </w:p>
  </w:endnote>
  <w:endnote w:id="2">
    <w:p w14:paraId="1BA24B4E" w14:textId="77777777"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See </w:t>
      </w:r>
      <w:r w:rsidRPr="005D2A60">
        <w:rPr>
          <w:rStyle w:val="Enfasicorsivo"/>
          <w:rFonts w:cs="Open Sans"/>
          <w:sz w:val="20"/>
        </w:rPr>
        <w:t>Secretary, Department of Defence v HREOC, Burgess &amp; Ors</w:t>
      </w:r>
      <w:r w:rsidRPr="005D2A60">
        <w:rPr>
          <w:rFonts w:cs="Open Sans"/>
          <w:i/>
          <w:iCs/>
          <w:sz w:val="20"/>
        </w:rPr>
        <w:t xml:space="preserve"> </w:t>
      </w:r>
      <w:r w:rsidRPr="005D2A60">
        <w:rPr>
          <w:rFonts w:cs="Open Sans"/>
          <w:sz w:val="20"/>
        </w:rPr>
        <w:t>(1997) 78 FCR 208, where Branson J found that the Commission could not, in conducting its inquiry, disregard the legal obligations of the secretary in exercising a statutory power. Note in particular 212–3 and 214–5.</w:t>
      </w:r>
    </w:p>
  </w:endnote>
  <w:endnote w:id="3">
    <w:p w14:paraId="3C2FC1C2" w14:textId="4E36392D"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Human Rights Committee, </w:t>
      </w:r>
      <w:r w:rsidRPr="005D2A60">
        <w:rPr>
          <w:rFonts w:cs="Open Sans"/>
          <w:i/>
          <w:sz w:val="20"/>
        </w:rPr>
        <w:t>General Comment No. 35:</w:t>
      </w:r>
      <w:r w:rsidRPr="005D2A60">
        <w:rPr>
          <w:rFonts w:cs="Open Sans"/>
          <w:sz w:val="20"/>
        </w:rPr>
        <w:t xml:space="preserve"> </w:t>
      </w:r>
      <w:r w:rsidRPr="005D2A60">
        <w:rPr>
          <w:rFonts w:cs="Open Sans"/>
          <w:i/>
          <w:sz w:val="20"/>
        </w:rPr>
        <w:t>Article 9 (Liberty and security of person)</w:t>
      </w:r>
      <w:r w:rsidRPr="005D2A60">
        <w:rPr>
          <w:rFonts w:cs="Open Sans"/>
          <w:sz w:val="20"/>
        </w:rPr>
        <w:t>, 112</w:t>
      </w:r>
      <w:r w:rsidRPr="005D2A60">
        <w:rPr>
          <w:rFonts w:cs="Open Sans"/>
          <w:sz w:val="20"/>
          <w:vertAlign w:val="superscript"/>
        </w:rPr>
        <w:t>th</w:t>
      </w:r>
      <w:r w:rsidRPr="005D2A60">
        <w:rPr>
          <w:rFonts w:cs="Open Sans"/>
          <w:sz w:val="20"/>
        </w:rPr>
        <w:t xml:space="preserve"> sess, UN Doc CCPR/C/GC/35</w:t>
      </w:r>
      <w:r w:rsidRPr="005D2A60">
        <w:rPr>
          <w:rFonts w:cs="Open Sans"/>
          <w:i/>
          <w:sz w:val="20"/>
        </w:rPr>
        <w:t xml:space="preserve"> </w:t>
      </w:r>
      <w:r w:rsidRPr="005D2A60">
        <w:rPr>
          <w:rFonts w:cs="Open Sans"/>
          <w:sz w:val="20"/>
        </w:rPr>
        <w:t>(16 December 2014) [40]</w:t>
      </w:r>
      <w:r w:rsidRPr="005D2A60">
        <w:rPr>
          <w:rFonts w:cs="Open Sans"/>
          <w:i/>
          <w:color w:val="231F20"/>
          <w:sz w:val="20"/>
        </w:rPr>
        <w:t xml:space="preserve">. </w:t>
      </w:r>
      <w:r w:rsidRPr="005D2A60">
        <w:rPr>
          <w:rFonts w:cs="Open Sans"/>
          <w:color w:val="231F20"/>
          <w:sz w:val="20"/>
        </w:rPr>
        <w:t xml:space="preserve">See also </w:t>
      </w:r>
      <w:r w:rsidRPr="005D2A60">
        <w:rPr>
          <w:rFonts w:cs="Open Sans"/>
          <w:sz w:val="20"/>
        </w:rPr>
        <w:t xml:space="preserve">Human Rights Committee, </w:t>
      </w:r>
      <w:r w:rsidRPr="005D2A60">
        <w:rPr>
          <w:rFonts w:cs="Open Sans"/>
          <w:i/>
          <w:sz w:val="20"/>
        </w:rPr>
        <w:t xml:space="preserve">Views: </w:t>
      </w:r>
      <w:r w:rsidRPr="005D2A60">
        <w:rPr>
          <w:rFonts w:cs="Open Sans"/>
          <w:bCs/>
          <w:i/>
          <w:sz w:val="20"/>
        </w:rPr>
        <w:t>Communication No. 560/1993</w:t>
      </w:r>
      <w:r w:rsidRPr="005D2A60">
        <w:rPr>
          <w:rFonts w:cs="Open Sans"/>
          <w:bCs/>
          <w:sz w:val="20"/>
        </w:rPr>
        <w:t>, 59</w:t>
      </w:r>
      <w:r w:rsidRPr="005D2A60">
        <w:rPr>
          <w:rFonts w:cs="Open Sans"/>
          <w:bCs/>
          <w:sz w:val="20"/>
          <w:vertAlign w:val="superscript"/>
        </w:rPr>
        <w:t>th</w:t>
      </w:r>
      <w:r w:rsidRPr="005D2A60">
        <w:rPr>
          <w:rFonts w:cs="Open Sans"/>
          <w:bCs/>
          <w:sz w:val="20"/>
        </w:rPr>
        <w:t xml:space="preserve"> sess,</w:t>
      </w:r>
      <w:r w:rsidRPr="005D2A60">
        <w:rPr>
          <w:rFonts w:cs="Open Sans"/>
          <w:b/>
          <w:bCs/>
          <w:sz w:val="20"/>
        </w:rPr>
        <w:t xml:space="preserve"> </w:t>
      </w:r>
      <w:r w:rsidRPr="005D2A60">
        <w:rPr>
          <w:rFonts w:cs="Open Sans"/>
          <w:sz w:val="20"/>
        </w:rPr>
        <w:t>UN</w:t>
      </w:r>
      <w:r w:rsidRPr="005D2A60">
        <w:rPr>
          <w:rFonts w:cs="Open Sans"/>
          <w:spacing w:val="-4"/>
          <w:sz w:val="20"/>
        </w:rPr>
        <w:t xml:space="preserve"> </w:t>
      </w:r>
      <w:r w:rsidRPr="005D2A60">
        <w:rPr>
          <w:rFonts w:cs="Open Sans"/>
          <w:sz w:val="20"/>
        </w:rPr>
        <w:t>Doc</w:t>
      </w:r>
      <w:r w:rsidRPr="005D2A60">
        <w:rPr>
          <w:rFonts w:cs="Open Sans"/>
          <w:spacing w:val="-4"/>
          <w:sz w:val="20"/>
        </w:rPr>
        <w:t xml:space="preserve"> </w:t>
      </w:r>
      <w:r w:rsidRPr="005D2A60">
        <w:rPr>
          <w:rFonts w:cs="Open Sans"/>
          <w:sz w:val="20"/>
        </w:rPr>
        <w:t>CCPR/C/59/D/560/1993 (3 April 1997) (‘</w:t>
      </w:r>
      <w:r w:rsidRPr="005D2A60">
        <w:rPr>
          <w:rFonts w:cs="Open Sans"/>
          <w:i/>
          <w:sz w:val="20"/>
        </w:rPr>
        <w:t>A</w:t>
      </w:r>
      <w:r w:rsidRPr="005D2A60">
        <w:rPr>
          <w:rFonts w:cs="Open Sans"/>
          <w:i/>
          <w:spacing w:val="-10"/>
          <w:sz w:val="20"/>
        </w:rPr>
        <w:t xml:space="preserve"> </w:t>
      </w:r>
      <w:r w:rsidRPr="005D2A60">
        <w:rPr>
          <w:rFonts w:cs="Open Sans"/>
          <w:i/>
          <w:sz w:val="20"/>
        </w:rPr>
        <w:t>v</w:t>
      </w:r>
      <w:r w:rsidRPr="005D2A60">
        <w:rPr>
          <w:rFonts w:cs="Open Sans"/>
          <w:i/>
          <w:spacing w:val="-10"/>
          <w:sz w:val="20"/>
        </w:rPr>
        <w:t xml:space="preserve"> </w:t>
      </w:r>
      <w:r w:rsidRPr="005D2A60">
        <w:rPr>
          <w:rFonts w:cs="Open Sans"/>
          <w:i/>
          <w:sz w:val="20"/>
        </w:rPr>
        <w:t>Australia</w:t>
      </w:r>
      <w:r w:rsidRPr="005D2A60">
        <w:rPr>
          <w:rFonts w:cs="Open Sans"/>
          <w:spacing w:val="-4"/>
          <w:sz w:val="20"/>
        </w:rPr>
        <w:t xml:space="preserve">’); </w:t>
      </w:r>
      <w:r w:rsidRPr="005D2A60">
        <w:rPr>
          <w:rFonts w:cs="Open Sans"/>
          <w:sz w:val="20"/>
        </w:rPr>
        <w:t xml:space="preserve">Human Rights Committee, </w:t>
      </w:r>
      <w:r w:rsidRPr="005D2A60">
        <w:rPr>
          <w:rFonts w:cs="Open Sans"/>
          <w:i/>
          <w:sz w:val="20"/>
        </w:rPr>
        <w:t xml:space="preserve">Views: </w:t>
      </w:r>
      <w:r w:rsidRPr="005D2A60">
        <w:rPr>
          <w:rFonts w:cs="Open Sans"/>
          <w:bCs/>
          <w:i/>
          <w:sz w:val="20"/>
          <w:lang w:val="en"/>
        </w:rPr>
        <w:t>Communication No. 900/1999</w:t>
      </w:r>
      <w:r w:rsidRPr="005D2A60">
        <w:rPr>
          <w:rFonts w:cs="Open Sans"/>
          <w:bCs/>
          <w:sz w:val="20"/>
          <w:lang w:val="en"/>
        </w:rPr>
        <w:t>, 76</w:t>
      </w:r>
      <w:r w:rsidRPr="005D2A60">
        <w:rPr>
          <w:rFonts w:cs="Open Sans"/>
          <w:bCs/>
          <w:sz w:val="20"/>
          <w:vertAlign w:val="superscript"/>
          <w:lang w:val="en"/>
        </w:rPr>
        <w:t>th</w:t>
      </w:r>
      <w:r w:rsidRPr="005D2A60">
        <w:rPr>
          <w:rFonts w:cs="Open Sans"/>
          <w:bCs/>
          <w:sz w:val="20"/>
          <w:lang w:val="en"/>
        </w:rPr>
        <w:t xml:space="preserve"> sess, </w:t>
      </w:r>
      <w:r w:rsidRPr="005D2A60">
        <w:rPr>
          <w:rFonts w:cs="Open Sans"/>
          <w:sz w:val="20"/>
        </w:rPr>
        <w:t>UN Doc CCPR/C/76/D/900/1999 (28 October 2002)</w:t>
      </w:r>
      <w:r w:rsidRPr="005D2A60">
        <w:rPr>
          <w:rFonts w:cs="Open Sans"/>
          <w:i/>
          <w:sz w:val="20"/>
        </w:rPr>
        <w:t xml:space="preserve"> </w:t>
      </w:r>
      <w:r w:rsidRPr="005D2A60">
        <w:rPr>
          <w:rFonts w:cs="Open Sans"/>
          <w:sz w:val="20"/>
        </w:rPr>
        <w:t>(‘</w:t>
      </w:r>
      <w:r w:rsidRPr="005D2A60">
        <w:rPr>
          <w:rFonts w:cs="Open Sans"/>
          <w:i/>
          <w:sz w:val="20"/>
        </w:rPr>
        <w:t>C v</w:t>
      </w:r>
      <w:r w:rsidRPr="005D2A60">
        <w:rPr>
          <w:rFonts w:cs="Open Sans"/>
          <w:i/>
          <w:spacing w:val="-10"/>
          <w:sz w:val="20"/>
        </w:rPr>
        <w:t xml:space="preserve"> </w:t>
      </w:r>
      <w:r w:rsidRPr="005D2A60">
        <w:rPr>
          <w:rFonts w:cs="Open Sans"/>
          <w:i/>
          <w:sz w:val="20"/>
        </w:rPr>
        <w:t>Australia</w:t>
      </w:r>
      <w:r w:rsidRPr="005D2A60">
        <w:rPr>
          <w:rFonts w:cs="Open Sans"/>
          <w:sz w:val="20"/>
        </w:rPr>
        <w:t xml:space="preserve">’); Human Rights Committee, </w:t>
      </w:r>
      <w:r w:rsidRPr="005D2A60">
        <w:rPr>
          <w:rFonts w:cs="Open Sans"/>
          <w:i/>
          <w:sz w:val="20"/>
        </w:rPr>
        <w:t>Views: Communication No 1014/2001</w:t>
      </w:r>
      <w:r w:rsidRPr="005D2A60">
        <w:rPr>
          <w:rFonts w:cs="Open Sans"/>
          <w:sz w:val="20"/>
        </w:rPr>
        <w:t>, 78</w:t>
      </w:r>
      <w:r w:rsidRPr="005D2A60">
        <w:rPr>
          <w:rFonts w:cs="Open Sans"/>
          <w:sz w:val="20"/>
          <w:vertAlign w:val="superscript"/>
        </w:rPr>
        <w:t>th</w:t>
      </w:r>
      <w:r w:rsidRPr="005D2A60">
        <w:rPr>
          <w:rFonts w:cs="Open Sans"/>
          <w:sz w:val="20"/>
        </w:rPr>
        <w:t xml:space="preserve"> sess, CCPR/C/78/D/1014/2001 (18 September 2003) (‘</w:t>
      </w:r>
      <w:r w:rsidRPr="005D2A60">
        <w:rPr>
          <w:rFonts w:cs="Open Sans"/>
          <w:i/>
          <w:sz w:val="20"/>
        </w:rPr>
        <w:t>Baban v</w:t>
      </w:r>
      <w:r w:rsidRPr="005D2A60">
        <w:rPr>
          <w:rFonts w:cs="Open Sans"/>
          <w:i/>
          <w:spacing w:val="-11"/>
          <w:sz w:val="20"/>
        </w:rPr>
        <w:t xml:space="preserve"> </w:t>
      </w:r>
      <w:r w:rsidRPr="005D2A60">
        <w:rPr>
          <w:rFonts w:cs="Open Sans"/>
          <w:i/>
          <w:sz w:val="20"/>
        </w:rPr>
        <w:t>Australia</w:t>
      </w:r>
      <w:r w:rsidRPr="005D2A60">
        <w:rPr>
          <w:rFonts w:cs="Open Sans"/>
          <w:sz w:val="20"/>
        </w:rPr>
        <w:t>’).</w:t>
      </w:r>
    </w:p>
  </w:endnote>
  <w:endnote w:id="4">
    <w:p w14:paraId="0F2901D3" w14:textId="0574547E"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Human Rights Committee, </w:t>
      </w:r>
      <w:r w:rsidRPr="005D2A60">
        <w:rPr>
          <w:rFonts w:cs="Open Sans"/>
          <w:i/>
          <w:iCs/>
          <w:sz w:val="20"/>
        </w:rPr>
        <w:t>General Comment No. 35 Article 9 (Liberty and security of person)</w:t>
      </w:r>
      <w:r w:rsidRPr="005D2A60">
        <w:rPr>
          <w:rFonts w:cs="Open Sans"/>
          <w:sz w:val="20"/>
        </w:rPr>
        <w:t>, 112</w:t>
      </w:r>
      <w:r w:rsidRPr="005D2A60">
        <w:rPr>
          <w:rFonts w:cs="Open Sans"/>
          <w:sz w:val="20"/>
          <w:vertAlign w:val="superscript"/>
        </w:rPr>
        <w:t>th</w:t>
      </w:r>
      <w:r w:rsidRPr="005D2A60">
        <w:rPr>
          <w:rFonts w:cs="Open Sans"/>
          <w:sz w:val="20"/>
        </w:rPr>
        <w:t xml:space="preserve"> sess, UN Doc CCPR/C/GC/35 (16 December 2014) </w:t>
      </w:r>
      <w:r w:rsidRPr="005D2A60">
        <w:rPr>
          <w:rFonts w:cs="Open Sans"/>
          <w:color w:val="231F20"/>
          <w:sz w:val="20"/>
        </w:rPr>
        <w:t xml:space="preserve">[18]; </w:t>
      </w:r>
      <w:r w:rsidRPr="005D2A60">
        <w:rPr>
          <w:rFonts w:cs="Open Sans"/>
          <w:sz w:val="20"/>
        </w:rPr>
        <w:t xml:space="preserve">Human Rights Committee, </w:t>
      </w:r>
      <w:r w:rsidRPr="005D2A60">
        <w:rPr>
          <w:rFonts w:cs="Open Sans"/>
          <w:i/>
          <w:iCs/>
          <w:sz w:val="20"/>
        </w:rPr>
        <w:t>General Comment No. 31: The Nature of the General Legal Obligation Imposed on States Parties to the Covenant</w:t>
      </w:r>
      <w:r w:rsidRPr="005D2A60">
        <w:rPr>
          <w:rFonts w:cs="Open Sans"/>
          <w:sz w:val="20"/>
        </w:rPr>
        <w:t>, 80</w:t>
      </w:r>
      <w:r w:rsidRPr="005D2A60">
        <w:rPr>
          <w:rFonts w:cs="Open Sans"/>
          <w:sz w:val="20"/>
          <w:vertAlign w:val="superscript"/>
        </w:rPr>
        <w:t>th</w:t>
      </w:r>
      <w:r w:rsidRPr="005D2A60">
        <w:rPr>
          <w:rFonts w:cs="Open Sans"/>
          <w:sz w:val="20"/>
        </w:rPr>
        <w:t xml:space="preserve"> sess, UN Doc CCPR/C/21/Rev.1/Add.13 (26 May 2004) [6].</w:t>
      </w:r>
    </w:p>
  </w:endnote>
  <w:endnote w:id="5">
    <w:p w14:paraId="3337C708" w14:textId="1F9415E5"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r>
      <w:r w:rsidRPr="005D2A60">
        <w:rPr>
          <w:rFonts w:cs="Open Sans"/>
          <w:i/>
          <w:sz w:val="20"/>
        </w:rPr>
        <w:t xml:space="preserve">Manga v Attorney-General </w:t>
      </w:r>
      <w:r w:rsidRPr="005D2A60">
        <w:rPr>
          <w:rFonts w:cs="Open Sans"/>
          <w:sz w:val="20"/>
        </w:rPr>
        <w:t xml:space="preserve">[2000] 2 NZLR 65, 71 [40]–[42] (Hammond J). See also the views of the Human Rights Committee in </w:t>
      </w:r>
      <w:r w:rsidRPr="005D2A60">
        <w:rPr>
          <w:rFonts w:cs="Open Sans"/>
          <w:i/>
          <w:sz w:val="20"/>
        </w:rPr>
        <w:t xml:space="preserve">Views: </w:t>
      </w:r>
      <w:r w:rsidRPr="005D2A60">
        <w:rPr>
          <w:rFonts w:cs="Open Sans"/>
          <w:i/>
          <w:iCs/>
          <w:sz w:val="20"/>
        </w:rPr>
        <w:t>Communication No. 305/1988,</w:t>
      </w:r>
      <w:r w:rsidRPr="005D2A60">
        <w:rPr>
          <w:rFonts w:cs="Open Sans"/>
          <w:i/>
          <w:spacing w:val="-3"/>
          <w:sz w:val="20"/>
        </w:rPr>
        <w:t xml:space="preserve"> </w:t>
      </w:r>
      <w:r w:rsidRPr="005D2A60">
        <w:rPr>
          <w:rFonts w:cs="Open Sans"/>
          <w:spacing w:val="-3"/>
          <w:sz w:val="20"/>
        </w:rPr>
        <w:t>39</w:t>
      </w:r>
      <w:r w:rsidRPr="005D2A60">
        <w:rPr>
          <w:rFonts w:cs="Open Sans"/>
          <w:spacing w:val="-3"/>
          <w:sz w:val="20"/>
          <w:vertAlign w:val="superscript"/>
        </w:rPr>
        <w:t>th</w:t>
      </w:r>
      <w:r w:rsidRPr="005D2A60">
        <w:rPr>
          <w:rFonts w:cs="Open Sans"/>
          <w:spacing w:val="-3"/>
          <w:sz w:val="20"/>
        </w:rPr>
        <w:t xml:space="preserve"> sess, </w:t>
      </w:r>
      <w:r w:rsidRPr="005D2A60">
        <w:rPr>
          <w:rFonts w:cs="Open Sans"/>
          <w:sz w:val="20"/>
        </w:rPr>
        <w:t>UN Doc CCPR/C/39/D/305/1988 (23 July 1990) (‘</w:t>
      </w:r>
      <w:r w:rsidRPr="005D2A60">
        <w:rPr>
          <w:rFonts w:cs="Open Sans"/>
          <w:i/>
          <w:spacing w:val="-3"/>
          <w:sz w:val="20"/>
        </w:rPr>
        <w:t xml:space="preserve">Van </w:t>
      </w:r>
      <w:r w:rsidRPr="005D2A60">
        <w:rPr>
          <w:rFonts w:cs="Open Sans"/>
          <w:i/>
          <w:sz w:val="20"/>
        </w:rPr>
        <w:t>Alphen v The Netherlands</w:t>
      </w:r>
      <w:r w:rsidRPr="005D2A60">
        <w:rPr>
          <w:rFonts w:cs="Open Sans"/>
          <w:sz w:val="20"/>
        </w:rPr>
        <w:t xml:space="preserve">’); Human Rights Committee, </w:t>
      </w:r>
      <w:r w:rsidRPr="005D2A60">
        <w:rPr>
          <w:rFonts w:cs="Open Sans"/>
          <w:i/>
          <w:sz w:val="20"/>
        </w:rPr>
        <w:t xml:space="preserve">Views: </w:t>
      </w:r>
      <w:r w:rsidRPr="005D2A60">
        <w:rPr>
          <w:rFonts w:cs="Open Sans"/>
          <w:bCs/>
          <w:i/>
          <w:sz w:val="20"/>
        </w:rPr>
        <w:t>Communication No. 560/1993</w:t>
      </w:r>
      <w:r w:rsidRPr="005D2A60">
        <w:rPr>
          <w:rFonts w:cs="Open Sans"/>
          <w:bCs/>
          <w:sz w:val="20"/>
        </w:rPr>
        <w:t>, 59</w:t>
      </w:r>
      <w:r w:rsidRPr="005D2A60">
        <w:rPr>
          <w:rFonts w:cs="Open Sans"/>
          <w:bCs/>
          <w:sz w:val="20"/>
          <w:vertAlign w:val="superscript"/>
        </w:rPr>
        <w:t>th</w:t>
      </w:r>
      <w:r w:rsidRPr="005D2A60">
        <w:rPr>
          <w:rFonts w:cs="Open Sans"/>
          <w:bCs/>
          <w:sz w:val="20"/>
        </w:rPr>
        <w:t xml:space="preserve"> sess,</w:t>
      </w:r>
      <w:r w:rsidRPr="005D2A60">
        <w:rPr>
          <w:rFonts w:cs="Open Sans"/>
          <w:b/>
          <w:bCs/>
          <w:sz w:val="20"/>
        </w:rPr>
        <w:t xml:space="preserve"> </w:t>
      </w:r>
      <w:r w:rsidRPr="005D2A60">
        <w:rPr>
          <w:rFonts w:cs="Open Sans"/>
          <w:sz w:val="20"/>
        </w:rPr>
        <w:t>UN</w:t>
      </w:r>
      <w:r w:rsidRPr="005D2A60">
        <w:rPr>
          <w:rFonts w:cs="Open Sans"/>
          <w:spacing w:val="-4"/>
          <w:sz w:val="20"/>
        </w:rPr>
        <w:t xml:space="preserve"> </w:t>
      </w:r>
      <w:r w:rsidRPr="005D2A60">
        <w:rPr>
          <w:rFonts w:cs="Open Sans"/>
          <w:sz w:val="20"/>
        </w:rPr>
        <w:t>Doc</w:t>
      </w:r>
      <w:r w:rsidRPr="005D2A60">
        <w:rPr>
          <w:rFonts w:cs="Open Sans"/>
          <w:spacing w:val="-4"/>
          <w:sz w:val="20"/>
        </w:rPr>
        <w:t xml:space="preserve"> </w:t>
      </w:r>
      <w:r w:rsidRPr="005D2A60">
        <w:rPr>
          <w:rFonts w:cs="Open Sans"/>
          <w:sz w:val="20"/>
        </w:rPr>
        <w:t>CCPR/C/59/D/560/1993 (3 April 1997) (‘</w:t>
      </w:r>
      <w:r w:rsidRPr="005D2A60">
        <w:rPr>
          <w:rFonts w:cs="Open Sans"/>
          <w:i/>
          <w:sz w:val="20"/>
        </w:rPr>
        <w:t>A</w:t>
      </w:r>
      <w:r w:rsidRPr="005D2A60">
        <w:rPr>
          <w:rFonts w:cs="Open Sans"/>
          <w:i/>
          <w:spacing w:val="-10"/>
          <w:sz w:val="20"/>
        </w:rPr>
        <w:t xml:space="preserve"> </w:t>
      </w:r>
      <w:r w:rsidRPr="005D2A60">
        <w:rPr>
          <w:rFonts w:cs="Open Sans"/>
          <w:i/>
          <w:sz w:val="20"/>
        </w:rPr>
        <w:t>v</w:t>
      </w:r>
      <w:r w:rsidRPr="005D2A60">
        <w:rPr>
          <w:rFonts w:cs="Open Sans"/>
          <w:i/>
          <w:spacing w:val="-10"/>
          <w:sz w:val="20"/>
        </w:rPr>
        <w:t xml:space="preserve"> </w:t>
      </w:r>
      <w:r w:rsidRPr="005D2A60">
        <w:rPr>
          <w:rFonts w:cs="Open Sans"/>
          <w:i/>
          <w:sz w:val="20"/>
        </w:rPr>
        <w:t>Australia</w:t>
      </w:r>
      <w:r w:rsidRPr="005D2A60">
        <w:rPr>
          <w:rFonts w:cs="Open Sans"/>
          <w:spacing w:val="-4"/>
          <w:sz w:val="20"/>
        </w:rPr>
        <w:t>’)</w:t>
      </w:r>
      <w:r w:rsidRPr="005D2A60">
        <w:rPr>
          <w:rFonts w:cs="Open Sans"/>
          <w:sz w:val="20"/>
        </w:rPr>
        <w:t>.</w:t>
      </w:r>
    </w:p>
  </w:endnote>
  <w:endnote w:id="6">
    <w:p w14:paraId="7DDB4D67" w14:textId="09D4D791" w:rsidR="00C83BC9" w:rsidRPr="005D2A60" w:rsidRDefault="00C83BC9" w:rsidP="002B4C5F">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Human Rights Committee, </w:t>
      </w:r>
      <w:r w:rsidRPr="005D2A60">
        <w:rPr>
          <w:rFonts w:cs="Open Sans"/>
          <w:i/>
          <w:sz w:val="20"/>
        </w:rPr>
        <w:t>General Comment No. 31:</w:t>
      </w:r>
      <w:r w:rsidRPr="005D2A60">
        <w:rPr>
          <w:rFonts w:cs="Open Sans"/>
          <w:sz w:val="20"/>
        </w:rPr>
        <w:t xml:space="preserve"> </w:t>
      </w:r>
      <w:r w:rsidRPr="005D2A60">
        <w:rPr>
          <w:rFonts w:cs="Open Sans"/>
          <w:i/>
          <w:sz w:val="20"/>
        </w:rPr>
        <w:t>The Nature of the General Legal Obligation Imposed on States Parties to the Covenant</w:t>
      </w:r>
      <w:r w:rsidRPr="005D2A60">
        <w:rPr>
          <w:rFonts w:cs="Open Sans"/>
          <w:sz w:val="20"/>
        </w:rPr>
        <w:t>, UN Doc CCPR/C/21/Rev.1/Add.13 (26 May 2004) [6]</w:t>
      </w:r>
      <w:r w:rsidRPr="005D2A60">
        <w:rPr>
          <w:rFonts w:cs="Open Sans"/>
          <w:color w:val="231F20"/>
          <w:sz w:val="20"/>
        </w:rPr>
        <w:t xml:space="preserve">; </w:t>
      </w:r>
      <w:r w:rsidRPr="005D2A60">
        <w:rPr>
          <w:rFonts w:cs="Open Sans"/>
          <w:sz w:val="20"/>
        </w:rPr>
        <w:t xml:space="preserve">Human Rights Committee, </w:t>
      </w:r>
      <w:r w:rsidRPr="005D2A60">
        <w:rPr>
          <w:rFonts w:cs="Open Sans"/>
          <w:i/>
          <w:sz w:val="20"/>
        </w:rPr>
        <w:t>General Comment No. 35</w:t>
      </w:r>
      <w:r w:rsidRPr="005D2A60">
        <w:rPr>
          <w:rFonts w:cs="Open Sans"/>
          <w:sz w:val="20"/>
        </w:rPr>
        <w:t xml:space="preserve"> </w:t>
      </w:r>
      <w:r w:rsidRPr="005D2A60">
        <w:rPr>
          <w:rFonts w:cs="Open Sans"/>
          <w:i/>
          <w:sz w:val="20"/>
        </w:rPr>
        <w:t>Article 9 (Liberty and security of person)</w:t>
      </w:r>
      <w:r w:rsidRPr="005D2A60">
        <w:rPr>
          <w:rFonts w:cs="Open Sans"/>
          <w:sz w:val="20"/>
        </w:rPr>
        <w:t>, 112</w:t>
      </w:r>
      <w:r w:rsidRPr="005D2A60">
        <w:rPr>
          <w:rFonts w:cs="Open Sans"/>
          <w:sz w:val="20"/>
          <w:vertAlign w:val="superscript"/>
        </w:rPr>
        <w:t>th</w:t>
      </w:r>
      <w:r w:rsidRPr="005D2A60">
        <w:rPr>
          <w:rFonts w:cs="Open Sans"/>
          <w:sz w:val="20"/>
        </w:rPr>
        <w:t xml:space="preserve"> sess, UN Doc CCPR/C/GC/35</w:t>
      </w:r>
      <w:r w:rsidRPr="005D2A60">
        <w:rPr>
          <w:rFonts w:cs="Open Sans"/>
          <w:i/>
          <w:sz w:val="20"/>
        </w:rPr>
        <w:t xml:space="preserve"> </w:t>
      </w:r>
      <w:r w:rsidRPr="005D2A60">
        <w:rPr>
          <w:rFonts w:cs="Open Sans"/>
          <w:sz w:val="20"/>
        </w:rPr>
        <w:t xml:space="preserve">(16 December 2014) [12]; Human Rights Committee, </w:t>
      </w:r>
      <w:r w:rsidRPr="005D2A60">
        <w:rPr>
          <w:rFonts w:cs="Open Sans"/>
          <w:i/>
          <w:sz w:val="20"/>
        </w:rPr>
        <w:t xml:space="preserve">Views: </w:t>
      </w:r>
      <w:r w:rsidRPr="005D2A60">
        <w:rPr>
          <w:rFonts w:cs="Open Sans"/>
          <w:bCs/>
          <w:i/>
          <w:sz w:val="20"/>
        </w:rPr>
        <w:t>Communication No. 560/1993</w:t>
      </w:r>
      <w:r w:rsidRPr="005D2A60">
        <w:rPr>
          <w:rFonts w:cs="Open Sans"/>
          <w:bCs/>
          <w:sz w:val="20"/>
        </w:rPr>
        <w:t>, 59</w:t>
      </w:r>
      <w:r w:rsidRPr="005D2A60">
        <w:rPr>
          <w:rFonts w:cs="Open Sans"/>
          <w:bCs/>
          <w:sz w:val="20"/>
          <w:vertAlign w:val="superscript"/>
        </w:rPr>
        <w:t>th</w:t>
      </w:r>
      <w:r w:rsidRPr="005D2A60">
        <w:rPr>
          <w:rFonts w:cs="Open Sans"/>
          <w:bCs/>
          <w:sz w:val="20"/>
        </w:rPr>
        <w:t xml:space="preserve"> sess,</w:t>
      </w:r>
      <w:r w:rsidRPr="005D2A60">
        <w:rPr>
          <w:rFonts w:cs="Open Sans"/>
          <w:b/>
          <w:bCs/>
          <w:sz w:val="20"/>
        </w:rPr>
        <w:t xml:space="preserve"> </w:t>
      </w:r>
      <w:r w:rsidRPr="005D2A60">
        <w:rPr>
          <w:rFonts w:cs="Open Sans"/>
          <w:sz w:val="20"/>
        </w:rPr>
        <w:t>UN</w:t>
      </w:r>
      <w:r w:rsidRPr="005D2A60">
        <w:rPr>
          <w:rFonts w:cs="Open Sans"/>
          <w:spacing w:val="-4"/>
          <w:sz w:val="20"/>
        </w:rPr>
        <w:t xml:space="preserve"> </w:t>
      </w:r>
      <w:r w:rsidRPr="005D2A60">
        <w:rPr>
          <w:rFonts w:cs="Open Sans"/>
          <w:sz w:val="20"/>
        </w:rPr>
        <w:t>Doc</w:t>
      </w:r>
      <w:r w:rsidRPr="005D2A60">
        <w:rPr>
          <w:rFonts w:cs="Open Sans"/>
          <w:spacing w:val="-4"/>
          <w:sz w:val="20"/>
        </w:rPr>
        <w:t xml:space="preserve"> </w:t>
      </w:r>
      <w:r w:rsidRPr="005D2A60">
        <w:rPr>
          <w:rFonts w:cs="Open Sans"/>
          <w:sz w:val="20"/>
        </w:rPr>
        <w:t>CCPR/C/59/D/560/1993 (3 April 1997) (‘</w:t>
      </w:r>
      <w:r w:rsidRPr="005D2A60">
        <w:rPr>
          <w:rFonts w:cs="Open Sans"/>
          <w:i/>
          <w:sz w:val="20"/>
        </w:rPr>
        <w:t>A</w:t>
      </w:r>
      <w:r w:rsidRPr="005D2A60">
        <w:rPr>
          <w:rFonts w:cs="Open Sans"/>
          <w:i/>
          <w:spacing w:val="-10"/>
          <w:sz w:val="20"/>
        </w:rPr>
        <w:t xml:space="preserve"> </w:t>
      </w:r>
      <w:r w:rsidRPr="005D2A60">
        <w:rPr>
          <w:rFonts w:cs="Open Sans"/>
          <w:i/>
          <w:sz w:val="20"/>
        </w:rPr>
        <w:t>v</w:t>
      </w:r>
      <w:r w:rsidRPr="005D2A60">
        <w:rPr>
          <w:rFonts w:cs="Open Sans"/>
          <w:i/>
          <w:spacing w:val="-10"/>
          <w:sz w:val="20"/>
        </w:rPr>
        <w:t xml:space="preserve"> </w:t>
      </w:r>
      <w:r w:rsidRPr="005D2A60">
        <w:rPr>
          <w:rFonts w:cs="Open Sans"/>
          <w:i/>
          <w:sz w:val="20"/>
        </w:rPr>
        <w:t>Australia</w:t>
      </w:r>
      <w:r w:rsidRPr="005D2A60">
        <w:rPr>
          <w:rFonts w:cs="Open Sans"/>
          <w:spacing w:val="-4"/>
          <w:sz w:val="20"/>
        </w:rPr>
        <w:t xml:space="preserve">’) </w:t>
      </w:r>
      <w:r w:rsidRPr="005D2A60">
        <w:rPr>
          <w:rFonts w:cs="Open Sans"/>
          <w:color w:val="231F20"/>
          <w:sz w:val="20"/>
        </w:rPr>
        <w:t>(a generalised risk of the author absconding if released into the community was not a sufficient reason to justify holding the author in immigration detention for four</w:t>
      </w:r>
      <w:r w:rsidRPr="005D2A60">
        <w:rPr>
          <w:rFonts w:cs="Open Sans"/>
          <w:color w:val="231F20"/>
          <w:spacing w:val="-4"/>
          <w:sz w:val="20"/>
        </w:rPr>
        <w:t xml:space="preserve"> </w:t>
      </w:r>
      <w:r w:rsidRPr="005D2A60">
        <w:rPr>
          <w:rFonts w:cs="Open Sans"/>
          <w:color w:val="231F20"/>
          <w:sz w:val="20"/>
        </w:rPr>
        <w:t xml:space="preserve">years); </w:t>
      </w:r>
      <w:r w:rsidRPr="005D2A60">
        <w:rPr>
          <w:rFonts w:cs="Open Sans"/>
          <w:sz w:val="20"/>
        </w:rPr>
        <w:t xml:space="preserve">Human Rights Committee, </w:t>
      </w:r>
      <w:r w:rsidRPr="005D2A60">
        <w:rPr>
          <w:rFonts w:cs="Open Sans"/>
          <w:i/>
          <w:sz w:val="20"/>
        </w:rPr>
        <w:t xml:space="preserve">Views: </w:t>
      </w:r>
      <w:r w:rsidRPr="005D2A60">
        <w:rPr>
          <w:rFonts w:cs="Open Sans"/>
          <w:bCs/>
          <w:i/>
          <w:sz w:val="20"/>
          <w:lang w:val="en"/>
        </w:rPr>
        <w:t>Communication No. 900/1999</w:t>
      </w:r>
      <w:r w:rsidRPr="005D2A60">
        <w:rPr>
          <w:rFonts w:cs="Open Sans"/>
          <w:bCs/>
          <w:sz w:val="20"/>
          <w:lang w:val="en"/>
        </w:rPr>
        <w:t>, 76</w:t>
      </w:r>
      <w:r w:rsidRPr="005D2A60">
        <w:rPr>
          <w:rFonts w:cs="Open Sans"/>
          <w:bCs/>
          <w:sz w:val="20"/>
          <w:vertAlign w:val="superscript"/>
          <w:lang w:val="en"/>
        </w:rPr>
        <w:t>th</w:t>
      </w:r>
      <w:r w:rsidRPr="005D2A60">
        <w:rPr>
          <w:rFonts w:cs="Open Sans"/>
          <w:bCs/>
          <w:sz w:val="20"/>
          <w:lang w:val="en"/>
        </w:rPr>
        <w:t xml:space="preserve"> sess, </w:t>
      </w:r>
      <w:r w:rsidRPr="005D2A60">
        <w:rPr>
          <w:rFonts w:cs="Open Sans"/>
          <w:sz w:val="20"/>
        </w:rPr>
        <w:t>UN Doc CCPR/C/76/D/900/1999 (28 October 2002)</w:t>
      </w:r>
      <w:r w:rsidRPr="005D2A60">
        <w:rPr>
          <w:rFonts w:cs="Open Sans"/>
          <w:i/>
          <w:sz w:val="20"/>
        </w:rPr>
        <w:t xml:space="preserve"> </w:t>
      </w:r>
      <w:r w:rsidRPr="005D2A60">
        <w:rPr>
          <w:rFonts w:cs="Open Sans"/>
          <w:sz w:val="20"/>
        </w:rPr>
        <w:t>(‘</w:t>
      </w:r>
      <w:r w:rsidRPr="005D2A60">
        <w:rPr>
          <w:rFonts w:cs="Open Sans"/>
          <w:i/>
          <w:sz w:val="20"/>
        </w:rPr>
        <w:t>C v</w:t>
      </w:r>
      <w:r w:rsidRPr="005D2A60">
        <w:rPr>
          <w:rFonts w:cs="Open Sans"/>
          <w:i/>
          <w:spacing w:val="-10"/>
          <w:sz w:val="20"/>
        </w:rPr>
        <w:t xml:space="preserve"> </w:t>
      </w:r>
      <w:r w:rsidRPr="005D2A60">
        <w:rPr>
          <w:rFonts w:cs="Open Sans"/>
          <w:i/>
          <w:sz w:val="20"/>
        </w:rPr>
        <w:t>Australia</w:t>
      </w:r>
      <w:r w:rsidRPr="005D2A60">
        <w:rPr>
          <w:rFonts w:cs="Open Sans"/>
          <w:sz w:val="20"/>
        </w:rPr>
        <w:t xml:space="preserve">’). </w:t>
      </w:r>
      <w:bookmarkStart w:id="59" w:name="_bookmark16"/>
      <w:bookmarkEnd w:id="59"/>
    </w:p>
  </w:endnote>
  <w:endnote w:id="7">
    <w:p w14:paraId="61355DE7" w14:textId="1CF5F20C" w:rsidR="00C83BC9" w:rsidRPr="005D2A60" w:rsidRDefault="00C83BC9" w:rsidP="00E5625F">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Human Rights Committee, </w:t>
      </w:r>
      <w:r w:rsidRPr="005D2A60">
        <w:rPr>
          <w:rFonts w:cs="Open Sans"/>
          <w:i/>
          <w:sz w:val="20"/>
        </w:rPr>
        <w:t xml:space="preserve">Views: </w:t>
      </w:r>
      <w:r w:rsidRPr="005D2A60">
        <w:rPr>
          <w:rFonts w:cs="Open Sans"/>
          <w:i/>
          <w:iCs/>
          <w:sz w:val="20"/>
        </w:rPr>
        <w:t>Communication No. 305/1988,</w:t>
      </w:r>
      <w:r w:rsidRPr="005D2A60">
        <w:rPr>
          <w:rFonts w:cs="Open Sans"/>
          <w:i/>
          <w:spacing w:val="-3"/>
          <w:sz w:val="20"/>
        </w:rPr>
        <w:t xml:space="preserve"> </w:t>
      </w:r>
      <w:r w:rsidRPr="005D2A60">
        <w:rPr>
          <w:rFonts w:cs="Open Sans"/>
          <w:spacing w:val="-3"/>
          <w:sz w:val="20"/>
        </w:rPr>
        <w:t>39</w:t>
      </w:r>
      <w:r w:rsidRPr="005D2A60">
        <w:rPr>
          <w:rFonts w:cs="Open Sans"/>
          <w:spacing w:val="-3"/>
          <w:sz w:val="20"/>
          <w:vertAlign w:val="superscript"/>
        </w:rPr>
        <w:t>th</w:t>
      </w:r>
      <w:r w:rsidRPr="005D2A60">
        <w:rPr>
          <w:rFonts w:cs="Open Sans"/>
          <w:spacing w:val="-3"/>
          <w:sz w:val="20"/>
        </w:rPr>
        <w:t xml:space="preserve"> sess, </w:t>
      </w:r>
      <w:r w:rsidRPr="005D2A60">
        <w:rPr>
          <w:rFonts w:cs="Open Sans"/>
          <w:sz w:val="20"/>
        </w:rPr>
        <w:t>UN Doc CCPR/C/39/D/305/1988 (23 July 1990) (‘</w:t>
      </w:r>
      <w:r w:rsidRPr="005D2A60">
        <w:rPr>
          <w:rFonts w:cs="Open Sans"/>
          <w:i/>
          <w:spacing w:val="-3"/>
          <w:sz w:val="20"/>
        </w:rPr>
        <w:t xml:space="preserve">Van </w:t>
      </w:r>
      <w:r w:rsidRPr="005D2A60">
        <w:rPr>
          <w:rFonts w:cs="Open Sans"/>
          <w:i/>
          <w:sz w:val="20"/>
        </w:rPr>
        <w:t>Alphen v The Netherlands</w:t>
      </w:r>
      <w:r w:rsidRPr="005D2A60">
        <w:rPr>
          <w:rFonts w:cs="Open Sans"/>
          <w:sz w:val="20"/>
        </w:rPr>
        <w:t>’).</w:t>
      </w:r>
    </w:p>
  </w:endnote>
  <w:endnote w:id="8">
    <w:p w14:paraId="57605FED" w14:textId="206B3960"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Human Rights Committee, </w:t>
      </w:r>
      <w:r w:rsidRPr="005D2A60">
        <w:rPr>
          <w:rFonts w:cs="Open Sans"/>
          <w:i/>
          <w:sz w:val="20"/>
        </w:rPr>
        <w:t xml:space="preserve">Views: </w:t>
      </w:r>
      <w:r w:rsidRPr="005D2A60">
        <w:rPr>
          <w:rFonts w:cs="Open Sans"/>
          <w:bCs/>
          <w:i/>
          <w:sz w:val="20"/>
          <w:lang w:val="en"/>
        </w:rPr>
        <w:t>Communication No. 900/1999</w:t>
      </w:r>
      <w:r w:rsidRPr="005D2A60">
        <w:rPr>
          <w:rFonts w:cs="Open Sans"/>
          <w:bCs/>
          <w:sz w:val="20"/>
          <w:lang w:val="en"/>
        </w:rPr>
        <w:t>, 76</w:t>
      </w:r>
      <w:r w:rsidRPr="005D2A60">
        <w:rPr>
          <w:rFonts w:cs="Open Sans"/>
          <w:bCs/>
          <w:sz w:val="20"/>
          <w:vertAlign w:val="superscript"/>
          <w:lang w:val="en"/>
        </w:rPr>
        <w:t>th</w:t>
      </w:r>
      <w:r w:rsidRPr="005D2A60">
        <w:rPr>
          <w:rFonts w:cs="Open Sans"/>
          <w:bCs/>
          <w:sz w:val="20"/>
          <w:lang w:val="en"/>
        </w:rPr>
        <w:t xml:space="preserve"> sess, </w:t>
      </w:r>
      <w:r w:rsidRPr="005D2A60">
        <w:rPr>
          <w:rFonts w:cs="Open Sans"/>
          <w:sz w:val="20"/>
        </w:rPr>
        <w:t>UN Doc CCPR/C/76/D/900/1999 (28 October 2002)</w:t>
      </w:r>
      <w:r w:rsidRPr="005D2A60">
        <w:rPr>
          <w:rFonts w:cs="Open Sans"/>
          <w:i/>
          <w:sz w:val="20"/>
        </w:rPr>
        <w:t xml:space="preserve"> </w:t>
      </w:r>
      <w:r w:rsidRPr="005D2A60">
        <w:rPr>
          <w:rFonts w:cs="Open Sans"/>
          <w:sz w:val="20"/>
        </w:rPr>
        <w:t>(‘</w:t>
      </w:r>
      <w:r w:rsidRPr="005D2A60">
        <w:rPr>
          <w:rFonts w:cs="Open Sans"/>
          <w:i/>
          <w:sz w:val="20"/>
        </w:rPr>
        <w:t>C v</w:t>
      </w:r>
      <w:r w:rsidRPr="005D2A60">
        <w:rPr>
          <w:rFonts w:cs="Open Sans"/>
          <w:i/>
          <w:spacing w:val="-10"/>
          <w:sz w:val="20"/>
        </w:rPr>
        <w:t xml:space="preserve"> </w:t>
      </w:r>
      <w:r w:rsidRPr="005D2A60">
        <w:rPr>
          <w:rFonts w:cs="Open Sans"/>
          <w:i/>
          <w:sz w:val="20"/>
        </w:rPr>
        <w:t>Australia</w:t>
      </w:r>
      <w:r w:rsidRPr="005D2A60">
        <w:rPr>
          <w:rFonts w:cs="Open Sans"/>
          <w:sz w:val="20"/>
        </w:rPr>
        <w:t>’)</w:t>
      </w:r>
      <w:r w:rsidRPr="005D2A60">
        <w:rPr>
          <w:rFonts w:cs="Open Sans"/>
          <w:color w:val="231F20"/>
          <w:sz w:val="20"/>
        </w:rPr>
        <w:t>;</w:t>
      </w:r>
      <w:r w:rsidRPr="005D2A60">
        <w:rPr>
          <w:rFonts w:cs="Open Sans"/>
          <w:sz w:val="20"/>
        </w:rPr>
        <w:t xml:space="preserve"> Human Rights Committee, </w:t>
      </w:r>
      <w:r w:rsidRPr="005D2A60">
        <w:rPr>
          <w:rFonts w:cs="Open Sans"/>
          <w:i/>
          <w:sz w:val="20"/>
        </w:rPr>
        <w:t xml:space="preserve">Views: </w:t>
      </w:r>
      <w:r w:rsidRPr="005D2A60">
        <w:rPr>
          <w:rFonts w:cs="Open Sans"/>
          <w:bCs/>
          <w:i/>
          <w:sz w:val="20"/>
        </w:rPr>
        <w:t>Communications Nos. 1255,1256,1259,1260,1266,1268,1270 &amp;1288/2004</w:t>
      </w:r>
      <w:r w:rsidRPr="005D2A60">
        <w:rPr>
          <w:rFonts w:cs="Open Sans"/>
          <w:bCs/>
          <w:sz w:val="20"/>
        </w:rPr>
        <w:t>, 90</w:t>
      </w:r>
      <w:r w:rsidRPr="005D2A60">
        <w:rPr>
          <w:rFonts w:cs="Open Sans"/>
          <w:bCs/>
          <w:sz w:val="20"/>
          <w:vertAlign w:val="superscript"/>
        </w:rPr>
        <w:t>th</w:t>
      </w:r>
      <w:r w:rsidRPr="005D2A60">
        <w:rPr>
          <w:rFonts w:cs="Open Sans"/>
          <w:bCs/>
          <w:sz w:val="20"/>
        </w:rPr>
        <w:t xml:space="preserve"> sess, </w:t>
      </w:r>
      <w:r w:rsidRPr="005D2A60">
        <w:rPr>
          <w:rFonts w:cs="Open Sans"/>
          <w:sz w:val="20"/>
        </w:rPr>
        <w:t>UN</w:t>
      </w:r>
      <w:r w:rsidRPr="005D2A60">
        <w:rPr>
          <w:rFonts w:cs="Open Sans"/>
          <w:spacing w:val="-6"/>
          <w:sz w:val="20"/>
        </w:rPr>
        <w:t xml:space="preserve"> </w:t>
      </w:r>
      <w:r w:rsidRPr="005D2A60">
        <w:rPr>
          <w:rFonts w:cs="Open Sans"/>
          <w:sz w:val="20"/>
        </w:rPr>
        <w:t>Doc</w:t>
      </w:r>
      <w:r w:rsidRPr="005D2A60">
        <w:rPr>
          <w:rFonts w:cs="Open Sans"/>
          <w:spacing w:val="-6"/>
          <w:sz w:val="20"/>
        </w:rPr>
        <w:t xml:space="preserve"> </w:t>
      </w:r>
      <w:r w:rsidRPr="005D2A60">
        <w:rPr>
          <w:rFonts w:cs="Open Sans"/>
          <w:sz w:val="20"/>
        </w:rPr>
        <w:t xml:space="preserve">CCPR/C/90/D/1255 </w:t>
      </w:r>
      <w:r w:rsidRPr="005D2A60">
        <w:rPr>
          <w:rFonts w:cs="Open Sans"/>
          <w:bCs/>
          <w:i/>
          <w:sz w:val="20"/>
        </w:rPr>
        <w:t>1256,1259,1260,1266,1268,1270 &amp;1288</w:t>
      </w:r>
      <w:r w:rsidRPr="005D2A60">
        <w:rPr>
          <w:rFonts w:cs="Open Sans"/>
          <w:sz w:val="20"/>
        </w:rPr>
        <w:t>/2004 (20 July 2007) (‘</w:t>
      </w:r>
      <w:r w:rsidRPr="005D2A60">
        <w:rPr>
          <w:rFonts w:cs="Open Sans"/>
          <w:i/>
          <w:sz w:val="20"/>
        </w:rPr>
        <w:t>Shams &amp; Ors v Australia</w:t>
      </w:r>
      <w:r w:rsidRPr="005D2A60">
        <w:rPr>
          <w:rFonts w:cs="Open Sans"/>
          <w:sz w:val="20"/>
        </w:rPr>
        <w:t xml:space="preserve">’); Human Rights Committee, </w:t>
      </w:r>
      <w:r w:rsidRPr="005D2A60">
        <w:rPr>
          <w:rFonts w:cs="Open Sans"/>
          <w:i/>
          <w:sz w:val="20"/>
        </w:rPr>
        <w:t>Views: Communication No 1014/2001</w:t>
      </w:r>
      <w:r w:rsidRPr="005D2A60">
        <w:rPr>
          <w:rFonts w:cs="Open Sans"/>
          <w:sz w:val="20"/>
        </w:rPr>
        <w:t>, 78</w:t>
      </w:r>
      <w:r w:rsidRPr="005D2A60">
        <w:rPr>
          <w:rFonts w:cs="Open Sans"/>
          <w:sz w:val="20"/>
          <w:vertAlign w:val="superscript"/>
        </w:rPr>
        <w:t>th</w:t>
      </w:r>
      <w:r w:rsidRPr="005D2A60">
        <w:rPr>
          <w:rFonts w:cs="Open Sans"/>
          <w:sz w:val="20"/>
        </w:rPr>
        <w:t xml:space="preserve"> sess, CCPR/C/78/D/1014/2001 (18 September 2003) (‘</w:t>
      </w:r>
      <w:r w:rsidRPr="005D2A60">
        <w:rPr>
          <w:rFonts w:cs="Open Sans"/>
          <w:i/>
          <w:sz w:val="20"/>
        </w:rPr>
        <w:t>Baban v</w:t>
      </w:r>
      <w:r w:rsidRPr="005D2A60">
        <w:rPr>
          <w:rFonts w:cs="Open Sans"/>
          <w:i/>
          <w:spacing w:val="-11"/>
          <w:sz w:val="20"/>
        </w:rPr>
        <w:t xml:space="preserve"> </w:t>
      </w:r>
      <w:r w:rsidRPr="005D2A60">
        <w:rPr>
          <w:rFonts w:cs="Open Sans"/>
          <w:i/>
          <w:sz w:val="20"/>
        </w:rPr>
        <w:t>Australia</w:t>
      </w:r>
      <w:r w:rsidRPr="005D2A60">
        <w:rPr>
          <w:rFonts w:cs="Open Sans"/>
          <w:sz w:val="20"/>
        </w:rPr>
        <w:t>’);</w:t>
      </w:r>
      <w:r w:rsidRPr="005D2A60">
        <w:rPr>
          <w:rFonts w:cs="Open Sans"/>
          <w:i/>
          <w:sz w:val="20"/>
        </w:rPr>
        <w:t xml:space="preserve"> </w:t>
      </w:r>
      <w:r w:rsidRPr="005D2A60">
        <w:rPr>
          <w:rFonts w:cs="Open Sans"/>
          <w:sz w:val="20"/>
        </w:rPr>
        <w:t xml:space="preserve">Human Rights Committee, </w:t>
      </w:r>
      <w:r w:rsidRPr="005D2A60">
        <w:rPr>
          <w:rFonts w:cs="Open Sans"/>
          <w:i/>
          <w:sz w:val="20"/>
        </w:rPr>
        <w:t xml:space="preserve">Views: </w:t>
      </w:r>
      <w:r w:rsidRPr="005D2A60">
        <w:rPr>
          <w:rFonts w:cs="Open Sans"/>
          <w:bCs/>
          <w:i/>
          <w:sz w:val="20"/>
          <w:lang w:val="en"/>
        </w:rPr>
        <w:t>Communication No. 1050/2002</w:t>
      </w:r>
      <w:r w:rsidRPr="005D2A60">
        <w:rPr>
          <w:rFonts w:cs="Open Sans"/>
          <w:bCs/>
          <w:sz w:val="20"/>
          <w:lang w:val="en"/>
        </w:rPr>
        <w:t>, 87</w:t>
      </w:r>
      <w:r w:rsidRPr="005D2A60">
        <w:rPr>
          <w:rFonts w:cs="Open Sans"/>
          <w:bCs/>
          <w:sz w:val="20"/>
          <w:vertAlign w:val="superscript"/>
          <w:lang w:val="en"/>
        </w:rPr>
        <w:t>th</w:t>
      </w:r>
      <w:r w:rsidRPr="005D2A60">
        <w:rPr>
          <w:rFonts w:cs="Open Sans"/>
          <w:bCs/>
          <w:sz w:val="20"/>
          <w:lang w:val="en"/>
        </w:rPr>
        <w:t xml:space="preserve"> sess,</w:t>
      </w:r>
      <w:r w:rsidRPr="005D2A60">
        <w:rPr>
          <w:rFonts w:cs="Open Sans"/>
          <w:sz w:val="20"/>
          <w:lang w:val="en"/>
        </w:rPr>
        <w:t xml:space="preserve"> </w:t>
      </w:r>
      <w:r w:rsidRPr="005D2A60">
        <w:rPr>
          <w:rFonts w:cs="Open Sans"/>
          <w:sz w:val="20"/>
        </w:rPr>
        <w:t>CCPR/C/87/D/1050/2002 (9 August 2006)</w:t>
      </w:r>
      <w:r w:rsidRPr="005D2A60">
        <w:rPr>
          <w:rFonts w:cs="Open Sans"/>
          <w:i/>
          <w:sz w:val="20"/>
        </w:rPr>
        <w:t xml:space="preserve"> </w:t>
      </w:r>
      <w:r w:rsidRPr="005D2A60">
        <w:rPr>
          <w:rFonts w:cs="Open Sans"/>
          <w:sz w:val="20"/>
        </w:rPr>
        <w:t>(‘</w:t>
      </w:r>
      <w:r w:rsidRPr="005D2A60">
        <w:rPr>
          <w:rFonts w:cs="Open Sans"/>
          <w:i/>
          <w:sz w:val="20"/>
        </w:rPr>
        <w:t>D</w:t>
      </w:r>
      <w:r w:rsidRPr="005D2A60">
        <w:rPr>
          <w:rFonts w:cs="Open Sans"/>
          <w:i/>
          <w:spacing w:val="-6"/>
          <w:sz w:val="20"/>
        </w:rPr>
        <w:t xml:space="preserve"> </w:t>
      </w:r>
      <w:r w:rsidRPr="005D2A60">
        <w:rPr>
          <w:rFonts w:cs="Open Sans"/>
          <w:i/>
          <w:sz w:val="20"/>
        </w:rPr>
        <w:t>and E and their two children v Australia</w:t>
      </w:r>
      <w:r w:rsidRPr="005D2A60">
        <w:rPr>
          <w:rFonts w:cs="Open Sans"/>
          <w:sz w:val="20"/>
        </w:rPr>
        <w:t>’).</w:t>
      </w:r>
    </w:p>
  </w:endnote>
  <w:endnote w:id="9">
    <w:p w14:paraId="274CEE5A" w14:textId="5628158D"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r>
      <w:r w:rsidRPr="005D2A60">
        <w:rPr>
          <w:rFonts w:cs="Open Sans"/>
          <w:i/>
          <w:iCs/>
          <w:sz w:val="20"/>
        </w:rPr>
        <w:t xml:space="preserve">Human Rights Council, </w:t>
      </w:r>
      <w:r w:rsidRPr="005D2A60">
        <w:rPr>
          <w:rStyle w:val="Enfasicorsivo"/>
          <w:rFonts w:cs="Open Sans"/>
          <w:sz w:val="20"/>
        </w:rPr>
        <w:t>Report of the Working Group on Arbitrary Detention</w:t>
      </w:r>
      <w:r w:rsidRPr="005D2A60">
        <w:rPr>
          <w:rFonts w:cs="Open Sans"/>
          <w:sz w:val="20"/>
        </w:rPr>
        <w:t>, UN Doc E/CN.4/2005/6 (1 December 2004) [77].</w:t>
      </w:r>
    </w:p>
  </w:endnote>
  <w:endnote w:id="10">
    <w:p w14:paraId="4D60B1B6" w14:textId="37ED420E"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Human Rights Committee, </w:t>
      </w:r>
      <w:r w:rsidRPr="005D2A60">
        <w:rPr>
          <w:rFonts w:cs="Open Sans"/>
          <w:i/>
          <w:iCs/>
          <w:sz w:val="20"/>
        </w:rPr>
        <w:t>CCPR General Comment No. 8: Article 9 (Right to Liberty and Security of Persons)</w:t>
      </w:r>
      <w:r w:rsidRPr="005D2A60">
        <w:rPr>
          <w:rFonts w:cs="Open Sans"/>
          <w:sz w:val="20"/>
        </w:rPr>
        <w:t xml:space="preserve"> UN Doc HRI/GEN/1/Rev.9 (Vol.I)</w:t>
      </w:r>
      <w:r w:rsidRPr="005D2A60">
        <w:rPr>
          <w:rFonts w:cs="Open Sans"/>
          <w:i/>
          <w:iCs/>
          <w:sz w:val="20"/>
        </w:rPr>
        <w:t xml:space="preserve"> </w:t>
      </w:r>
      <w:r w:rsidRPr="005D2A60">
        <w:rPr>
          <w:rFonts w:cs="Open Sans"/>
          <w:sz w:val="20"/>
        </w:rPr>
        <w:t xml:space="preserve">(30 June 1982) [4]. See also UN Commission on Human Rights Committee on the Right of Everyone to be Free from Arbitrary Arrest, Detention and Exile, </w:t>
      </w:r>
      <w:r w:rsidRPr="005D2A60">
        <w:rPr>
          <w:rStyle w:val="Enfasicorsivo"/>
          <w:rFonts w:cs="Open Sans"/>
          <w:sz w:val="20"/>
        </w:rPr>
        <w:t>Study of the Right of Everyone to be Free from Arbitrary Arrest, Detention and Exile</w:t>
      </w:r>
      <w:r w:rsidRPr="005D2A60">
        <w:rPr>
          <w:rFonts w:cs="Open Sans"/>
          <w:sz w:val="20"/>
        </w:rPr>
        <w:t>, United Nations Doc E/CN.4/826/Rev.1 (5 January 1962) [783]–[787].</w:t>
      </w:r>
    </w:p>
  </w:endnote>
  <w:endnote w:id="11">
    <w:p w14:paraId="118E63BE" w14:textId="16F31EB3"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Human Rights Committee, </w:t>
      </w:r>
      <w:r w:rsidRPr="005D2A60">
        <w:rPr>
          <w:rFonts w:cs="Open Sans"/>
          <w:i/>
          <w:sz w:val="20"/>
        </w:rPr>
        <w:t>Communication No. 1051/2002</w:t>
      </w:r>
      <w:r w:rsidRPr="005D2A60">
        <w:rPr>
          <w:rFonts w:cs="Open Sans"/>
          <w:sz w:val="20"/>
        </w:rPr>
        <w:t>, 80</w:t>
      </w:r>
      <w:r w:rsidRPr="005D2A60">
        <w:rPr>
          <w:rFonts w:cs="Open Sans"/>
          <w:sz w:val="20"/>
          <w:vertAlign w:val="superscript"/>
        </w:rPr>
        <w:t>th</w:t>
      </w:r>
      <w:r w:rsidRPr="005D2A60">
        <w:rPr>
          <w:rFonts w:cs="Open Sans"/>
          <w:sz w:val="20"/>
        </w:rPr>
        <w:t xml:space="preserve"> sess,</w:t>
      </w:r>
      <w:r w:rsidRPr="005D2A60">
        <w:rPr>
          <w:rFonts w:cs="Open Sans"/>
          <w:i/>
          <w:sz w:val="20"/>
        </w:rPr>
        <w:t xml:space="preserve"> </w:t>
      </w:r>
      <w:r w:rsidRPr="005D2A60">
        <w:rPr>
          <w:rFonts w:cs="Open Sans"/>
          <w:sz w:val="20"/>
        </w:rPr>
        <w:t>UN Doc CCPR/C/80/D/1051/2002 (15 June 2004) (‘</w:t>
      </w:r>
      <w:r w:rsidRPr="005D2A60">
        <w:rPr>
          <w:rStyle w:val="Enfasicorsivo"/>
          <w:rFonts w:cs="Open Sans"/>
          <w:sz w:val="20"/>
        </w:rPr>
        <w:t>Mansour Ahani v Canada’)</w:t>
      </w:r>
      <w:r w:rsidRPr="005D2A60">
        <w:rPr>
          <w:rFonts w:cs="Open Sans"/>
          <w:sz w:val="20"/>
        </w:rPr>
        <w:t xml:space="preserve"> [10.2].</w:t>
      </w:r>
    </w:p>
  </w:endnote>
  <w:endnote w:id="12">
    <w:p w14:paraId="1E953496" w14:textId="56BBB1DF"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Human Rights Committee, </w:t>
      </w:r>
      <w:r w:rsidRPr="005D2A60">
        <w:rPr>
          <w:rFonts w:cs="Open Sans"/>
          <w:i/>
          <w:sz w:val="20"/>
        </w:rPr>
        <w:t>Communication No. 794/1998</w:t>
      </w:r>
      <w:r w:rsidRPr="005D2A60">
        <w:rPr>
          <w:rFonts w:cs="Open Sans"/>
          <w:sz w:val="20"/>
        </w:rPr>
        <w:t>, 74</w:t>
      </w:r>
      <w:r w:rsidRPr="005D2A60">
        <w:rPr>
          <w:rFonts w:cs="Open Sans"/>
          <w:sz w:val="20"/>
          <w:vertAlign w:val="superscript"/>
        </w:rPr>
        <w:t>th</w:t>
      </w:r>
      <w:r w:rsidRPr="005D2A60">
        <w:rPr>
          <w:rFonts w:cs="Open Sans"/>
          <w:sz w:val="20"/>
        </w:rPr>
        <w:t xml:space="preserve"> sess,</w:t>
      </w:r>
      <w:r w:rsidRPr="005D2A60">
        <w:rPr>
          <w:rFonts w:cs="Open Sans"/>
          <w:i/>
          <w:sz w:val="20"/>
        </w:rPr>
        <w:t xml:space="preserve"> </w:t>
      </w:r>
      <w:r w:rsidRPr="005D2A60">
        <w:rPr>
          <w:rFonts w:cs="Open Sans"/>
          <w:sz w:val="20"/>
        </w:rPr>
        <w:t>UN Doc CCPR/C/74/D/794/1998 (26 March 2002) (‘</w:t>
      </w:r>
      <w:r w:rsidRPr="005D2A60">
        <w:rPr>
          <w:rFonts w:cs="Open Sans"/>
          <w:i/>
          <w:sz w:val="20"/>
        </w:rPr>
        <w:t>Jalloh v the Netherlands</w:t>
      </w:r>
      <w:r w:rsidRPr="005D2A60">
        <w:rPr>
          <w:rFonts w:cs="Open Sans"/>
          <w:sz w:val="20"/>
        </w:rPr>
        <w:t xml:space="preserve">’); Human Rights Committee, </w:t>
      </w:r>
      <w:r w:rsidRPr="005D2A60">
        <w:rPr>
          <w:rFonts w:cs="Open Sans"/>
          <w:i/>
          <w:iCs/>
          <w:sz w:val="20"/>
        </w:rPr>
        <w:t>Communication No. 1014/</w:t>
      </w:r>
      <w:r w:rsidRPr="005D2A60">
        <w:rPr>
          <w:rFonts w:cs="Open Sans"/>
          <w:sz w:val="20"/>
        </w:rPr>
        <w:t>2001, 78</w:t>
      </w:r>
      <w:r w:rsidRPr="005D2A60">
        <w:rPr>
          <w:rFonts w:cs="Open Sans"/>
          <w:sz w:val="20"/>
          <w:vertAlign w:val="superscript"/>
        </w:rPr>
        <w:t>th</w:t>
      </w:r>
      <w:r w:rsidRPr="005D2A60">
        <w:rPr>
          <w:rFonts w:cs="Open Sans"/>
          <w:sz w:val="20"/>
        </w:rPr>
        <w:t xml:space="preserve"> sess, UN Doc CCPR/C/78/D/1014/2001 (6 August 2003) (‘</w:t>
      </w:r>
      <w:r w:rsidRPr="005D2A60">
        <w:rPr>
          <w:rStyle w:val="Enfasicorsivo"/>
          <w:rFonts w:cs="Open Sans"/>
          <w:sz w:val="20"/>
        </w:rPr>
        <w:t>Baban v Australia’)</w:t>
      </w:r>
      <w:r w:rsidRPr="005D2A60">
        <w:rPr>
          <w:rStyle w:val="Enfasicorsivo"/>
          <w:rFonts w:cs="Open Sans"/>
          <w:i w:val="0"/>
          <w:iCs w:val="0"/>
          <w:sz w:val="20"/>
        </w:rPr>
        <w:t>.</w:t>
      </w:r>
    </w:p>
  </w:endnote>
  <w:endnote w:id="13">
    <w:p w14:paraId="5D0F19AF" w14:textId="79997E5B" w:rsidR="00C83BC9" w:rsidRPr="005D2A60" w:rsidRDefault="00C83BC9" w:rsidP="00CC2809">
      <w:pPr>
        <w:tabs>
          <w:tab w:val="left" w:pos="567"/>
        </w:tabs>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Human Rights Committee, </w:t>
      </w:r>
      <w:r w:rsidRPr="005D2A60">
        <w:rPr>
          <w:rFonts w:cs="Open Sans"/>
          <w:i/>
          <w:sz w:val="20"/>
        </w:rPr>
        <w:t>General Comment No. 31: The</w:t>
      </w:r>
      <w:r w:rsidRPr="005D2A60">
        <w:rPr>
          <w:rFonts w:cs="Open Sans"/>
          <w:sz w:val="20"/>
        </w:rPr>
        <w:t xml:space="preserve"> </w:t>
      </w:r>
      <w:r w:rsidRPr="005D2A60">
        <w:rPr>
          <w:rFonts w:cs="Open Sans"/>
          <w:i/>
          <w:sz w:val="20"/>
        </w:rPr>
        <w:t>Nature of the General Legal Obligation Imposed on States Parties to the Covenant</w:t>
      </w:r>
      <w:r w:rsidRPr="005D2A60">
        <w:rPr>
          <w:rFonts w:cs="Open Sans"/>
          <w:sz w:val="20"/>
        </w:rPr>
        <w:t>, 80</w:t>
      </w:r>
      <w:r w:rsidRPr="005D2A60">
        <w:rPr>
          <w:rFonts w:cs="Open Sans"/>
          <w:sz w:val="20"/>
          <w:vertAlign w:val="superscript"/>
        </w:rPr>
        <w:t>th</w:t>
      </w:r>
      <w:r w:rsidRPr="005D2A60">
        <w:rPr>
          <w:rFonts w:cs="Open Sans"/>
          <w:sz w:val="20"/>
        </w:rPr>
        <w:t xml:space="preserve"> sess, UN Doc CCPR/C/21/Rev.1/Add.13 (26 May 2004) [6]; Human Rights Committee, </w:t>
      </w:r>
      <w:r w:rsidRPr="005D2A60">
        <w:rPr>
          <w:rFonts w:cs="Open Sans"/>
          <w:i/>
          <w:sz w:val="20"/>
        </w:rPr>
        <w:t xml:space="preserve">Views: </w:t>
      </w:r>
      <w:r w:rsidRPr="005D2A60">
        <w:rPr>
          <w:rFonts w:cs="Open Sans"/>
          <w:bCs/>
          <w:i/>
          <w:sz w:val="20"/>
        </w:rPr>
        <w:t>Communication No. 560/1993</w:t>
      </w:r>
      <w:r w:rsidRPr="005D2A60">
        <w:rPr>
          <w:rFonts w:cs="Open Sans"/>
          <w:bCs/>
          <w:sz w:val="20"/>
        </w:rPr>
        <w:t>, 59</w:t>
      </w:r>
      <w:r w:rsidRPr="005D2A60">
        <w:rPr>
          <w:rFonts w:cs="Open Sans"/>
          <w:bCs/>
          <w:sz w:val="20"/>
          <w:vertAlign w:val="superscript"/>
        </w:rPr>
        <w:t>th</w:t>
      </w:r>
      <w:r w:rsidRPr="005D2A60">
        <w:rPr>
          <w:rFonts w:cs="Open Sans"/>
          <w:bCs/>
          <w:sz w:val="20"/>
        </w:rPr>
        <w:t xml:space="preserve"> sess,</w:t>
      </w:r>
      <w:r w:rsidRPr="005D2A60">
        <w:rPr>
          <w:rFonts w:cs="Open Sans"/>
          <w:b/>
          <w:bCs/>
          <w:sz w:val="20"/>
        </w:rPr>
        <w:t xml:space="preserve"> </w:t>
      </w:r>
      <w:r w:rsidRPr="005D2A60">
        <w:rPr>
          <w:rFonts w:cs="Open Sans"/>
          <w:sz w:val="20"/>
        </w:rPr>
        <w:t>UN</w:t>
      </w:r>
      <w:r w:rsidRPr="005D2A60">
        <w:rPr>
          <w:rFonts w:cs="Open Sans"/>
          <w:spacing w:val="-4"/>
          <w:sz w:val="20"/>
        </w:rPr>
        <w:t xml:space="preserve"> </w:t>
      </w:r>
      <w:r w:rsidRPr="005D2A60">
        <w:rPr>
          <w:rFonts w:cs="Open Sans"/>
          <w:sz w:val="20"/>
        </w:rPr>
        <w:t>Doc</w:t>
      </w:r>
      <w:r w:rsidRPr="005D2A60">
        <w:rPr>
          <w:rFonts w:cs="Open Sans"/>
          <w:spacing w:val="-4"/>
          <w:sz w:val="20"/>
        </w:rPr>
        <w:t xml:space="preserve"> </w:t>
      </w:r>
      <w:r w:rsidRPr="005D2A60">
        <w:rPr>
          <w:rFonts w:cs="Open Sans"/>
          <w:sz w:val="20"/>
        </w:rPr>
        <w:t>CCPR/C/59/D/560/1993 (3 April 1997) (‘</w:t>
      </w:r>
      <w:r w:rsidRPr="005D2A60">
        <w:rPr>
          <w:rFonts w:cs="Open Sans"/>
          <w:i/>
          <w:sz w:val="20"/>
        </w:rPr>
        <w:t>A</w:t>
      </w:r>
      <w:r w:rsidRPr="005D2A60">
        <w:rPr>
          <w:rFonts w:cs="Open Sans"/>
          <w:i/>
          <w:spacing w:val="-10"/>
          <w:sz w:val="20"/>
        </w:rPr>
        <w:t xml:space="preserve"> </w:t>
      </w:r>
      <w:r w:rsidRPr="005D2A60">
        <w:rPr>
          <w:rFonts w:cs="Open Sans"/>
          <w:i/>
          <w:sz w:val="20"/>
        </w:rPr>
        <w:t>v</w:t>
      </w:r>
      <w:r w:rsidRPr="005D2A60">
        <w:rPr>
          <w:rFonts w:cs="Open Sans"/>
          <w:i/>
          <w:spacing w:val="-10"/>
          <w:sz w:val="20"/>
        </w:rPr>
        <w:t xml:space="preserve"> </w:t>
      </w:r>
      <w:r w:rsidRPr="005D2A60">
        <w:rPr>
          <w:rFonts w:cs="Open Sans"/>
          <w:i/>
          <w:sz w:val="20"/>
        </w:rPr>
        <w:t>Australia</w:t>
      </w:r>
      <w:r w:rsidRPr="005D2A60">
        <w:rPr>
          <w:rFonts w:cs="Open Sans"/>
          <w:spacing w:val="-4"/>
          <w:sz w:val="20"/>
        </w:rPr>
        <w:t>’)</w:t>
      </w:r>
      <w:r w:rsidRPr="005D2A60">
        <w:rPr>
          <w:rFonts w:cs="Open Sans"/>
          <w:sz w:val="20"/>
        </w:rPr>
        <w:t xml:space="preserve">; Human Rights Committee, </w:t>
      </w:r>
      <w:r w:rsidRPr="005D2A60">
        <w:rPr>
          <w:rFonts w:cs="Open Sans"/>
          <w:i/>
          <w:sz w:val="20"/>
        </w:rPr>
        <w:t xml:space="preserve">Views </w:t>
      </w:r>
      <w:r w:rsidRPr="005D2A60">
        <w:rPr>
          <w:rFonts w:cs="Open Sans"/>
          <w:bCs/>
          <w:i/>
          <w:sz w:val="20"/>
          <w:lang w:val="en"/>
        </w:rPr>
        <w:t>Communication No. 900/1999</w:t>
      </w:r>
      <w:r w:rsidRPr="005D2A60">
        <w:rPr>
          <w:rFonts w:cs="Open Sans"/>
          <w:bCs/>
          <w:sz w:val="20"/>
          <w:lang w:val="en"/>
        </w:rPr>
        <w:t>, 76</w:t>
      </w:r>
      <w:r w:rsidRPr="005D2A60">
        <w:rPr>
          <w:rFonts w:cs="Open Sans"/>
          <w:bCs/>
          <w:sz w:val="20"/>
          <w:vertAlign w:val="superscript"/>
          <w:lang w:val="en"/>
        </w:rPr>
        <w:t>th</w:t>
      </w:r>
      <w:r w:rsidRPr="005D2A60">
        <w:rPr>
          <w:rFonts w:cs="Open Sans"/>
          <w:bCs/>
          <w:sz w:val="20"/>
          <w:lang w:val="en"/>
        </w:rPr>
        <w:t xml:space="preserve"> sess, </w:t>
      </w:r>
      <w:r w:rsidRPr="005D2A60">
        <w:rPr>
          <w:rFonts w:cs="Open Sans"/>
          <w:sz w:val="20"/>
        </w:rPr>
        <w:t>UN Doc CCPR/C/76/D/900/1999 (28 October 2002)</w:t>
      </w:r>
      <w:r w:rsidRPr="005D2A60">
        <w:rPr>
          <w:rFonts w:cs="Open Sans"/>
          <w:i/>
          <w:sz w:val="20"/>
        </w:rPr>
        <w:t xml:space="preserve"> </w:t>
      </w:r>
      <w:r w:rsidRPr="005D2A60">
        <w:rPr>
          <w:rFonts w:cs="Open Sans"/>
          <w:sz w:val="20"/>
        </w:rPr>
        <w:t>(‘</w:t>
      </w:r>
      <w:r w:rsidRPr="005D2A60">
        <w:rPr>
          <w:rFonts w:cs="Open Sans"/>
          <w:i/>
          <w:sz w:val="20"/>
        </w:rPr>
        <w:t>C v</w:t>
      </w:r>
      <w:r w:rsidRPr="005D2A60">
        <w:rPr>
          <w:rFonts w:cs="Open Sans"/>
          <w:i/>
          <w:spacing w:val="-10"/>
          <w:sz w:val="20"/>
        </w:rPr>
        <w:t xml:space="preserve"> </w:t>
      </w:r>
      <w:r w:rsidRPr="005D2A60">
        <w:rPr>
          <w:rFonts w:cs="Open Sans"/>
          <w:i/>
          <w:sz w:val="20"/>
        </w:rPr>
        <w:t>Australia</w:t>
      </w:r>
      <w:r w:rsidRPr="005D2A60">
        <w:rPr>
          <w:rFonts w:cs="Open Sans"/>
          <w:sz w:val="20"/>
        </w:rPr>
        <w:t>’).</w:t>
      </w:r>
    </w:p>
  </w:endnote>
  <w:endnote w:id="14">
    <w:p w14:paraId="27593B72" w14:textId="1FE86F59"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Legal and Constitutional Affairs Legislation Committee, Parliament of Australia, </w:t>
      </w:r>
      <w:r w:rsidRPr="005D2A60">
        <w:rPr>
          <w:rFonts w:cs="Open Sans"/>
          <w:i/>
          <w:iCs/>
          <w:sz w:val="20"/>
        </w:rPr>
        <w:t>Senate Estimates</w:t>
      </w:r>
      <w:r w:rsidRPr="005D2A60">
        <w:rPr>
          <w:rFonts w:cs="Open Sans"/>
          <w:sz w:val="20"/>
        </w:rPr>
        <w:t xml:space="preserve"> (Transcript, 25 May 2011) 113.</w:t>
      </w:r>
    </w:p>
  </w:endnote>
  <w:endnote w:id="15">
    <w:p w14:paraId="254A5B55" w14:textId="29ACE889"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Australian Security Intelligence Organisation, Submission No 153 to Joint Select Committee on Australia’s Immigration Detention Network, </w:t>
      </w:r>
      <w:r w:rsidRPr="005D2A60">
        <w:rPr>
          <w:rFonts w:cs="Open Sans"/>
          <w:i/>
          <w:iCs/>
          <w:sz w:val="20"/>
        </w:rPr>
        <w:t>Australia’s Immigration Detention Network Inquiry</w:t>
      </w:r>
      <w:r w:rsidRPr="005D2A60">
        <w:rPr>
          <w:rFonts w:cs="Open Sans"/>
          <w:sz w:val="20"/>
        </w:rPr>
        <w:t>, 2011 [23].</w:t>
      </w:r>
    </w:p>
  </w:endnote>
  <w:endnote w:id="16">
    <w:p w14:paraId="309E9A55" w14:textId="0120EC75" w:rsidR="00C83BC9" w:rsidRPr="005D2A60" w:rsidRDefault="00C83BC9" w:rsidP="000433F9">
      <w:pPr>
        <w:tabs>
          <w:tab w:val="left" w:pos="458"/>
        </w:tabs>
        <w:ind w:left="284" w:hanging="284"/>
        <w:rPr>
          <w:rFonts w:cs="Open Sans"/>
          <w:sz w:val="20"/>
        </w:rPr>
      </w:pPr>
      <w:r w:rsidRPr="005D2A60">
        <w:rPr>
          <w:rStyle w:val="Rimandonotadichiusura"/>
          <w:rFonts w:ascii="Open Sans" w:hAnsi="Open Sans" w:cs="Open Sans"/>
        </w:rPr>
        <w:endnoteRef/>
      </w:r>
      <w:r w:rsidRPr="005D2A60">
        <w:rPr>
          <w:rFonts w:cs="Open Sans"/>
          <w:sz w:val="20"/>
        </w:rPr>
        <w:tab/>
        <w:t>See</w:t>
      </w:r>
      <w:r w:rsidRPr="005D2A60">
        <w:rPr>
          <w:rFonts w:cs="Open Sans"/>
          <w:spacing w:val="-3"/>
          <w:sz w:val="20"/>
        </w:rPr>
        <w:t xml:space="preserve"> </w:t>
      </w:r>
      <w:bookmarkStart w:id="75" w:name="_bookmark29"/>
      <w:bookmarkEnd w:id="75"/>
      <w:r w:rsidRPr="005D2A60">
        <w:rPr>
          <w:rFonts w:cs="Open Sans"/>
          <w:sz w:val="20"/>
        </w:rPr>
        <w:t>for</w:t>
      </w:r>
      <w:r w:rsidRPr="005D2A60">
        <w:rPr>
          <w:rFonts w:cs="Open Sans"/>
          <w:spacing w:val="-3"/>
          <w:sz w:val="20"/>
        </w:rPr>
        <w:t xml:space="preserve"> </w:t>
      </w:r>
      <w:r w:rsidRPr="005D2A60">
        <w:rPr>
          <w:rFonts w:cs="Open Sans"/>
          <w:sz w:val="20"/>
        </w:rPr>
        <w:t xml:space="preserve">instance, </w:t>
      </w:r>
      <w:r w:rsidRPr="005D2A60">
        <w:rPr>
          <w:rFonts w:cs="Open Sans"/>
          <w:spacing w:val="-3"/>
          <w:sz w:val="20"/>
        </w:rPr>
        <w:t>Australian Human Rights Commission,</w:t>
      </w:r>
      <w:r w:rsidRPr="005D2A60">
        <w:rPr>
          <w:rFonts w:cs="Open Sans"/>
          <w:i/>
          <w:iCs/>
          <w:sz w:val="20"/>
        </w:rPr>
        <w:t xml:space="preserve"> Sri Lankan refugees v Commonwealth of Australia (Department of Immigration and Citizenship</w:t>
      </w:r>
      <w:r w:rsidRPr="005D2A60">
        <w:rPr>
          <w:rFonts w:cs="Open Sans"/>
          <w:i/>
          <w:iCs/>
          <w:sz w:val="20"/>
          <w:u w:val="single"/>
        </w:rPr>
        <w:t>)</w:t>
      </w:r>
      <w:r w:rsidRPr="005D2A60">
        <w:rPr>
          <w:rFonts w:cs="Open Sans"/>
          <w:spacing w:val="-2"/>
          <w:sz w:val="20"/>
        </w:rPr>
        <w:t xml:space="preserve"> </w:t>
      </w:r>
      <w:r w:rsidRPr="005D2A60">
        <w:rPr>
          <w:rFonts w:cs="Open Sans"/>
          <w:sz w:val="20"/>
        </w:rPr>
        <w:t>[2012]</w:t>
      </w:r>
      <w:r w:rsidRPr="005D2A60">
        <w:rPr>
          <w:rFonts w:cs="Open Sans"/>
          <w:spacing w:val="-12"/>
          <w:sz w:val="20"/>
        </w:rPr>
        <w:t xml:space="preserve"> </w:t>
      </w:r>
      <w:r w:rsidRPr="005D2A60">
        <w:rPr>
          <w:rFonts w:cs="Open Sans"/>
          <w:sz w:val="20"/>
        </w:rPr>
        <w:t>AusHRC</w:t>
      </w:r>
      <w:r w:rsidRPr="005D2A60">
        <w:rPr>
          <w:rFonts w:cs="Open Sans"/>
          <w:spacing w:val="-3"/>
          <w:sz w:val="20"/>
        </w:rPr>
        <w:t xml:space="preserve"> </w:t>
      </w:r>
      <w:r w:rsidRPr="005D2A60">
        <w:rPr>
          <w:rFonts w:cs="Open Sans"/>
          <w:sz w:val="20"/>
        </w:rPr>
        <w:t>56</w:t>
      </w:r>
      <w:r w:rsidRPr="005D2A60">
        <w:rPr>
          <w:rFonts w:cs="Open Sans"/>
          <w:spacing w:val="-2"/>
          <w:sz w:val="20"/>
        </w:rPr>
        <w:t xml:space="preserve"> </w:t>
      </w:r>
      <w:r w:rsidRPr="005D2A60">
        <w:rPr>
          <w:rFonts w:cs="Open Sans"/>
          <w:sz w:val="20"/>
        </w:rPr>
        <w:t>[48]–[70];</w:t>
      </w:r>
      <w:r w:rsidRPr="005D2A60">
        <w:rPr>
          <w:rFonts w:cs="Open Sans"/>
          <w:spacing w:val="-3"/>
          <w:sz w:val="20"/>
        </w:rPr>
        <w:t xml:space="preserve"> Australian Human Rights Commission, </w:t>
      </w:r>
      <w:r w:rsidRPr="005D2A60">
        <w:rPr>
          <w:rFonts w:cs="Open Sans"/>
          <w:i/>
          <w:iCs/>
          <w:spacing w:val="-3"/>
          <w:sz w:val="20"/>
        </w:rPr>
        <w:t xml:space="preserve">Report into arbitrary detention and the best interests of the child </w:t>
      </w:r>
      <w:r w:rsidRPr="005D2A60">
        <w:rPr>
          <w:rFonts w:cs="Open Sans"/>
          <w:sz w:val="20"/>
        </w:rPr>
        <w:t>[2013]</w:t>
      </w:r>
      <w:r w:rsidRPr="005D2A60">
        <w:rPr>
          <w:rFonts w:cs="Open Sans"/>
          <w:spacing w:val="-12"/>
          <w:sz w:val="20"/>
        </w:rPr>
        <w:t xml:space="preserve"> </w:t>
      </w:r>
      <w:r w:rsidRPr="005D2A60">
        <w:rPr>
          <w:rFonts w:cs="Open Sans"/>
          <w:sz w:val="20"/>
        </w:rPr>
        <w:t>AusHRC</w:t>
      </w:r>
      <w:r w:rsidRPr="005D2A60">
        <w:rPr>
          <w:rFonts w:cs="Open Sans"/>
          <w:spacing w:val="-3"/>
          <w:sz w:val="20"/>
        </w:rPr>
        <w:t xml:space="preserve"> </w:t>
      </w:r>
      <w:r w:rsidRPr="005D2A60">
        <w:rPr>
          <w:rFonts w:cs="Open Sans"/>
          <w:sz w:val="20"/>
        </w:rPr>
        <w:t>64</w:t>
      </w:r>
      <w:r w:rsidRPr="005D2A60">
        <w:rPr>
          <w:rFonts w:cs="Open Sans"/>
          <w:spacing w:val="-2"/>
          <w:sz w:val="20"/>
        </w:rPr>
        <w:t xml:space="preserve"> </w:t>
      </w:r>
      <w:r w:rsidRPr="005D2A60">
        <w:rPr>
          <w:rFonts w:cs="Open Sans"/>
          <w:sz w:val="20"/>
        </w:rPr>
        <w:t>[33]-[43].</w:t>
      </w:r>
    </w:p>
  </w:endnote>
  <w:endnote w:id="17">
    <w:p w14:paraId="4F93692C" w14:textId="011083A9"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 xml:space="preserve"> </w:t>
      </w:r>
      <w:r w:rsidRPr="005D2A60">
        <w:rPr>
          <w:rFonts w:cs="Open Sans"/>
          <w:sz w:val="20"/>
        </w:rPr>
        <w:tab/>
        <w:t xml:space="preserve">For instance, </w:t>
      </w:r>
      <w:r w:rsidRPr="005D2A60">
        <w:rPr>
          <w:rFonts w:cs="Open Sans"/>
          <w:spacing w:val="-3"/>
          <w:sz w:val="20"/>
        </w:rPr>
        <w:t>Australian Human Rights Commission,</w:t>
      </w:r>
      <w:r w:rsidRPr="005D2A60">
        <w:rPr>
          <w:rFonts w:cs="Open Sans"/>
          <w:i/>
          <w:iCs/>
          <w:sz w:val="20"/>
        </w:rPr>
        <w:t xml:space="preserve"> Sri Lankan refugees v Commonwealth of Australia (Department of Immigration and Citizenship</w:t>
      </w:r>
      <w:r w:rsidRPr="005D2A60">
        <w:rPr>
          <w:rFonts w:cs="Open Sans"/>
          <w:i/>
          <w:iCs/>
          <w:sz w:val="20"/>
          <w:u w:val="single"/>
        </w:rPr>
        <w:t>)</w:t>
      </w:r>
      <w:r w:rsidRPr="005D2A60">
        <w:rPr>
          <w:rFonts w:cs="Open Sans"/>
          <w:spacing w:val="-2"/>
          <w:sz w:val="20"/>
        </w:rPr>
        <w:t xml:space="preserve"> </w:t>
      </w:r>
      <w:r w:rsidRPr="005D2A60">
        <w:rPr>
          <w:rFonts w:cs="Open Sans"/>
          <w:sz w:val="20"/>
        </w:rPr>
        <w:t>[2012]</w:t>
      </w:r>
      <w:r w:rsidRPr="005D2A60">
        <w:rPr>
          <w:rFonts w:cs="Open Sans"/>
          <w:spacing w:val="-12"/>
          <w:sz w:val="20"/>
        </w:rPr>
        <w:t xml:space="preserve"> </w:t>
      </w:r>
      <w:r w:rsidRPr="005D2A60">
        <w:rPr>
          <w:rFonts w:cs="Open Sans"/>
          <w:sz w:val="20"/>
        </w:rPr>
        <w:t>AusHRC</w:t>
      </w:r>
      <w:r w:rsidRPr="005D2A60">
        <w:rPr>
          <w:rFonts w:cs="Open Sans"/>
          <w:spacing w:val="-3"/>
          <w:sz w:val="20"/>
        </w:rPr>
        <w:t xml:space="preserve"> </w:t>
      </w:r>
      <w:r w:rsidRPr="005D2A60">
        <w:rPr>
          <w:rFonts w:cs="Open Sans"/>
          <w:sz w:val="20"/>
        </w:rPr>
        <w:t>56</w:t>
      </w:r>
      <w:r w:rsidRPr="005D2A60">
        <w:rPr>
          <w:rFonts w:cs="Open Sans"/>
          <w:spacing w:val="-2"/>
          <w:sz w:val="20"/>
        </w:rPr>
        <w:t xml:space="preserve"> </w:t>
      </w:r>
      <w:r w:rsidRPr="005D2A60">
        <w:rPr>
          <w:rFonts w:cs="Open Sans"/>
          <w:sz w:val="20"/>
        </w:rPr>
        <w:t>[48]–[70];</w:t>
      </w:r>
      <w:r w:rsidRPr="005D2A60">
        <w:rPr>
          <w:rFonts w:cs="Open Sans"/>
          <w:spacing w:val="-3"/>
          <w:sz w:val="20"/>
        </w:rPr>
        <w:t xml:space="preserve"> Australian Human Rights Commission, </w:t>
      </w:r>
      <w:r w:rsidRPr="005D2A60">
        <w:rPr>
          <w:rFonts w:cs="Open Sans"/>
          <w:i/>
          <w:iCs/>
          <w:spacing w:val="-3"/>
          <w:sz w:val="20"/>
        </w:rPr>
        <w:t xml:space="preserve">Report into arbitrary detention and the best interests of the child </w:t>
      </w:r>
      <w:r w:rsidRPr="005D2A60">
        <w:rPr>
          <w:rFonts w:cs="Open Sans"/>
          <w:sz w:val="20"/>
        </w:rPr>
        <w:t>[2013]</w:t>
      </w:r>
      <w:r w:rsidRPr="005D2A60">
        <w:rPr>
          <w:rFonts w:cs="Open Sans"/>
          <w:spacing w:val="-12"/>
          <w:sz w:val="20"/>
        </w:rPr>
        <w:t xml:space="preserve"> </w:t>
      </w:r>
      <w:r w:rsidRPr="005D2A60">
        <w:rPr>
          <w:rFonts w:cs="Open Sans"/>
          <w:sz w:val="20"/>
        </w:rPr>
        <w:t>AusHRC</w:t>
      </w:r>
      <w:r w:rsidRPr="005D2A60">
        <w:rPr>
          <w:rFonts w:cs="Open Sans"/>
          <w:spacing w:val="-3"/>
          <w:sz w:val="20"/>
        </w:rPr>
        <w:t xml:space="preserve"> </w:t>
      </w:r>
      <w:r w:rsidRPr="005D2A60">
        <w:rPr>
          <w:rFonts w:cs="Open Sans"/>
          <w:sz w:val="20"/>
        </w:rPr>
        <w:t>64</w:t>
      </w:r>
      <w:r w:rsidRPr="005D2A60">
        <w:rPr>
          <w:rFonts w:cs="Open Sans"/>
          <w:spacing w:val="-2"/>
          <w:sz w:val="20"/>
        </w:rPr>
        <w:t xml:space="preserve"> </w:t>
      </w:r>
      <w:r w:rsidRPr="005D2A60">
        <w:rPr>
          <w:rFonts w:cs="Open Sans"/>
          <w:sz w:val="20"/>
        </w:rPr>
        <w:t>[37]-[42].</w:t>
      </w:r>
    </w:p>
  </w:endnote>
  <w:endnote w:id="18">
    <w:p w14:paraId="6536A2F6" w14:textId="24691BE8"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Cf </w:t>
      </w:r>
      <w:bookmarkStart w:id="76" w:name="_bookmark31"/>
      <w:bookmarkEnd w:id="76"/>
      <w:r w:rsidRPr="005D2A60">
        <w:rPr>
          <w:rFonts w:cs="Open Sans"/>
          <w:spacing w:val="-3"/>
          <w:sz w:val="20"/>
        </w:rPr>
        <w:t>Australian Human Rights Commission,</w:t>
      </w:r>
      <w:r w:rsidRPr="005D2A60">
        <w:rPr>
          <w:rFonts w:cs="Open Sans"/>
          <w:i/>
          <w:iCs/>
          <w:sz w:val="20"/>
        </w:rPr>
        <w:t xml:space="preserve"> Sri Lankan refugees v Commonwealth of Australia (Department of Immigration and Citizenship</w:t>
      </w:r>
      <w:r w:rsidRPr="005D2A60">
        <w:rPr>
          <w:rFonts w:cs="Open Sans"/>
          <w:i/>
          <w:iCs/>
          <w:sz w:val="20"/>
          <w:u w:val="single"/>
        </w:rPr>
        <w:t>)</w:t>
      </w:r>
      <w:r w:rsidRPr="005D2A60">
        <w:rPr>
          <w:rFonts w:cs="Open Sans"/>
          <w:spacing w:val="-2"/>
          <w:sz w:val="20"/>
        </w:rPr>
        <w:t xml:space="preserve"> </w:t>
      </w:r>
      <w:r w:rsidRPr="005D2A60">
        <w:rPr>
          <w:rFonts w:cs="Open Sans"/>
          <w:sz w:val="20"/>
        </w:rPr>
        <w:t>[2012]</w:t>
      </w:r>
      <w:r w:rsidRPr="005D2A60">
        <w:rPr>
          <w:rFonts w:cs="Open Sans"/>
          <w:spacing w:val="-12"/>
          <w:sz w:val="20"/>
        </w:rPr>
        <w:t xml:space="preserve"> </w:t>
      </w:r>
      <w:r w:rsidRPr="005D2A60">
        <w:rPr>
          <w:rFonts w:cs="Open Sans"/>
          <w:sz w:val="20"/>
        </w:rPr>
        <w:t>AusHRC</w:t>
      </w:r>
      <w:r w:rsidRPr="005D2A60">
        <w:rPr>
          <w:rFonts w:cs="Open Sans"/>
          <w:spacing w:val="-3"/>
          <w:sz w:val="20"/>
        </w:rPr>
        <w:t xml:space="preserve"> </w:t>
      </w:r>
      <w:r w:rsidRPr="005D2A60">
        <w:rPr>
          <w:rFonts w:cs="Open Sans"/>
          <w:sz w:val="20"/>
        </w:rPr>
        <w:t>56</w:t>
      </w:r>
      <w:r w:rsidRPr="005D2A60">
        <w:rPr>
          <w:rFonts w:cs="Open Sans"/>
          <w:spacing w:val="-2"/>
          <w:sz w:val="20"/>
        </w:rPr>
        <w:t xml:space="preserve"> </w:t>
      </w:r>
      <w:r w:rsidRPr="005D2A60">
        <w:rPr>
          <w:rFonts w:cs="Open Sans"/>
          <w:sz w:val="20"/>
        </w:rPr>
        <w:t>[69]–[70];</w:t>
      </w:r>
      <w:r w:rsidRPr="005D2A60">
        <w:rPr>
          <w:rFonts w:cs="Open Sans"/>
          <w:spacing w:val="-3"/>
          <w:sz w:val="20"/>
        </w:rPr>
        <w:t xml:space="preserve"> Australian Human Rights Commission, </w:t>
      </w:r>
      <w:r w:rsidRPr="005D2A60">
        <w:rPr>
          <w:rFonts w:cs="Open Sans"/>
          <w:i/>
          <w:iCs/>
          <w:spacing w:val="-3"/>
          <w:sz w:val="20"/>
        </w:rPr>
        <w:t xml:space="preserve">Report into arbitrary detention and the best interests of the child </w:t>
      </w:r>
      <w:r w:rsidRPr="005D2A60">
        <w:rPr>
          <w:rFonts w:cs="Open Sans"/>
          <w:sz w:val="20"/>
        </w:rPr>
        <w:t>[2013]</w:t>
      </w:r>
      <w:r w:rsidRPr="005D2A60">
        <w:rPr>
          <w:rFonts w:cs="Open Sans"/>
          <w:spacing w:val="-12"/>
          <w:sz w:val="20"/>
        </w:rPr>
        <w:t xml:space="preserve"> </w:t>
      </w:r>
      <w:r w:rsidRPr="005D2A60">
        <w:rPr>
          <w:rFonts w:cs="Open Sans"/>
          <w:sz w:val="20"/>
        </w:rPr>
        <w:t>AusHRC</w:t>
      </w:r>
      <w:r w:rsidRPr="005D2A60">
        <w:rPr>
          <w:rFonts w:cs="Open Sans"/>
          <w:spacing w:val="-3"/>
          <w:sz w:val="20"/>
        </w:rPr>
        <w:t xml:space="preserve"> </w:t>
      </w:r>
      <w:r w:rsidRPr="005D2A60">
        <w:rPr>
          <w:rFonts w:cs="Open Sans"/>
          <w:sz w:val="20"/>
        </w:rPr>
        <w:t>64</w:t>
      </w:r>
      <w:r w:rsidRPr="005D2A60">
        <w:rPr>
          <w:rFonts w:cs="Open Sans"/>
          <w:spacing w:val="-2"/>
          <w:sz w:val="20"/>
        </w:rPr>
        <w:t xml:space="preserve"> </w:t>
      </w:r>
      <w:r w:rsidRPr="005D2A60">
        <w:rPr>
          <w:rFonts w:cs="Open Sans"/>
          <w:sz w:val="20"/>
        </w:rPr>
        <w:t>[33]-[56].</w:t>
      </w:r>
    </w:p>
  </w:endnote>
  <w:endnote w:id="19">
    <w:p w14:paraId="7C16995F" w14:textId="139F1FB0"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r>
      <w:r w:rsidRPr="005D2A60">
        <w:rPr>
          <w:rFonts w:cs="Open Sans"/>
          <w:spacing w:val="-3"/>
          <w:sz w:val="20"/>
        </w:rPr>
        <w:t>Australian Human Rights Commission,</w:t>
      </w:r>
      <w:r w:rsidRPr="005D2A60">
        <w:rPr>
          <w:rFonts w:cs="Open Sans"/>
          <w:i/>
          <w:iCs/>
          <w:sz w:val="20"/>
        </w:rPr>
        <w:t xml:space="preserve"> Sri Lankan refugees v Commonwealth of Australia (Department of Immigration and Citizenship</w:t>
      </w:r>
      <w:r w:rsidRPr="005D2A60">
        <w:rPr>
          <w:rFonts w:cs="Open Sans"/>
          <w:i/>
          <w:iCs/>
          <w:sz w:val="20"/>
          <w:u w:val="single"/>
        </w:rPr>
        <w:t>)</w:t>
      </w:r>
      <w:r w:rsidRPr="005D2A60">
        <w:rPr>
          <w:rFonts w:cs="Open Sans"/>
          <w:spacing w:val="-2"/>
          <w:sz w:val="20"/>
        </w:rPr>
        <w:t xml:space="preserve"> </w:t>
      </w:r>
      <w:r w:rsidRPr="005D2A60">
        <w:rPr>
          <w:rFonts w:cs="Open Sans"/>
          <w:sz w:val="20"/>
        </w:rPr>
        <w:t>[2012]</w:t>
      </w:r>
      <w:r w:rsidRPr="005D2A60">
        <w:rPr>
          <w:rFonts w:cs="Open Sans"/>
          <w:spacing w:val="-12"/>
          <w:sz w:val="20"/>
        </w:rPr>
        <w:t xml:space="preserve"> </w:t>
      </w:r>
      <w:r w:rsidRPr="005D2A60">
        <w:rPr>
          <w:rFonts w:cs="Open Sans"/>
          <w:sz w:val="20"/>
        </w:rPr>
        <w:t>AusHRC</w:t>
      </w:r>
      <w:r w:rsidRPr="005D2A60">
        <w:rPr>
          <w:rFonts w:cs="Open Sans"/>
          <w:spacing w:val="-3"/>
          <w:sz w:val="20"/>
        </w:rPr>
        <w:t xml:space="preserve"> </w:t>
      </w:r>
      <w:r w:rsidRPr="005D2A60">
        <w:rPr>
          <w:rFonts w:cs="Open Sans"/>
          <w:sz w:val="20"/>
        </w:rPr>
        <w:t>56</w:t>
      </w:r>
      <w:r w:rsidRPr="005D2A60">
        <w:rPr>
          <w:rFonts w:cs="Open Sans"/>
          <w:spacing w:val="-2"/>
          <w:sz w:val="20"/>
        </w:rPr>
        <w:t xml:space="preserve"> </w:t>
      </w:r>
      <w:r w:rsidRPr="005D2A60">
        <w:rPr>
          <w:rFonts w:cs="Open Sans"/>
          <w:sz w:val="20"/>
        </w:rPr>
        <w:t>[85]ff.</w:t>
      </w:r>
    </w:p>
  </w:endnote>
  <w:endnote w:id="20">
    <w:p w14:paraId="0A06C1D5" w14:textId="3304692C"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The Hon Peter Dutton MP, Minister for Immigration and Border Protection, </w:t>
      </w:r>
      <w:r w:rsidRPr="005D2A60">
        <w:rPr>
          <w:rFonts w:cs="Open Sans"/>
          <w:i/>
          <w:color w:val="231F20"/>
          <w:sz w:val="20"/>
        </w:rPr>
        <w:t>Minister for Immigration and Border Protection’s Residence Determination Power under s 197AB and s 197AD of the Migration</w:t>
      </w:r>
      <w:r w:rsidRPr="005D2A60">
        <w:rPr>
          <w:rFonts w:cs="Open Sans"/>
          <w:i/>
          <w:color w:val="231F20"/>
          <w:spacing w:val="-11"/>
          <w:sz w:val="20"/>
        </w:rPr>
        <w:t xml:space="preserve"> </w:t>
      </w:r>
      <w:r w:rsidRPr="005D2A60">
        <w:rPr>
          <w:rFonts w:cs="Open Sans"/>
          <w:i/>
          <w:color w:val="231F20"/>
          <w:sz w:val="20"/>
        </w:rPr>
        <w:t>Act 1958</w:t>
      </w:r>
      <w:r w:rsidRPr="005D2A60">
        <w:rPr>
          <w:rFonts w:cs="Open Sans"/>
          <w:color w:val="231F20"/>
          <w:sz w:val="20"/>
        </w:rPr>
        <w:t>, 29 March</w:t>
      </w:r>
      <w:r w:rsidRPr="005D2A60">
        <w:rPr>
          <w:rFonts w:cs="Open Sans"/>
          <w:color w:val="231F20"/>
          <w:spacing w:val="-4"/>
          <w:sz w:val="20"/>
        </w:rPr>
        <w:t xml:space="preserve"> </w:t>
      </w:r>
      <w:r w:rsidRPr="005D2A60">
        <w:rPr>
          <w:rFonts w:cs="Open Sans"/>
          <w:color w:val="231F20"/>
          <w:sz w:val="20"/>
        </w:rPr>
        <w:t>2015. The guidelines are incorporated into the Department’s Procedures Advice Manual.</w:t>
      </w:r>
    </w:p>
  </w:endnote>
  <w:endnote w:id="21">
    <w:p w14:paraId="4046C6A5" w14:textId="52338364"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ab/>
        <w:t xml:space="preserve">The Hon Chris Bowen MP, Minister for Immigration and Citizenship, </w:t>
      </w:r>
      <w:r w:rsidRPr="005D2A60">
        <w:rPr>
          <w:rFonts w:cs="Open Sans"/>
          <w:i/>
          <w:iCs/>
          <w:sz w:val="20"/>
        </w:rPr>
        <w:t>Minister’s guidelines on ministerial powers (s345, s351, s417 and s501J)</w:t>
      </w:r>
      <w:r w:rsidRPr="005D2A60">
        <w:rPr>
          <w:rFonts w:cs="Open Sans"/>
          <w:sz w:val="20"/>
        </w:rPr>
        <w:t xml:space="preserve">, 24 March 2012 (reissued on 10 October 2015), Part 12. The guidelines are incorporated into the Department’s Procedures Advice Manual. See also Part 4 of the replacement guidelines issued by the Hon Peter Dutton, Minister for Immigration and Border Protection, </w:t>
      </w:r>
      <w:r w:rsidRPr="005D2A60">
        <w:rPr>
          <w:rFonts w:cs="Open Sans"/>
          <w:i/>
          <w:iCs/>
          <w:sz w:val="20"/>
        </w:rPr>
        <w:t>Minister’s guidelines on ministerial powers (s351, s417 and s501J)</w:t>
      </w:r>
      <w:r w:rsidRPr="005D2A60">
        <w:rPr>
          <w:rFonts w:cs="Open Sans"/>
          <w:sz w:val="20"/>
        </w:rPr>
        <w:t xml:space="preserve"> 11 March 2016, incorporated into the Department’s Procedures Advice Manual.</w:t>
      </w:r>
    </w:p>
  </w:endnote>
  <w:endnote w:id="22">
    <w:p w14:paraId="763F7F9B" w14:textId="77777777"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 xml:space="preserve"> </w:t>
      </w:r>
      <w:r w:rsidRPr="005D2A60">
        <w:rPr>
          <w:rFonts w:cs="Open Sans"/>
          <w:sz w:val="20"/>
        </w:rPr>
        <w:tab/>
      </w:r>
      <w:r w:rsidRPr="005D2A60">
        <w:rPr>
          <w:rFonts w:cs="Open Sans"/>
          <w:i/>
          <w:sz w:val="20"/>
        </w:rPr>
        <w:t xml:space="preserve">Australian Human Rights Commission Act 1986 </w:t>
      </w:r>
      <w:r w:rsidRPr="005D2A60">
        <w:rPr>
          <w:rFonts w:cs="Open Sans"/>
          <w:sz w:val="20"/>
        </w:rPr>
        <w:t>(Cth) s 29(2)(a).</w:t>
      </w:r>
    </w:p>
  </w:endnote>
  <w:endnote w:id="23">
    <w:p w14:paraId="7D0F4B13" w14:textId="77777777"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 xml:space="preserve"> </w:t>
      </w:r>
      <w:r w:rsidRPr="005D2A60">
        <w:rPr>
          <w:rFonts w:cs="Open Sans"/>
          <w:sz w:val="20"/>
        </w:rPr>
        <w:tab/>
      </w:r>
      <w:r w:rsidRPr="005D2A60">
        <w:rPr>
          <w:rFonts w:cs="Open Sans"/>
          <w:i/>
          <w:sz w:val="20"/>
        </w:rPr>
        <w:t xml:space="preserve">Australian Human Rights Commission Act 1986 </w:t>
      </w:r>
      <w:r w:rsidRPr="005D2A60">
        <w:rPr>
          <w:rFonts w:cs="Open Sans"/>
          <w:sz w:val="20"/>
        </w:rPr>
        <w:t>(Cth) s 29(2)(b).</w:t>
      </w:r>
    </w:p>
  </w:endnote>
  <w:endnote w:id="24">
    <w:p w14:paraId="4EC01C26" w14:textId="77777777" w:rsidR="00C83BC9" w:rsidRPr="005D2A60" w:rsidRDefault="00C83BC9" w:rsidP="000433F9">
      <w:pPr>
        <w:pStyle w:val="Testonotadichiusura"/>
        <w:ind w:left="284" w:hanging="284"/>
        <w:rPr>
          <w:rFonts w:cs="Open Sans"/>
          <w:sz w:val="20"/>
        </w:rPr>
      </w:pPr>
      <w:r w:rsidRPr="005D2A60">
        <w:rPr>
          <w:rStyle w:val="Rimandonotadichiusura"/>
          <w:rFonts w:ascii="Open Sans" w:hAnsi="Open Sans" w:cs="Open Sans"/>
        </w:rPr>
        <w:endnoteRef/>
      </w:r>
      <w:r w:rsidRPr="005D2A60">
        <w:rPr>
          <w:rFonts w:cs="Open Sans"/>
          <w:sz w:val="20"/>
        </w:rPr>
        <w:t xml:space="preserve"> </w:t>
      </w:r>
      <w:r w:rsidRPr="005D2A60">
        <w:rPr>
          <w:rFonts w:cs="Open Sans"/>
          <w:sz w:val="20"/>
        </w:rPr>
        <w:tab/>
      </w:r>
      <w:r w:rsidRPr="005D2A60">
        <w:rPr>
          <w:rFonts w:cs="Open Sans"/>
          <w:i/>
          <w:sz w:val="20"/>
        </w:rPr>
        <w:t xml:space="preserve">Australian Human Rights Commission Act 1986 </w:t>
      </w:r>
      <w:r w:rsidRPr="005D2A60">
        <w:rPr>
          <w:rFonts w:cs="Open Sans"/>
          <w:sz w:val="20"/>
        </w:rPr>
        <w:t>(Cth) s 29(2)(c).</w:t>
      </w:r>
    </w:p>
  </w:endnote>
  <w:endnote w:id="25">
    <w:p w14:paraId="3B04CE93" w14:textId="240BDAA5" w:rsidR="00C83BC9" w:rsidRPr="005D2A60" w:rsidRDefault="00C83BC9" w:rsidP="000433F9">
      <w:pPr>
        <w:pStyle w:val="Testonotadichiusura"/>
        <w:tabs>
          <w:tab w:val="left" w:pos="284"/>
        </w:tabs>
        <w:ind w:left="284" w:hanging="284"/>
        <w:rPr>
          <w:rFonts w:cs="Open Sans"/>
          <w:sz w:val="20"/>
        </w:rPr>
      </w:pPr>
      <w:r w:rsidRPr="005D2A60">
        <w:rPr>
          <w:rStyle w:val="Rimandonotadichiusura"/>
        </w:rPr>
        <w:endnoteRef/>
      </w:r>
      <w:r w:rsidRPr="005D2A60">
        <w:rPr>
          <w:sz w:val="20"/>
        </w:rPr>
        <w:t xml:space="preserve"> </w:t>
      </w:r>
      <w:r w:rsidRPr="005D2A60">
        <w:rPr>
          <w:sz w:val="20"/>
        </w:rPr>
        <w:tab/>
      </w:r>
      <w:r w:rsidRPr="005D2A60">
        <w:rPr>
          <w:rFonts w:cs="Open Sans"/>
          <w:sz w:val="20"/>
        </w:rPr>
        <w:t>This policy has previously been discussed in Commission Reports [2013] AusHRC 64 [58]; [2012] AusHRC 56 [71]-[83].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eue">
    <w:altName w:val="Helvetica Neue"/>
    <w:panose1 w:val="02000503000000020004"/>
    <w:charset w:val="00"/>
    <w:family w:val="auto"/>
    <w:pitch w:val="variable"/>
    <w:sig w:usb0="E50002FF" w:usb1="500079DB" w:usb2="00000010" w:usb3="00000000" w:csb0="00000001" w:csb1="00000000"/>
  </w:font>
  <w:font w:name="HelveticaCYPlain">
    <w:altName w:val="Arial"/>
    <w:panose1 w:val="020B0604020202020204"/>
    <w:charset w:val="CD"/>
    <w:family w:val="auto"/>
    <w:notTrueType/>
    <w:pitch w:val="default"/>
    <w:sig w:usb0="00000001" w:usb1="00000000" w:usb2="00000000" w:usb3="00000000" w:csb0="00000000" w:csb1="00000000"/>
  </w:font>
  <w:font w:name="HelveticaCYBold">
    <w:altName w:val="Arial"/>
    <w:panose1 w:val="020B0604020202020204"/>
    <w:charset w:val="CC"/>
    <w:family w:val="auto"/>
    <w:notTrueType/>
    <w:pitch w:val="default"/>
    <w:sig w:usb0="00000201" w:usb1="00000000" w:usb2="00000000" w:usb3="00000000" w:csb0="00000004" w:csb1="00000000"/>
  </w:font>
  <w:font w:name="Segoe UI">
    <w:altName w:val="Sylfaen"/>
    <w:panose1 w:val="020B0604020202020204"/>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5894048"/>
      <w:docPartObj>
        <w:docPartGallery w:val="Page Numbers (Bottom of Page)"/>
        <w:docPartUnique/>
      </w:docPartObj>
    </w:sdtPr>
    <w:sdtEndPr>
      <w:rPr>
        <w:noProof/>
        <w:sz w:val="20"/>
      </w:rPr>
    </w:sdtEndPr>
    <w:sdtContent>
      <w:p w14:paraId="356320F8" w14:textId="7D44B4CB" w:rsidR="00C83BC9" w:rsidRPr="002C2EFE" w:rsidRDefault="00C83BC9" w:rsidP="002C2EFE">
        <w:pPr>
          <w:pStyle w:val="Pidipagina"/>
          <w:rPr>
            <w:sz w:val="20"/>
          </w:rPr>
        </w:pPr>
        <w:r w:rsidRPr="002C2EFE">
          <w:rPr>
            <w:sz w:val="20"/>
          </w:rPr>
          <w:fldChar w:fldCharType="begin"/>
        </w:r>
        <w:r w:rsidRPr="002C2EFE">
          <w:rPr>
            <w:sz w:val="20"/>
          </w:rPr>
          <w:instrText xml:space="preserve"> PAGE   \* MERGEFORMAT </w:instrText>
        </w:r>
        <w:r w:rsidRPr="002C2EFE">
          <w:rPr>
            <w:sz w:val="20"/>
          </w:rPr>
          <w:fldChar w:fldCharType="separate"/>
        </w:r>
        <w:r w:rsidRPr="002C2EFE">
          <w:rPr>
            <w:noProof/>
            <w:sz w:val="20"/>
          </w:rPr>
          <w:t>2</w:t>
        </w:r>
        <w:r w:rsidRPr="002C2EFE">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7475F" w14:textId="77777777" w:rsidR="00D25584" w:rsidRDefault="00D25584" w:rsidP="000433F9">
      <w:r>
        <w:separator/>
      </w:r>
    </w:p>
  </w:footnote>
  <w:footnote w:type="continuationSeparator" w:id="0">
    <w:p w14:paraId="3BECC4F5" w14:textId="77777777" w:rsidR="00D25584" w:rsidRDefault="00D25584" w:rsidP="00043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1F995" w14:textId="4377E29B" w:rsidR="00C83BC9" w:rsidRPr="002C2EFE" w:rsidRDefault="00C83BC9" w:rsidP="002C2EFE">
    <w:pPr>
      <w:suppressAutoHyphens/>
      <w:autoSpaceDE w:val="0"/>
      <w:autoSpaceDN w:val="0"/>
      <w:adjustRightInd w:val="0"/>
      <w:spacing w:line="288" w:lineRule="auto"/>
      <w:jc w:val="right"/>
      <w:textAlignment w:val="center"/>
      <w:rPr>
        <w:rFonts w:ascii="Open Sans Semibold" w:eastAsiaTheme="minorHAnsi" w:hAnsi="Open Sans Semibold" w:cs="Open Sans Semibold"/>
        <w:b/>
        <w:bCs/>
        <w:color w:val="000000"/>
        <w:spacing w:val="0"/>
        <w:sz w:val="20"/>
      </w:rPr>
    </w:pPr>
    <w:r w:rsidRPr="002C2EFE">
      <w:rPr>
        <w:rFonts w:ascii="Open Sans Semibold" w:eastAsiaTheme="minorHAnsi" w:hAnsi="Open Sans Semibold" w:cs="Open Sans Semibold"/>
        <w:b/>
        <w:bCs/>
        <w:color w:val="000000"/>
        <w:spacing w:val="0"/>
        <w:sz w:val="20"/>
      </w:rPr>
      <w:t>Australian Human Rights Commission</w:t>
    </w:r>
  </w:p>
  <w:p w14:paraId="321FFBEB" w14:textId="101036C6" w:rsidR="00C83BC9" w:rsidRPr="002C2EFE" w:rsidRDefault="00C83BC9" w:rsidP="002C2EFE">
    <w:pPr>
      <w:suppressAutoHyphens/>
      <w:autoSpaceDE w:val="0"/>
      <w:autoSpaceDN w:val="0"/>
      <w:adjustRightInd w:val="0"/>
      <w:spacing w:line="288" w:lineRule="auto"/>
      <w:jc w:val="right"/>
      <w:textAlignment w:val="center"/>
      <w:rPr>
        <w:rFonts w:eastAsiaTheme="minorHAnsi" w:cs="Open Sans"/>
        <w:color w:val="000000"/>
        <w:spacing w:val="0"/>
        <w:sz w:val="17"/>
        <w:szCs w:val="17"/>
      </w:rPr>
    </w:pPr>
    <w:r w:rsidRPr="002C2EFE">
      <w:rPr>
        <w:rFonts w:ascii="Open Sans Semibold" w:eastAsiaTheme="minorHAnsi" w:hAnsi="Open Sans Semibold" w:cs="Open Sans Semibold"/>
        <w:b/>
        <w:bCs/>
        <w:color w:val="000000"/>
        <w:spacing w:val="0"/>
        <w:sz w:val="17"/>
        <w:szCs w:val="17"/>
      </w:rPr>
      <w:t>Mr AC v Commonwealth of Australia (Department of Home Affairs)</w:t>
    </w:r>
    <w:r w:rsidRPr="002C2EFE">
      <w:rPr>
        <w:rFonts w:eastAsiaTheme="minorHAnsi" w:cs="Open Sans"/>
        <w:color w:val="000000"/>
        <w:spacing w:val="0"/>
        <w:sz w:val="17"/>
        <w:szCs w:val="17"/>
      </w:rPr>
      <w:t xml:space="preserve"> • [2020] </w:t>
    </w:r>
    <w:proofErr w:type="spellStart"/>
    <w:r w:rsidRPr="002C2EFE">
      <w:rPr>
        <w:rFonts w:eastAsiaTheme="minorHAnsi" w:cs="Open Sans"/>
        <w:color w:val="000000"/>
        <w:spacing w:val="0"/>
        <w:sz w:val="17"/>
        <w:szCs w:val="17"/>
      </w:rPr>
      <w:t>AusHRC</w:t>
    </w:r>
    <w:proofErr w:type="spellEnd"/>
    <w:r w:rsidRPr="002C2EFE">
      <w:rPr>
        <w:rFonts w:eastAsiaTheme="minorHAnsi" w:cs="Open Sans"/>
        <w:color w:val="000000"/>
        <w:spacing w:val="0"/>
        <w:sz w:val="17"/>
        <w:szCs w:val="17"/>
      </w:rPr>
      <w:t xml:space="preserve"> 136</w:t>
    </w:r>
  </w:p>
  <w:p w14:paraId="02BD1997" w14:textId="693D33FD" w:rsidR="00C83BC9" w:rsidRDefault="00C83BC9" w:rsidP="002C2EFE"/>
  <w:p w14:paraId="6C006F63" w14:textId="77777777" w:rsidR="00C83BC9" w:rsidRPr="002C2EFE" w:rsidRDefault="00C83BC9" w:rsidP="002C2E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213EF"/>
    <w:multiLevelType w:val="hybridMultilevel"/>
    <w:tmpl w:val="5CEE7A48"/>
    <w:lvl w:ilvl="0" w:tplc="0C090017">
      <w:start w:val="1"/>
      <w:numFmt w:val="lowerLetter"/>
      <w:lvlText w:val="%1)"/>
      <w:lvlJc w:val="left"/>
      <w:pPr>
        <w:ind w:left="1480" w:hanging="681"/>
      </w:pPr>
      <w:rPr>
        <w:rFonts w:hint="default"/>
        <w:color w:val="231F20"/>
        <w:spacing w:val="-14"/>
        <w:w w:val="100"/>
        <w:sz w:val="24"/>
        <w:szCs w:val="24"/>
      </w:rPr>
    </w:lvl>
    <w:lvl w:ilvl="1" w:tplc="0C090001">
      <w:start w:val="1"/>
      <w:numFmt w:val="bullet"/>
      <w:lvlText w:val=""/>
      <w:lvlJc w:val="left"/>
      <w:pPr>
        <w:ind w:left="2331" w:hanging="227"/>
      </w:pPr>
      <w:rPr>
        <w:rFonts w:ascii="Symbol" w:hAnsi="Symbol" w:hint="default"/>
        <w:caps w:val="0"/>
        <w:smallCaps w:val="0"/>
        <w:strike w:val="0"/>
        <w:dstrike w:val="0"/>
        <w:color w:val="000000"/>
        <w:spacing w:val="0"/>
        <w:w w:val="100"/>
        <w:kern w:val="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17">
      <w:start w:val="1"/>
      <w:numFmt w:val="lowerLetter"/>
      <w:lvlText w:val="%3)"/>
      <w:lvlJc w:val="left"/>
      <w:pPr>
        <w:ind w:left="3163" w:hanging="227"/>
      </w:pPr>
      <w:rPr>
        <w:rFonts w:hint="default"/>
      </w:rPr>
    </w:lvl>
    <w:lvl w:ilvl="3" w:tplc="0EF419F4">
      <w:numFmt w:val="bullet"/>
      <w:lvlText w:val="•"/>
      <w:lvlJc w:val="left"/>
      <w:pPr>
        <w:ind w:left="4004" w:hanging="227"/>
      </w:pPr>
      <w:rPr>
        <w:rFonts w:hint="default"/>
      </w:rPr>
    </w:lvl>
    <w:lvl w:ilvl="4" w:tplc="F41ECD4E">
      <w:numFmt w:val="bullet"/>
      <w:lvlText w:val="•"/>
      <w:lvlJc w:val="left"/>
      <w:pPr>
        <w:ind w:left="4844" w:hanging="227"/>
      </w:pPr>
      <w:rPr>
        <w:rFonts w:hint="default"/>
      </w:rPr>
    </w:lvl>
    <w:lvl w:ilvl="5" w:tplc="DD54768C">
      <w:numFmt w:val="bullet"/>
      <w:lvlText w:val="•"/>
      <w:lvlJc w:val="left"/>
      <w:pPr>
        <w:ind w:left="5685" w:hanging="227"/>
      </w:pPr>
      <w:rPr>
        <w:rFonts w:hint="default"/>
      </w:rPr>
    </w:lvl>
    <w:lvl w:ilvl="6" w:tplc="6E60E896">
      <w:numFmt w:val="bullet"/>
      <w:lvlText w:val="•"/>
      <w:lvlJc w:val="left"/>
      <w:pPr>
        <w:ind w:left="6526" w:hanging="227"/>
      </w:pPr>
      <w:rPr>
        <w:rFonts w:hint="default"/>
      </w:rPr>
    </w:lvl>
    <w:lvl w:ilvl="7" w:tplc="468E0412">
      <w:numFmt w:val="bullet"/>
      <w:lvlText w:val="•"/>
      <w:lvlJc w:val="left"/>
      <w:pPr>
        <w:ind w:left="7366" w:hanging="227"/>
      </w:pPr>
      <w:rPr>
        <w:rFonts w:hint="default"/>
      </w:rPr>
    </w:lvl>
    <w:lvl w:ilvl="8" w:tplc="64E05C64">
      <w:numFmt w:val="bullet"/>
      <w:lvlText w:val="•"/>
      <w:lvlJc w:val="left"/>
      <w:pPr>
        <w:ind w:left="8207" w:hanging="227"/>
      </w:pPr>
      <w:rPr>
        <w:rFonts w:hint="default"/>
      </w:rPr>
    </w:lvl>
  </w:abstractNum>
  <w:abstractNum w:abstractNumId="1" w15:restartNumberingAfterBreak="0">
    <w:nsid w:val="297817C3"/>
    <w:multiLevelType w:val="multilevel"/>
    <w:tmpl w:val="6FC8C38A"/>
    <w:lvl w:ilvl="0">
      <w:start w:val="1"/>
      <w:numFmt w:val="decimal"/>
      <w:lvlText w:val="%1"/>
      <w:lvlJc w:val="left"/>
      <w:pPr>
        <w:tabs>
          <w:tab w:val="num" w:pos="851"/>
        </w:tabs>
        <w:ind w:left="851" w:hanging="851"/>
      </w:pPr>
      <w:rPr>
        <w:rFonts w:cs="Times New Roman" w:hint="default"/>
        <w:sz w:val="36"/>
        <w:szCs w:val="36"/>
      </w:rPr>
    </w:lvl>
    <w:lvl w:ilvl="1">
      <w:start w:val="1"/>
      <w:numFmt w:val="decimal"/>
      <w:lvlText w:val="%1.%2"/>
      <w:lvlJc w:val="left"/>
      <w:pPr>
        <w:tabs>
          <w:tab w:val="num" w:pos="993"/>
        </w:tabs>
        <w:ind w:left="993" w:hanging="851"/>
      </w:pPr>
      <w:rPr>
        <w:rFonts w:cs="Times New Roman" w:hint="default"/>
        <w:b/>
        <w:i w:val="0"/>
        <w:iCs/>
        <w:color w:val="auto"/>
      </w:rPr>
    </w:lvl>
    <w:lvl w:ilvl="2">
      <w:start w:val="1"/>
      <w:numFmt w:val="lowerLetter"/>
      <w:lvlText w:val="(%3)"/>
      <w:lvlJc w:val="left"/>
      <w:pPr>
        <w:tabs>
          <w:tab w:val="num" w:pos="851"/>
        </w:tabs>
        <w:ind w:left="851" w:hanging="851"/>
      </w:pPr>
      <w:rPr>
        <w:rFonts w:ascii="Arial" w:hAnsi="Arial" w:cs="Times New Roman" w:hint="default"/>
        <w:b/>
        <w:i/>
        <w:sz w:val="24"/>
      </w:rPr>
    </w:lvl>
    <w:lvl w:ilvl="3">
      <w:start w:val="1"/>
      <w:numFmt w:val="lowerRoman"/>
      <w:lvlText w:val="(%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48BF0BAD"/>
    <w:multiLevelType w:val="hybridMultilevel"/>
    <w:tmpl w:val="596613CC"/>
    <w:lvl w:ilvl="0" w:tplc="024C9BB6">
      <w:start w:val="1"/>
      <w:numFmt w:val="decimal"/>
      <w:lvlText w:val="%1."/>
      <w:lvlJc w:val="left"/>
      <w:pPr>
        <w:ind w:left="797" w:hanging="681"/>
      </w:pPr>
      <w:rPr>
        <w:rFonts w:ascii="Arial" w:eastAsia="Arial" w:hAnsi="Arial" w:cs="Arial" w:hint="default"/>
        <w:color w:val="231F20"/>
        <w:spacing w:val="-14"/>
        <w:w w:val="100"/>
        <w:sz w:val="24"/>
        <w:szCs w:val="24"/>
      </w:rPr>
    </w:lvl>
    <w:lvl w:ilvl="1" w:tplc="0C090001">
      <w:start w:val="1"/>
      <w:numFmt w:val="bullet"/>
      <w:lvlText w:val=""/>
      <w:lvlJc w:val="left"/>
      <w:pPr>
        <w:ind w:left="1648" w:hanging="227"/>
      </w:pPr>
      <w:rPr>
        <w:rFonts w:ascii="Symbol" w:hAnsi="Symbol" w:hint="default"/>
        <w:spacing w:val="-5"/>
        <w:w w:val="100"/>
      </w:rPr>
    </w:lvl>
    <w:lvl w:ilvl="2" w:tplc="56AA4458">
      <w:numFmt w:val="bullet"/>
      <w:lvlText w:val="•"/>
      <w:lvlJc w:val="left"/>
      <w:pPr>
        <w:ind w:left="2489" w:hanging="227"/>
      </w:pPr>
      <w:rPr>
        <w:rFonts w:hint="default"/>
      </w:rPr>
    </w:lvl>
    <w:lvl w:ilvl="3" w:tplc="566CF8A4">
      <w:numFmt w:val="bullet"/>
      <w:lvlText w:val="•"/>
      <w:lvlJc w:val="left"/>
      <w:pPr>
        <w:ind w:left="3339" w:hanging="227"/>
      </w:pPr>
      <w:rPr>
        <w:rFonts w:hint="default"/>
      </w:rPr>
    </w:lvl>
    <w:lvl w:ilvl="4" w:tplc="385EE8E6">
      <w:numFmt w:val="bullet"/>
      <w:lvlText w:val="•"/>
      <w:lvlJc w:val="left"/>
      <w:pPr>
        <w:ind w:left="4188" w:hanging="227"/>
      </w:pPr>
      <w:rPr>
        <w:rFonts w:hint="default"/>
      </w:rPr>
    </w:lvl>
    <w:lvl w:ilvl="5" w:tplc="3C9A4B70">
      <w:numFmt w:val="bullet"/>
      <w:lvlText w:val="•"/>
      <w:lvlJc w:val="left"/>
      <w:pPr>
        <w:ind w:left="5038" w:hanging="227"/>
      </w:pPr>
      <w:rPr>
        <w:rFonts w:hint="default"/>
      </w:rPr>
    </w:lvl>
    <w:lvl w:ilvl="6" w:tplc="9F82E486">
      <w:numFmt w:val="bullet"/>
      <w:lvlText w:val="•"/>
      <w:lvlJc w:val="left"/>
      <w:pPr>
        <w:ind w:left="5887" w:hanging="227"/>
      </w:pPr>
      <w:rPr>
        <w:rFonts w:hint="default"/>
      </w:rPr>
    </w:lvl>
    <w:lvl w:ilvl="7" w:tplc="8F2059C0">
      <w:numFmt w:val="bullet"/>
      <w:lvlText w:val="•"/>
      <w:lvlJc w:val="left"/>
      <w:pPr>
        <w:ind w:left="6737" w:hanging="227"/>
      </w:pPr>
      <w:rPr>
        <w:rFonts w:hint="default"/>
      </w:rPr>
    </w:lvl>
    <w:lvl w:ilvl="8" w:tplc="6FBC07B0">
      <w:numFmt w:val="bullet"/>
      <w:lvlText w:val="•"/>
      <w:lvlJc w:val="left"/>
      <w:pPr>
        <w:ind w:left="7586" w:hanging="227"/>
      </w:pPr>
      <w:rPr>
        <w:rFonts w:hint="default"/>
      </w:rPr>
    </w:lvl>
  </w:abstractNum>
  <w:abstractNum w:abstractNumId="3" w15:restartNumberingAfterBreak="0">
    <w:nsid w:val="55E751D7"/>
    <w:multiLevelType w:val="hybridMultilevel"/>
    <w:tmpl w:val="2DC8AE38"/>
    <w:lvl w:ilvl="0" w:tplc="2A068BDA">
      <w:start w:val="1"/>
      <w:numFmt w:val="decimal"/>
      <w:lvlText w:val="%1."/>
      <w:lvlJc w:val="left"/>
      <w:pPr>
        <w:ind w:left="797" w:hanging="681"/>
      </w:pPr>
      <w:rPr>
        <w:rFonts w:ascii="Open Sans" w:eastAsia="Arial" w:hAnsi="Open Sans" w:cs="Open Sans" w:hint="default"/>
        <w:color w:val="231F20"/>
        <w:spacing w:val="-14"/>
        <w:w w:val="100"/>
        <w:sz w:val="24"/>
        <w:szCs w:val="24"/>
      </w:rPr>
    </w:lvl>
    <w:lvl w:ilvl="1" w:tplc="3F9A8636">
      <w:start w:val="1"/>
      <w:numFmt w:val="lowerLetter"/>
      <w:lvlText w:val="%2)"/>
      <w:lvlJc w:val="left"/>
      <w:pPr>
        <w:ind w:left="1648" w:hanging="227"/>
      </w:pPr>
      <w:rPr>
        <w:rFonts w:hint="default"/>
        <w:caps w:val="0"/>
        <w:smallCaps w:val="0"/>
        <w:strike w:val="0"/>
        <w:dstrike w:val="0"/>
        <w:color w:val="000000"/>
        <w:spacing w:val="0"/>
        <w:w w:val="100"/>
        <w:kern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17">
      <w:start w:val="1"/>
      <w:numFmt w:val="lowerLetter"/>
      <w:lvlText w:val="%3)"/>
      <w:lvlJc w:val="left"/>
      <w:pPr>
        <w:ind w:left="2480" w:hanging="227"/>
      </w:pPr>
      <w:rPr>
        <w:rFonts w:hint="default"/>
      </w:rPr>
    </w:lvl>
    <w:lvl w:ilvl="3" w:tplc="0EF419F4">
      <w:numFmt w:val="bullet"/>
      <w:lvlText w:val="•"/>
      <w:lvlJc w:val="left"/>
      <w:pPr>
        <w:ind w:left="3321" w:hanging="227"/>
      </w:pPr>
      <w:rPr>
        <w:rFonts w:hint="default"/>
      </w:rPr>
    </w:lvl>
    <w:lvl w:ilvl="4" w:tplc="F41ECD4E">
      <w:numFmt w:val="bullet"/>
      <w:lvlText w:val="•"/>
      <w:lvlJc w:val="left"/>
      <w:pPr>
        <w:ind w:left="4161" w:hanging="227"/>
      </w:pPr>
      <w:rPr>
        <w:rFonts w:hint="default"/>
      </w:rPr>
    </w:lvl>
    <w:lvl w:ilvl="5" w:tplc="DD54768C">
      <w:numFmt w:val="bullet"/>
      <w:lvlText w:val="•"/>
      <w:lvlJc w:val="left"/>
      <w:pPr>
        <w:ind w:left="5002" w:hanging="227"/>
      </w:pPr>
      <w:rPr>
        <w:rFonts w:hint="default"/>
      </w:rPr>
    </w:lvl>
    <w:lvl w:ilvl="6" w:tplc="6E60E896">
      <w:numFmt w:val="bullet"/>
      <w:lvlText w:val="•"/>
      <w:lvlJc w:val="left"/>
      <w:pPr>
        <w:ind w:left="5843" w:hanging="227"/>
      </w:pPr>
      <w:rPr>
        <w:rFonts w:hint="default"/>
      </w:rPr>
    </w:lvl>
    <w:lvl w:ilvl="7" w:tplc="468E0412">
      <w:numFmt w:val="bullet"/>
      <w:lvlText w:val="•"/>
      <w:lvlJc w:val="left"/>
      <w:pPr>
        <w:ind w:left="6683" w:hanging="227"/>
      </w:pPr>
      <w:rPr>
        <w:rFonts w:hint="default"/>
      </w:rPr>
    </w:lvl>
    <w:lvl w:ilvl="8" w:tplc="64E05C64">
      <w:numFmt w:val="bullet"/>
      <w:lvlText w:val="•"/>
      <w:lvlJc w:val="left"/>
      <w:pPr>
        <w:ind w:left="7524" w:hanging="227"/>
      </w:pPr>
      <w:rPr>
        <w:rFonts w:hint="default"/>
      </w:rPr>
    </w:lvl>
  </w:abstractNum>
  <w:abstractNum w:abstractNumId="4" w15:restartNumberingAfterBreak="0">
    <w:nsid w:val="79132AD0"/>
    <w:multiLevelType w:val="hybridMultilevel"/>
    <w:tmpl w:val="E4A88994"/>
    <w:lvl w:ilvl="0" w:tplc="7AB4ABA8">
      <w:start w:val="27"/>
      <w:numFmt w:val="bullet"/>
      <w:lvlText w:val="-"/>
      <w:lvlJc w:val="left"/>
      <w:pPr>
        <w:ind w:left="1860" w:hanging="360"/>
      </w:pPr>
      <w:rPr>
        <w:rFonts w:ascii="Arial" w:eastAsia="Times New Roman" w:hAnsi="Arial" w:cs="Aria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29BAAF"/>
    <w:rsid w:val="000433F9"/>
    <w:rsid w:val="00054806"/>
    <w:rsid w:val="00060B9B"/>
    <w:rsid w:val="000A3948"/>
    <w:rsid w:val="000A6645"/>
    <w:rsid w:val="000F1960"/>
    <w:rsid w:val="001011F3"/>
    <w:rsid w:val="00106527"/>
    <w:rsid w:val="001319F4"/>
    <w:rsid w:val="0015766E"/>
    <w:rsid w:val="0016689D"/>
    <w:rsid w:val="00177DBD"/>
    <w:rsid w:val="00187FE1"/>
    <w:rsid w:val="00195197"/>
    <w:rsid w:val="001C4180"/>
    <w:rsid w:val="001C5F9D"/>
    <w:rsid w:val="001D1E63"/>
    <w:rsid w:val="001D4F11"/>
    <w:rsid w:val="001E522B"/>
    <w:rsid w:val="002027D1"/>
    <w:rsid w:val="0020733F"/>
    <w:rsid w:val="00207D05"/>
    <w:rsid w:val="00227839"/>
    <w:rsid w:val="00231F84"/>
    <w:rsid w:val="00233FE8"/>
    <w:rsid w:val="002429D9"/>
    <w:rsid w:val="0024736A"/>
    <w:rsid w:val="00267E95"/>
    <w:rsid w:val="00267F9B"/>
    <w:rsid w:val="00291BD0"/>
    <w:rsid w:val="002B4C5F"/>
    <w:rsid w:val="002C2EFE"/>
    <w:rsid w:val="002E1FC7"/>
    <w:rsid w:val="002F241C"/>
    <w:rsid w:val="00315C90"/>
    <w:rsid w:val="0032155D"/>
    <w:rsid w:val="00332097"/>
    <w:rsid w:val="003B0206"/>
    <w:rsid w:val="003D23CC"/>
    <w:rsid w:val="003D39AA"/>
    <w:rsid w:val="003D482E"/>
    <w:rsid w:val="003F7139"/>
    <w:rsid w:val="004003E5"/>
    <w:rsid w:val="00420B8C"/>
    <w:rsid w:val="00426991"/>
    <w:rsid w:val="00446DC4"/>
    <w:rsid w:val="00453BB1"/>
    <w:rsid w:val="004745F5"/>
    <w:rsid w:val="00477DA1"/>
    <w:rsid w:val="00477DA9"/>
    <w:rsid w:val="00480EBF"/>
    <w:rsid w:val="00485079"/>
    <w:rsid w:val="004B04EF"/>
    <w:rsid w:val="004C043C"/>
    <w:rsid w:val="004F20DD"/>
    <w:rsid w:val="005131E9"/>
    <w:rsid w:val="00516335"/>
    <w:rsid w:val="0052119B"/>
    <w:rsid w:val="00526DB0"/>
    <w:rsid w:val="00527C17"/>
    <w:rsid w:val="00531356"/>
    <w:rsid w:val="00561D10"/>
    <w:rsid w:val="0059064C"/>
    <w:rsid w:val="005A46FB"/>
    <w:rsid w:val="005B1CEF"/>
    <w:rsid w:val="005B74D7"/>
    <w:rsid w:val="005D13CE"/>
    <w:rsid w:val="005D2A60"/>
    <w:rsid w:val="005F2473"/>
    <w:rsid w:val="005F3B68"/>
    <w:rsid w:val="0061169F"/>
    <w:rsid w:val="00680EB6"/>
    <w:rsid w:val="006927F5"/>
    <w:rsid w:val="00694ED0"/>
    <w:rsid w:val="006C30DE"/>
    <w:rsid w:val="006E2279"/>
    <w:rsid w:val="006F1040"/>
    <w:rsid w:val="006F230C"/>
    <w:rsid w:val="006F2B8F"/>
    <w:rsid w:val="00702CA3"/>
    <w:rsid w:val="0070349B"/>
    <w:rsid w:val="007068D2"/>
    <w:rsid w:val="00720C06"/>
    <w:rsid w:val="00727117"/>
    <w:rsid w:val="007315E3"/>
    <w:rsid w:val="007444EA"/>
    <w:rsid w:val="00766F41"/>
    <w:rsid w:val="00780A51"/>
    <w:rsid w:val="007C61AD"/>
    <w:rsid w:val="008148FE"/>
    <w:rsid w:val="008402CA"/>
    <w:rsid w:val="00860A56"/>
    <w:rsid w:val="00863827"/>
    <w:rsid w:val="00882368"/>
    <w:rsid w:val="00891615"/>
    <w:rsid w:val="008B5BE0"/>
    <w:rsid w:val="008E059B"/>
    <w:rsid w:val="008E667B"/>
    <w:rsid w:val="008F0B39"/>
    <w:rsid w:val="00905160"/>
    <w:rsid w:val="009157E1"/>
    <w:rsid w:val="0092014B"/>
    <w:rsid w:val="00952023"/>
    <w:rsid w:val="009762A4"/>
    <w:rsid w:val="00993F51"/>
    <w:rsid w:val="009A6726"/>
    <w:rsid w:val="009F498E"/>
    <w:rsid w:val="00A1036A"/>
    <w:rsid w:val="00A160DC"/>
    <w:rsid w:val="00A220F1"/>
    <w:rsid w:val="00A44BA1"/>
    <w:rsid w:val="00A7566C"/>
    <w:rsid w:val="00AD230D"/>
    <w:rsid w:val="00AF0B41"/>
    <w:rsid w:val="00AF6620"/>
    <w:rsid w:val="00B201DF"/>
    <w:rsid w:val="00B354D1"/>
    <w:rsid w:val="00B727AE"/>
    <w:rsid w:val="00B74779"/>
    <w:rsid w:val="00BA0BD2"/>
    <w:rsid w:val="00BA3E37"/>
    <w:rsid w:val="00BC23B0"/>
    <w:rsid w:val="00BE6AF2"/>
    <w:rsid w:val="00BE72BA"/>
    <w:rsid w:val="00C05418"/>
    <w:rsid w:val="00C074C0"/>
    <w:rsid w:val="00C1471C"/>
    <w:rsid w:val="00C41CAB"/>
    <w:rsid w:val="00C44BF7"/>
    <w:rsid w:val="00C44D37"/>
    <w:rsid w:val="00C52D51"/>
    <w:rsid w:val="00C7581B"/>
    <w:rsid w:val="00C75A48"/>
    <w:rsid w:val="00C83BC9"/>
    <w:rsid w:val="00C9559E"/>
    <w:rsid w:val="00CC2809"/>
    <w:rsid w:val="00CD7E98"/>
    <w:rsid w:val="00CE3A1A"/>
    <w:rsid w:val="00CF35F1"/>
    <w:rsid w:val="00D022D0"/>
    <w:rsid w:val="00D04A47"/>
    <w:rsid w:val="00D25584"/>
    <w:rsid w:val="00D2691A"/>
    <w:rsid w:val="00D26BBB"/>
    <w:rsid w:val="00D4519A"/>
    <w:rsid w:val="00D6612B"/>
    <w:rsid w:val="00D8017C"/>
    <w:rsid w:val="00DA11D0"/>
    <w:rsid w:val="00DB219E"/>
    <w:rsid w:val="00DC4D21"/>
    <w:rsid w:val="00DE7449"/>
    <w:rsid w:val="00E14CBD"/>
    <w:rsid w:val="00E3397D"/>
    <w:rsid w:val="00E5625F"/>
    <w:rsid w:val="00E57033"/>
    <w:rsid w:val="00E64E53"/>
    <w:rsid w:val="00E84A2D"/>
    <w:rsid w:val="00EA0E8C"/>
    <w:rsid w:val="00EB1E09"/>
    <w:rsid w:val="00EC1CF4"/>
    <w:rsid w:val="00EC6A97"/>
    <w:rsid w:val="00F053B4"/>
    <w:rsid w:val="00F13A7A"/>
    <w:rsid w:val="00F33A38"/>
    <w:rsid w:val="00F51B6B"/>
    <w:rsid w:val="00F8282D"/>
    <w:rsid w:val="00F90AFB"/>
    <w:rsid w:val="00F92305"/>
    <w:rsid w:val="00FA134C"/>
    <w:rsid w:val="00FA4802"/>
    <w:rsid w:val="00FB4D1D"/>
    <w:rsid w:val="00FB6FC6"/>
    <w:rsid w:val="00FB77A8"/>
    <w:rsid w:val="00FC16B0"/>
    <w:rsid w:val="00FC4C1E"/>
    <w:rsid w:val="00FC75DF"/>
    <w:rsid w:val="00FD1697"/>
    <w:rsid w:val="4529BA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9BAAF"/>
  <w15:chartTrackingRefBased/>
  <w15:docId w15:val="{0EA28238-08F1-4556-A87D-434E89736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20C06"/>
    <w:pPr>
      <w:spacing w:after="0" w:line="240" w:lineRule="auto"/>
    </w:pPr>
    <w:rPr>
      <w:rFonts w:ascii="Open Sans" w:eastAsia="Times New Roman" w:hAnsi="Open Sans" w:cs="Times New Roman"/>
      <w:spacing w:val="-5"/>
      <w:sz w:val="24"/>
      <w:szCs w:val="20"/>
      <w:lang w:val="en-AU"/>
    </w:rPr>
  </w:style>
  <w:style w:type="paragraph" w:styleId="Titolo1">
    <w:name w:val="heading 1"/>
    <w:basedOn w:val="Normale"/>
    <w:next w:val="Normale"/>
    <w:link w:val="Titolo1Carattere"/>
    <w:qFormat/>
    <w:rsid w:val="000433F9"/>
    <w:pPr>
      <w:keepNext/>
      <w:keepLines/>
      <w:spacing w:before="360"/>
      <w:outlineLvl w:val="0"/>
    </w:pPr>
    <w:rPr>
      <w:rFonts w:eastAsiaTheme="majorEastAsia" w:cstheme="majorBidi"/>
      <w:b/>
      <w:sz w:val="28"/>
      <w:szCs w:val="32"/>
    </w:rPr>
  </w:style>
  <w:style w:type="paragraph" w:styleId="Titolo2">
    <w:name w:val="heading 2"/>
    <w:basedOn w:val="Titolo1"/>
    <w:next w:val="Normale"/>
    <w:link w:val="Titolo2Carattere"/>
    <w:qFormat/>
    <w:rsid w:val="00C05418"/>
    <w:pPr>
      <w:spacing w:before="40"/>
      <w:outlineLvl w:val="1"/>
    </w:pPr>
    <w:rPr>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433F9"/>
    <w:rPr>
      <w:rFonts w:ascii="Arial" w:eastAsiaTheme="majorEastAsia" w:hAnsi="Arial" w:cstheme="majorBidi"/>
      <w:b/>
      <w:spacing w:val="-5"/>
      <w:sz w:val="28"/>
      <w:szCs w:val="32"/>
      <w:lang w:val="en-AU"/>
    </w:rPr>
  </w:style>
  <w:style w:type="character" w:customStyle="1" w:styleId="Titolo2Carattere">
    <w:name w:val="Titolo 2 Carattere"/>
    <w:basedOn w:val="Carpredefinitoparagrafo"/>
    <w:link w:val="Titolo2"/>
    <w:rsid w:val="00C05418"/>
    <w:rPr>
      <w:rFonts w:ascii="Open Sans" w:eastAsiaTheme="majorEastAsia" w:hAnsi="Open Sans" w:cstheme="majorBidi"/>
      <w:b/>
      <w:color w:val="2F5496" w:themeColor="accent1" w:themeShade="BF"/>
      <w:spacing w:val="-5"/>
      <w:sz w:val="26"/>
      <w:szCs w:val="26"/>
      <w:lang w:val="en-AU"/>
    </w:rPr>
  </w:style>
  <w:style w:type="paragraph" w:styleId="Pidipagina">
    <w:name w:val="footer"/>
    <w:basedOn w:val="Normale"/>
    <w:link w:val="PidipaginaCarattere"/>
    <w:uiPriority w:val="99"/>
    <w:rsid w:val="000433F9"/>
    <w:pPr>
      <w:tabs>
        <w:tab w:val="center" w:pos="4513"/>
        <w:tab w:val="right" w:pos="9026"/>
      </w:tabs>
      <w:jc w:val="right"/>
    </w:pPr>
    <w:rPr>
      <w:sz w:val="22"/>
    </w:rPr>
  </w:style>
  <w:style w:type="character" w:customStyle="1" w:styleId="PidipaginaCarattere">
    <w:name w:val="Piè di pagina Carattere"/>
    <w:basedOn w:val="Carpredefinitoparagrafo"/>
    <w:link w:val="Pidipagina"/>
    <w:uiPriority w:val="99"/>
    <w:rsid w:val="000433F9"/>
    <w:rPr>
      <w:rFonts w:ascii="Arial" w:eastAsia="Times New Roman" w:hAnsi="Arial" w:cs="Times New Roman"/>
      <w:spacing w:val="-5"/>
      <w:szCs w:val="20"/>
      <w:lang w:val="en-AU"/>
    </w:rPr>
  </w:style>
  <w:style w:type="paragraph" w:styleId="Sommario3">
    <w:name w:val="toc 3"/>
    <w:basedOn w:val="Normale"/>
    <w:next w:val="Normale"/>
    <w:autoRedefine/>
    <w:uiPriority w:val="39"/>
    <w:qFormat/>
    <w:rsid w:val="000433F9"/>
    <w:pPr>
      <w:widowControl w:val="0"/>
      <w:spacing w:before="240" w:after="240" w:line="300" w:lineRule="exact"/>
      <w:ind w:left="1418"/>
    </w:pPr>
    <w:rPr>
      <w:rFonts w:eastAsia="MS Mincho" w:cs="Open Sans"/>
      <w:noProof/>
      <w:sz w:val="22"/>
      <w:szCs w:val="22"/>
    </w:rPr>
  </w:style>
  <w:style w:type="paragraph" w:styleId="Sommario1">
    <w:name w:val="toc 1"/>
    <w:basedOn w:val="Normale"/>
    <w:next w:val="Normale"/>
    <w:autoRedefine/>
    <w:uiPriority w:val="39"/>
    <w:qFormat/>
    <w:rsid w:val="00FD1697"/>
    <w:pPr>
      <w:tabs>
        <w:tab w:val="right" w:leader="dot" w:pos="9060"/>
      </w:tabs>
      <w:ind w:left="720" w:hanging="720"/>
    </w:pPr>
    <w:rPr>
      <w:b/>
    </w:rPr>
  </w:style>
  <w:style w:type="paragraph" w:styleId="Sommario2">
    <w:name w:val="toc 2"/>
    <w:basedOn w:val="Normale"/>
    <w:next w:val="Normale"/>
    <w:autoRedefine/>
    <w:uiPriority w:val="39"/>
    <w:qFormat/>
    <w:rsid w:val="00FD1697"/>
    <w:pPr>
      <w:ind w:left="1440" w:hanging="720"/>
    </w:pPr>
    <w:rPr>
      <w:b/>
      <w:i/>
    </w:rPr>
  </w:style>
  <w:style w:type="character" w:styleId="Collegamentoipertestuale">
    <w:name w:val="Hyperlink"/>
    <w:basedOn w:val="Carpredefinitoparagrafo"/>
    <w:uiPriority w:val="99"/>
    <w:rsid w:val="00EC6A97"/>
    <w:rPr>
      <w:rFonts w:cs="Times New Roman"/>
      <w:color w:val="4472C4" w:themeColor="accent1"/>
      <w:u w:val="none"/>
    </w:rPr>
  </w:style>
  <w:style w:type="paragraph" w:styleId="Titolosommario">
    <w:name w:val="TOC Heading"/>
    <w:basedOn w:val="Normale"/>
    <w:next w:val="Normale"/>
    <w:uiPriority w:val="39"/>
    <w:qFormat/>
    <w:rsid w:val="000433F9"/>
    <w:rPr>
      <w:b/>
      <w:sz w:val="28"/>
      <w:lang w:val="en-US"/>
    </w:rPr>
  </w:style>
  <w:style w:type="paragraph" w:styleId="Testonotadichiusura">
    <w:name w:val="endnote text"/>
    <w:basedOn w:val="Normale"/>
    <w:link w:val="TestonotadichiusuraCarattere"/>
    <w:uiPriority w:val="99"/>
    <w:rsid w:val="000433F9"/>
  </w:style>
  <w:style w:type="character" w:customStyle="1" w:styleId="TestonotadichiusuraCarattere">
    <w:name w:val="Testo nota di chiusura Carattere"/>
    <w:basedOn w:val="Carpredefinitoparagrafo"/>
    <w:link w:val="Testonotadichiusura"/>
    <w:uiPriority w:val="99"/>
    <w:rsid w:val="000433F9"/>
    <w:rPr>
      <w:rFonts w:ascii="Arial" w:eastAsia="Times New Roman" w:hAnsi="Arial" w:cs="Times New Roman"/>
      <w:spacing w:val="-5"/>
      <w:sz w:val="24"/>
      <w:szCs w:val="20"/>
      <w:lang w:val="en-AU"/>
    </w:rPr>
  </w:style>
  <w:style w:type="character" w:styleId="Rimandonotadichiusura">
    <w:name w:val="endnote reference"/>
    <w:basedOn w:val="Carpredefinitoparagrafo"/>
    <w:rsid w:val="000433F9"/>
    <w:rPr>
      <w:rFonts w:ascii="Arial" w:hAnsi="Arial" w:cs="Times New Roman"/>
      <w:sz w:val="20"/>
      <w:vertAlign w:val="superscript"/>
    </w:rPr>
  </w:style>
  <w:style w:type="character" w:styleId="Enfasicorsivo">
    <w:name w:val="Emphasis"/>
    <w:basedOn w:val="Carpredefinitoparagrafo"/>
    <w:uiPriority w:val="99"/>
    <w:qFormat/>
    <w:rsid w:val="000433F9"/>
    <w:rPr>
      <w:rFonts w:cs="Times New Roman"/>
      <w:i/>
      <w:iCs/>
    </w:rPr>
  </w:style>
  <w:style w:type="paragraph" w:styleId="Paragrafoelenco">
    <w:name w:val="List Paragraph"/>
    <w:basedOn w:val="Normale"/>
    <w:uiPriority w:val="1"/>
    <w:qFormat/>
    <w:rsid w:val="000433F9"/>
    <w:pPr>
      <w:ind w:left="720"/>
      <w:contextualSpacing/>
    </w:pPr>
  </w:style>
  <w:style w:type="paragraph" w:customStyle="1" w:styleId="ListParaNumbered">
    <w:name w:val="List Para Numbered"/>
    <w:basedOn w:val="Normale"/>
    <w:uiPriority w:val="99"/>
    <w:rsid w:val="000433F9"/>
    <w:pPr>
      <w:keepLines/>
      <w:widowControl w:val="0"/>
      <w:tabs>
        <w:tab w:val="num" w:pos="680"/>
      </w:tabs>
      <w:suppressAutoHyphens/>
      <w:autoSpaceDE w:val="0"/>
      <w:autoSpaceDN w:val="0"/>
      <w:adjustRightInd w:val="0"/>
      <w:spacing w:after="200" w:line="288" w:lineRule="auto"/>
      <w:ind w:left="680" w:hanging="680"/>
      <w:textAlignment w:val="center"/>
    </w:pPr>
    <w:rPr>
      <w:rFonts w:eastAsia="MS Mincho" w:cs="HelveticaNeue"/>
      <w:color w:val="000000"/>
      <w:spacing w:val="0"/>
      <w:szCs w:val="17"/>
      <w:lang w:val="en-US" w:eastAsia="en-AU"/>
    </w:rPr>
  </w:style>
  <w:style w:type="paragraph" w:customStyle="1" w:styleId="CopyrightText">
    <w:name w:val="Copyright Text"/>
    <w:basedOn w:val="Normale"/>
    <w:uiPriority w:val="99"/>
    <w:rsid w:val="00446DC4"/>
    <w:pPr>
      <w:widowControl w:val="0"/>
      <w:tabs>
        <w:tab w:val="left" w:pos="170"/>
      </w:tabs>
      <w:suppressAutoHyphens/>
      <w:autoSpaceDE w:val="0"/>
      <w:autoSpaceDN w:val="0"/>
      <w:adjustRightInd w:val="0"/>
      <w:spacing w:after="57" w:line="288" w:lineRule="auto"/>
      <w:textAlignment w:val="center"/>
    </w:pPr>
    <w:rPr>
      <w:rFonts w:eastAsiaTheme="minorEastAsia" w:cs="HelveticaCYPlain"/>
      <w:spacing w:val="0"/>
      <w:sz w:val="20"/>
      <w:szCs w:val="16"/>
      <w:u w:color="000000"/>
      <w:lang w:val="it-IT" w:eastAsia="en-AU"/>
    </w:rPr>
  </w:style>
  <w:style w:type="paragraph" w:customStyle="1" w:styleId="InternalTitleBold">
    <w:name w:val="Internal Title Bold"/>
    <w:basedOn w:val="Normale"/>
    <w:uiPriority w:val="99"/>
    <w:rsid w:val="00446DC4"/>
    <w:pPr>
      <w:keepNext/>
      <w:widowControl w:val="0"/>
      <w:tabs>
        <w:tab w:val="left" w:pos="567"/>
      </w:tabs>
      <w:suppressAutoHyphens/>
      <w:autoSpaceDE w:val="0"/>
      <w:autoSpaceDN w:val="0"/>
      <w:adjustRightInd w:val="0"/>
      <w:spacing w:after="283" w:line="400" w:lineRule="atLeast"/>
      <w:textAlignment w:val="center"/>
    </w:pPr>
    <w:rPr>
      <w:rFonts w:ascii="HelveticaCYBold" w:eastAsiaTheme="minorEastAsia" w:hAnsi="HelveticaCYBold" w:cs="HelveticaCYBold"/>
      <w:b/>
      <w:bCs/>
      <w:color w:val="4C4C4C"/>
      <w:spacing w:val="0"/>
      <w:sz w:val="36"/>
      <w:szCs w:val="36"/>
      <w:lang w:eastAsia="en-AU"/>
    </w:rPr>
  </w:style>
  <w:style w:type="paragraph" w:customStyle="1" w:styleId="InternalSubTitlePlain">
    <w:name w:val="Internal Sub Title Plain"/>
    <w:basedOn w:val="Normale"/>
    <w:uiPriority w:val="99"/>
    <w:rsid w:val="00446DC4"/>
    <w:pPr>
      <w:keepNext/>
      <w:widowControl w:val="0"/>
      <w:tabs>
        <w:tab w:val="left" w:pos="567"/>
      </w:tabs>
      <w:suppressAutoHyphens/>
      <w:autoSpaceDE w:val="0"/>
      <w:autoSpaceDN w:val="0"/>
      <w:adjustRightInd w:val="0"/>
      <w:spacing w:after="850" w:line="360" w:lineRule="atLeast"/>
      <w:textAlignment w:val="center"/>
    </w:pPr>
    <w:rPr>
      <w:rFonts w:ascii="HelveticaCYPlain" w:eastAsiaTheme="minorEastAsia" w:hAnsi="HelveticaCYPlain" w:cs="HelveticaCYPlain"/>
      <w:color w:val="4C4C4C"/>
      <w:spacing w:val="0"/>
      <w:sz w:val="32"/>
      <w:szCs w:val="32"/>
      <w:lang w:eastAsia="en-AU"/>
    </w:rPr>
  </w:style>
  <w:style w:type="paragraph" w:styleId="Testofumetto">
    <w:name w:val="Balloon Text"/>
    <w:basedOn w:val="Normale"/>
    <w:link w:val="TestofumettoCarattere"/>
    <w:uiPriority w:val="99"/>
    <w:semiHidden/>
    <w:unhideWhenUsed/>
    <w:rsid w:val="001011F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011F3"/>
    <w:rPr>
      <w:rFonts w:ascii="Segoe UI" w:eastAsia="Times New Roman" w:hAnsi="Segoe UI" w:cs="Segoe UI"/>
      <w:spacing w:val="-5"/>
      <w:sz w:val="18"/>
      <w:szCs w:val="18"/>
      <w:lang w:val="en-AU"/>
    </w:rPr>
  </w:style>
  <w:style w:type="paragraph" w:styleId="Intestazione">
    <w:name w:val="header"/>
    <w:basedOn w:val="Normale"/>
    <w:link w:val="IntestazioneCarattere"/>
    <w:uiPriority w:val="99"/>
    <w:unhideWhenUsed/>
    <w:rsid w:val="00BA3E37"/>
    <w:pPr>
      <w:tabs>
        <w:tab w:val="center" w:pos="4513"/>
        <w:tab w:val="right" w:pos="9026"/>
      </w:tabs>
    </w:pPr>
  </w:style>
  <w:style w:type="character" w:customStyle="1" w:styleId="IntestazioneCarattere">
    <w:name w:val="Intestazione Carattere"/>
    <w:basedOn w:val="Carpredefinitoparagrafo"/>
    <w:link w:val="Intestazione"/>
    <w:uiPriority w:val="99"/>
    <w:rsid w:val="00BA3E37"/>
    <w:rPr>
      <w:rFonts w:ascii="Arial" w:eastAsia="Times New Roman" w:hAnsi="Arial" w:cs="Times New Roman"/>
      <w:spacing w:val="-5"/>
      <w:sz w:val="24"/>
      <w:szCs w:val="20"/>
      <w:lang w:val="en-AU"/>
    </w:rPr>
  </w:style>
  <w:style w:type="character" w:styleId="Rimandocommento">
    <w:name w:val="annotation reference"/>
    <w:basedOn w:val="Carpredefinitoparagrafo"/>
    <w:uiPriority w:val="99"/>
    <w:semiHidden/>
    <w:unhideWhenUsed/>
    <w:rsid w:val="00A7566C"/>
    <w:rPr>
      <w:sz w:val="16"/>
      <w:szCs w:val="16"/>
    </w:rPr>
  </w:style>
  <w:style w:type="paragraph" w:styleId="Testocommento">
    <w:name w:val="annotation text"/>
    <w:basedOn w:val="Normale"/>
    <w:link w:val="TestocommentoCarattere"/>
    <w:uiPriority w:val="99"/>
    <w:semiHidden/>
    <w:unhideWhenUsed/>
    <w:rsid w:val="00A7566C"/>
    <w:rPr>
      <w:sz w:val="20"/>
    </w:rPr>
  </w:style>
  <w:style w:type="character" w:customStyle="1" w:styleId="TestocommentoCarattere">
    <w:name w:val="Testo commento Carattere"/>
    <w:basedOn w:val="Carpredefinitoparagrafo"/>
    <w:link w:val="Testocommento"/>
    <w:uiPriority w:val="99"/>
    <w:semiHidden/>
    <w:rsid w:val="00A7566C"/>
    <w:rPr>
      <w:rFonts w:ascii="Arial" w:eastAsia="Times New Roman" w:hAnsi="Arial" w:cs="Times New Roman"/>
      <w:spacing w:val="-5"/>
      <w:sz w:val="20"/>
      <w:szCs w:val="20"/>
      <w:lang w:val="en-AU"/>
    </w:rPr>
  </w:style>
  <w:style w:type="paragraph" w:styleId="Soggettocommento">
    <w:name w:val="annotation subject"/>
    <w:basedOn w:val="Testocommento"/>
    <w:next w:val="Testocommento"/>
    <w:link w:val="SoggettocommentoCarattere"/>
    <w:uiPriority w:val="99"/>
    <w:semiHidden/>
    <w:unhideWhenUsed/>
    <w:rsid w:val="00A7566C"/>
    <w:rPr>
      <w:b/>
      <w:bCs/>
    </w:rPr>
  </w:style>
  <w:style w:type="character" w:customStyle="1" w:styleId="SoggettocommentoCarattere">
    <w:name w:val="Soggetto commento Carattere"/>
    <w:basedOn w:val="TestocommentoCarattere"/>
    <w:link w:val="Soggettocommento"/>
    <w:uiPriority w:val="99"/>
    <w:semiHidden/>
    <w:rsid w:val="00A7566C"/>
    <w:rPr>
      <w:rFonts w:ascii="Arial" w:eastAsia="Times New Roman" w:hAnsi="Arial" w:cs="Times New Roman"/>
      <w:b/>
      <w:bCs/>
      <w:spacing w:val="-5"/>
      <w:sz w:val="20"/>
      <w:szCs w:val="20"/>
      <w:lang w:val="en-AU"/>
    </w:rPr>
  </w:style>
  <w:style w:type="character" w:customStyle="1" w:styleId="Bold">
    <w:name w:val="Bold"/>
    <w:uiPriority w:val="99"/>
    <w:rsid w:val="00720C06"/>
    <w:rPr>
      <w:rFonts w:ascii="Open Sans" w:hAnsi="Open Sans" w:cs="Open Sans"/>
      <w:b/>
      <w:bCs/>
    </w:rPr>
  </w:style>
  <w:style w:type="character" w:styleId="Menzionenonrisolta">
    <w:name w:val="Unresolved Mention"/>
    <w:basedOn w:val="Carpredefinitoparagrafo"/>
    <w:uiPriority w:val="99"/>
    <w:semiHidden/>
    <w:unhideWhenUsed/>
    <w:rsid w:val="00720C06"/>
    <w:rPr>
      <w:color w:val="605E5C"/>
      <w:shd w:val="clear" w:color="auto" w:fill="E1DFDD"/>
    </w:rPr>
  </w:style>
  <w:style w:type="paragraph" w:customStyle="1" w:styleId="MasterFooter">
    <w:name w:val="Master Footer"/>
    <w:basedOn w:val="Normale"/>
    <w:uiPriority w:val="99"/>
    <w:rsid w:val="002C2EFE"/>
    <w:pPr>
      <w:suppressAutoHyphens/>
      <w:autoSpaceDE w:val="0"/>
      <w:autoSpaceDN w:val="0"/>
      <w:adjustRightInd w:val="0"/>
      <w:spacing w:line="288" w:lineRule="auto"/>
      <w:jc w:val="right"/>
      <w:textAlignment w:val="center"/>
    </w:pPr>
    <w:rPr>
      <w:rFonts w:eastAsiaTheme="minorHAnsi" w:cs="Open Sans"/>
      <w:color w:val="000000"/>
      <w:spacing w:val="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communications@humanrights.gov.au" TargetMode="Externa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500fe01-343b-4fb9-a1b0-68ac19d62e01">AHRC-5382029-10307</_dlc_DocId>
    <_dlc_DocIdUrl xmlns="6500fe01-343b-4fb9-a1b0-68ac19d62e01">
      <Url>https://australianhrc.sharepoint.com/sites/LegalServicesWorkspace/_layouts/15/DocIdRedir.aspx?ID=AHRC-5382029-10307</Url>
      <Description>AHRC-5382029-10307</Description>
    </_dlc_DocIdUrl>
    <PublishedonAHRCwebsite xmlns="0544bb73-b9b2-4315-b463-f353efb89b0b">true</PublishedonAHRCwebsite>
    <Divider xmlns="6500fe01-343b-4fb9-a1b0-68ac19d62e01">Reports</Divider>
    <TaxCatchAll xmlns="6500fe01-343b-4fb9-a1b0-68ac19d62e01"/>
    <Reportstatus xmlns="0544bb73-b9b2-4315-b463-f353efb89b0b" xsi:nil="true"/>
    <Report_x0020_No_x002e_ xmlns="0544bb73-b9b2-4315-b463-f353efb89b0b">136</Report_x0020_No_x002e_>
    <TaxKeywordTaxHTField xmlns="6500fe01-343b-4fb9-a1b0-68ac19d62e01">
      <Terms xmlns="http://schemas.microsoft.com/office/infopath/2007/PartnerControls"/>
    </TaxKeywordTaxHTField>
    <Tabled xmlns="0544bb73-b9b2-4315-b463-f353efb89b0b" xsi:nil="true"/>
    <Tablingdate xmlns="0544bb73-b9b2-4315-b463-f353efb89b0b" xsi:nil="true"/>
    <Subdivider xmlns="57f1fb52-79b9-4278-9d54-1e5db41bfcda" xsi:nil="true"/>
    <Transmissiondate xmlns="0544bb73-b9b2-4315-b463-f353efb89b0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58FDF5B15A5C74091762EB145641BD2" ma:contentTypeVersion="929" ma:contentTypeDescription="Create a new document." ma:contentTypeScope="" ma:versionID="5192ad04e4cc5d5fc9bcb61ce0bf9d43">
  <xsd:schema xmlns:xsd="http://www.w3.org/2001/XMLSchema" xmlns:xs="http://www.w3.org/2001/XMLSchema" xmlns:p="http://schemas.microsoft.com/office/2006/metadata/properties" xmlns:ns2="0544bb73-b9b2-4315-b463-f353efb89b0b" xmlns:ns3="6500fe01-343b-4fb9-a1b0-68ac19d62e01" xmlns:ns4="57f1fb52-79b9-4278-9d54-1e5db41bfcda" xmlns:ns5="ccf9782b-c747-4be8-886f-341168625564" targetNamespace="http://schemas.microsoft.com/office/2006/metadata/properties" ma:root="true" ma:fieldsID="2eb4585164107e2f905e785de804fa43" ns2:_="" ns3:_="" ns4:_="" ns5:_="">
    <xsd:import namespace="0544bb73-b9b2-4315-b463-f353efb89b0b"/>
    <xsd:import namespace="6500fe01-343b-4fb9-a1b0-68ac19d62e01"/>
    <xsd:import namespace="57f1fb52-79b9-4278-9d54-1e5db41bfcda"/>
    <xsd:import namespace="ccf9782b-c747-4be8-886f-341168625564"/>
    <xsd:element name="properties">
      <xsd:complexType>
        <xsd:sequence>
          <xsd:element name="documentManagement">
            <xsd:complexType>
              <xsd:all>
                <xsd:element ref="ns2:Report_x0020_No_x002e_" minOccurs="0"/>
                <xsd:element ref="ns3:Divider" minOccurs="0"/>
                <xsd:element ref="ns4:Subdivider" minOccurs="0"/>
                <xsd:element ref="ns3:TaxCatchAll" minOccurs="0"/>
                <xsd:element ref="ns3:TaxCatchAllLabel" minOccurs="0"/>
                <xsd:element ref="ns3:_dlc_DocId" minOccurs="0"/>
                <xsd:element ref="ns3:_dlc_DocIdUrl" minOccurs="0"/>
                <xsd:element ref="ns3:_dlc_DocIdPersistId"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4:SharedWithUsers" minOccurs="0"/>
                <xsd:element ref="ns4:SharedWithDetails" minOccurs="0"/>
                <xsd:element ref="ns3:TaxKeywordTaxHTField" minOccurs="0"/>
                <xsd:element ref="ns2:Tabled" minOccurs="0"/>
                <xsd:element ref="ns2:Reportstatus" minOccurs="0"/>
                <xsd:element ref="ns2:PublishedonAHRCwebsite" minOccurs="0"/>
                <xsd:element ref="ns2:Transmissiondate" minOccurs="0"/>
                <xsd:element ref="ns2:Tablingdat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4bb73-b9b2-4315-b463-f353efb89b0b" elementFormDefault="qualified">
    <xsd:import namespace="http://schemas.microsoft.com/office/2006/documentManagement/types"/>
    <xsd:import namespace="http://schemas.microsoft.com/office/infopath/2007/PartnerControls"/>
    <xsd:element name="Report_x0020_No_x002e_" ma:index="1" nillable="true" ma:displayName="Report No." ma:internalName="Report_x0020_No_x002e_">
      <xsd:simpleType>
        <xsd:restriction base="dms:Number"/>
      </xsd:simpleType>
    </xsd:element>
    <xsd:element name="Tabled" ma:index="28" nillable="true" ma:displayName="Tabled" ma:format="Dropdown" ma:internalName="Tabled">
      <xsd:simpleType>
        <xsd:restriction base="dms:Choice">
          <xsd:enumeration value="Yes"/>
          <xsd:enumeration value="No - new act"/>
          <xsd:enumeration value="Pending"/>
        </xsd:restriction>
      </xsd:simpleType>
    </xsd:element>
    <xsd:element name="Reportstatus" ma:index="29" nillable="true" ma:displayName="Report status" ma:format="Dropdown" ma:internalName="Reportstatus">
      <xsd:simpleType>
        <xsd:restriction base="dms:Choice">
          <xsd:enumeration value="Approval from President"/>
          <xsd:enumeration value="Received final proof from desktopper"/>
          <xsd:enumeration value="Sent to printer"/>
          <xsd:enumeration value="Transmitted to Attorney-General"/>
        </xsd:restriction>
      </xsd:simpleType>
    </xsd:element>
    <xsd:element name="PublishedonAHRCwebsite" ma:index="30" nillable="true" ma:displayName="Published on AHRC website" ma:default="1" ma:format="Dropdown" ma:internalName="PublishedonAHRCwebsite">
      <xsd:simpleType>
        <xsd:restriction base="dms:Boolean"/>
      </xsd:simpleType>
    </xsd:element>
    <xsd:element name="Transmissiondate" ma:index="31" nillable="true" ma:displayName="Transmission date" ma:format="DateOnly" ma:internalName="Transmissiondate">
      <xsd:simpleType>
        <xsd:restriction base="dms:DateTime"/>
      </xsd:simpleType>
    </xsd:element>
    <xsd:element name="Tablingdate" ma:index="32" nillable="true" ma:displayName="Tabling date" ma:format="DateOnly" ma:internalName="Tablingdate">
      <xsd:simpleType>
        <xsd:restriction base="dms:DateTim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975c5ac6-a0cc-43ed-b850-4a2ae59237b6" ContentTypeId="0x0101" PreviousValue="false"/>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894A7563-5C78-4CAA-A153-87019EEC56F8}">
  <ds:schemaRefs>
    <ds:schemaRef ds:uri="http://schemas.microsoft.com/office/2006/metadata/properties"/>
    <ds:schemaRef ds:uri="http://schemas.microsoft.com/office/infopath/2007/PartnerControls"/>
    <ds:schemaRef ds:uri="6500fe01-343b-4fb9-a1b0-68ac19d62e01"/>
    <ds:schemaRef ds:uri="0544bb73-b9b2-4315-b463-f353efb89b0b"/>
    <ds:schemaRef ds:uri="57f1fb52-79b9-4278-9d54-1e5db41bfcda"/>
  </ds:schemaRefs>
</ds:datastoreItem>
</file>

<file path=customXml/itemProps2.xml><?xml version="1.0" encoding="utf-8"?>
<ds:datastoreItem xmlns:ds="http://schemas.openxmlformats.org/officeDocument/2006/customXml" ds:itemID="{F2EA685B-C401-F142-A459-FB8B9A176703}">
  <ds:schemaRefs>
    <ds:schemaRef ds:uri="http://schemas.openxmlformats.org/officeDocument/2006/bibliography"/>
  </ds:schemaRefs>
</ds:datastoreItem>
</file>

<file path=customXml/itemProps3.xml><?xml version="1.0" encoding="utf-8"?>
<ds:datastoreItem xmlns:ds="http://schemas.openxmlformats.org/officeDocument/2006/customXml" ds:itemID="{B7C465B3-BBE4-4B1A-A543-56666BE23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4bb73-b9b2-4315-b463-f353efb89b0b"/>
    <ds:schemaRef ds:uri="6500fe01-343b-4fb9-a1b0-68ac19d62e01"/>
    <ds:schemaRef ds:uri="57f1fb52-79b9-4278-9d54-1e5db41bfcda"/>
    <ds:schemaRef ds:uri="ccf9782b-c747-4be8-886f-34116862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92CF39-FDE5-4E33-9DDC-4CAD887114AA}">
  <ds:schemaRefs>
    <ds:schemaRef ds:uri="http://schemas.microsoft.com/sharepoint/v3/contenttype/forms"/>
  </ds:schemaRefs>
</ds:datastoreItem>
</file>

<file path=customXml/itemProps5.xml><?xml version="1.0" encoding="utf-8"?>
<ds:datastoreItem xmlns:ds="http://schemas.openxmlformats.org/officeDocument/2006/customXml" ds:itemID="{5A3E3B4F-2D27-4E79-9D6E-F918C86B2A7C}">
  <ds:schemaRefs>
    <ds:schemaRef ds:uri="http://schemas.microsoft.com/sharepoint/events"/>
  </ds:schemaRefs>
</ds:datastoreItem>
</file>

<file path=customXml/itemProps6.xml><?xml version="1.0" encoding="utf-8"?>
<ds:datastoreItem xmlns:ds="http://schemas.openxmlformats.org/officeDocument/2006/customXml" ds:itemID="{427B3C49-8EAA-434D-8218-C34FFBD8ACC9}">
  <ds:schemaRefs>
    <ds:schemaRef ds:uri="Microsoft.SharePoint.Taxonomy.ContentTypeSync"/>
  </ds:schemaRefs>
</ds:datastoreItem>
</file>

<file path=customXml/itemProps7.xml><?xml version="1.0" encoding="utf-8"?>
<ds:datastoreItem xmlns:ds="http://schemas.openxmlformats.org/officeDocument/2006/customXml" ds:itemID="{EBD4C696-95AC-4D1D-A83A-442A25401293}">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30</Pages>
  <Words>8036</Words>
  <Characters>45811</Characters>
  <Application>Microsoft Office Word</Application>
  <DocSecurity>0</DocSecurity>
  <Lines>381</Lines>
  <Paragraphs>107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Xu</dc:creator>
  <cp:keywords/>
  <dc:description/>
  <cp:lastModifiedBy>Jo Stocovaz</cp:lastModifiedBy>
  <cp:revision>17</cp:revision>
  <dcterms:created xsi:type="dcterms:W3CDTF">2020-08-13T10:05:00Z</dcterms:created>
  <dcterms:modified xsi:type="dcterms:W3CDTF">2020-09-09T07:01:00Z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0x010100258FDF5B15A5C74091762EB145641BD2</vt:lpwstr>
  </property>
  <property fmtid="{D5CDD505-2E9C-101B-9397-08002B2CF9AE}" pid="3" name="_dlc_DocIdItemGuid">
    <vt:lpwstr>97ebafaf-ff46-41b4-a338-688d5b27be07</vt:lpwstr>
  </property>
  <property fmtid="{D5CDD505-2E9C-101B-9397-08002B2CF9AE}" pid="4" name="TaxKeyword">
    <vt:lpwstr/>
  </property>
</Properties>
</file>