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D9" w:rsidRDefault="00853116">
      <w:bookmarkStart w:id="0" w:name="_GoBack"/>
      <w:bookmarkEnd w:id="0"/>
      <w:r>
        <w:rPr>
          <w:noProof/>
          <w:lang w:eastAsia="en-AU"/>
        </w:rPr>
        <w:drawing>
          <wp:anchor distT="0" distB="0" distL="114300" distR="114300" simplePos="0" relativeHeight="251658240" behindDoc="1" locked="0" layoutInCell="1" allowOverlap="1" wp14:anchorId="6FD207DC" wp14:editId="0E4B4414">
            <wp:simplePos x="0" y="0"/>
            <wp:positionH relativeFrom="column">
              <wp:posOffset>-969441</wp:posOffset>
            </wp:positionH>
            <wp:positionV relativeFrom="paragraph">
              <wp:posOffset>-737344</wp:posOffset>
            </wp:positionV>
            <wp:extent cx="7625751" cy="10840647"/>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 AusHRC 120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3361" cy="10851465"/>
                    </a:xfrm>
                    <a:prstGeom prst="rect">
                      <a:avLst/>
                    </a:prstGeom>
                  </pic:spPr>
                </pic:pic>
              </a:graphicData>
            </a:graphic>
            <wp14:sizeRelH relativeFrom="margin">
              <wp14:pctWidth>0</wp14:pctWidth>
            </wp14:sizeRelH>
            <wp14:sizeRelV relativeFrom="margin">
              <wp14:pctHeight>0</wp14:pctHeight>
            </wp14:sizeRelV>
          </wp:anchor>
        </w:drawing>
      </w:r>
      <w:r w:rsidR="000D4BD9">
        <w:br w:type="page"/>
      </w:r>
    </w:p>
    <w:p w:rsidR="000D4BD9" w:rsidRDefault="000D4BD9" w:rsidP="00CF72F4"/>
    <w:p w:rsidR="000D4BD9" w:rsidRDefault="000D4BD9" w:rsidP="00CF72F4"/>
    <w:p w:rsidR="000D4BD9" w:rsidRDefault="000D4BD9" w:rsidP="00CF72F4"/>
    <w:p w:rsidR="000D4BD9" w:rsidRDefault="000D4BD9" w:rsidP="00CF72F4"/>
    <w:p w:rsidR="000D4BD9" w:rsidRDefault="000D4BD9" w:rsidP="00CF72F4"/>
    <w:p w:rsidR="000D4BD9" w:rsidRDefault="000D4BD9" w:rsidP="00CF72F4"/>
    <w:p w:rsidR="000D4BD9" w:rsidRPr="000D4BD9" w:rsidRDefault="000D4BD9" w:rsidP="000D4BD9">
      <w:pPr>
        <w:pStyle w:val="CopyrightText"/>
        <w:spacing w:after="113"/>
        <w:rPr>
          <w:rFonts w:ascii="Arial" w:hAnsi="Arial" w:cs="Arial"/>
          <w:sz w:val="20"/>
          <w:szCs w:val="20"/>
        </w:rPr>
      </w:pPr>
      <w:r w:rsidRPr="000D4BD9">
        <w:rPr>
          <w:rFonts w:ascii="Arial" w:hAnsi="Arial" w:cs="Arial"/>
          <w:sz w:val="20"/>
          <w:szCs w:val="20"/>
        </w:rPr>
        <w:t>© Australian Human Rights Commission 2018.</w:t>
      </w:r>
    </w:p>
    <w:p w:rsidR="000D4BD9" w:rsidRDefault="000D4BD9" w:rsidP="006E54F8">
      <w:pPr>
        <w:pStyle w:val="CopyrightText"/>
        <w:spacing w:after="240"/>
        <w:rPr>
          <w:rFonts w:ascii="Arial" w:hAnsi="Arial" w:cs="Arial"/>
          <w:sz w:val="20"/>
          <w:szCs w:val="20"/>
        </w:rPr>
      </w:pPr>
      <w:r w:rsidRPr="000D4BD9">
        <w:rPr>
          <w:rFonts w:ascii="Arial" w:hAnsi="Arial" w:cs="Arial"/>
          <w:sz w:val="20"/>
          <w:szCs w:val="20"/>
        </w:rPr>
        <w:t xml:space="preserve">The Australian Human Rights Commission encourages the dissemination and exchange of information presented in this publication and endorses the use of the </w:t>
      </w:r>
      <w:r w:rsidRPr="000D4BD9">
        <w:rPr>
          <w:rFonts w:ascii="Arial" w:hAnsi="Arial" w:cs="Arial"/>
          <w:b/>
          <w:bCs/>
          <w:sz w:val="20"/>
          <w:szCs w:val="20"/>
        </w:rPr>
        <w:t>Australian Governments Open Access and Licensing Framework</w:t>
      </w:r>
      <w:r w:rsidRPr="000D4BD9">
        <w:rPr>
          <w:rFonts w:ascii="Arial" w:hAnsi="Arial" w:cs="Arial"/>
          <w:sz w:val="20"/>
          <w:szCs w:val="20"/>
        </w:rPr>
        <w:t xml:space="preserve"> (AusGOAL).</w:t>
      </w:r>
    </w:p>
    <w:p w:rsidR="002F2665" w:rsidRPr="000D4BD9" w:rsidRDefault="002F2665" w:rsidP="006E54F8">
      <w:pPr>
        <w:pStyle w:val="CopyrightText"/>
        <w:spacing w:after="200"/>
        <w:rPr>
          <w:rFonts w:ascii="Arial" w:hAnsi="Arial" w:cs="Arial"/>
          <w:sz w:val="20"/>
          <w:szCs w:val="20"/>
        </w:rPr>
      </w:pPr>
      <w:r w:rsidRPr="002F2665">
        <w:rPr>
          <w:rFonts w:ascii="Arial" w:hAnsi="Arial" w:cs="Arial"/>
          <w:noProof/>
          <w:sz w:val="20"/>
          <w:szCs w:val="20"/>
        </w:rPr>
        <w:drawing>
          <wp:inline distT="0" distB="0" distL="0" distR="0" wp14:anchorId="1E859F41" wp14:editId="12BD7F1B">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0D4BD9" w:rsidRPr="000D4BD9" w:rsidRDefault="000D4BD9" w:rsidP="000D4BD9">
      <w:pPr>
        <w:pStyle w:val="CopyrightText"/>
        <w:spacing w:after="113"/>
        <w:rPr>
          <w:rFonts w:ascii="Arial" w:hAnsi="Arial" w:cs="Arial"/>
          <w:sz w:val="20"/>
          <w:szCs w:val="20"/>
        </w:rPr>
      </w:pPr>
      <w:r w:rsidRPr="000D4BD9">
        <w:rPr>
          <w:rFonts w:ascii="Arial" w:hAnsi="Arial" w:cs="Arial"/>
          <w:sz w:val="20"/>
          <w:szCs w:val="20"/>
        </w:rPr>
        <w:t xml:space="preserve">All material presented in this publication is licensed under the </w:t>
      </w:r>
      <w:r w:rsidRPr="000D4BD9">
        <w:rPr>
          <w:rFonts w:ascii="Arial" w:hAnsi="Arial" w:cs="Arial"/>
          <w:b/>
          <w:bCs/>
          <w:sz w:val="20"/>
          <w:szCs w:val="20"/>
        </w:rPr>
        <w:t>Creative Commons Attribution 4.0 International Licence</w:t>
      </w:r>
      <w:r w:rsidRPr="000D4BD9">
        <w:rPr>
          <w:rFonts w:ascii="Arial" w:hAnsi="Arial" w:cs="Arial"/>
          <w:sz w:val="20"/>
          <w:szCs w:val="20"/>
        </w:rPr>
        <w:t>, with the exception of:</w:t>
      </w:r>
    </w:p>
    <w:p w:rsidR="000D4BD9" w:rsidRPr="000D4BD9" w:rsidRDefault="000D4BD9" w:rsidP="000D4BD9">
      <w:pPr>
        <w:pStyle w:val="CopyrightText"/>
        <w:spacing w:after="0"/>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the Commission’s logo, any branding or trademarks; and</w:t>
      </w:r>
    </w:p>
    <w:p w:rsidR="000D4BD9" w:rsidRPr="000D4BD9" w:rsidRDefault="000D4BD9" w:rsidP="000D4BD9">
      <w:pPr>
        <w:pStyle w:val="CopyrightText"/>
        <w:spacing w:after="113"/>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where otherwise indicated.</w:t>
      </w:r>
    </w:p>
    <w:p w:rsidR="000D4BD9" w:rsidRPr="000D4BD9" w:rsidRDefault="000D4BD9" w:rsidP="000D4BD9">
      <w:pPr>
        <w:pStyle w:val="CopyrightText"/>
        <w:spacing w:after="113"/>
        <w:rPr>
          <w:rFonts w:ascii="Arial" w:hAnsi="Arial" w:cs="Arial"/>
          <w:sz w:val="20"/>
          <w:szCs w:val="20"/>
        </w:rPr>
      </w:pPr>
      <w:r w:rsidRPr="000D4BD9">
        <w:rPr>
          <w:rFonts w:ascii="Arial" w:hAnsi="Arial" w:cs="Arial"/>
          <w:sz w:val="20"/>
          <w:szCs w:val="20"/>
        </w:rPr>
        <w:t xml:space="preserve">To view a copy of this licence, visit </w:t>
      </w:r>
      <w:r w:rsidRPr="000D4BD9">
        <w:rPr>
          <w:rFonts w:ascii="Arial" w:hAnsi="Arial" w:cs="Arial"/>
          <w:b/>
          <w:bCs/>
          <w:sz w:val="20"/>
          <w:szCs w:val="20"/>
        </w:rPr>
        <w:t>http://creativecommons.org/licenses/by/4.0/legalcode</w:t>
      </w:r>
      <w:r w:rsidRPr="000D4BD9">
        <w:rPr>
          <w:rFonts w:ascii="Arial" w:hAnsi="Arial" w:cs="Arial"/>
          <w:sz w:val="20"/>
          <w:szCs w:val="20"/>
        </w:rPr>
        <w:t>.</w:t>
      </w:r>
    </w:p>
    <w:p w:rsidR="000D4BD9" w:rsidRPr="000D4BD9" w:rsidRDefault="000D4BD9" w:rsidP="000D4BD9">
      <w:pPr>
        <w:pStyle w:val="CopyrightText"/>
        <w:spacing w:after="113"/>
        <w:rPr>
          <w:rFonts w:ascii="Arial" w:hAnsi="Arial" w:cs="Arial"/>
          <w:sz w:val="20"/>
          <w:szCs w:val="20"/>
        </w:rPr>
      </w:pPr>
      <w:r w:rsidRPr="000D4BD9">
        <w:rPr>
          <w:rFonts w:ascii="Arial" w:hAnsi="Arial" w:cs="Arial"/>
          <w:sz w:val="20"/>
          <w:szCs w:val="20"/>
        </w:rPr>
        <w:t>In essence, you are free to copy, communicate and adapt the publication, as long as you attribute the Australian Human Rights Commission and abide by the other licence terms.</w:t>
      </w:r>
    </w:p>
    <w:p w:rsidR="000D4BD9" w:rsidRPr="000D4BD9" w:rsidRDefault="000D4BD9" w:rsidP="000D4BD9">
      <w:pPr>
        <w:pStyle w:val="CopyrightText"/>
        <w:spacing w:after="113"/>
        <w:rPr>
          <w:rFonts w:ascii="Arial" w:hAnsi="Arial" w:cs="Arial"/>
          <w:sz w:val="20"/>
          <w:szCs w:val="20"/>
          <w:rtl/>
          <w:lang w:bidi="ar-YE"/>
        </w:rPr>
      </w:pPr>
      <w:r w:rsidRPr="000D4BD9">
        <w:rPr>
          <w:rFonts w:ascii="Arial" w:hAnsi="Arial" w:cs="Arial"/>
          <w:b/>
          <w:bCs/>
          <w:sz w:val="20"/>
          <w:szCs w:val="20"/>
        </w:rPr>
        <w:t xml:space="preserve">Please give attribution to: </w:t>
      </w:r>
      <w:r w:rsidRPr="000D4BD9">
        <w:rPr>
          <w:rFonts w:ascii="Arial" w:hAnsi="Arial" w:cs="Arial"/>
          <w:b/>
          <w:bCs/>
          <w:sz w:val="20"/>
          <w:szCs w:val="20"/>
        </w:rPr>
        <w:br/>
      </w:r>
      <w:r w:rsidRPr="000D4BD9">
        <w:rPr>
          <w:rFonts w:ascii="Arial" w:hAnsi="Arial" w:cs="Arial"/>
          <w:sz w:val="20"/>
          <w:szCs w:val="20"/>
          <w:rtl/>
          <w:lang w:bidi="ar-YE"/>
        </w:rPr>
        <w:t>©</w:t>
      </w:r>
      <w:r w:rsidRPr="000D4BD9">
        <w:rPr>
          <w:rFonts w:ascii="Arial" w:hAnsi="Arial" w:cs="Arial"/>
          <w:sz w:val="20"/>
          <w:szCs w:val="20"/>
          <w:lang w:bidi="ar-YE"/>
        </w:rPr>
        <w:t>Australian Human Rights Commission 2018</w:t>
      </w:r>
      <w:r w:rsidRPr="000D4BD9">
        <w:rPr>
          <w:rFonts w:ascii="Arial" w:hAnsi="Arial" w:cs="Arial"/>
          <w:sz w:val="20"/>
          <w:szCs w:val="20"/>
          <w:rtl/>
          <w:lang w:bidi="ar-YE"/>
        </w:rPr>
        <w:t>.</w:t>
      </w:r>
    </w:p>
    <w:p w:rsidR="000D4BD9" w:rsidRPr="000D4BD9" w:rsidRDefault="000D4BD9" w:rsidP="000D4BD9">
      <w:pPr>
        <w:pStyle w:val="CopyrightText"/>
        <w:spacing w:after="113"/>
        <w:rPr>
          <w:rFonts w:ascii="Arial" w:hAnsi="Arial" w:cs="Arial"/>
          <w:b/>
          <w:bCs/>
          <w:sz w:val="20"/>
          <w:szCs w:val="20"/>
        </w:rPr>
      </w:pPr>
      <w:r w:rsidRPr="000D4BD9">
        <w:rPr>
          <w:rStyle w:val="Bold"/>
          <w:rFonts w:ascii="Arial" w:hAnsi="Arial" w:cs="Arial"/>
          <w:sz w:val="20"/>
          <w:szCs w:val="20"/>
        </w:rPr>
        <w:t>ISSN 1837-1183</w:t>
      </w:r>
    </w:p>
    <w:p w:rsidR="000D4BD9" w:rsidRPr="000D4BD9" w:rsidRDefault="000D4BD9" w:rsidP="000D4BD9">
      <w:pPr>
        <w:pStyle w:val="CopyrightText"/>
        <w:rPr>
          <w:rFonts w:ascii="Arial" w:hAnsi="Arial" w:cs="Arial"/>
          <w:sz w:val="20"/>
          <w:szCs w:val="20"/>
        </w:rPr>
      </w:pPr>
      <w:r w:rsidRPr="000D4BD9">
        <w:rPr>
          <w:rFonts w:ascii="Arial" w:hAnsi="Arial" w:cs="Arial"/>
          <w:b/>
          <w:bCs/>
          <w:sz w:val="20"/>
          <w:szCs w:val="20"/>
        </w:rPr>
        <w:t>Further information</w:t>
      </w:r>
    </w:p>
    <w:p w:rsidR="000D4BD9" w:rsidRPr="000D4BD9" w:rsidRDefault="000D4BD9" w:rsidP="000D4BD9">
      <w:pPr>
        <w:pStyle w:val="CopyrightText"/>
        <w:rPr>
          <w:rFonts w:ascii="Arial" w:hAnsi="Arial" w:cs="Arial"/>
          <w:sz w:val="20"/>
          <w:szCs w:val="20"/>
        </w:rPr>
      </w:pPr>
      <w:r w:rsidRPr="000D4BD9">
        <w:rPr>
          <w:rFonts w:ascii="Arial" w:hAnsi="Arial" w:cs="Arial"/>
          <w:sz w:val="20"/>
          <w:szCs w:val="20"/>
        </w:rPr>
        <w:t>For further information about the Australian Human Rights Commission or copyright in this publication, please contact:</w:t>
      </w:r>
    </w:p>
    <w:p w:rsidR="000D4BD9" w:rsidRPr="000D4BD9" w:rsidRDefault="000D4BD9" w:rsidP="000D4BD9">
      <w:pPr>
        <w:pStyle w:val="CopyrightText"/>
        <w:spacing w:after="0"/>
        <w:rPr>
          <w:rFonts w:ascii="Arial" w:hAnsi="Arial" w:cs="Arial"/>
          <w:sz w:val="20"/>
          <w:szCs w:val="20"/>
        </w:rPr>
      </w:pPr>
      <w:r w:rsidRPr="000D4BD9">
        <w:rPr>
          <w:rFonts w:ascii="Arial" w:hAnsi="Arial" w:cs="Arial"/>
          <w:sz w:val="20"/>
          <w:szCs w:val="20"/>
        </w:rPr>
        <w:t>Communications Unit</w:t>
      </w:r>
    </w:p>
    <w:p w:rsidR="000D4BD9" w:rsidRPr="000D4BD9" w:rsidRDefault="000D4BD9" w:rsidP="000D4BD9">
      <w:pPr>
        <w:pStyle w:val="CopyrightText"/>
        <w:spacing w:after="0"/>
        <w:rPr>
          <w:rFonts w:ascii="Arial" w:hAnsi="Arial" w:cs="Arial"/>
          <w:sz w:val="20"/>
          <w:szCs w:val="20"/>
        </w:rPr>
      </w:pPr>
      <w:r w:rsidRPr="000D4BD9">
        <w:rPr>
          <w:rFonts w:ascii="Arial" w:hAnsi="Arial" w:cs="Arial"/>
          <w:sz w:val="20"/>
          <w:szCs w:val="20"/>
        </w:rPr>
        <w:t>Australian Human Rights Commission</w:t>
      </w:r>
    </w:p>
    <w:p w:rsidR="000D4BD9" w:rsidRPr="000D4BD9" w:rsidRDefault="000D4BD9" w:rsidP="000D4BD9">
      <w:pPr>
        <w:pStyle w:val="CopyrightText"/>
        <w:spacing w:after="0"/>
        <w:rPr>
          <w:rFonts w:ascii="Arial" w:hAnsi="Arial" w:cs="Arial"/>
          <w:sz w:val="20"/>
          <w:szCs w:val="20"/>
        </w:rPr>
      </w:pPr>
      <w:r w:rsidRPr="000D4BD9">
        <w:rPr>
          <w:rFonts w:ascii="Arial" w:hAnsi="Arial" w:cs="Arial"/>
          <w:sz w:val="20"/>
          <w:szCs w:val="20"/>
        </w:rPr>
        <w:t>GPO Box 5218</w:t>
      </w:r>
    </w:p>
    <w:p w:rsidR="000D4BD9" w:rsidRPr="000D4BD9" w:rsidRDefault="000D4BD9" w:rsidP="000D4BD9">
      <w:pPr>
        <w:pStyle w:val="CopyrightText"/>
        <w:spacing w:after="0"/>
        <w:rPr>
          <w:rFonts w:ascii="Arial" w:hAnsi="Arial" w:cs="Arial"/>
          <w:sz w:val="20"/>
          <w:szCs w:val="20"/>
        </w:rPr>
      </w:pPr>
      <w:r w:rsidRPr="000D4BD9">
        <w:rPr>
          <w:rFonts w:ascii="Arial" w:hAnsi="Arial" w:cs="Arial"/>
          <w:sz w:val="20"/>
          <w:szCs w:val="20"/>
        </w:rPr>
        <w:t>SYDNEY NSW 2001</w:t>
      </w:r>
    </w:p>
    <w:p w:rsidR="000D4BD9" w:rsidRPr="000D4BD9" w:rsidRDefault="000D4BD9" w:rsidP="000D4BD9">
      <w:pPr>
        <w:pStyle w:val="CopyrightText"/>
        <w:spacing w:after="0"/>
        <w:rPr>
          <w:rFonts w:ascii="Arial" w:hAnsi="Arial" w:cs="Arial"/>
          <w:sz w:val="20"/>
          <w:szCs w:val="20"/>
        </w:rPr>
      </w:pPr>
      <w:r w:rsidRPr="000D4BD9">
        <w:rPr>
          <w:rFonts w:ascii="Arial" w:hAnsi="Arial" w:cs="Arial"/>
          <w:sz w:val="20"/>
          <w:szCs w:val="20"/>
        </w:rPr>
        <w:t>Telephone: (02) 9284 9600</w:t>
      </w:r>
    </w:p>
    <w:p w:rsidR="000D4BD9" w:rsidRPr="000D4BD9" w:rsidRDefault="000D4BD9" w:rsidP="000D4BD9">
      <w:pPr>
        <w:pStyle w:val="CopyrightText"/>
        <w:spacing w:after="113"/>
        <w:rPr>
          <w:rStyle w:val="Hyperlink"/>
          <w:rFonts w:ascii="Arial" w:hAnsi="Arial" w:cs="Arial"/>
          <w:sz w:val="20"/>
          <w:szCs w:val="20"/>
        </w:rPr>
      </w:pPr>
      <w:r w:rsidRPr="000D4BD9">
        <w:rPr>
          <w:rFonts w:ascii="Arial" w:hAnsi="Arial" w:cs="Arial"/>
          <w:sz w:val="20"/>
          <w:szCs w:val="20"/>
        </w:rPr>
        <w:t xml:space="preserve">Email: </w:t>
      </w:r>
      <w:r w:rsidRPr="000D4BD9">
        <w:rPr>
          <w:rFonts w:ascii="Arial" w:hAnsi="Arial" w:cs="Arial"/>
          <w:b/>
          <w:bCs/>
          <w:sz w:val="20"/>
          <w:szCs w:val="20"/>
        </w:rPr>
        <w:t>communications@humanrights.gov.au</w:t>
      </w:r>
      <w:r w:rsidRPr="000D4BD9">
        <w:rPr>
          <w:rFonts w:ascii="Arial" w:hAnsi="Arial" w:cs="Arial"/>
          <w:sz w:val="20"/>
          <w:szCs w:val="20"/>
        </w:rPr>
        <w:t>.</w:t>
      </w:r>
    </w:p>
    <w:p w:rsidR="000D4BD9" w:rsidRPr="000D4BD9" w:rsidRDefault="000D4BD9" w:rsidP="000D4BD9">
      <w:pPr>
        <w:pStyle w:val="CopyrightText"/>
        <w:rPr>
          <w:rFonts w:ascii="Arial" w:hAnsi="Arial" w:cs="Arial"/>
          <w:sz w:val="20"/>
          <w:szCs w:val="20"/>
        </w:rPr>
      </w:pPr>
      <w:r w:rsidRPr="000D4BD9">
        <w:rPr>
          <w:rFonts w:ascii="Arial" w:hAnsi="Arial" w:cs="Arial"/>
          <w:b/>
          <w:bCs/>
          <w:sz w:val="20"/>
          <w:szCs w:val="20"/>
        </w:rPr>
        <w:t>Design and layout</w:t>
      </w:r>
      <w:r w:rsidRPr="000D4BD9">
        <w:rPr>
          <w:rFonts w:ascii="Arial" w:hAnsi="Arial" w:cs="Arial"/>
          <w:sz w:val="20"/>
          <w:szCs w:val="20"/>
        </w:rPr>
        <w:t xml:space="preserve"> Dancingirl Designs</w:t>
      </w:r>
    </w:p>
    <w:p w:rsidR="00463762" w:rsidRPr="000D4BD9" w:rsidRDefault="000D4BD9" w:rsidP="000D4BD9">
      <w:pPr>
        <w:rPr>
          <w:rFonts w:cs="Arial"/>
          <w:sz w:val="20"/>
        </w:rPr>
      </w:pPr>
      <w:r w:rsidRPr="000D4BD9">
        <w:rPr>
          <w:rFonts w:cs="Arial"/>
          <w:b/>
          <w:bCs/>
          <w:sz w:val="20"/>
        </w:rPr>
        <w:t>Printing</w:t>
      </w:r>
      <w:r w:rsidRPr="000D4BD9">
        <w:rPr>
          <w:rFonts w:cs="Arial"/>
          <w:sz w:val="20"/>
        </w:rPr>
        <w:t xml:space="preserve"> Masterprint Pty Limited</w:t>
      </w:r>
    </w:p>
    <w:p w:rsidR="00463762" w:rsidRPr="00463762" w:rsidRDefault="00463762" w:rsidP="00CF72F4"/>
    <w:p w:rsidR="003D51FA" w:rsidRDefault="003D51FA">
      <w:pPr>
        <w:keepLines w:val="0"/>
        <w:spacing w:after="0" w:line="240" w:lineRule="auto"/>
        <w:rPr>
          <w:color w:val="231F20"/>
        </w:rPr>
      </w:pPr>
      <w:r>
        <w:rPr>
          <w:color w:val="231F20"/>
        </w:rPr>
        <w:br w:type="page"/>
      </w:r>
    </w:p>
    <w:p w:rsidR="00463762" w:rsidRDefault="00463762" w:rsidP="0099667A">
      <w:pPr>
        <w:rPr>
          <w:color w:val="231F20"/>
        </w:rPr>
      </w:pPr>
    </w:p>
    <w:p w:rsidR="00463762" w:rsidRDefault="00463762" w:rsidP="0099667A">
      <w:pPr>
        <w:rPr>
          <w:color w:val="231F20"/>
        </w:rPr>
      </w:pPr>
    </w:p>
    <w:p w:rsidR="00463762" w:rsidRDefault="00463762" w:rsidP="0099667A">
      <w:pPr>
        <w:rPr>
          <w:color w:val="231F20"/>
        </w:rPr>
      </w:pPr>
    </w:p>
    <w:p w:rsidR="000D4BD9" w:rsidRDefault="000D4BD9" w:rsidP="0099667A">
      <w:pPr>
        <w:rPr>
          <w:color w:val="231F20"/>
        </w:rPr>
      </w:pPr>
    </w:p>
    <w:p w:rsidR="000D4BD9" w:rsidRDefault="000D4BD9" w:rsidP="0099667A">
      <w:pPr>
        <w:rPr>
          <w:color w:val="231F20"/>
        </w:rPr>
      </w:pPr>
    </w:p>
    <w:p w:rsidR="000D4BD9" w:rsidRDefault="000D4BD9" w:rsidP="0099667A">
      <w:pPr>
        <w:rPr>
          <w:color w:val="231F20"/>
        </w:rPr>
      </w:pPr>
    </w:p>
    <w:p w:rsidR="000D4BD9" w:rsidRDefault="000D4BD9" w:rsidP="0099667A">
      <w:pPr>
        <w:rPr>
          <w:color w:val="231F20"/>
        </w:rPr>
      </w:pPr>
    </w:p>
    <w:p w:rsidR="0099667A" w:rsidRPr="005E367E" w:rsidRDefault="00777CB3" w:rsidP="0099667A">
      <w:pPr>
        <w:rPr>
          <w:rFonts w:cs="Arial"/>
          <w:b/>
          <w:sz w:val="36"/>
          <w:szCs w:val="36"/>
          <w:lang w:val="en-US"/>
        </w:rPr>
      </w:pPr>
      <w:r>
        <w:rPr>
          <w:b/>
          <w:sz w:val="36"/>
          <w:szCs w:val="36"/>
        </w:rPr>
        <w:t>DR</w:t>
      </w:r>
      <w:r w:rsidR="007562FB">
        <w:rPr>
          <w:b/>
          <w:sz w:val="36"/>
          <w:szCs w:val="36"/>
        </w:rPr>
        <w:t xml:space="preserve"> </w:t>
      </w:r>
      <w:r w:rsidR="0024389F">
        <w:rPr>
          <w:b/>
          <w:sz w:val="36"/>
          <w:szCs w:val="36"/>
        </w:rPr>
        <w:t xml:space="preserve">&amp; </w:t>
      </w:r>
      <w:r w:rsidR="005E367E">
        <w:rPr>
          <w:b/>
          <w:sz w:val="36"/>
          <w:szCs w:val="36"/>
        </w:rPr>
        <w:t xml:space="preserve">DS </w:t>
      </w:r>
      <w:r w:rsidR="0097776B" w:rsidRPr="005E367E">
        <w:rPr>
          <w:rFonts w:cs="Arial"/>
          <w:b/>
          <w:sz w:val="36"/>
          <w:szCs w:val="36"/>
        </w:rPr>
        <w:t xml:space="preserve">v </w:t>
      </w:r>
      <w:r w:rsidR="005E367E" w:rsidRPr="005E367E">
        <w:rPr>
          <w:rFonts w:cs="Arial"/>
          <w:b/>
          <w:color w:val="000000"/>
          <w:spacing w:val="0"/>
          <w:sz w:val="36"/>
          <w:szCs w:val="36"/>
          <w:lang w:val="en-US" w:eastAsia="en-AU"/>
        </w:rPr>
        <w:t xml:space="preserve">The Commonwealth </w:t>
      </w:r>
      <w:r w:rsidR="005E367E">
        <w:rPr>
          <w:rFonts w:cs="Arial"/>
          <w:b/>
          <w:color w:val="000000"/>
          <w:spacing w:val="0"/>
          <w:sz w:val="36"/>
          <w:szCs w:val="36"/>
          <w:lang w:val="en-US" w:eastAsia="en-AU"/>
        </w:rPr>
        <w:br/>
      </w:r>
      <w:r w:rsidR="005E367E" w:rsidRPr="005E367E">
        <w:rPr>
          <w:rFonts w:cs="Arial"/>
          <w:b/>
          <w:color w:val="000000"/>
          <w:spacing w:val="0"/>
          <w:sz w:val="36"/>
          <w:szCs w:val="36"/>
          <w:lang w:val="en-US" w:eastAsia="en-AU"/>
        </w:rPr>
        <w:t>(Department of Home Affairs)</w:t>
      </w:r>
    </w:p>
    <w:p w:rsidR="00463762" w:rsidRDefault="00463762" w:rsidP="0099667A"/>
    <w:p w:rsidR="0099667A" w:rsidRDefault="0099667A" w:rsidP="0099667A">
      <w:pPr>
        <w:rPr>
          <w:sz w:val="32"/>
          <w:szCs w:val="32"/>
        </w:rPr>
      </w:pPr>
      <w:r w:rsidRPr="0099667A">
        <w:rPr>
          <w:sz w:val="32"/>
          <w:szCs w:val="32"/>
        </w:rPr>
        <w:t>[201</w:t>
      </w:r>
      <w:r w:rsidR="00E1502A">
        <w:rPr>
          <w:sz w:val="32"/>
          <w:szCs w:val="32"/>
        </w:rPr>
        <w:t>8</w:t>
      </w:r>
      <w:r w:rsidRPr="0099667A">
        <w:rPr>
          <w:sz w:val="32"/>
          <w:szCs w:val="32"/>
        </w:rPr>
        <w:t xml:space="preserve">] AusHRC </w:t>
      </w:r>
      <w:r w:rsidR="00A80928">
        <w:rPr>
          <w:sz w:val="32"/>
          <w:szCs w:val="32"/>
        </w:rPr>
        <w:t>120</w:t>
      </w:r>
    </w:p>
    <w:p w:rsidR="00CF704B" w:rsidRDefault="00CF704B" w:rsidP="003D51FA"/>
    <w:p w:rsidR="00CF704B" w:rsidRPr="00CF704B" w:rsidRDefault="00CF704B" w:rsidP="0099667A">
      <w:pPr>
        <w:rPr>
          <w:i/>
          <w:sz w:val="32"/>
          <w:szCs w:val="32"/>
        </w:rPr>
      </w:pPr>
      <w:r>
        <w:rPr>
          <w:i/>
          <w:sz w:val="32"/>
          <w:szCs w:val="32"/>
        </w:rPr>
        <w:t>Report into complaints of arbitrary detention</w:t>
      </w:r>
    </w:p>
    <w:p w:rsidR="00463762" w:rsidRDefault="00463762" w:rsidP="0099667A"/>
    <w:p w:rsidR="005E367E" w:rsidRDefault="005E367E" w:rsidP="0099667A"/>
    <w:p w:rsidR="005E367E" w:rsidRDefault="005E367E" w:rsidP="0099667A"/>
    <w:p w:rsidR="0099667A" w:rsidRDefault="0099667A" w:rsidP="0099667A">
      <w:r>
        <w:t xml:space="preserve">Australian Human Rights Commission </w:t>
      </w:r>
      <w:r w:rsidR="000D4BD9">
        <w:t>2018</w:t>
      </w:r>
    </w:p>
    <w:p w:rsidR="00463762" w:rsidRDefault="00463762" w:rsidP="0099667A"/>
    <w:p w:rsidR="00896ABB" w:rsidRDefault="00896ABB">
      <w:pPr>
        <w:keepLines w:val="0"/>
        <w:spacing w:after="0" w:line="240" w:lineRule="auto"/>
      </w:pPr>
      <w:r>
        <w:br w:type="page"/>
      </w:r>
    </w:p>
    <w:p w:rsidR="00442EFF" w:rsidRPr="00442EFF" w:rsidRDefault="00FE0E20" w:rsidP="003D51FA">
      <w:pPr>
        <w:spacing w:after="0"/>
      </w:pPr>
      <w:r>
        <w:lastRenderedPageBreak/>
        <w:t>The Hon. Christian Porter MP</w:t>
      </w:r>
    </w:p>
    <w:p w:rsidR="008529DB" w:rsidRPr="00442EFF" w:rsidRDefault="008529DB" w:rsidP="003D51FA">
      <w:pPr>
        <w:spacing w:after="0"/>
      </w:pPr>
      <w:r w:rsidRPr="00442EFF">
        <w:t>Attorney-General</w:t>
      </w:r>
    </w:p>
    <w:p w:rsidR="00442EFF" w:rsidRPr="00442EFF" w:rsidRDefault="008529DB" w:rsidP="003D51FA">
      <w:pPr>
        <w:spacing w:after="0"/>
      </w:pPr>
      <w:r w:rsidRPr="00442EFF">
        <w:t xml:space="preserve">Parliament House </w:t>
      </w:r>
    </w:p>
    <w:p w:rsidR="008529DB" w:rsidRPr="003D51FA" w:rsidRDefault="008529DB" w:rsidP="003D51FA">
      <w:pPr>
        <w:spacing w:after="600"/>
      </w:pPr>
      <w:r w:rsidRPr="00442EFF">
        <w:t>Canberra ACT 2600</w:t>
      </w:r>
    </w:p>
    <w:p w:rsidR="008529DB" w:rsidRPr="009E138C" w:rsidRDefault="008529DB" w:rsidP="008529DB">
      <w:pPr>
        <w:rPr>
          <w:rFonts w:cs="Arial"/>
        </w:rPr>
      </w:pPr>
      <w:r>
        <w:rPr>
          <w:rFonts w:cs="Arial"/>
        </w:rPr>
        <w:t>Dear Attorney</w:t>
      </w:r>
    </w:p>
    <w:p w:rsidR="008529DB" w:rsidRDefault="00F676B5" w:rsidP="008529DB">
      <w:pPr>
        <w:rPr>
          <w:rFonts w:cs="Arial"/>
        </w:rPr>
      </w:pPr>
      <w:r>
        <w:rPr>
          <w:rFonts w:cs="Arial"/>
        </w:rPr>
        <w:t>Pursuant to s</w:t>
      </w:r>
      <w:r w:rsidR="008529DB" w:rsidRPr="009E138C">
        <w:rPr>
          <w:rFonts w:cs="Arial"/>
        </w:rPr>
        <w:t xml:space="preserve"> 11(1)(f) of the </w:t>
      </w:r>
      <w:r w:rsidR="00442EFF">
        <w:rPr>
          <w:rFonts w:cs="Arial"/>
          <w:i/>
        </w:rPr>
        <w:t xml:space="preserve">Australian Human Rights Commission Act 1986 </w:t>
      </w:r>
      <w:r w:rsidR="003A7ACB">
        <w:rPr>
          <w:rFonts w:cs="Arial"/>
        </w:rPr>
        <w:t>(</w:t>
      </w:r>
      <w:r w:rsidR="00442EFF">
        <w:rPr>
          <w:rFonts w:cs="Arial"/>
        </w:rPr>
        <w:t>Cth)</w:t>
      </w:r>
      <w:r w:rsidR="003A7ACB">
        <w:rPr>
          <w:rFonts w:cs="Arial"/>
        </w:rPr>
        <w:t xml:space="preserve"> (AHRC Act)</w:t>
      </w:r>
      <w:r w:rsidR="00FB41EB">
        <w:rPr>
          <w:rFonts w:cs="Arial"/>
        </w:rPr>
        <w:t>, I attach a r</w:t>
      </w:r>
      <w:r w:rsidR="008529DB" w:rsidRPr="009E138C">
        <w:rPr>
          <w:rFonts w:cs="Arial"/>
        </w:rPr>
        <w:t xml:space="preserve">eport of </w:t>
      </w:r>
      <w:r w:rsidR="004B580A">
        <w:rPr>
          <w:rFonts w:cs="Arial"/>
        </w:rPr>
        <w:t>the</w:t>
      </w:r>
      <w:r w:rsidR="008529DB" w:rsidRPr="009E138C">
        <w:rPr>
          <w:rFonts w:cs="Arial"/>
        </w:rPr>
        <w:t xml:space="preserve"> inquiry by the former President of the </w:t>
      </w:r>
      <w:r w:rsidR="002B34D1">
        <w:rPr>
          <w:rFonts w:cs="Arial"/>
        </w:rPr>
        <w:t xml:space="preserve">Australian Human Rights </w:t>
      </w:r>
      <w:r w:rsidR="008529DB" w:rsidRPr="009E138C">
        <w:rPr>
          <w:rFonts w:cs="Arial"/>
        </w:rPr>
        <w:t>Commission</w:t>
      </w:r>
      <w:r w:rsidR="00442EFF">
        <w:rPr>
          <w:rFonts w:cs="Arial"/>
        </w:rPr>
        <w:t xml:space="preserve">, </w:t>
      </w:r>
      <w:r w:rsidR="004B580A">
        <w:rPr>
          <w:rFonts w:cs="Arial"/>
        </w:rPr>
        <w:t xml:space="preserve">Professor </w:t>
      </w:r>
      <w:r w:rsidR="00442EFF">
        <w:rPr>
          <w:rFonts w:cs="Arial"/>
        </w:rPr>
        <w:t>Gillian Triggs,</w:t>
      </w:r>
      <w:r w:rsidR="008529DB" w:rsidRPr="009E138C">
        <w:rPr>
          <w:rFonts w:cs="Arial"/>
        </w:rPr>
        <w:t xml:space="preserve"> into complaints made by </w:t>
      </w:r>
      <w:r w:rsidR="00777CB3">
        <w:rPr>
          <w:rFonts w:cs="Arial"/>
        </w:rPr>
        <w:t xml:space="preserve">Mr DR </w:t>
      </w:r>
      <w:r w:rsidR="008529DB">
        <w:rPr>
          <w:rFonts w:cs="Arial"/>
        </w:rPr>
        <w:t xml:space="preserve">and </w:t>
      </w:r>
      <w:r w:rsidR="00777CB3">
        <w:rPr>
          <w:rFonts w:cs="Arial"/>
        </w:rPr>
        <w:t xml:space="preserve">Mr DS </w:t>
      </w:r>
      <w:r w:rsidR="008529DB" w:rsidRPr="009E138C">
        <w:rPr>
          <w:rFonts w:cs="Arial"/>
        </w:rPr>
        <w:t>against the Commonwealth of Australia</w:t>
      </w:r>
      <w:r w:rsidR="002C1C75">
        <w:rPr>
          <w:rFonts w:cs="Arial"/>
        </w:rPr>
        <w:t xml:space="preserve"> </w:t>
      </w:r>
      <w:r w:rsidR="002C1C75">
        <w:rPr>
          <w:rFonts w:cs="Arial"/>
          <w:szCs w:val="24"/>
        </w:rPr>
        <w:t xml:space="preserve">— </w:t>
      </w:r>
      <w:r w:rsidR="002C1C75">
        <w:t xml:space="preserve">specifically, against the former </w:t>
      </w:r>
      <w:r w:rsidR="002C1C75" w:rsidRPr="00E2086A">
        <w:t>Department of Immi</w:t>
      </w:r>
      <w:r w:rsidR="002C1C75">
        <w:t>gration and Border Protection and now the Department of Home Affairs (d</w:t>
      </w:r>
      <w:r w:rsidR="002C1C75" w:rsidRPr="00E2086A">
        <w:t>epartm</w:t>
      </w:r>
      <w:r w:rsidR="002C1C75">
        <w:t>ent)</w:t>
      </w:r>
      <w:r w:rsidR="008529DB" w:rsidRPr="009E138C">
        <w:rPr>
          <w:rFonts w:cs="Arial"/>
        </w:rPr>
        <w:t xml:space="preserve">. </w:t>
      </w:r>
    </w:p>
    <w:p w:rsidR="008529DB" w:rsidRPr="009E138C" w:rsidRDefault="004B580A" w:rsidP="008529DB">
      <w:pPr>
        <w:rPr>
          <w:rFonts w:cs="Arial"/>
        </w:rPr>
      </w:pPr>
      <w:r>
        <w:rPr>
          <w:rFonts w:cs="Arial"/>
        </w:rPr>
        <w:t>Professor Triggs</w:t>
      </w:r>
      <w:r w:rsidR="008529DB" w:rsidRPr="009E138C">
        <w:rPr>
          <w:rFonts w:cs="Arial"/>
        </w:rPr>
        <w:t xml:space="preserve"> found that the Commonwealth had breached the human rights of the co</w:t>
      </w:r>
      <w:r w:rsidR="008529DB">
        <w:rPr>
          <w:rFonts w:cs="Arial"/>
        </w:rPr>
        <w:t>mplainants pursuant to article 9</w:t>
      </w:r>
      <w:r w:rsidR="008529DB" w:rsidRPr="009E138C">
        <w:rPr>
          <w:rFonts w:cs="Arial"/>
        </w:rPr>
        <w:t xml:space="preserve">(1) of the </w:t>
      </w:r>
      <w:r w:rsidR="008529DB" w:rsidRPr="009E138C">
        <w:rPr>
          <w:rFonts w:cs="Arial"/>
          <w:i/>
        </w:rPr>
        <w:t>International Covenant on Civil and Political Rights</w:t>
      </w:r>
      <w:r w:rsidR="008529DB" w:rsidRPr="009E138C">
        <w:rPr>
          <w:rFonts w:cs="Arial"/>
        </w:rPr>
        <w:t xml:space="preserve">. </w:t>
      </w:r>
    </w:p>
    <w:p w:rsidR="00B97E37" w:rsidRDefault="00C526E4" w:rsidP="008529DB">
      <w:pPr>
        <w:rPr>
          <w:rFonts w:cs="Arial"/>
        </w:rPr>
      </w:pPr>
      <w:r>
        <w:rPr>
          <w:rFonts w:cs="Arial"/>
        </w:rPr>
        <w:t>In the t</w:t>
      </w:r>
      <w:r w:rsidR="00FB41EB">
        <w:rPr>
          <w:rFonts w:cs="Arial"/>
        </w:rPr>
        <w:t>ime between the issuing of the n</w:t>
      </w:r>
      <w:r>
        <w:rPr>
          <w:rFonts w:cs="Arial"/>
        </w:rPr>
        <w:t xml:space="preserve">otice inquiring into this matter, and </w:t>
      </w:r>
      <w:r w:rsidR="00FB41EB">
        <w:rPr>
          <w:rFonts w:cs="Arial"/>
        </w:rPr>
        <w:t>the preparation of this r</w:t>
      </w:r>
      <w:r>
        <w:rPr>
          <w:rFonts w:cs="Arial"/>
        </w:rPr>
        <w:t>eport, I assumed</w:t>
      </w:r>
      <w:r w:rsidR="00A53EE8">
        <w:rPr>
          <w:rFonts w:cs="Arial"/>
        </w:rPr>
        <w:t xml:space="preserve"> the</w:t>
      </w:r>
      <w:r>
        <w:rPr>
          <w:rFonts w:cs="Arial"/>
        </w:rPr>
        <w:t xml:space="preserve"> role of President at the Australian Human Rights Commission. </w:t>
      </w:r>
      <w:r w:rsidR="00B77AAE">
        <w:rPr>
          <w:rFonts w:cs="Arial"/>
        </w:rPr>
        <w:t xml:space="preserve">As a result, I </w:t>
      </w:r>
      <w:r w:rsidR="008A7F3E">
        <w:rPr>
          <w:rFonts w:cs="Arial"/>
        </w:rPr>
        <w:t>received</w:t>
      </w:r>
      <w:r w:rsidR="00B77AAE">
        <w:rPr>
          <w:rFonts w:cs="Arial"/>
        </w:rPr>
        <w:t xml:space="preserve"> th</w:t>
      </w:r>
      <w:r w:rsidR="00E25ADB">
        <w:rPr>
          <w:rFonts w:cs="Arial"/>
        </w:rPr>
        <w:t xml:space="preserve">e department’s response </w:t>
      </w:r>
      <w:r w:rsidR="004B580A">
        <w:rPr>
          <w:rFonts w:cs="Arial"/>
        </w:rPr>
        <w:t>to Professor Triggs’</w:t>
      </w:r>
      <w:r w:rsidR="00B77AAE">
        <w:rPr>
          <w:rFonts w:cs="Arial"/>
        </w:rPr>
        <w:t xml:space="preserve"> findings and recommendations in this matter by letter dated 27 October 2017</w:t>
      </w:r>
      <w:r w:rsidR="008A7F3E">
        <w:rPr>
          <w:rFonts w:cs="Arial"/>
        </w:rPr>
        <w:t>.</w:t>
      </w:r>
      <w:r w:rsidR="00B97E37">
        <w:rPr>
          <w:rFonts w:cs="Arial"/>
        </w:rPr>
        <w:t xml:space="preserve"> I have set out the response of the depar</w:t>
      </w:r>
      <w:r w:rsidR="000C7F0D">
        <w:rPr>
          <w:rFonts w:cs="Arial"/>
        </w:rPr>
        <w:t>tment in its entirety in part 6</w:t>
      </w:r>
      <w:r w:rsidR="00B97E37">
        <w:rPr>
          <w:rFonts w:cs="Arial"/>
        </w:rPr>
        <w:t xml:space="preserve"> of the report.</w:t>
      </w:r>
    </w:p>
    <w:p w:rsidR="00B97E37" w:rsidRDefault="005D71CB" w:rsidP="008529DB">
      <w:pPr>
        <w:rPr>
          <w:rFonts w:cs="Arial"/>
        </w:rPr>
      </w:pPr>
      <w:r>
        <w:rPr>
          <w:rFonts w:cs="Arial"/>
        </w:rPr>
        <w:t xml:space="preserve">Mr DR and Mr DS have requested that their names not be published in connection with this inquiry. I consider that the preservation of their anonymity is necessary to protect their human rights. Accordingly, I have given a direction under </w:t>
      </w:r>
      <w:r w:rsidR="003A7ACB">
        <w:rPr>
          <w:rFonts w:cs="Arial"/>
        </w:rPr>
        <w:t>s 14(2) of the AHRC</w:t>
      </w:r>
      <w:r>
        <w:rPr>
          <w:rFonts w:cs="Arial"/>
        </w:rPr>
        <w:t xml:space="preserve"> Act and refer to them b</w:t>
      </w:r>
      <w:r w:rsidR="00CF72F4">
        <w:rPr>
          <w:rFonts w:cs="Arial"/>
        </w:rPr>
        <w:t>y the pseudonyms ‘DR’ and ‘DS’.</w:t>
      </w:r>
    </w:p>
    <w:p w:rsidR="008A7F3E" w:rsidRDefault="008A7F3E" w:rsidP="008529DB">
      <w:pPr>
        <w:rPr>
          <w:rFonts w:cs="Arial"/>
        </w:rPr>
      </w:pPr>
      <w:r>
        <w:rPr>
          <w:rFonts w:cs="Arial"/>
        </w:rPr>
        <w:t>Yours sincerely</w:t>
      </w:r>
    </w:p>
    <w:p w:rsidR="008A7F3E" w:rsidRDefault="008A7F3E" w:rsidP="008529DB">
      <w:pPr>
        <w:rPr>
          <w:rFonts w:cs="Arial"/>
        </w:rPr>
      </w:pPr>
    </w:p>
    <w:p w:rsidR="008A7F3E" w:rsidRDefault="008A7F3E" w:rsidP="00896ABB">
      <w:pPr>
        <w:spacing w:after="0"/>
        <w:rPr>
          <w:rFonts w:cs="Arial"/>
        </w:rPr>
      </w:pPr>
      <w:r>
        <w:rPr>
          <w:rFonts w:cs="Arial"/>
        </w:rPr>
        <w:t>Emeritus Professor Rosalind Croucher AM</w:t>
      </w:r>
    </w:p>
    <w:p w:rsidR="00345319" w:rsidRPr="004B580A" w:rsidRDefault="008A7F3E" w:rsidP="00896ABB">
      <w:pPr>
        <w:spacing w:after="0"/>
        <w:rPr>
          <w:rFonts w:cs="Arial"/>
          <w:b/>
        </w:rPr>
      </w:pPr>
      <w:r>
        <w:rPr>
          <w:rFonts w:cs="Arial"/>
          <w:b/>
        </w:rPr>
        <w:t>President</w:t>
      </w:r>
    </w:p>
    <w:p w:rsidR="008A7F3E" w:rsidRPr="004B580A" w:rsidRDefault="008A7F3E" w:rsidP="008529DB">
      <w:pPr>
        <w:rPr>
          <w:rFonts w:cs="Arial"/>
          <w:szCs w:val="24"/>
        </w:rPr>
      </w:pPr>
      <w:r w:rsidRPr="004B580A">
        <w:rPr>
          <w:rFonts w:cs="Arial"/>
          <w:szCs w:val="24"/>
        </w:rPr>
        <w:t>Australian Human Rights Commission</w:t>
      </w:r>
    </w:p>
    <w:p w:rsidR="00C526E4" w:rsidRDefault="000D54FE" w:rsidP="008529DB">
      <w:pPr>
        <w:rPr>
          <w:rFonts w:cs="Arial"/>
        </w:rPr>
      </w:pPr>
      <w:r w:rsidRPr="000D54FE">
        <w:rPr>
          <w:rFonts w:cs="Arial"/>
        </w:rPr>
        <w:t>March 2018</w:t>
      </w:r>
      <w:r w:rsidR="004B580A">
        <w:rPr>
          <w:rFonts w:cs="Arial"/>
        </w:rPr>
        <w:t xml:space="preserve"> </w:t>
      </w:r>
    </w:p>
    <w:p w:rsidR="00896ABB" w:rsidRDefault="00896ABB">
      <w:pPr>
        <w:keepLines w:val="0"/>
        <w:spacing w:after="0" w:line="240" w:lineRule="auto"/>
        <w:rPr>
          <w:rFonts w:cs="Arial"/>
          <w:szCs w:val="24"/>
        </w:rPr>
      </w:pPr>
      <w:r>
        <w:rPr>
          <w:rFonts w:cs="Arial"/>
          <w:szCs w:val="24"/>
        </w:rPr>
        <w:br w:type="page"/>
      </w:r>
    </w:p>
    <w:p w:rsidR="00A61DAC" w:rsidRPr="00896ABB" w:rsidRDefault="00896ABB" w:rsidP="004E5579">
      <w:pPr>
        <w:rPr>
          <w:rFonts w:cs="Arial"/>
          <w:b/>
          <w:sz w:val="32"/>
          <w:szCs w:val="32"/>
        </w:rPr>
      </w:pPr>
      <w:r>
        <w:rPr>
          <w:rFonts w:cs="Arial"/>
          <w:b/>
          <w:sz w:val="32"/>
          <w:szCs w:val="32"/>
        </w:rPr>
        <w:lastRenderedPageBreak/>
        <w:t>Contents</w:t>
      </w:r>
    </w:p>
    <w:p w:rsidR="0027392D" w:rsidRDefault="0027392D" w:rsidP="00CF72F4"/>
    <w:p w:rsidR="00EC1508" w:rsidRDefault="00EA7010">
      <w:pPr>
        <w:pStyle w:val="TOC1"/>
        <w:rPr>
          <w:rFonts w:asciiTheme="minorHAnsi" w:eastAsiaTheme="minorEastAsia" w:hAnsiTheme="minorHAnsi" w:cstheme="minorBidi"/>
          <w:b w:val="0"/>
          <w:noProof/>
          <w:spacing w:val="0"/>
          <w:sz w:val="22"/>
          <w:szCs w:val="22"/>
          <w:lang w:eastAsia="en-AU"/>
        </w:rPr>
      </w:pPr>
      <w:r w:rsidRPr="000263C1">
        <w:rPr>
          <w:rFonts w:cs="Arial"/>
          <w:b w:val="0"/>
          <w:szCs w:val="24"/>
        </w:rPr>
        <w:fldChar w:fldCharType="begin"/>
      </w:r>
      <w:r w:rsidR="00A61DAC" w:rsidRPr="000263C1">
        <w:rPr>
          <w:rFonts w:cs="Arial"/>
          <w:b w:val="0"/>
          <w:szCs w:val="24"/>
        </w:rPr>
        <w:instrText xml:space="preserve"> TOC \o "1-3" \h \z \u </w:instrText>
      </w:r>
      <w:r w:rsidRPr="000263C1">
        <w:rPr>
          <w:rFonts w:cs="Arial"/>
          <w:b w:val="0"/>
          <w:szCs w:val="24"/>
        </w:rPr>
        <w:fldChar w:fldCharType="separate"/>
      </w:r>
      <w:hyperlink w:anchor="_Toc509571477" w:history="1">
        <w:r w:rsidR="00EC1508" w:rsidRPr="00AB322D">
          <w:rPr>
            <w:rStyle w:val="Hyperlink"/>
            <w:noProof/>
          </w:rPr>
          <w:t>1</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Introduction to this inquiry</w:t>
        </w:r>
        <w:r w:rsidR="00EC1508">
          <w:rPr>
            <w:noProof/>
            <w:webHidden/>
          </w:rPr>
          <w:tab/>
        </w:r>
        <w:r w:rsidR="00EC1508">
          <w:rPr>
            <w:noProof/>
            <w:webHidden/>
          </w:rPr>
          <w:fldChar w:fldCharType="begin"/>
        </w:r>
        <w:r w:rsidR="00EC1508">
          <w:rPr>
            <w:noProof/>
            <w:webHidden/>
          </w:rPr>
          <w:instrText xml:space="preserve"> PAGEREF _Toc509571477 \h </w:instrText>
        </w:r>
        <w:r w:rsidR="00EC1508">
          <w:rPr>
            <w:noProof/>
            <w:webHidden/>
          </w:rPr>
        </w:r>
        <w:r w:rsidR="00EC1508">
          <w:rPr>
            <w:noProof/>
            <w:webHidden/>
          </w:rPr>
          <w:fldChar w:fldCharType="separate"/>
        </w:r>
        <w:r w:rsidR="00AF070E">
          <w:rPr>
            <w:noProof/>
            <w:webHidden/>
          </w:rPr>
          <w:t>6</w:t>
        </w:r>
        <w:r w:rsidR="00EC1508">
          <w:rPr>
            <w:noProof/>
            <w:webHidden/>
          </w:rPr>
          <w:fldChar w:fldCharType="end"/>
        </w:r>
      </w:hyperlink>
    </w:p>
    <w:p w:rsidR="00EC1508" w:rsidRDefault="00AF070E">
      <w:pPr>
        <w:pStyle w:val="TOC1"/>
        <w:rPr>
          <w:rFonts w:asciiTheme="minorHAnsi" w:eastAsiaTheme="minorEastAsia" w:hAnsiTheme="minorHAnsi" w:cstheme="minorBidi"/>
          <w:b w:val="0"/>
          <w:noProof/>
          <w:spacing w:val="0"/>
          <w:sz w:val="22"/>
          <w:szCs w:val="22"/>
          <w:lang w:eastAsia="en-AU"/>
        </w:rPr>
      </w:pPr>
      <w:hyperlink w:anchor="_Toc509571478" w:history="1">
        <w:r w:rsidR="00EC1508" w:rsidRPr="00AB322D">
          <w:rPr>
            <w:rStyle w:val="Hyperlink"/>
            <w:noProof/>
          </w:rPr>
          <w:t>2</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Background</w:t>
        </w:r>
        <w:r w:rsidR="00EC1508">
          <w:rPr>
            <w:noProof/>
            <w:webHidden/>
          </w:rPr>
          <w:tab/>
        </w:r>
        <w:r w:rsidR="00EC1508">
          <w:rPr>
            <w:noProof/>
            <w:webHidden/>
          </w:rPr>
          <w:fldChar w:fldCharType="begin"/>
        </w:r>
        <w:r w:rsidR="00EC1508">
          <w:rPr>
            <w:noProof/>
            <w:webHidden/>
          </w:rPr>
          <w:instrText xml:space="preserve"> PAGEREF _Toc509571478 \h </w:instrText>
        </w:r>
        <w:r w:rsidR="00EC1508">
          <w:rPr>
            <w:noProof/>
            <w:webHidden/>
          </w:rPr>
        </w:r>
        <w:r w:rsidR="00EC1508">
          <w:rPr>
            <w:noProof/>
            <w:webHidden/>
          </w:rPr>
          <w:fldChar w:fldCharType="separate"/>
        </w:r>
        <w:r>
          <w:rPr>
            <w:noProof/>
            <w:webHidden/>
          </w:rPr>
          <w:t>7</w:t>
        </w:r>
        <w:r w:rsidR="00EC1508">
          <w:rPr>
            <w:noProof/>
            <w:webHidden/>
          </w:rPr>
          <w:fldChar w:fldCharType="end"/>
        </w:r>
      </w:hyperlink>
    </w:p>
    <w:p w:rsidR="00EC1508" w:rsidRDefault="00AF070E">
      <w:pPr>
        <w:pStyle w:val="TOC1"/>
        <w:rPr>
          <w:rFonts w:asciiTheme="minorHAnsi" w:eastAsiaTheme="minorEastAsia" w:hAnsiTheme="minorHAnsi" w:cstheme="minorBidi"/>
          <w:b w:val="0"/>
          <w:noProof/>
          <w:spacing w:val="0"/>
          <w:sz w:val="22"/>
          <w:szCs w:val="22"/>
          <w:lang w:eastAsia="en-AU"/>
        </w:rPr>
      </w:pPr>
      <w:hyperlink w:anchor="_Toc509571479" w:history="1">
        <w:r w:rsidR="00EC1508" w:rsidRPr="00AB322D">
          <w:rPr>
            <w:rStyle w:val="Hyperlink"/>
            <w:noProof/>
          </w:rPr>
          <w:t>3</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Legislative framework</w:t>
        </w:r>
        <w:r w:rsidR="00EC1508">
          <w:rPr>
            <w:noProof/>
            <w:webHidden/>
          </w:rPr>
          <w:tab/>
        </w:r>
        <w:r w:rsidR="00EC1508">
          <w:rPr>
            <w:noProof/>
            <w:webHidden/>
          </w:rPr>
          <w:fldChar w:fldCharType="begin"/>
        </w:r>
        <w:r w:rsidR="00EC1508">
          <w:rPr>
            <w:noProof/>
            <w:webHidden/>
          </w:rPr>
          <w:instrText xml:space="preserve"> PAGEREF _Toc509571479 \h </w:instrText>
        </w:r>
        <w:r w:rsidR="00EC1508">
          <w:rPr>
            <w:noProof/>
            <w:webHidden/>
          </w:rPr>
        </w:r>
        <w:r w:rsidR="00EC1508">
          <w:rPr>
            <w:noProof/>
            <w:webHidden/>
          </w:rPr>
          <w:fldChar w:fldCharType="separate"/>
        </w:r>
        <w:r>
          <w:rPr>
            <w:noProof/>
            <w:webHidden/>
          </w:rPr>
          <w:t>8</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0" w:history="1">
        <w:r w:rsidR="00EC1508" w:rsidRPr="00AB322D">
          <w:rPr>
            <w:rStyle w:val="Hyperlink"/>
            <w:noProof/>
          </w:rPr>
          <w:t>3.1</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Functions of the Commission</w:t>
        </w:r>
        <w:r w:rsidR="00EC1508">
          <w:rPr>
            <w:noProof/>
            <w:webHidden/>
          </w:rPr>
          <w:tab/>
        </w:r>
        <w:r w:rsidR="00EC1508">
          <w:rPr>
            <w:noProof/>
            <w:webHidden/>
          </w:rPr>
          <w:fldChar w:fldCharType="begin"/>
        </w:r>
        <w:r w:rsidR="00EC1508">
          <w:rPr>
            <w:noProof/>
            <w:webHidden/>
          </w:rPr>
          <w:instrText xml:space="preserve"> PAGEREF _Toc509571480 \h </w:instrText>
        </w:r>
        <w:r w:rsidR="00EC1508">
          <w:rPr>
            <w:noProof/>
            <w:webHidden/>
          </w:rPr>
        </w:r>
        <w:r w:rsidR="00EC1508">
          <w:rPr>
            <w:noProof/>
            <w:webHidden/>
          </w:rPr>
          <w:fldChar w:fldCharType="separate"/>
        </w:r>
        <w:r>
          <w:rPr>
            <w:noProof/>
            <w:webHidden/>
          </w:rPr>
          <w:t>8</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1" w:history="1">
        <w:r w:rsidR="00EC1508" w:rsidRPr="00AB322D">
          <w:rPr>
            <w:rStyle w:val="Hyperlink"/>
            <w:noProof/>
          </w:rPr>
          <w:t>3.2</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What is an ‘act’ or ‘practice’?</w:t>
        </w:r>
        <w:r w:rsidR="00EC1508">
          <w:rPr>
            <w:noProof/>
            <w:webHidden/>
          </w:rPr>
          <w:tab/>
        </w:r>
        <w:r w:rsidR="00EC1508">
          <w:rPr>
            <w:noProof/>
            <w:webHidden/>
          </w:rPr>
          <w:fldChar w:fldCharType="begin"/>
        </w:r>
        <w:r w:rsidR="00EC1508">
          <w:rPr>
            <w:noProof/>
            <w:webHidden/>
          </w:rPr>
          <w:instrText xml:space="preserve"> PAGEREF _Toc509571481 \h </w:instrText>
        </w:r>
        <w:r w:rsidR="00EC1508">
          <w:rPr>
            <w:noProof/>
            <w:webHidden/>
          </w:rPr>
        </w:r>
        <w:r w:rsidR="00EC1508">
          <w:rPr>
            <w:noProof/>
            <w:webHidden/>
          </w:rPr>
          <w:fldChar w:fldCharType="separate"/>
        </w:r>
        <w:r>
          <w:rPr>
            <w:noProof/>
            <w:webHidden/>
          </w:rPr>
          <w:t>8</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2" w:history="1">
        <w:r w:rsidR="00EC1508" w:rsidRPr="00AB322D">
          <w:rPr>
            <w:rStyle w:val="Hyperlink"/>
            <w:noProof/>
          </w:rPr>
          <w:t>3.3</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What is a human right?</w:t>
        </w:r>
        <w:r w:rsidR="00EC1508">
          <w:rPr>
            <w:noProof/>
            <w:webHidden/>
          </w:rPr>
          <w:tab/>
        </w:r>
        <w:r w:rsidR="00EC1508">
          <w:rPr>
            <w:noProof/>
            <w:webHidden/>
          </w:rPr>
          <w:fldChar w:fldCharType="begin"/>
        </w:r>
        <w:r w:rsidR="00EC1508">
          <w:rPr>
            <w:noProof/>
            <w:webHidden/>
          </w:rPr>
          <w:instrText xml:space="preserve"> PAGEREF _Toc509571482 \h </w:instrText>
        </w:r>
        <w:r w:rsidR="00EC1508">
          <w:rPr>
            <w:noProof/>
            <w:webHidden/>
          </w:rPr>
        </w:r>
        <w:r w:rsidR="00EC1508">
          <w:rPr>
            <w:noProof/>
            <w:webHidden/>
          </w:rPr>
          <w:fldChar w:fldCharType="separate"/>
        </w:r>
        <w:r>
          <w:rPr>
            <w:noProof/>
            <w:webHidden/>
          </w:rPr>
          <w:t>9</w:t>
        </w:r>
        <w:r w:rsidR="00EC1508">
          <w:rPr>
            <w:noProof/>
            <w:webHidden/>
          </w:rPr>
          <w:fldChar w:fldCharType="end"/>
        </w:r>
      </w:hyperlink>
    </w:p>
    <w:p w:rsidR="00EC1508" w:rsidRDefault="00AF070E">
      <w:pPr>
        <w:pStyle w:val="TOC1"/>
        <w:rPr>
          <w:rFonts w:asciiTheme="minorHAnsi" w:eastAsiaTheme="minorEastAsia" w:hAnsiTheme="minorHAnsi" w:cstheme="minorBidi"/>
          <w:b w:val="0"/>
          <w:noProof/>
          <w:spacing w:val="0"/>
          <w:sz w:val="22"/>
          <w:szCs w:val="22"/>
          <w:lang w:eastAsia="en-AU"/>
        </w:rPr>
      </w:pPr>
      <w:hyperlink w:anchor="_Toc509571483" w:history="1">
        <w:r w:rsidR="00EC1508" w:rsidRPr="00AB322D">
          <w:rPr>
            <w:rStyle w:val="Hyperlink"/>
            <w:noProof/>
          </w:rPr>
          <w:t>4</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Arbitrary detention</w:t>
        </w:r>
        <w:r w:rsidR="00EC1508">
          <w:rPr>
            <w:noProof/>
            <w:webHidden/>
          </w:rPr>
          <w:tab/>
        </w:r>
        <w:r w:rsidR="00EC1508">
          <w:rPr>
            <w:noProof/>
            <w:webHidden/>
          </w:rPr>
          <w:fldChar w:fldCharType="begin"/>
        </w:r>
        <w:r w:rsidR="00EC1508">
          <w:rPr>
            <w:noProof/>
            <w:webHidden/>
          </w:rPr>
          <w:instrText xml:space="preserve"> PAGEREF _Toc509571483 \h </w:instrText>
        </w:r>
        <w:r w:rsidR="00EC1508">
          <w:rPr>
            <w:noProof/>
            <w:webHidden/>
          </w:rPr>
        </w:r>
        <w:r w:rsidR="00EC1508">
          <w:rPr>
            <w:noProof/>
            <w:webHidden/>
          </w:rPr>
          <w:fldChar w:fldCharType="separate"/>
        </w:r>
        <w:r>
          <w:rPr>
            <w:noProof/>
            <w:webHidden/>
          </w:rPr>
          <w:t>9</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4" w:history="1">
        <w:r w:rsidR="00EC1508" w:rsidRPr="00AB322D">
          <w:rPr>
            <w:rStyle w:val="Hyperlink"/>
            <w:noProof/>
          </w:rPr>
          <w:t>4.1</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Law</w:t>
        </w:r>
        <w:r w:rsidR="00EC1508">
          <w:rPr>
            <w:noProof/>
            <w:webHidden/>
          </w:rPr>
          <w:tab/>
        </w:r>
        <w:r w:rsidR="00EC1508">
          <w:rPr>
            <w:noProof/>
            <w:webHidden/>
          </w:rPr>
          <w:fldChar w:fldCharType="begin"/>
        </w:r>
        <w:r w:rsidR="00EC1508">
          <w:rPr>
            <w:noProof/>
            <w:webHidden/>
          </w:rPr>
          <w:instrText xml:space="preserve"> PAGEREF _Toc509571484 \h </w:instrText>
        </w:r>
        <w:r w:rsidR="00EC1508">
          <w:rPr>
            <w:noProof/>
            <w:webHidden/>
          </w:rPr>
        </w:r>
        <w:r w:rsidR="00EC1508">
          <w:rPr>
            <w:noProof/>
            <w:webHidden/>
          </w:rPr>
          <w:fldChar w:fldCharType="separate"/>
        </w:r>
        <w:r>
          <w:rPr>
            <w:noProof/>
            <w:webHidden/>
          </w:rPr>
          <w:t>9</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5" w:history="1">
        <w:r w:rsidR="00EC1508" w:rsidRPr="00AB322D">
          <w:rPr>
            <w:rStyle w:val="Hyperlink"/>
            <w:noProof/>
          </w:rPr>
          <w:t>4.2</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Act or practice of the Commonwealth</w:t>
        </w:r>
        <w:r w:rsidR="00EC1508">
          <w:rPr>
            <w:noProof/>
            <w:webHidden/>
          </w:rPr>
          <w:tab/>
        </w:r>
        <w:r w:rsidR="00EC1508">
          <w:rPr>
            <w:noProof/>
            <w:webHidden/>
          </w:rPr>
          <w:fldChar w:fldCharType="begin"/>
        </w:r>
        <w:r w:rsidR="00EC1508">
          <w:rPr>
            <w:noProof/>
            <w:webHidden/>
          </w:rPr>
          <w:instrText xml:space="preserve"> PAGEREF _Toc509571485 \h </w:instrText>
        </w:r>
        <w:r w:rsidR="00EC1508">
          <w:rPr>
            <w:noProof/>
            <w:webHidden/>
          </w:rPr>
        </w:r>
        <w:r w:rsidR="00EC1508">
          <w:rPr>
            <w:noProof/>
            <w:webHidden/>
          </w:rPr>
          <w:fldChar w:fldCharType="separate"/>
        </w:r>
        <w:r>
          <w:rPr>
            <w:noProof/>
            <w:webHidden/>
          </w:rPr>
          <w:t>10</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6" w:history="1">
        <w:r w:rsidR="00EC1508" w:rsidRPr="00AB322D">
          <w:rPr>
            <w:rStyle w:val="Hyperlink"/>
            <w:noProof/>
          </w:rPr>
          <w:t>4.3</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Assessment</w:t>
        </w:r>
        <w:r w:rsidR="00EC1508">
          <w:rPr>
            <w:noProof/>
            <w:webHidden/>
          </w:rPr>
          <w:tab/>
        </w:r>
        <w:r w:rsidR="00EC1508">
          <w:rPr>
            <w:noProof/>
            <w:webHidden/>
          </w:rPr>
          <w:fldChar w:fldCharType="begin"/>
        </w:r>
        <w:r w:rsidR="00EC1508">
          <w:rPr>
            <w:noProof/>
            <w:webHidden/>
          </w:rPr>
          <w:instrText xml:space="preserve"> PAGEREF _Toc509571486 \h </w:instrText>
        </w:r>
        <w:r w:rsidR="00EC1508">
          <w:rPr>
            <w:noProof/>
            <w:webHidden/>
          </w:rPr>
        </w:r>
        <w:r w:rsidR="00EC1508">
          <w:rPr>
            <w:noProof/>
            <w:webHidden/>
          </w:rPr>
          <w:fldChar w:fldCharType="separate"/>
        </w:r>
        <w:r>
          <w:rPr>
            <w:noProof/>
            <w:webHidden/>
          </w:rPr>
          <w:t>12</w:t>
        </w:r>
        <w:r w:rsidR="00EC1508">
          <w:rPr>
            <w:noProof/>
            <w:webHidden/>
          </w:rPr>
          <w:fldChar w:fldCharType="end"/>
        </w:r>
      </w:hyperlink>
    </w:p>
    <w:p w:rsidR="00EC1508" w:rsidRDefault="00AF070E">
      <w:pPr>
        <w:pStyle w:val="TOC1"/>
        <w:rPr>
          <w:rFonts w:asciiTheme="minorHAnsi" w:eastAsiaTheme="minorEastAsia" w:hAnsiTheme="minorHAnsi" w:cstheme="minorBidi"/>
          <w:b w:val="0"/>
          <w:noProof/>
          <w:spacing w:val="0"/>
          <w:sz w:val="22"/>
          <w:szCs w:val="22"/>
          <w:lang w:eastAsia="en-AU"/>
        </w:rPr>
      </w:pPr>
      <w:hyperlink w:anchor="_Toc509571487" w:history="1">
        <w:r w:rsidR="00EC1508" w:rsidRPr="00AB322D">
          <w:rPr>
            <w:rStyle w:val="Hyperlink"/>
            <w:noProof/>
          </w:rPr>
          <w:t>5</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Findings and Recommendations</w:t>
        </w:r>
        <w:r w:rsidR="00EC1508">
          <w:rPr>
            <w:noProof/>
            <w:webHidden/>
          </w:rPr>
          <w:tab/>
        </w:r>
        <w:r w:rsidR="00EC1508">
          <w:rPr>
            <w:noProof/>
            <w:webHidden/>
          </w:rPr>
          <w:fldChar w:fldCharType="begin"/>
        </w:r>
        <w:r w:rsidR="00EC1508">
          <w:rPr>
            <w:noProof/>
            <w:webHidden/>
          </w:rPr>
          <w:instrText xml:space="preserve"> PAGEREF _Toc509571487 \h </w:instrText>
        </w:r>
        <w:r w:rsidR="00EC1508">
          <w:rPr>
            <w:noProof/>
            <w:webHidden/>
          </w:rPr>
        </w:r>
        <w:r w:rsidR="00EC1508">
          <w:rPr>
            <w:noProof/>
            <w:webHidden/>
          </w:rPr>
          <w:fldChar w:fldCharType="separate"/>
        </w:r>
        <w:r>
          <w:rPr>
            <w:noProof/>
            <w:webHidden/>
          </w:rPr>
          <w:t>15</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8" w:history="1">
        <w:r w:rsidR="00EC1508" w:rsidRPr="00AB322D">
          <w:rPr>
            <w:rStyle w:val="Hyperlink"/>
            <w:noProof/>
          </w:rPr>
          <w:t>5.1</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Power to make recommendations</w:t>
        </w:r>
        <w:r w:rsidR="00EC1508">
          <w:rPr>
            <w:noProof/>
            <w:webHidden/>
          </w:rPr>
          <w:tab/>
        </w:r>
        <w:r w:rsidR="00EC1508">
          <w:rPr>
            <w:noProof/>
            <w:webHidden/>
          </w:rPr>
          <w:fldChar w:fldCharType="begin"/>
        </w:r>
        <w:r w:rsidR="00EC1508">
          <w:rPr>
            <w:noProof/>
            <w:webHidden/>
          </w:rPr>
          <w:instrText xml:space="preserve"> PAGEREF _Toc509571488 \h </w:instrText>
        </w:r>
        <w:r w:rsidR="00EC1508">
          <w:rPr>
            <w:noProof/>
            <w:webHidden/>
          </w:rPr>
        </w:r>
        <w:r w:rsidR="00EC1508">
          <w:rPr>
            <w:noProof/>
            <w:webHidden/>
          </w:rPr>
          <w:fldChar w:fldCharType="separate"/>
        </w:r>
        <w:r>
          <w:rPr>
            <w:noProof/>
            <w:webHidden/>
          </w:rPr>
          <w:t>16</w:t>
        </w:r>
        <w:r w:rsidR="00EC1508">
          <w:rPr>
            <w:noProof/>
            <w:webHidden/>
          </w:rPr>
          <w:fldChar w:fldCharType="end"/>
        </w:r>
      </w:hyperlink>
    </w:p>
    <w:p w:rsidR="00EC1508" w:rsidRDefault="00AF070E">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509571489" w:history="1">
        <w:r w:rsidR="00EC1508" w:rsidRPr="00AB322D">
          <w:rPr>
            <w:rStyle w:val="Hyperlink"/>
            <w:noProof/>
          </w:rPr>
          <w:t>5.2</w:t>
        </w:r>
        <w:r w:rsidR="00EC1508">
          <w:rPr>
            <w:rFonts w:asciiTheme="minorHAnsi" w:eastAsiaTheme="minorEastAsia" w:hAnsiTheme="minorHAnsi" w:cstheme="minorBidi"/>
            <w:b w:val="0"/>
            <w:i w:val="0"/>
            <w:noProof/>
            <w:spacing w:val="0"/>
            <w:sz w:val="22"/>
            <w:szCs w:val="22"/>
            <w:lang w:eastAsia="en-AU"/>
          </w:rPr>
          <w:tab/>
        </w:r>
        <w:r w:rsidR="00EC1508" w:rsidRPr="00AB322D">
          <w:rPr>
            <w:rStyle w:val="Hyperlink"/>
            <w:noProof/>
          </w:rPr>
          <w:t>Compensation</w:t>
        </w:r>
        <w:r w:rsidR="00EC1508">
          <w:rPr>
            <w:noProof/>
            <w:webHidden/>
          </w:rPr>
          <w:tab/>
        </w:r>
        <w:r w:rsidR="00EC1508">
          <w:rPr>
            <w:noProof/>
            <w:webHidden/>
          </w:rPr>
          <w:fldChar w:fldCharType="begin"/>
        </w:r>
        <w:r w:rsidR="00EC1508">
          <w:rPr>
            <w:noProof/>
            <w:webHidden/>
          </w:rPr>
          <w:instrText xml:space="preserve"> PAGEREF _Toc509571489 \h </w:instrText>
        </w:r>
        <w:r w:rsidR="00EC1508">
          <w:rPr>
            <w:noProof/>
            <w:webHidden/>
          </w:rPr>
        </w:r>
        <w:r w:rsidR="00EC1508">
          <w:rPr>
            <w:noProof/>
            <w:webHidden/>
          </w:rPr>
          <w:fldChar w:fldCharType="separate"/>
        </w:r>
        <w:r>
          <w:rPr>
            <w:noProof/>
            <w:webHidden/>
          </w:rPr>
          <w:t>16</w:t>
        </w:r>
        <w:r w:rsidR="00EC1508">
          <w:rPr>
            <w:noProof/>
            <w:webHidden/>
          </w:rPr>
          <w:fldChar w:fldCharType="end"/>
        </w:r>
      </w:hyperlink>
    </w:p>
    <w:p w:rsidR="00EC1508" w:rsidRDefault="00AF070E">
      <w:pPr>
        <w:pStyle w:val="TOC1"/>
        <w:rPr>
          <w:rFonts w:asciiTheme="minorHAnsi" w:eastAsiaTheme="minorEastAsia" w:hAnsiTheme="minorHAnsi" w:cstheme="minorBidi"/>
          <w:b w:val="0"/>
          <w:noProof/>
          <w:spacing w:val="0"/>
          <w:sz w:val="22"/>
          <w:szCs w:val="22"/>
          <w:lang w:eastAsia="en-AU"/>
        </w:rPr>
      </w:pPr>
      <w:hyperlink w:anchor="_Toc509571490" w:history="1">
        <w:r w:rsidR="00EC1508" w:rsidRPr="00AB322D">
          <w:rPr>
            <w:rStyle w:val="Hyperlink"/>
            <w:noProof/>
          </w:rPr>
          <w:t>6</w:t>
        </w:r>
        <w:r w:rsidR="00EC1508">
          <w:rPr>
            <w:rFonts w:asciiTheme="minorHAnsi" w:eastAsiaTheme="minorEastAsia" w:hAnsiTheme="minorHAnsi" w:cstheme="minorBidi"/>
            <w:b w:val="0"/>
            <w:noProof/>
            <w:spacing w:val="0"/>
            <w:sz w:val="22"/>
            <w:szCs w:val="22"/>
            <w:lang w:eastAsia="en-AU"/>
          </w:rPr>
          <w:tab/>
        </w:r>
        <w:r w:rsidR="00EC1508" w:rsidRPr="00AB322D">
          <w:rPr>
            <w:rStyle w:val="Hyperlink"/>
            <w:noProof/>
          </w:rPr>
          <w:t>Department’s response to the recommendations</w:t>
        </w:r>
        <w:r w:rsidR="00EC1508">
          <w:rPr>
            <w:noProof/>
            <w:webHidden/>
          </w:rPr>
          <w:tab/>
        </w:r>
        <w:r w:rsidR="00EC1508">
          <w:rPr>
            <w:noProof/>
            <w:webHidden/>
          </w:rPr>
          <w:fldChar w:fldCharType="begin"/>
        </w:r>
        <w:r w:rsidR="00EC1508">
          <w:rPr>
            <w:noProof/>
            <w:webHidden/>
          </w:rPr>
          <w:instrText xml:space="preserve"> PAGEREF _Toc509571490 \h </w:instrText>
        </w:r>
        <w:r w:rsidR="00EC1508">
          <w:rPr>
            <w:noProof/>
            <w:webHidden/>
          </w:rPr>
        </w:r>
        <w:r w:rsidR="00EC1508">
          <w:rPr>
            <w:noProof/>
            <w:webHidden/>
          </w:rPr>
          <w:fldChar w:fldCharType="separate"/>
        </w:r>
        <w:r>
          <w:rPr>
            <w:noProof/>
            <w:webHidden/>
          </w:rPr>
          <w:t>19</w:t>
        </w:r>
        <w:r w:rsidR="00EC1508">
          <w:rPr>
            <w:noProof/>
            <w:webHidden/>
          </w:rPr>
          <w:fldChar w:fldCharType="end"/>
        </w:r>
      </w:hyperlink>
    </w:p>
    <w:p w:rsidR="00EC1508" w:rsidRDefault="00EC1508" w:rsidP="00CF72F4">
      <w:pPr>
        <w:rPr>
          <w:rFonts w:eastAsiaTheme="minorEastAsia"/>
          <w:noProof/>
          <w:lang w:eastAsia="en-AU"/>
        </w:rPr>
      </w:pPr>
    </w:p>
    <w:p w:rsidR="00A61DAC" w:rsidRPr="00AB4AED" w:rsidRDefault="00EA7010" w:rsidP="000201D7">
      <w:pPr>
        <w:spacing w:line="480" w:lineRule="auto"/>
        <w:rPr>
          <w:rFonts w:cs="Arial"/>
          <w:szCs w:val="24"/>
        </w:rPr>
      </w:pPr>
      <w:r w:rsidRPr="000263C1">
        <w:rPr>
          <w:rFonts w:cs="Arial"/>
          <w:b/>
          <w:szCs w:val="24"/>
        </w:rPr>
        <w:fldChar w:fldCharType="end"/>
      </w:r>
      <w:r w:rsidR="00A61DAC" w:rsidRPr="00AB4AED">
        <w:rPr>
          <w:rFonts w:cs="Arial"/>
          <w:szCs w:val="24"/>
        </w:rPr>
        <w:br w:type="page"/>
      </w:r>
    </w:p>
    <w:p w:rsidR="00F676B5" w:rsidRPr="005439AD" w:rsidRDefault="00F676B5" w:rsidP="00F676B5">
      <w:pPr>
        <w:pStyle w:val="Heading1"/>
      </w:pPr>
      <w:bookmarkStart w:id="1" w:name="_Toc509571477"/>
      <w:r w:rsidRPr="00534C56">
        <w:lastRenderedPageBreak/>
        <w:t xml:space="preserve">Introduction </w:t>
      </w:r>
      <w:r>
        <w:t>to this inquiry</w:t>
      </w:r>
      <w:bookmarkEnd w:id="1"/>
    </w:p>
    <w:p w:rsidR="00F676B5" w:rsidRDefault="00F676B5" w:rsidP="00F676B5">
      <w:pPr>
        <w:numPr>
          <w:ilvl w:val="0"/>
          <w:numId w:val="7"/>
        </w:numPr>
        <w:spacing w:before="240" w:after="240"/>
        <w:rPr>
          <w:rFonts w:cs="Arial"/>
          <w:szCs w:val="24"/>
        </w:rPr>
      </w:pPr>
      <w:r>
        <w:rPr>
          <w:rFonts w:cs="Arial"/>
          <w:szCs w:val="24"/>
        </w:rPr>
        <w:t>This is a report setting out the findings of the</w:t>
      </w:r>
      <w:r w:rsidRPr="000D2CCE">
        <w:rPr>
          <w:rFonts w:cs="Arial"/>
          <w:szCs w:val="24"/>
        </w:rPr>
        <w:t xml:space="preserve"> Australian Human Rights Commission </w:t>
      </w:r>
      <w:r>
        <w:rPr>
          <w:rFonts w:cs="Arial"/>
          <w:szCs w:val="24"/>
        </w:rPr>
        <w:t>(Commission) following an inquiry into a complaint</w:t>
      </w:r>
      <w:r w:rsidRPr="000D2CCE">
        <w:rPr>
          <w:rFonts w:cs="Arial"/>
          <w:szCs w:val="24"/>
        </w:rPr>
        <w:t xml:space="preserve"> by</w:t>
      </w:r>
      <w:r>
        <w:rPr>
          <w:rFonts w:cs="Arial"/>
          <w:szCs w:val="24"/>
        </w:rPr>
        <w:t xml:space="preserve"> two individuals who are brothers,</w:t>
      </w:r>
      <w:r w:rsidRPr="000D2CCE">
        <w:rPr>
          <w:rFonts w:cs="Arial"/>
          <w:szCs w:val="24"/>
        </w:rPr>
        <w:t xml:space="preserve"> </w:t>
      </w:r>
      <w:r>
        <w:rPr>
          <w:rFonts w:cs="Arial"/>
          <w:szCs w:val="24"/>
        </w:rPr>
        <w:t>Mr DR and Mr DS, again</w:t>
      </w:r>
      <w:r w:rsidRPr="000D2CCE">
        <w:rPr>
          <w:rFonts w:cs="Arial"/>
          <w:szCs w:val="24"/>
        </w:rPr>
        <w:t xml:space="preserve">st the Commonwealth of Australia </w:t>
      </w:r>
      <w:r>
        <w:rPr>
          <w:rFonts w:cs="Arial"/>
          <w:szCs w:val="24"/>
        </w:rPr>
        <w:t xml:space="preserve">— </w:t>
      </w:r>
      <w:r w:rsidR="00642D40" w:rsidRPr="00642D40">
        <w:rPr>
          <w:rFonts w:cs="Arial"/>
          <w:color w:val="000000"/>
          <w:spacing w:val="0"/>
          <w:szCs w:val="24"/>
          <w:lang w:val="en-US" w:eastAsia="en-AU"/>
        </w:rPr>
        <w:t xml:space="preserve">(Department of Home Affairs </w:t>
      </w:r>
      <w:r w:rsidR="00642D40">
        <w:rPr>
          <w:rFonts w:cs="Arial"/>
          <w:szCs w:val="24"/>
        </w:rPr>
        <w:t>—</w:t>
      </w:r>
      <w:r w:rsidR="00642D40" w:rsidRPr="00642D40">
        <w:rPr>
          <w:rFonts w:cs="Arial"/>
          <w:color w:val="000000"/>
          <w:spacing w:val="0"/>
          <w:szCs w:val="24"/>
          <w:lang w:val="en-US" w:eastAsia="en-AU"/>
        </w:rPr>
        <w:t xml:space="preserve"> formerly the Department of Immigration and Border Protection) </w:t>
      </w:r>
      <w:r w:rsidRPr="00642D40">
        <w:rPr>
          <w:rFonts w:cs="Arial"/>
          <w:szCs w:val="24"/>
        </w:rPr>
        <w:t>(department</w:t>
      </w:r>
      <w:r>
        <w:rPr>
          <w:rFonts w:cs="Arial"/>
          <w:szCs w:val="24"/>
        </w:rPr>
        <w:t xml:space="preserve">) </w:t>
      </w:r>
      <w:r w:rsidRPr="000D2CCE">
        <w:rPr>
          <w:rFonts w:cs="Arial"/>
          <w:szCs w:val="24"/>
        </w:rPr>
        <w:t xml:space="preserve">alleging a breach of </w:t>
      </w:r>
      <w:r>
        <w:rPr>
          <w:rFonts w:cs="Arial"/>
          <w:szCs w:val="24"/>
        </w:rPr>
        <w:t>their</w:t>
      </w:r>
      <w:r w:rsidR="00896ABB">
        <w:rPr>
          <w:rFonts w:cs="Arial"/>
          <w:szCs w:val="24"/>
        </w:rPr>
        <w:t xml:space="preserve"> human rights.</w:t>
      </w:r>
    </w:p>
    <w:p w:rsidR="00F676B5" w:rsidRPr="00896ABB" w:rsidRDefault="00F676B5" w:rsidP="00F676B5">
      <w:pPr>
        <w:pStyle w:val="ListParagraph"/>
        <w:numPr>
          <w:ilvl w:val="0"/>
          <w:numId w:val="7"/>
        </w:numPr>
        <w:rPr>
          <w:rFonts w:cs="Arial"/>
          <w:szCs w:val="24"/>
        </w:rPr>
      </w:pPr>
      <w:r>
        <w:rPr>
          <w:rFonts w:cs="Arial"/>
          <w:szCs w:val="24"/>
        </w:rPr>
        <w:t>Mr DR and Mr DS</w:t>
      </w:r>
      <w:r w:rsidRPr="00B2741C">
        <w:rPr>
          <w:rFonts w:cs="Arial"/>
          <w:szCs w:val="24"/>
        </w:rPr>
        <w:t xml:space="preserve"> complain that the length of time that they were each held in closed immigration detention, being 46 and 44 months respectively,</w:t>
      </w:r>
      <w:r>
        <w:rPr>
          <w:rFonts w:cs="Arial"/>
          <w:szCs w:val="24"/>
        </w:rPr>
        <w:t xml:space="preserve"> despite twice being found by the Refuge Review Tribunal (RRT) to be refugees to whom Australia owes protection obligations,</w:t>
      </w:r>
      <w:r w:rsidRPr="00B2741C">
        <w:rPr>
          <w:rFonts w:cs="Arial"/>
          <w:szCs w:val="24"/>
        </w:rPr>
        <w:t xml:space="preserve"> </w:t>
      </w:r>
      <w:r>
        <w:rPr>
          <w:rFonts w:cs="Arial"/>
          <w:szCs w:val="24"/>
        </w:rPr>
        <w:t>was ‘arbitrary’</w:t>
      </w:r>
      <w:r w:rsidRPr="00B2741C">
        <w:rPr>
          <w:rFonts w:cs="Arial"/>
          <w:szCs w:val="24"/>
        </w:rPr>
        <w:t xml:space="preserve"> and </w:t>
      </w:r>
      <w:r>
        <w:rPr>
          <w:rFonts w:cs="Arial"/>
          <w:szCs w:val="24"/>
        </w:rPr>
        <w:t>so</w:t>
      </w:r>
      <w:r w:rsidRPr="00B2741C">
        <w:rPr>
          <w:rFonts w:cs="Arial"/>
          <w:szCs w:val="24"/>
        </w:rPr>
        <w:t xml:space="preserve"> contrary to article 9(1) of the </w:t>
      </w:r>
      <w:r w:rsidRPr="00B2741C">
        <w:rPr>
          <w:rFonts w:cs="Arial"/>
          <w:i/>
          <w:szCs w:val="24"/>
        </w:rPr>
        <w:t>International Covenant on Civil and Political Rights</w:t>
      </w:r>
      <w:r w:rsidR="00896ABB">
        <w:rPr>
          <w:rFonts w:cs="Arial"/>
          <w:szCs w:val="24"/>
        </w:rPr>
        <w:t xml:space="preserve"> (ICCPR).</w:t>
      </w:r>
    </w:p>
    <w:p w:rsidR="00F676B5" w:rsidRPr="00896ABB" w:rsidRDefault="00F676B5" w:rsidP="00F676B5">
      <w:pPr>
        <w:pStyle w:val="ListParagraph"/>
        <w:numPr>
          <w:ilvl w:val="0"/>
          <w:numId w:val="7"/>
        </w:numPr>
        <w:rPr>
          <w:rFonts w:cs="Arial"/>
          <w:szCs w:val="24"/>
        </w:rPr>
      </w:pPr>
      <w:r>
        <w:rPr>
          <w:rFonts w:cs="Arial"/>
          <w:szCs w:val="24"/>
        </w:rPr>
        <w:t>This inquiry was</w:t>
      </w:r>
      <w:r w:rsidRPr="002505C4">
        <w:rPr>
          <w:rFonts w:cs="Arial"/>
          <w:szCs w:val="24"/>
        </w:rPr>
        <w:t xml:space="preserve"> undertaken pursuant to s 11(1)(f) of the </w:t>
      </w:r>
      <w:r>
        <w:rPr>
          <w:rFonts w:cs="Arial"/>
          <w:i/>
          <w:szCs w:val="24"/>
        </w:rPr>
        <w:t xml:space="preserve">Australian Human Rights Commission Act 1986 </w:t>
      </w:r>
      <w:r>
        <w:rPr>
          <w:rFonts w:cs="Arial"/>
          <w:szCs w:val="24"/>
        </w:rPr>
        <w:t>(Cth) (</w:t>
      </w:r>
      <w:r w:rsidRPr="002505C4">
        <w:rPr>
          <w:rFonts w:cs="Arial"/>
          <w:szCs w:val="24"/>
        </w:rPr>
        <w:t>AHRC Act</w:t>
      </w:r>
      <w:r>
        <w:rPr>
          <w:rFonts w:cs="Arial"/>
          <w:szCs w:val="24"/>
        </w:rPr>
        <w:t>)</w:t>
      </w:r>
      <w:r w:rsidRPr="002505C4">
        <w:rPr>
          <w:rFonts w:cs="Arial"/>
          <w:szCs w:val="24"/>
        </w:rPr>
        <w:t>.</w:t>
      </w:r>
    </w:p>
    <w:p w:rsidR="00F676B5" w:rsidRPr="00896ABB" w:rsidRDefault="00F676B5" w:rsidP="00F676B5">
      <w:pPr>
        <w:pStyle w:val="ListParagraph"/>
        <w:numPr>
          <w:ilvl w:val="0"/>
          <w:numId w:val="7"/>
        </w:numPr>
        <w:rPr>
          <w:szCs w:val="24"/>
        </w:rPr>
      </w:pPr>
      <w:r>
        <w:rPr>
          <w:rFonts w:cs="Arial"/>
          <w:szCs w:val="24"/>
        </w:rPr>
        <w:t>On the basis of this inquiry, the previous President of the Commission,</w:t>
      </w:r>
      <w:r w:rsidRPr="005E3664">
        <w:rPr>
          <w:rFonts w:cs="Arial"/>
        </w:rPr>
        <w:t xml:space="preserve"> </w:t>
      </w:r>
      <w:r>
        <w:rPr>
          <w:rFonts w:cs="Arial"/>
        </w:rPr>
        <w:t>Professor Gillian Triggs</w:t>
      </w:r>
      <w:r>
        <w:rPr>
          <w:rFonts w:cs="Arial"/>
          <w:szCs w:val="24"/>
        </w:rPr>
        <w:t xml:space="preserve"> made the following findings:</w:t>
      </w:r>
    </w:p>
    <w:p w:rsidR="00F676B5" w:rsidRPr="00896ABB" w:rsidRDefault="00F676B5" w:rsidP="00896ABB">
      <w:pPr>
        <w:pStyle w:val="ListParagraph"/>
        <w:numPr>
          <w:ilvl w:val="1"/>
          <w:numId w:val="7"/>
        </w:numPr>
        <w:rPr>
          <w:szCs w:val="24"/>
        </w:rPr>
      </w:pPr>
      <w:r>
        <w:t>the failure of the department to consider less restrictive alternatives to detention prior to April 2014, resulted in the detention of Mr DR and Mr DS for a period of 2 years, where the detention was not justified and not properly considered in light of their particular circumstances. The detention of Mr DR and Mr DS from soon after they arrived until April 2014 was ‘arbitrary’ for the purposes of article 9(1) of the ICCPR, and</w:t>
      </w:r>
    </w:p>
    <w:p w:rsidR="00F676B5" w:rsidRPr="00896ABB" w:rsidRDefault="00F676B5" w:rsidP="00F676B5">
      <w:pPr>
        <w:pStyle w:val="ListParagraph"/>
        <w:numPr>
          <w:ilvl w:val="1"/>
          <w:numId w:val="7"/>
        </w:numPr>
        <w:rPr>
          <w:szCs w:val="24"/>
        </w:rPr>
      </w:pPr>
      <w:r>
        <w:rPr>
          <w:szCs w:val="24"/>
        </w:rPr>
        <w:t>the</w:t>
      </w:r>
      <w:r w:rsidRPr="003C4AD4">
        <w:rPr>
          <w:szCs w:val="24"/>
        </w:rPr>
        <w:t xml:space="preserve"> failure </w:t>
      </w:r>
      <w:r>
        <w:rPr>
          <w:szCs w:val="24"/>
        </w:rPr>
        <w:t>of the</w:t>
      </w:r>
      <w:r>
        <w:rPr>
          <w:rFonts w:cs="Arial"/>
        </w:rPr>
        <w:t xml:space="preserve"> Hon. Scott Morrison MP, the then </w:t>
      </w:r>
      <w:r>
        <w:rPr>
          <w:szCs w:val="24"/>
        </w:rPr>
        <w:t xml:space="preserve">Minister for Immigration and Border Protection (Minister), </w:t>
      </w:r>
      <w:r w:rsidRPr="003C4AD4">
        <w:rPr>
          <w:szCs w:val="24"/>
        </w:rPr>
        <w:t xml:space="preserve">to consider exercising his powers under </w:t>
      </w:r>
      <w:r>
        <w:rPr>
          <w:szCs w:val="24"/>
        </w:rPr>
        <w:t>s </w:t>
      </w:r>
      <w:r w:rsidRPr="003C4AD4">
        <w:rPr>
          <w:szCs w:val="24"/>
        </w:rPr>
        <w:t>195A and s</w:t>
      </w:r>
      <w:r>
        <w:rPr>
          <w:szCs w:val="24"/>
        </w:rPr>
        <w:t> </w:t>
      </w:r>
      <w:r w:rsidRPr="003C4AD4">
        <w:rPr>
          <w:szCs w:val="24"/>
        </w:rPr>
        <w:t xml:space="preserve">197AB of the </w:t>
      </w:r>
      <w:r w:rsidRPr="00A53EE8">
        <w:rPr>
          <w:i/>
          <w:szCs w:val="24"/>
        </w:rPr>
        <w:t>Migration Act 1958</w:t>
      </w:r>
      <w:r w:rsidRPr="003C4AD4">
        <w:rPr>
          <w:szCs w:val="24"/>
        </w:rPr>
        <w:t xml:space="preserve"> (Cth) (</w:t>
      </w:r>
      <w:r w:rsidRPr="00A53EE8">
        <w:rPr>
          <w:szCs w:val="24"/>
        </w:rPr>
        <w:t>Migration Act</w:t>
      </w:r>
      <w:r w:rsidRPr="003C4AD4">
        <w:rPr>
          <w:szCs w:val="24"/>
        </w:rPr>
        <w:t xml:space="preserve">), to allow </w:t>
      </w:r>
      <w:r>
        <w:rPr>
          <w:szCs w:val="24"/>
        </w:rPr>
        <w:t>Mr DR</w:t>
      </w:r>
      <w:r w:rsidRPr="003C4AD4">
        <w:rPr>
          <w:szCs w:val="24"/>
        </w:rPr>
        <w:t xml:space="preserve"> and </w:t>
      </w:r>
      <w:r>
        <w:rPr>
          <w:szCs w:val="24"/>
        </w:rPr>
        <w:t>Mr DS</w:t>
      </w:r>
      <w:r w:rsidRPr="003C4AD4">
        <w:rPr>
          <w:szCs w:val="24"/>
        </w:rPr>
        <w:t xml:space="preserve"> to reside outside a closed immigration detention centre, when their cases were referred to him by the </w:t>
      </w:r>
      <w:r>
        <w:rPr>
          <w:szCs w:val="24"/>
        </w:rPr>
        <w:t>d</w:t>
      </w:r>
      <w:r w:rsidRPr="003C4AD4">
        <w:rPr>
          <w:szCs w:val="24"/>
        </w:rPr>
        <w:t>epartment in April 2014, is an act that is inconsistent with or contrary to article 9(1) of the ICCPR</w:t>
      </w:r>
      <w:r w:rsidR="00896ABB">
        <w:rPr>
          <w:szCs w:val="24"/>
        </w:rPr>
        <w:t>.</w:t>
      </w:r>
    </w:p>
    <w:p w:rsidR="00896ABB" w:rsidRPr="00896ABB" w:rsidRDefault="00F676B5" w:rsidP="00896ABB">
      <w:pPr>
        <w:pStyle w:val="ListParagraph"/>
        <w:numPr>
          <w:ilvl w:val="0"/>
          <w:numId w:val="7"/>
        </w:numPr>
        <w:rPr>
          <w:szCs w:val="24"/>
        </w:rPr>
      </w:pPr>
      <w:r>
        <w:t>Based on t</w:t>
      </w:r>
      <w:r w:rsidR="0084424E">
        <w:t>hose findings, Professor Triggs</w:t>
      </w:r>
      <w:r>
        <w:t xml:space="preserve"> made </w:t>
      </w:r>
      <w:r w:rsidR="00896ABB">
        <w:t>the following recommendations:</w:t>
      </w:r>
    </w:p>
    <w:p w:rsidR="00F676B5" w:rsidRPr="00CE4F91" w:rsidRDefault="00F676B5" w:rsidP="00F676B5">
      <w:pPr>
        <w:pStyle w:val="ListParagraph"/>
        <w:numPr>
          <w:ilvl w:val="1"/>
          <w:numId w:val="7"/>
        </w:numPr>
        <w:spacing w:before="120" w:after="120"/>
        <w:ind w:left="1434" w:hanging="357"/>
        <w:rPr>
          <w:szCs w:val="24"/>
        </w:rPr>
      </w:pPr>
      <w:r>
        <w:t xml:space="preserve">that the Commonwealth pay to Mr DR an appropriate amount of compensation to reflect the loss of liberty caused by his detention, </w:t>
      </w:r>
      <w:r w:rsidR="00896ABB">
        <w:t>and</w:t>
      </w:r>
    </w:p>
    <w:p w:rsidR="00F676B5" w:rsidRPr="00DF4149" w:rsidRDefault="00F676B5" w:rsidP="00F676B5">
      <w:pPr>
        <w:pStyle w:val="ListParagraph"/>
        <w:numPr>
          <w:ilvl w:val="1"/>
          <w:numId w:val="7"/>
        </w:numPr>
        <w:spacing w:before="120" w:after="120"/>
        <w:ind w:left="1434" w:hanging="357"/>
        <w:rPr>
          <w:szCs w:val="24"/>
        </w:rPr>
      </w:pPr>
      <w:r>
        <w:t>that the Commonwealth pay to Mr DS an appropriate amount of compensation to reflect the loss of l</w:t>
      </w:r>
      <w:r w:rsidR="00896ABB">
        <w:t>iberty caused by his detention.</w:t>
      </w:r>
    </w:p>
    <w:p w:rsidR="00F676B5" w:rsidRPr="008D4816" w:rsidRDefault="00F676B5" w:rsidP="00F676B5">
      <w:pPr>
        <w:pStyle w:val="Heading1"/>
      </w:pPr>
      <w:bookmarkStart w:id="2" w:name="_Toc509571478"/>
      <w:r>
        <w:lastRenderedPageBreak/>
        <w:t>Background</w:t>
      </w:r>
      <w:bookmarkEnd w:id="2"/>
    </w:p>
    <w:p w:rsidR="00F676B5" w:rsidRDefault="00F676B5" w:rsidP="00F676B5">
      <w:pPr>
        <w:pStyle w:val="ListParagraph"/>
        <w:numPr>
          <w:ilvl w:val="0"/>
          <w:numId w:val="7"/>
        </w:numPr>
        <w:rPr>
          <w:szCs w:val="24"/>
        </w:rPr>
      </w:pPr>
      <w:r>
        <w:rPr>
          <w:szCs w:val="24"/>
        </w:rPr>
        <w:t>Mr DR and Mr DS are nationals of Sri Lanka. Mr DR</w:t>
      </w:r>
      <w:r w:rsidRPr="00AE573F">
        <w:rPr>
          <w:szCs w:val="24"/>
        </w:rPr>
        <w:t xml:space="preserve"> arrived in Australia by boat at Christmas </w:t>
      </w:r>
      <w:r w:rsidRPr="002979E1">
        <w:rPr>
          <w:szCs w:val="24"/>
        </w:rPr>
        <w:t xml:space="preserve">Island on 17 February 2012. </w:t>
      </w:r>
      <w:r>
        <w:rPr>
          <w:szCs w:val="24"/>
        </w:rPr>
        <w:t>Mr DS</w:t>
      </w:r>
      <w:r w:rsidRPr="002979E1">
        <w:rPr>
          <w:szCs w:val="24"/>
        </w:rPr>
        <w:t xml:space="preserve"> arrived in Australia by boat at Christmas Island on 10 April 2012.</w:t>
      </w:r>
      <w:r>
        <w:rPr>
          <w:szCs w:val="24"/>
        </w:rPr>
        <w:t xml:space="preserve"> Upon arrival in Australia, each was detained on Christmas Island pursuant to </w:t>
      </w:r>
      <w:r>
        <w:t xml:space="preserve">s </w:t>
      </w:r>
      <w:r w:rsidR="00896ABB">
        <w:t>189(3) of the Migration Act.</w:t>
      </w:r>
    </w:p>
    <w:p w:rsidR="00F676B5" w:rsidRDefault="00F676B5" w:rsidP="00F676B5">
      <w:pPr>
        <w:numPr>
          <w:ilvl w:val="0"/>
          <w:numId w:val="7"/>
        </w:numPr>
        <w:spacing w:before="240" w:after="240"/>
        <w:rPr>
          <w:szCs w:val="24"/>
        </w:rPr>
      </w:pPr>
      <w:r>
        <w:rPr>
          <w:szCs w:val="24"/>
        </w:rPr>
        <w:t>On 7 March 2012, Mr DR was transferred to the mainland and detained under s 189(1) of the Migration Act</w:t>
      </w:r>
      <w:r w:rsidRPr="003A55FF">
        <w:t xml:space="preserve"> </w:t>
      </w:r>
      <w:r>
        <w:rPr>
          <w:szCs w:val="24"/>
        </w:rPr>
        <w:t xml:space="preserve">at </w:t>
      </w:r>
      <w:r w:rsidRPr="003A55FF">
        <w:rPr>
          <w:szCs w:val="24"/>
        </w:rPr>
        <w:t>Scherger Immigration D</w:t>
      </w:r>
      <w:r>
        <w:rPr>
          <w:szCs w:val="24"/>
        </w:rPr>
        <w:t xml:space="preserve">etention Centre. On 20 April 2012, Mr DS was also transferred to </w:t>
      </w:r>
      <w:r w:rsidRPr="003A55FF">
        <w:rPr>
          <w:szCs w:val="24"/>
        </w:rPr>
        <w:t>Scherger Immigration D</w:t>
      </w:r>
      <w:r>
        <w:rPr>
          <w:szCs w:val="24"/>
        </w:rPr>
        <w:t>etention Centre. On 24 May 2012, they were transferred to Villawood Immigration Detention Centre.</w:t>
      </w:r>
    </w:p>
    <w:p w:rsidR="00F676B5" w:rsidRPr="003E18CC" w:rsidRDefault="00F676B5" w:rsidP="00F676B5">
      <w:pPr>
        <w:numPr>
          <w:ilvl w:val="0"/>
          <w:numId w:val="7"/>
        </w:numPr>
        <w:spacing w:before="240" w:after="240"/>
        <w:rPr>
          <w:szCs w:val="24"/>
        </w:rPr>
      </w:pPr>
      <w:r w:rsidRPr="003E18CC">
        <w:rPr>
          <w:szCs w:val="24"/>
        </w:rPr>
        <w:t>On 2 October 2012, the</w:t>
      </w:r>
      <w:r>
        <w:rPr>
          <w:szCs w:val="24"/>
        </w:rPr>
        <w:t xml:space="preserve"> then</w:t>
      </w:r>
      <w:r w:rsidRPr="003E18CC">
        <w:rPr>
          <w:szCs w:val="24"/>
        </w:rPr>
        <w:t xml:space="preserve"> Minister for Immigration and Citizenship exercised his discretion under s 46A(2) of the Migration Act </w:t>
      </w:r>
      <w:r>
        <w:rPr>
          <w:szCs w:val="24"/>
        </w:rPr>
        <w:t>to allow Mr DR and Mr DS to each apply for a</w:t>
      </w:r>
      <w:r w:rsidRPr="003E18CC">
        <w:rPr>
          <w:szCs w:val="24"/>
        </w:rPr>
        <w:t xml:space="preserve"> protec</w:t>
      </w:r>
      <w:r>
        <w:rPr>
          <w:szCs w:val="24"/>
        </w:rPr>
        <w:t>tion visa. Mr DR and Mr DS made their applications on 2 November 2012 and 15 November 2012 respectively.</w:t>
      </w:r>
      <w:r w:rsidRPr="003E18CC">
        <w:rPr>
          <w:szCs w:val="24"/>
        </w:rPr>
        <w:t xml:space="preserve"> On 4 January 2013,</w:t>
      </w:r>
      <w:r>
        <w:rPr>
          <w:szCs w:val="24"/>
        </w:rPr>
        <w:t xml:space="preserve"> the d</w:t>
      </w:r>
      <w:r w:rsidRPr="003E18CC">
        <w:rPr>
          <w:szCs w:val="24"/>
        </w:rPr>
        <w:t>epa</w:t>
      </w:r>
      <w:r>
        <w:rPr>
          <w:szCs w:val="24"/>
        </w:rPr>
        <w:t>rtment refused to grant both</w:t>
      </w:r>
      <w:r w:rsidR="00896ABB">
        <w:rPr>
          <w:szCs w:val="24"/>
        </w:rPr>
        <w:t xml:space="preserve"> a protection visa.</w:t>
      </w:r>
    </w:p>
    <w:p w:rsidR="00F676B5" w:rsidRDefault="00F676B5" w:rsidP="00F676B5">
      <w:pPr>
        <w:numPr>
          <w:ilvl w:val="0"/>
          <w:numId w:val="7"/>
        </w:numPr>
        <w:spacing w:before="240" w:after="240"/>
        <w:rPr>
          <w:szCs w:val="24"/>
        </w:rPr>
      </w:pPr>
      <w:r>
        <w:rPr>
          <w:szCs w:val="24"/>
        </w:rPr>
        <w:t>In mid-April 2013, the RRT determined that they were refugees for the purposes of the Migration Act, and their applications were remitted back to the d</w:t>
      </w:r>
      <w:r w:rsidR="00896ABB">
        <w:rPr>
          <w:szCs w:val="24"/>
        </w:rPr>
        <w:t>epartment.</w:t>
      </w:r>
    </w:p>
    <w:p w:rsidR="00F676B5" w:rsidRDefault="00F676B5" w:rsidP="00F676B5">
      <w:pPr>
        <w:numPr>
          <w:ilvl w:val="0"/>
          <w:numId w:val="7"/>
        </w:numPr>
        <w:spacing w:before="240" w:after="240"/>
        <w:rPr>
          <w:szCs w:val="24"/>
        </w:rPr>
      </w:pPr>
      <w:r>
        <w:rPr>
          <w:szCs w:val="24"/>
        </w:rPr>
        <w:t>On 9 September 2013, the brothers were separately interviewed by department officers in an interview room at Villawood Immigration Detention Centre. They were each told that the department had information regarding their alleged involvement in a murder in Sri Lanka and were asked questions in relation to this allegation. Both denied any knowledge or involvement in this matter</w:t>
      </w:r>
      <w:r w:rsidR="00896ABB">
        <w:rPr>
          <w:szCs w:val="24"/>
        </w:rPr>
        <w:t>.</w:t>
      </w:r>
    </w:p>
    <w:p w:rsidR="00F676B5" w:rsidRDefault="00F676B5" w:rsidP="00F676B5">
      <w:pPr>
        <w:numPr>
          <w:ilvl w:val="0"/>
          <w:numId w:val="7"/>
        </w:numPr>
        <w:spacing w:before="240" w:after="240"/>
        <w:rPr>
          <w:szCs w:val="24"/>
        </w:rPr>
      </w:pPr>
      <w:r>
        <w:rPr>
          <w:szCs w:val="24"/>
        </w:rPr>
        <w:t xml:space="preserve">On 4 and 5 February 2014, Mr DR and Mr DS’s protection visa applications were again refused by the department, this time for not meeting requirements of clause 866.222 of the </w:t>
      </w:r>
      <w:r w:rsidRPr="00B7491A">
        <w:rPr>
          <w:i/>
          <w:szCs w:val="24"/>
        </w:rPr>
        <w:t>Migration Regulations 1944</w:t>
      </w:r>
      <w:r>
        <w:rPr>
          <w:szCs w:val="24"/>
        </w:rPr>
        <w:t xml:space="preserve"> (Cth) (Migration Regulations). On 12 December 2013, the Migration Regulations were amended to include clause 866.222, which disallows persons who arrive in Australia without a visa to b</w:t>
      </w:r>
      <w:r w:rsidR="00896ABB">
        <w:rPr>
          <w:szCs w:val="24"/>
        </w:rPr>
        <w:t>e granted permanent protection.</w:t>
      </w:r>
    </w:p>
    <w:p w:rsidR="00F676B5" w:rsidRDefault="00F676B5" w:rsidP="00F676B5">
      <w:pPr>
        <w:numPr>
          <w:ilvl w:val="0"/>
          <w:numId w:val="7"/>
        </w:numPr>
        <w:spacing w:before="240" w:after="240"/>
        <w:rPr>
          <w:szCs w:val="24"/>
        </w:rPr>
      </w:pPr>
      <w:r>
        <w:rPr>
          <w:szCs w:val="24"/>
        </w:rPr>
        <w:t>On 3 April 2014, Mr DR and Mr DS were transferred to Curtin Immigration Detention Centre in Western Australia.</w:t>
      </w:r>
    </w:p>
    <w:p w:rsidR="00F676B5" w:rsidRPr="00D553AF" w:rsidRDefault="00F676B5" w:rsidP="00F676B5">
      <w:pPr>
        <w:pStyle w:val="ListParagraph"/>
        <w:numPr>
          <w:ilvl w:val="0"/>
          <w:numId w:val="7"/>
        </w:numPr>
        <w:rPr>
          <w:szCs w:val="24"/>
        </w:rPr>
      </w:pPr>
      <w:r w:rsidRPr="00D553AF">
        <w:rPr>
          <w:szCs w:val="24"/>
        </w:rPr>
        <w:t>On 22 April 2014</w:t>
      </w:r>
      <w:r>
        <w:rPr>
          <w:szCs w:val="24"/>
        </w:rPr>
        <w:t>/23 April 2014, submissions in the form of</w:t>
      </w:r>
      <w:r w:rsidRPr="00D553AF">
        <w:rPr>
          <w:szCs w:val="24"/>
        </w:rPr>
        <w:t xml:space="preserve"> Ministe</w:t>
      </w:r>
      <w:r w:rsidR="00133D1D">
        <w:rPr>
          <w:szCs w:val="24"/>
        </w:rPr>
        <w:t>rial I</w:t>
      </w:r>
      <w:r w:rsidRPr="00D553AF">
        <w:rPr>
          <w:szCs w:val="24"/>
        </w:rPr>
        <w:t xml:space="preserve">ntervention requests </w:t>
      </w:r>
      <w:r>
        <w:rPr>
          <w:szCs w:val="24"/>
        </w:rPr>
        <w:t>were made by the department to the Hon Scott Morrison MP</w:t>
      </w:r>
      <w:r w:rsidRPr="00D553AF">
        <w:rPr>
          <w:szCs w:val="24"/>
        </w:rPr>
        <w:t>, the</w:t>
      </w:r>
      <w:r>
        <w:rPr>
          <w:szCs w:val="24"/>
        </w:rPr>
        <w:t xml:space="preserve"> then</w:t>
      </w:r>
      <w:r w:rsidRPr="00D553AF">
        <w:rPr>
          <w:szCs w:val="24"/>
        </w:rPr>
        <w:t xml:space="preserve"> </w:t>
      </w:r>
      <w:r w:rsidRPr="00BE770A">
        <w:rPr>
          <w:szCs w:val="24"/>
        </w:rPr>
        <w:t>Minister</w:t>
      </w:r>
      <w:r>
        <w:rPr>
          <w:szCs w:val="24"/>
        </w:rPr>
        <w:t xml:space="preserve">. The requests asked the Minister </w:t>
      </w:r>
      <w:r w:rsidRPr="00D553AF">
        <w:rPr>
          <w:szCs w:val="24"/>
        </w:rPr>
        <w:t xml:space="preserve">to consider exercising his discretion to </w:t>
      </w:r>
      <w:r>
        <w:rPr>
          <w:szCs w:val="24"/>
        </w:rPr>
        <w:t xml:space="preserve">either </w:t>
      </w:r>
      <w:r w:rsidRPr="00D553AF">
        <w:rPr>
          <w:szCs w:val="24"/>
        </w:rPr>
        <w:t>gr</w:t>
      </w:r>
      <w:r>
        <w:rPr>
          <w:szCs w:val="24"/>
        </w:rPr>
        <w:t>ant a temporary visa under s 195A of the Migration Act or make a residence determination under s 197AB of the Migration Act to allow Mr DR and Mr DS to reside in the community. On 30 May 2014,</w:t>
      </w:r>
      <w:r w:rsidRPr="00D553AF">
        <w:rPr>
          <w:szCs w:val="24"/>
        </w:rPr>
        <w:t xml:space="preserve"> the Minister declined to</w:t>
      </w:r>
      <w:r>
        <w:rPr>
          <w:szCs w:val="24"/>
        </w:rPr>
        <w:t xml:space="preserve"> consider intervening in both cases</w:t>
      </w:r>
      <w:r w:rsidRPr="00D553AF">
        <w:rPr>
          <w:szCs w:val="24"/>
        </w:rPr>
        <w:t>.</w:t>
      </w:r>
    </w:p>
    <w:p w:rsidR="00F676B5" w:rsidRDefault="00F676B5" w:rsidP="00F676B5">
      <w:pPr>
        <w:numPr>
          <w:ilvl w:val="0"/>
          <w:numId w:val="7"/>
        </w:numPr>
        <w:spacing w:before="240" w:after="240"/>
        <w:rPr>
          <w:szCs w:val="24"/>
        </w:rPr>
      </w:pPr>
      <w:r>
        <w:rPr>
          <w:szCs w:val="24"/>
        </w:rPr>
        <w:lastRenderedPageBreak/>
        <w:t>The brothers went back to the RRT to have the department’s decisions reviewed. On 11 July 2014, the RRT again found that Mr DS was owed protection obligations and remitted his matter to the department for reconsideration. On 18 July 2014, the RRT found the same in relation to Mr DR</w:t>
      </w:r>
      <w:r w:rsidR="00896ABB">
        <w:rPr>
          <w:szCs w:val="24"/>
        </w:rPr>
        <w:t>.</w:t>
      </w:r>
    </w:p>
    <w:p w:rsidR="00F676B5" w:rsidRDefault="00F676B5" w:rsidP="00F676B5">
      <w:pPr>
        <w:numPr>
          <w:ilvl w:val="0"/>
          <w:numId w:val="7"/>
        </w:numPr>
        <w:spacing w:before="240" w:after="240"/>
        <w:rPr>
          <w:szCs w:val="24"/>
        </w:rPr>
      </w:pPr>
      <w:r>
        <w:rPr>
          <w:szCs w:val="24"/>
        </w:rPr>
        <w:t>On 6 August 2014, the department initiated security and health checks for the purpose of granting each a Temporary Protection Visa (TPV)</w:t>
      </w:r>
      <w:r w:rsidR="00896ABB">
        <w:rPr>
          <w:szCs w:val="24"/>
        </w:rPr>
        <w:t>.</w:t>
      </w:r>
    </w:p>
    <w:p w:rsidR="00F676B5" w:rsidRDefault="00F676B5" w:rsidP="00F676B5">
      <w:pPr>
        <w:numPr>
          <w:ilvl w:val="0"/>
          <w:numId w:val="7"/>
        </w:numPr>
        <w:spacing w:before="240" w:after="240"/>
        <w:rPr>
          <w:szCs w:val="24"/>
        </w:rPr>
      </w:pPr>
      <w:r>
        <w:rPr>
          <w:szCs w:val="24"/>
        </w:rPr>
        <w:t>On 28 August 2014, they were transferred to Yongah Hill Immigration Detention Centre in Western Australia.</w:t>
      </w:r>
    </w:p>
    <w:p w:rsidR="00F676B5" w:rsidRPr="003A55FF" w:rsidRDefault="00F676B5" w:rsidP="00F676B5">
      <w:pPr>
        <w:numPr>
          <w:ilvl w:val="0"/>
          <w:numId w:val="7"/>
        </w:numPr>
        <w:spacing w:before="240" w:after="240"/>
        <w:rPr>
          <w:szCs w:val="24"/>
        </w:rPr>
      </w:pPr>
      <w:r>
        <w:rPr>
          <w:szCs w:val="24"/>
        </w:rPr>
        <w:t>Mr DR and Mr DS were held in closed immigration detention until they were granted TPVs on 16 December 2015 and were then released into the communi</w:t>
      </w:r>
      <w:r w:rsidR="00896ABB">
        <w:rPr>
          <w:szCs w:val="24"/>
        </w:rPr>
        <w:t>ty.</w:t>
      </w:r>
    </w:p>
    <w:p w:rsidR="00F676B5" w:rsidRPr="006472BE" w:rsidRDefault="00F676B5" w:rsidP="00F676B5">
      <w:pPr>
        <w:pStyle w:val="Heading1"/>
      </w:pPr>
      <w:bookmarkStart w:id="3" w:name="_Toc509571479"/>
      <w:r w:rsidRPr="006472BE">
        <w:t>Legislative framework</w:t>
      </w:r>
      <w:bookmarkEnd w:id="3"/>
    </w:p>
    <w:p w:rsidR="00F676B5" w:rsidRPr="006472BE" w:rsidRDefault="00F676B5" w:rsidP="00F676B5">
      <w:pPr>
        <w:pStyle w:val="Heading2"/>
      </w:pPr>
      <w:bookmarkStart w:id="4" w:name="_Toc509571480"/>
      <w:r w:rsidRPr="006472BE">
        <w:t>Functions of the Commission</w:t>
      </w:r>
      <w:bookmarkEnd w:id="4"/>
    </w:p>
    <w:p w:rsidR="00F676B5" w:rsidRPr="0008392C" w:rsidRDefault="00F676B5" w:rsidP="00F676B5">
      <w:pPr>
        <w:numPr>
          <w:ilvl w:val="0"/>
          <w:numId w:val="7"/>
        </w:numPr>
        <w:tabs>
          <w:tab w:val="num" w:pos="960"/>
        </w:tabs>
        <w:spacing w:before="240" w:after="240"/>
        <w:rPr>
          <w:szCs w:val="24"/>
        </w:rPr>
      </w:pPr>
      <w:r>
        <w:rPr>
          <w:szCs w:val="24"/>
        </w:rPr>
        <w:t>Section 11(1)</w:t>
      </w:r>
      <w:r w:rsidRPr="0008392C">
        <w:rPr>
          <w:szCs w:val="24"/>
        </w:rPr>
        <w:t xml:space="preserve">(f) of the AHRC Act </w:t>
      </w:r>
      <w:r>
        <w:rPr>
          <w:szCs w:val="24"/>
        </w:rPr>
        <w:t>provides that</w:t>
      </w:r>
      <w:r w:rsidRPr="0008392C">
        <w:rPr>
          <w:szCs w:val="24"/>
        </w:rPr>
        <w:t xml:space="preserve"> the Commission</w:t>
      </w:r>
      <w:r>
        <w:rPr>
          <w:szCs w:val="24"/>
        </w:rPr>
        <w:t xml:space="preserve"> has the function</w:t>
      </w:r>
      <w:r w:rsidRPr="0008392C">
        <w:rPr>
          <w:szCs w:val="24"/>
        </w:rPr>
        <w:t xml:space="preserve"> to inquire into any act or practice that may be inconsistent with </w:t>
      </w:r>
      <w:r w:rsidR="00896ABB">
        <w:rPr>
          <w:szCs w:val="24"/>
        </w:rPr>
        <w:t>or contrary to any human right.</w:t>
      </w:r>
    </w:p>
    <w:p w:rsidR="00F676B5" w:rsidRDefault="00F676B5" w:rsidP="00F676B5">
      <w:pPr>
        <w:numPr>
          <w:ilvl w:val="0"/>
          <w:numId w:val="7"/>
        </w:numPr>
        <w:tabs>
          <w:tab w:val="num" w:pos="960"/>
        </w:tabs>
        <w:spacing w:before="240" w:after="240"/>
        <w:rPr>
          <w:szCs w:val="24"/>
        </w:rPr>
      </w:pPr>
      <w:r>
        <w:rPr>
          <w:szCs w:val="24"/>
        </w:rPr>
        <w:t>Section 20(1)</w:t>
      </w:r>
      <w:r w:rsidRPr="0008392C">
        <w:rPr>
          <w:szCs w:val="24"/>
        </w:rPr>
        <w:t>(b) of the AHRC Act require</w:t>
      </w:r>
      <w:r>
        <w:rPr>
          <w:szCs w:val="24"/>
        </w:rPr>
        <w:t>s the Commission to perform the</w:t>
      </w:r>
      <w:r w:rsidRPr="0008392C">
        <w:rPr>
          <w:szCs w:val="24"/>
        </w:rPr>
        <w:t xml:space="preserve"> function</w:t>
      </w:r>
      <w:r>
        <w:rPr>
          <w:szCs w:val="24"/>
        </w:rPr>
        <w:t>s referred to in s 11(1)(f)</w:t>
      </w:r>
      <w:r w:rsidRPr="0008392C">
        <w:rPr>
          <w:szCs w:val="24"/>
        </w:rPr>
        <w:t xml:space="preserve"> when a complaint is made to it in writing alleging</w:t>
      </w:r>
      <w:r>
        <w:rPr>
          <w:szCs w:val="24"/>
        </w:rPr>
        <w:t xml:space="preserve"> that an act is inconsistent with </w:t>
      </w:r>
      <w:r w:rsidR="00896ABB">
        <w:rPr>
          <w:szCs w:val="24"/>
        </w:rPr>
        <w:t>or contrary to any human right.</w:t>
      </w:r>
    </w:p>
    <w:p w:rsidR="00F676B5" w:rsidRDefault="00F676B5" w:rsidP="00F676B5">
      <w:pPr>
        <w:numPr>
          <w:ilvl w:val="0"/>
          <w:numId w:val="7"/>
        </w:numPr>
        <w:tabs>
          <w:tab w:val="num" w:pos="960"/>
        </w:tabs>
        <w:spacing w:before="240" w:after="240"/>
        <w:rPr>
          <w:szCs w:val="24"/>
        </w:rPr>
      </w:pPr>
      <w:r>
        <w:rPr>
          <w:szCs w:val="24"/>
        </w:rPr>
        <w:t>Section 8(6) of the AHRC Act requires that the functions of the Commission under s 11(1)(f)</w:t>
      </w:r>
      <w:r w:rsidR="00896ABB">
        <w:rPr>
          <w:szCs w:val="24"/>
        </w:rPr>
        <w:t xml:space="preserve"> be performed by the President.</w:t>
      </w:r>
    </w:p>
    <w:p w:rsidR="00F676B5" w:rsidRPr="009A531E" w:rsidRDefault="00F676B5" w:rsidP="00F676B5">
      <w:pPr>
        <w:pStyle w:val="Heading2"/>
      </w:pPr>
      <w:bookmarkStart w:id="5" w:name="_Toc328405012"/>
      <w:bookmarkStart w:id="6" w:name="_Toc509571481"/>
      <w:r w:rsidRPr="009A531E">
        <w:t>What is an ‘act’ or ‘practice’</w:t>
      </w:r>
      <w:bookmarkEnd w:id="5"/>
      <w:r>
        <w:t>?</w:t>
      </w:r>
      <w:bookmarkEnd w:id="6"/>
    </w:p>
    <w:p w:rsidR="00F676B5" w:rsidRPr="009A531E" w:rsidRDefault="00F676B5" w:rsidP="00F676B5">
      <w:pPr>
        <w:numPr>
          <w:ilvl w:val="0"/>
          <w:numId w:val="7"/>
        </w:numPr>
        <w:spacing w:before="240" w:after="240"/>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rsidR="00F676B5" w:rsidRDefault="00F676B5" w:rsidP="00F676B5">
      <w:pPr>
        <w:numPr>
          <w:ilvl w:val="0"/>
          <w:numId w:val="7"/>
        </w:numPr>
        <w:spacing w:before="240" w:after="240"/>
        <w:rPr>
          <w:szCs w:val="24"/>
        </w:rPr>
      </w:pPr>
      <w:r w:rsidRPr="009A531E">
        <w:rPr>
          <w:szCs w:val="24"/>
        </w:rPr>
        <w:t>Section 3(3)</w:t>
      </w:r>
      <w:r>
        <w:rPr>
          <w:szCs w:val="24"/>
        </w:rPr>
        <w:t xml:space="preserve"> of the AHRC Act</w:t>
      </w:r>
      <w:r w:rsidRPr="009A531E">
        <w:rPr>
          <w:szCs w:val="24"/>
        </w:rPr>
        <w:t xml:space="preserve"> provides that the reference to, or to the doing of, an act includes a reference to a refusal or failure to do an act.</w:t>
      </w:r>
    </w:p>
    <w:p w:rsidR="00F676B5" w:rsidRPr="005D74C5" w:rsidRDefault="00F676B5" w:rsidP="00F676B5">
      <w:pPr>
        <w:numPr>
          <w:ilvl w:val="0"/>
          <w:numId w:val="7"/>
        </w:numPr>
        <w:spacing w:before="240" w:after="240"/>
        <w:rPr>
          <w:szCs w:val="24"/>
        </w:rPr>
      </w:pPr>
      <w:r w:rsidRPr="005D74C5">
        <w:rPr>
          <w:szCs w:val="24"/>
        </w:rPr>
        <w:t>The functions of the Commission identified in s 11(1)(f) of the AHRC Act are only engaged where the act complained of is not one required by law to be taken, that is, where the relevant act or practice is within the discretion of the Commonwealth.</w:t>
      </w:r>
      <w:r>
        <w:rPr>
          <w:rStyle w:val="EndnoteReference"/>
        </w:rPr>
        <w:endnoteReference w:id="1"/>
      </w:r>
    </w:p>
    <w:p w:rsidR="00F676B5" w:rsidRPr="00896ABB" w:rsidRDefault="00F676B5" w:rsidP="00F676B5">
      <w:pPr>
        <w:pStyle w:val="Heading2"/>
        <w:rPr>
          <w:szCs w:val="28"/>
        </w:rPr>
      </w:pPr>
      <w:bookmarkStart w:id="7" w:name="_Toc509571482"/>
      <w:r w:rsidRPr="00896ABB">
        <w:rPr>
          <w:szCs w:val="28"/>
        </w:rPr>
        <w:lastRenderedPageBreak/>
        <w:t>What is a human right?</w:t>
      </w:r>
      <w:bookmarkEnd w:id="7"/>
    </w:p>
    <w:p w:rsidR="00F676B5" w:rsidRPr="00F06069" w:rsidRDefault="00F676B5" w:rsidP="00F676B5">
      <w:pPr>
        <w:numPr>
          <w:ilvl w:val="0"/>
          <w:numId w:val="7"/>
        </w:numPr>
        <w:tabs>
          <w:tab w:val="num" w:pos="960"/>
        </w:tabs>
        <w:spacing w:before="240" w:after="240"/>
        <w:rPr>
          <w:szCs w:val="24"/>
        </w:rPr>
      </w:pPr>
      <w:r w:rsidRPr="00F06069">
        <w:rPr>
          <w:szCs w:val="24"/>
        </w:rPr>
        <w:t xml:space="preserve">The phrase ‘human rights’ is defined by s 3(1) of the AHRC Act to include the rights and freedoms recognised in the ICCPR, or recognised or declared by any relevant international instrument. </w:t>
      </w:r>
    </w:p>
    <w:p w:rsidR="00F676B5" w:rsidRDefault="00F676B5" w:rsidP="00F676B5">
      <w:pPr>
        <w:keepNext/>
        <w:numPr>
          <w:ilvl w:val="0"/>
          <w:numId w:val="7"/>
        </w:numPr>
        <w:spacing w:before="240" w:after="240"/>
        <w:rPr>
          <w:szCs w:val="24"/>
        </w:rPr>
      </w:pPr>
      <w:r w:rsidRPr="00C443E3">
        <w:rPr>
          <w:szCs w:val="24"/>
        </w:rPr>
        <w:t xml:space="preserve">Article 9(1) of the ICCPR </w:t>
      </w:r>
      <w:r>
        <w:rPr>
          <w:szCs w:val="24"/>
        </w:rPr>
        <w:t>is relevant to this inquiry. That article provides:</w:t>
      </w:r>
    </w:p>
    <w:p w:rsidR="00F676B5" w:rsidRDefault="00F676B5" w:rsidP="00F676B5">
      <w:pPr>
        <w:spacing w:before="240" w:after="240"/>
        <w:ind w:left="1418"/>
        <w:rPr>
          <w:iCs/>
          <w:sz w:val="22"/>
          <w:szCs w:val="22"/>
        </w:rPr>
      </w:pPr>
      <w:r w:rsidRPr="00FF14A2">
        <w:rPr>
          <w:iCs/>
          <w:sz w:val="22"/>
          <w:szCs w:val="22"/>
        </w:rPr>
        <w:t xml:space="preserve">Everyone has the right to liberty and security of person. No one shall be subjected 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rsidR="00F676B5" w:rsidRDefault="00F676B5" w:rsidP="00F676B5">
      <w:pPr>
        <w:pStyle w:val="Heading1"/>
      </w:pPr>
      <w:bookmarkStart w:id="8" w:name="_Toc509571483"/>
      <w:r w:rsidRPr="008F0D2B">
        <w:t>Arbitrary detention</w:t>
      </w:r>
      <w:bookmarkEnd w:id="8"/>
    </w:p>
    <w:p w:rsidR="00F676B5" w:rsidRDefault="00F676B5" w:rsidP="00F676B5">
      <w:pPr>
        <w:numPr>
          <w:ilvl w:val="0"/>
          <w:numId w:val="7"/>
        </w:numPr>
        <w:spacing w:before="240" w:after="240"/>
        <w:rPr>
          <w:szCs w:val="24"/>
        </w:rPr>
      </w:pPr>
      <w:r>
        <w:rPr>
          <w:szCs w:val="24"/>
        </w:rPr>
        <w:t>Mr DR and Mr DS complain about the duration of their detention in immigration detention facilities since their arrival in Australia until 16 December 2015, when they were released into the community</w:t>
      </w:r>
      <w:r w:rsidR="00D517A4">
        <w:rPr>
          <w:szCs w:val="24"/>
        </w:rPr>
        <w:t>.</w:t>
      </w:r>
    </w:p>
    <w:p w:rsidR="00F676B5" w:rsidRPr="003C282C" w:rsidRDefault="00F676B5" w:rsidP="00F676B5">
      <w:pPr>
        <w:numPr>
          <w:ilvl w:val="0"/>
          <w:numId w:val="7"/>
        </w:numPr>
        <w:spacing w:before="240" w:after="240"/>
        <w:rPr>
          <w:szCs w:val="24"/>
        </w:rPr>
      </w:pPr>
      <w:r>
        <w:t>Professor Triggs considered that Mr DR and Mr DS’s complaints raised for consideration the question of whether their detention until 16 December 2015 was ‘arbitrary’ within the meaning of article 9(1) of the ICCPR, and therefore whether it was inconsistent with or co</w:t>
      </w:r>
      <w:r w:rsidR="00D517A4">
        <w:t>ntrary to that right.</w:t>
      </w:r>
    </w:p>
    <w:p w:rsidR="00F676B5" w:rsidRDefault="00F676B5" w:rsidP="00F676B5">
      <w:pPr>
        <w:pStyle w:val="Heading2"/>
        <w:tabs>
          <w:tab w:val="clear" w:pos="1135"/>
          <w:tab w:val="num" w:pos="2411"/>
        </w:tabs>
        <w:ind w:left="709" w:hanging="709"/>
      </w:pPr>
      <w:bookmarkStart w:id="9" w:name="_Toc509571484"/>
      <w:r>
        <w:t>Law</w:t>
      </w:r>
      <w:bookmarkEnd w:id="9"/>
    </w:p>
    <w:p w:rsidR="00F676B5" w:rsidRPr="009A531E" w:rsidRDefault="00F676B5" w:rsidP="00F676B5">
      <w:pPr>
        <w:numPr>
          <w:ilvl w:val="0"/>
          <w:numId w:val="7"/>
        </w:numPr>
        <w:spacing w:before="240" w:after="240"/>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Pr>
          <w:szCs w:val="24"/>
        </w:rPr>
        <w:t> </w:t>
      </w:r>
      <w:r w:rsidRPr="009A531E">
        <w:rPr>
          <w:szCs w:val="24"/>
        </w:rPr>
        <w:t>9 of the ICCPR arise from international human rights jurisprudence:</w:t>
      </w:r>
    </w:p>
    <w:p w:rsidR="00F676B5" w:rsidRPr="006D38A7" w:rsidRDefault="00F676B5" w:rsidP="00F676B5">
      <w:pPr>
        <w:pStyle w:val="ListParagraph"/>
        <w:widowControl w:val="0"/>
        <w:numPr>
          <w:ilvl w:val="0"/>
          <w:numId w:val="27"/>
        </w:numPr>
        <w:tabs>
          <w:tab w:val="left" w:pos="1701"/>
        </w:tabs>
        <w:autoSpaceDE w:val="0"/>
        <w:autoSpaceDN w:val="0"/>
        <w:spacing w:before="120" w:after="60" w:line="300" w:lineRule="exact"/>
        <w:ind w:left="1701" w:hanging="567"/>
        <w:rPr>
          <w:sz w:val="13"/>
        </w:rPr>
      </w:pPr>
      <w:r w:rsidRPr="00F60FA9">
        <w:t>‘detention’ includes immigration detention</w:t>
      </w:r>
      <w:r w:rsidRPr="00F60FA9">
        <w:rPr>
          <w:rStyle w:val="EndnoteReference"/>
        </w:rPr>
        <w:endnoteReference w:id="2"/>
      </w:r>
    </w:p>
    <w:p w:rsidR="00F676B5" w:rsidRPr="00FC0EBE" w:rsidRDefault="00F676B5" w:rsidP="00F676B5">
      <w:pPr>
        <w:pStyle w:val="ListParagraph"/>
        <w:widowControl w:val="0"/>
        <w:numPr>
          <w:ilvl w:val="0"/>
          <w:numId w:val="27"/>
        </w:numPr>
        <w:tabs>
          <w:tab w:val="left" w:pos="1701"/>
        </w:tabs>
        <w:autoSpaceDE w:val="0"/>
        <w:autoSpaceDN w:val="0"/>
        <w:spacing w:before="120" w:after="60" w:line="300" w:lineRule="exact"/>
        <w:ind w:left="1701" w:hanging="567"/>
        <w:rPr>
          <w:sz w:val="13"/>
        </w:rPr>
      </w:pPr>
      <w:r w:rsidRPr="00FC0EBE">
        <w:t xml:space="preserve">lawful detention may become arbitrary when a person’s deprivation of liberty becomes unjust, unreasonable or disproportionate in the </w:t>
      </w:r>
      <w:r>
        <w:t xml:space="preserve">particular </w:t>
      </w:r>
      <w:r w:rsidRPr="00FC0EBE">
        <w:t>circumstances</w:t>
      </w:r>
      <w:r w:rsidRPr="00FC0EBE">
        <w:rPr>
          <w:rStyle w:val="EndnoteReference"/>
        </w:rPr>
        <w:endnoteReference w:id="3"/>
      </w:r>
    </w:p>
    <w:p w:rsidR="00F676B5" w:rsidRPr="00F60FA9" w:rsidRDefault="00F676B5" w:rsidP="00F676B5">
      <w:pPr>
        <w:pStyle w:val="ListParagraph"/>
        <w:widowControl w:val="0"/>
        <w:numPr>
          <w:ilvl w:val="0"/>
          <w:numId w:val="27"/>
        </w:numPr>
        <w:tabs>
          <w:tab w:val="left" w:pos="1701"/>
        </w:tabs>
        <w:autoSpaceDE w:val="0"/>
        <w:autoSpaceDN w:val="0"/>
        <w:spacing w:before="120" w:after="60" w:line="300" w:lineRule="exact"/>
        <w:ind w:left="1701" w:hanging="567"/>
      </w:pPr>
      <w:r w:rsidRPr="00F60FA9">
        <w:t>arbitrariness is not to be equated with ‘against the law’; it must be interpreted more broadly to include elements of inappropriateness, injustice or lack of predictability</w:t>
      </w:r>
      <w:r w:rsidRPr="00F60FA9">
        <w:rPr>
          <w:rStyle w:val="EndnoteReference"/>
        </w:rPr>
        <w:endnoteReference w:id="4"/>
      </w:r>
    </w:p>
    <w:p w:rsidR="00F676B5" w:rsidRPr="00F60FA9" w:rsidRDefault="00F676B5" w:rsidP="00F676B5">
      <w:pPr>
        <w:pStyle w:val="ListParagraph"/>
        <w:widowControl w:val="0"/>
        <w:numPr>
          <w:ilvl w:val="0"/>
          <w:numId w:val="27"/>
        </w:numPr>
        <w:tabs>
          <w:tab w:val="left" w:pos="1701"/>
        </w:tabs>
        <w:autoSpaceDE w:val="0"/>
        <w:autoSpaceDN w:val="0"/>
        <w:spacing w:before="120" w:after="60" w:line="300" w:lineRule="exact"/>
        <w:ind w:left="1701" w:hanging="567"/>
        <w:rPr>
          <w:sz w:val="13"/>
        </w:rPr>
      </w:pPr>
      <w:bookmarkStart w:id="10" w:name="_bookmark4"/>
      <w:bookmarkEnd w:id="10"/>
      <w:r w:rsidRPr="00F60FA9">
        <w:t>detention should not continue beyond the period for which a State party can provide appropriate justification.</w:t>
      </w:r>
      <w:r w:rsidRPr="00F60FA9">
        <w:rPr>
          <w:rStyle w:val="EndnoteReference"/>
        </w:rPr>
        <w:endnoteReference w:id="5"/>
      </w:r>
      <w:r w:rsidRPr="00F60FA9">
        <w:rPr>
          <w:sz w:val="13"/>
        </w:rPr>
        <w:t xml:space="preserve"> </w:t>
      </w:r>
    </w:p>
    <w:p w:rsidR="00F676B5" w:rsidRPr="00624FD5" w:rsidRDefault="00F676B5" w:rsidP="00F676B5">
      <w:pPr>
        <w:numPr>
          <w:ilvl w:val="0"/>
          <w:numId w:val="7"/>
        </w:numPr>
        <w:spacing w:before="240" w:after="240"/>
        <w:rPr>
          <w:szCs w:val="24"/>
        </w:rPr>
      </w:pPr>
      <w:r w:rsidRPr="009A531E">
        <w:rPr>
          <w:szCs w:val="24"/>
        </w:rPr>
        <w:t xml:space="preserve">In </w:t>
      </w:r>
      <w:r>
        <w:rPr>
          <w:i/>
          <w:szCs w:val="24"/>
        </w:rPr>
        <w:t>V</w:t>
      </w:r>
      <w:r w:rsidRPr="00251C59">
        <w:rPr>
          <w:i/>
          <w:szCs w:val="24"/>
        </w:rPr>
        <w:t>an</w:t>
      </w:r>
      <w:r w:rsidRPr="009A531E">
        <w:rPr>
          <w:i/>
          <w:szCs w:val="24"/>
        </w:rPr>
        <w:t xml:space="preserve"> Alphen v The Netherlands</w:t>
      </w:r>
      <w:r>
        <w:rPr>
          <w:szCs w:val="24"/>
        </w:rPr>
        <w:t>, the United Nations</w:t>
      </w:r>
      <w:r w:rsidRPr="009A531E">
        <w:rPr>
          <w:szCs w:val="24"/>
        </w:rPr>
        <w:t xml:space="preserve"> Human Rights Committee </w:t>
      </w:r>
      <w:r>
        <w:rPr>
          <w:szCs w:val="24"/>
        </w:rPr>
        <w:t xml:space="preserve">(UNHRC) </w:t>
      </w:r>
      <w:r w:rsidRPr="009A531E">
        <w:rPr>
          <w:szCs w:val="24"/>
        </w:rPr>
        <w:t xml:space="preserve">found detention for a period of two months to be arbitrary because the State Party did not show that </w:t>
      </w:r>
      <w:r>
        <w:rPr>
          <w:szCs w:val="24"/>
        </w:rPr>
        <w:t>being remanded</w:t>
      </w:r>
      <w:r w:rsidRPr="009A531E">
        <w:rPr>
          <w:szCs w:val="24"/>
        </w:rPr>
        <w:t xml:space="preserve"> in custody was necessary to prevent flight, interference with evidence or recurrence of crime.</w:t>
      </w:r>
      <w:r w:rsidRPr="001A6FFE">
        <w:rPr>
          <w:vertAlign w:val="superscript"/>
        </w:rPr>
        <w:endnoteReference w:id="6"/>
      </w:r>
      <w:r>
        <w:rPr>
          <w:szCs w:val="24"/>
        </w:rPr>
        <w:t xml:space="preserve"> Similarly, the UNHRC</w:t>
      </w:r>
      <w:r w:rsidRPr="009A531E">
        <w:rPr>
          <w:szCs w:val="24"/>
        </w:rPr>
        <w:t xml:space="preserve"> considered that detention during the processing of asylum claims for periods of </w:t>
      </w:r>
      <w:r>
        <w:rPr>
          <w:szCs w:val="24"/>
        </w:rPr>
        <w:t>3</w:t>
      </w:r>
      <w:r w:rsidRPr="009A531E">
        <w:rPr>
          <w:szCs w:val="24"/>
        </w:rPr>
        <w:t xml:space="preserve"> months in Switzerland was </w:t>
      </w:r>
      <w:r w:rsidRPr="00CE414C">
        <w:rPr>
          <w:szCs w:val="24"/>
        </w:rPr>
        <w:t>‘considerably in excess of what is necessary’.</w:t>
      </w:r>
      <w:r w:rsidRPr="001A6FFE">
        <w:rPr>
          <w:vertAlign w:val="superscript"/>
        </w:rPr>
        <w:endnoteReference w:id="7"/>
      </w:r>
    </w:p>
    <w:p w:rsidR="00F676B5" w:rsidRDefault="00F676B5" w:rsidP="00F676B5">
      <w:pPr>
        <w:numPr>
          <w:ilvl w:val="0"/>
          <w:numId w:val="7"/>
        </w:numPr>
        <w:spacing w:before="240" w:after="240"/>
        <w:rPr>
          <w:szCs w:val="24"/>
        </w:rPr>
      </w:pPr>
      <w:r w:rsidRPr="009A531E">
        <w:rPr>
          <w:szCs w:val="24"/>
        </w:rPr>
        <w:lastRenderedPageBreak/>
        <w:t xml:space="preserve">The </w:t>
      </w:r>
      <w:r>
        <w:rPr>
          <w:szCs w:val="24"/>
        </w:rPr>
        <w:t>UNHRC</w:t>
      </w:r>
      <w:r w:rsidRPr="009A531E">
        <w:rPr>
          <w:szCs w:val="24"/>
        </w:rPr>
        <w:t xml:space="preserve"> has </w:t>
      </w:r>
      <w:r>
        <w:rPr>
          <w:szCs w:val="24"/>
        </w:rPr>
        <w:t>said</w:t>
      </w:r>
      <w:r w:rsidRPr="009A531E">
        <w:rPr>
          <w:szCs w:val="24"/>
        </w:rPr>
        <w:t xml:space="preserve"> in several c</w:t>
      </w:r>
      <w:r>
        <w:rPr>
          <w:szCs w:val="24"/>
        </w:rPr>
        <w:t>ommunications</w:t>
      </w:r>
      <w:r w:rsidRPr="009A531E">
        <w:rPr>
          <w:szCs w:val="24"/>
        </w:rPr>
        <w:t xml:space="preserve">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A6FFE">
        <w:rPr>
          <w:szCs w:val="24"/>
          <w:vertAlign w:val="superscript"/>
        </w:rPr>
        <w:endnoteReference w:id="8"/>
      </w:r>
    </w:p>
    <w:p w:rsidR="00F676B5" w:rsidRPr="001C169D" w:rsidRDefault="00F676B5" w:rsidP="00F676B5">
      <w:pPr>
        <w:numPr>
          <w:ilvl w:val="0"/>
          <w:numId w:val="7"/>
        </w:numPr>
        <w:spacing w:before="240" w:after="240"/>
        <w:rPr>
          <w:szCs w:val="24"/>
          <w:lang w:val="en"/>
        </w:rPr>
      </w:pPr>
      <w:r>
        <w:rPr>
          <w:szCs w:val="24"/>
        </w:rPr>
        <w:t>Relevant jurisprudence of the UNHRC on the right to liberty is collected in a general comment on article 9 of the ICCPR published on 16 December 2014. It makes the following comments about immigration detention in particular, based on previous decisions by the Committee:</w:t>
      </w:r>
    </w:p>
    <w:p w:rsidR="00F676B5" w:rsidRPr="00624FD5" w:rsidDel="00425EDD" w:rsidRDefault="00F676B5" w:rsidP="00F676B5">
      <w:pPr>
        <w:spacing w:before="240" w:after="240"/>
        <w:ind w:left="1440"/>
        <w:rPr>
          <w:sz w:val="22"/>
          <w:szCs w:val="24"/>
        </w:rPr>
      </w:pPr>
      <w:r w:rsidRPr="00997B49" w:rsidDel="00425EDD">
        <w:rPr>
          <w:sz w:val="22"/>
          <w:szCs w:val="24"/>
        </w:rPr>
        <w:t>Detention in the course of proceedings for the control of immigration is not per se arbitrary, but the detention must be justified as reasonable, necessary and proportionate in the light of the circumstances and rea</w:t>
      </w:r>
      <w:r w:rsidDel="00425EDD">
        <w:rPr>
          <w:sz w:val="22"/>
          <w:szCs w:val="24"/>
        </w:rPr>
        <w:t xml:space="preserve">ssessed as it extends in time. </w:t>
      </w:r>
      <w:r w:rsidRPr="00997B49" w:rsidDel="00425EDD">
        <w:rPr>
          <w:sz w:val="22"/>
          <w:szCs w:val="24"/>
        </w:rPr>
        <w:t>Asylum seekers who unlawfully enter a State party’s territory may be detained for a brief initial period in order to document their entry, record their claims and determine the</w:t>
      </w:r>
      <w:r w:rsidDel="00425EDD">
        <w:rPr>
          <w:sz w:val="22"/>
          <w:szCs w:val="24"/>
        </w:rPr>
        <w:t xml:space="preserve">ir identity if it is in doubt. </w:t>
      </w:r>
      <w:r w:rsidRPr="00997B49" w:rsidDel="00425EDD">
        <w:rPr>
          <w:sz w:val="22"/>
          <w:szCs w:val="24"/>
        </w:rPr>
        <w:t>To detain them further while their claims are being resolved would be arbitrary in the absence of particular reasons specific to the individual, such as an individualized likelihood of absconding, a danger of crimes against others or a risk of a</w:t>
      </w:r>
      <w:r w:rsidDel="00425EDD">
        <w:rPr>
          <w:sz w:val="22"/>
          <w:szCs w:val="24"/>
        </w:rPr>
        <w:t xml:space="preserve">cts against national security. </w:t>
      </w:r>
      <w:r w:rsidRPr="00997B49" w:rsidDel="00425EDD">
        <w:rPr>
          <w:sz w:val="22"/>
          <w:szCs w:val="24"/>
        </w:rPr>
        <w:t xml:space="preserve">The decision must consider relevant factors case by case and not be based on a mandatory rule for a broad category; must take into account less invasive means of achieving the same ends, such as reporting obligations, sureties or other conditions to prevent absconding; and </w:t>
      </w:r>
      <w:r w:rsidRPr="006F5FD2" w:rsidDel="00425EDD">
        <w:rPr>
          <w:sz w:val="22"/>
          <w:szCs w:val="24"/>
        </w:rPr>
        <w:t>must be subject to periodic re</w:t>
      </w:r>
      <w:r w:rsidDel="00425EDD">
        <w:rPr>
          <w:sz w:val="22"/>
          <w:szCs w:val="24"/>
        </w:rPr>
        <w:t>-</w:t>
      </w:r>
      <w:r w:rsidRPr="006F5FD2" w:rsidDel="00425EDD">
        <w:rPr>
          <w:sz w:val="22"/>
          <w:szCs w:val="24"/>
        </w:rPr>
        <w:t>evaluation and judicial review.</w:t>
      </w:r>
      <w:r w:rsidRPr="001C169D">
        <w:rPr>
          <w:rStyle w:val="EndnoteReference"/>
          <w:sz w:val="22"/>
          <w:szCs w:val="22"/>
        </w:rPr>
        <w:endnoteReference w:id="9"/>
      </w:r>
    </w:p>
    <w:p w:rsidR="00F676B5" w:rsidRDefault="00F676B5" w:rsidP="00F676B5">
      <w:pPr>
        <w:pStyle w:val="Heading2"/>
      </w:pPr>
      <w:bookmarkStart w:id="11" w:name="_Toc509571485"/>
      <w:r>
        <w:t>Act or practice of the Commonwealth</w:t>
      </w:r>
      <w:bookmarkEnd w:id="11"/>
    </w:p>
    <w:p w:rsidR="00F676B5" w:rsidRDefault="00F676B5" w:rsidP="00F676B5">
      <w:pPr>
        <w:numPr>
          <w:ilvl w:val="0"/>
          <w:numId w:val="7"/>
        </w:numPr>
        <w:spacing w:before="240" w:after="240"/>
        <w:rPr>
          <w:szCs w:val="24"/>
        </w:rPr>
      </w:pPr>
      <w:r>
        <w:rPr>
          <w:szCs w:val="24"/>
        </w:rPr>
        <w:t>Mr DR was detained by the Commonwealth for 46 months, from 17 Februa</w:t>
      </w:r>
      <w:r w:rsidR="00D517A4">
        <w:rPr>
          <w:szCs w:val="24"/>
        </w:rPr>
        <w:t>ry 2012 until 16 December 2015.</w:t>
      </w:r>
    </w:p>
    <w:p w:rsidR="00F676B5" w:rsidRDefault="00F676B5" w:rsidP="00F676B5">
      <w:pPr>
        <w:numPr>
          <w:ilvl w:val="0"/>
          <w:numId w:val="7"/>
        </w:numPr>
        <w:spacing w:before="240" w:after="240"/>
        <w:rPr>
          <w:szCs w:val="24"/>
        </w:rPr>
      </w:pPr>
      <w:r>
        <w:rPr>
          <w:szCs w:val="24"/>
        </w:rPr>
        <w:t>Mr DS was detained for 44 months, from 10 Apr</w:t>
      </w:r>
      <w:r w:rsidR="00D517A4">
        <w:rPr>
          <w:szCs w:val="24"/>
        </w:rPr>
        <w:t>il 2012 until 16 December 2015.</w:t>
      </w:r>
    </w:p>
    <w:p w:rsidR="00F676B5" w:rsidRPr="00F20B5E" w:rsidRDefault="00F676B5" w:rsidP="00F676B5">
      <w:pPr>
        <w:numPr>
          <w:ilvl w:val="0"/>
          <w:numId w:val="7"/>
        </w:numPr>
        <w:spacing w:before="240" w:after="240"/>
        <w:rPr>
          <w:szCs w:val="24"/>
        </w:rPr>
      </w:pPr>
      <w:r>
        <w:rPr>
          <w:szCs w:val="24"/>
        </w:rPr>
        <w:t>Although the Migration Act required that Mr DR and Mr DS be detained because they arrived in Australia by boat without a valid visa and are therefore ‘unlawful non-citizens’, there are a number of powers that the Minister could have exercised either to grant them a visa, or to allow them to be detained in a less restrictive manner than in a closed</w:t>
      </w:r>
      <w:r w:rsidR="00D517A4">
        <w:rPr>
          <w:szCs w:val="24"/>
        </w:rPr>
        <w:t xml:space="preserve"> immigration detention centre.</w:t>
      </w:r>
    </w:p>
    <w:p w:rsidR="00F676B5" w:rsidRDefault="00F676B5" w:rsidP="00F676B5">
      <w:pPr>
        <w:pStyle w:val="SubmissionNormal"/>
        <w:numPr>
          <w:ilvl w:val="0"/>
          <w:numId w:val="7"/>
        </w:numPr>
        <w:rPr>
          <w:rFonts w:cs="Arial"/>
        </w:rPr>
      </w:pPr>
      <w:r>
        <w:rPr>
          <w:rFonts w:cs="Arial"/>
        </w:rPr>
        <w:t>Under s 195A of the Migration Act, if the Minister thinks it is in the public interest to do so, the Minister may grant a visa to a person detained under s </w:t>
      </w:r>
      <w:r w:rsidR="00D517A4">
        <w:rPr>
          <w:rFonts w:cs="Arial"/>
        </w:rPr>
        <w:t>189 of the Migration Act.</w:t>
      </w:r>
    </w:p>
    <w:p w:rsidR="00F676B5" w:rsidRDefault="00F676B5" w:rsidP="00F676B5">
      <w:pPr>
        <w:pStyle w:val="SubmissionNormal"/>
        <w:numPr>
          <w:ilvl w:val="0"/>
          <w:numId w:val="7"/>
        </w:numPr>
        <w:rPr>
          <w:rFonts w:cs="Arial"/>
        </w:rPr>
      </w:pPr>
      <w:r>
        <w:rPr>
          <w:rFonts w:cs="Arial"/>
        </w:rPr>
        <w:t>Alternatively, the Minister can make a ‘residence determination’ under s 197AB of the Migration Act which provides:</w:t>
      </w:r>
    </w:p>
    <w:p w:rsidR="00F676B5" w:rsidRDefault="00F676B5" w:rsidP="00F676B5">
      <w:pPr>
        <w:pStyle w:val="SubmissionNormal"/>
        <w:numPr>
          <w:ilvl w:val="0"/>
          <w:numId w:val="0"/>
        </w:numPr>
        <w:tabs>
          <w:tab w:val="left" w:pos="720"/>
        </w:tabs>
        <w:ind w:left="1440"/>
        <w:rPr>
          <w:rFonts w:cs="Arial"/>
          <w:sz w:val="22"/>
          <w:szCs w:val="22"/>
        </w:rPr>
      </w:pPr>
      <w:r>
        <w:rPr>
          <w:rFonts w:cs="Arial"/>
          <w:sz w:val="22"/>
          <w:szCs w:val="22"/>
        </w:rPr>
        <w:lastRenderedPageBreak/>
        <w:t xml:space="preserve">If the Minister thinks that it is in the public interest to do so, the Minister may make a determination (a </w:t>
      </w:r>
      <w:r>
        <w:rPr>
          <w:rFonts w:cs="Arial"/>
          <w:b/>
          <w:i/>
          <w:sz w:val="22"/>
          <w:szCs w:val="22"/>
        </w:rPr>
        <w:t>residence determination</w:t>
      </w:r>
      <w:r>
        <w:rPr>
          <w:rFonts w:cs="Arial"/>
          <w:sz w:val="22"/>
          <w:szCs w:val="22"/>
        </w:rPr>
        <w:t>) to the effect that one or more specified persons to whom this subdivision applies are to reside at a specified place, instead of being detained at a place covered by the definition of immigration detention in subsection 5(1).</w:t>
      </w:r>
    </w:p>
    <w:p w:rsidR="00F676B5" w:rsidRDefault="00F676B5" w:rsidP="00F676B5">
      <w:pPr>
        <w:pStyle w:val="SubmissionNormal"/>
        <w:numPr>
          <w:ilvl w:val="0"/>
          <w:numId w:val="7"/>
        </w:numPr>
      </w:pPr>
      <w:r>
        <w:t>The making of a ‘residence determination’ may allow a person to reside in the community, in ‘community detention’.</w:t>
      </w:r>
    </w:p>
    <w:p w:rsidR="00F676B5" w:rsidRDefault="00F676B5" w:rsidP="00F676B5">
      <w:pPr>
        <w:pStyle w:val="SubmissionNormal"/>
        <w:numPr>
          <w:ilvl w:val="0"/>
          <w:numId w:val="7"/>
        </w:numPr>
      </w:pPr>
      <w:r>
        <w:t>Further, the definition of ‘immigration detention’ includes ‘being held by, or on behalf of, an officer in another place approved by the Minister in writing’.</w:t>
      </w:r>
      <w:r>
        <w:rPr>
          <w:rStyle w:val="EndnoteReference"/>
        </w:rPr>
        <w:endnoteReference w:id="10"/>
      </w:r>
    </w:p>
    <w:p w:rsidR="00F676B5" w:rsidRPr="00381510" w:rsidRDefault="00F676B5" w:rsidP="00F676B5">
      <w:pPr>
        <w:pStyle w:val="SubmissionNormal"/>
        <w:numPr>
          <w:ilvl w:val="0"/>
          <w:numId w:val="7"/>
        </w:numPr>
      </w:pPr>
      <w:r>
        <w:t xml:space="preserve">Accordingly, the Minister could have granted a visa to Mr DR and Mr DS, made a ‘residence determination’ in relation to each of them under s 197AB of the Migration Act, or could have approved each of them to reside in a place </w:t>
      </w:r>
      <w:r w:rsidRPr="00381510">
        <w:t>other than an</w:t>
      </w:r>
      <w:r w:rsidR="00D517A4">
        <w:t xml:space="preserve"> immigration detention centre.</w:t>
      </w:r>
    </w:p>
    <w:p w:rsidR="00F676B5" w:rsidRDefault="00F676B5" w:rsidP="00F676B5">
      <w:pPr>
        <w:numPr>
          <w:ilvl w:val="0"/>
          <w:numId w:val="7"/>
        </w:numPr>
        <w:spacing w:before="240" w:after="240"/>
      </w:pPr>
      <w:r w:rsidRPr="00381510">
        <w:t>The first and only ti</w:t>
      </w:r>
      <w:r>
        <w:t>me that the department referred the brothers’ cases</w:t>
      </w:r>
      <w:r w:rsidRPr="00381510">
        <w:t xml:space="preserve"> to the Minister for him to consider exercising his </w:t>
      </w:r>
      <w:r w:rsidR="00133D1D">
        <w:t>powers under s 195A and s 197AB</w:t>
      </w:r>
      <w:r w:rsidRPr="00381510">
        <w:t xml:space="preserve"> was in April 2014, </w:t>
      </w:r>
      <w:r>
        <w:t>two</w:t>
      </w:r>
      <w:r w:rsidRPr="00381510">
        <w:t xml:space="preserve"> years after they were first detained.</w:t>
      </w:r>
      <w:r>
        <w:t xml:space="preserve"> In those two years, it appears that the department did not consider less restrictive alternatives to immigration detention for the brothers, despite the RRT’s decision in April 2013 that they were refugees and were owed protection obligations. The failure or omission of the department to consider less restrictive alternatives to detention prior to April 2014 was not mandated by law. Professor Triggs considered that this was an ‘act’ for the purposes of the AHRC Act.</w:t>
      </w:r>
    </w:p>
    <w:p w:rsidR="00F676B5" w:rsidRPr="00C42E22" w:rsidRDefault="00F676B5" w:rsidP="00F676B5">
      <w:pPr>
        <w:pStyle w:val="ListParagraph"/>
        <w:numPr>
          <w:ilvl w:val="0"/>
          <w:numId w:val="7"/>
        </w:numPr>
      </w:pPr>
      <w:r>
        <w:t>In response to the submissions made to the Minister in April 2014 asking him to intervene, t</w:t>
      </w:r>
      <w:r w:rsidRPr="00485595">
        <w:t>he Minister indicated on 30 May 2014 that he did not wish t</w:t>
      </w:r>
      <w:r>
        <w:t>o consider exercising his powers under s 195A and s 197AB. T</w:t>
      </w:r>
      <w:r w:rsidRPr="00C42E22">
        <w:t>he Minister’s decision was not a decision not to exercise his p</w:t>
      </w:r>
      <w:r w:rsidR="00205AA6">
        <w:t xml:space="preserve">ower under s 195A and s 197AB. </w:t>
      </w:r>
      <w:r w:rsidRPr="00C42E22">
        <w:t xml:space="preserve">It was, expressly, a decision </w:t>
      </w:r>
      <w:r w:rsidRPr="00FE4578">
        <w:rPr>
          <w:i/>
        </w:rPr>
        <w:t>not to consider</w:t>
      </w:r>
      <w:r w:rsidRPr="00C42E22">
        <w:t xml:space="preserve"> exercising his power. </w:t>
      </w:r>
      <w:r w:rsidRPr="00985127">
        <w:t xml:space="preserve">The Minister’s decision not to consider intervening resulted in the continued detention of </w:t>
      </w:r>
      <w:r>
        <w:t>Mr DR</w:t>
      </w:r>
      <w:r w:rsidRPr="00985127">
        <w:t xml:space="preserve"> and </w:t>
      </w:r>
      <w:r>
        <w:t>Mr DS</w:t>
      </w:r>
      <w:r w:rsidRPr="00985127">
        <w:t xml:space="preserve"> for a further 18 months.</w:t>
      </w:r>
      <w:r w:rsidRPr="00C42E22">
        <w:t xml:space="preserve"> </w:t>
      </w:r>
      <w:r>
        <w:t>Mr DR</w:t>
      </w:r>
      <w:r w:rsidRPr="00FE4578">
        <w:t xml:space="preserve"> and </w:t>
      </w:r>
      <w:r>
        <w:t>Mr DS</w:t>
      </w:r>
      <w:r w:rsidRPr="00FE4578">
        <w:t xml:space="preserve"> were only released from </w:t>
      </w:r>
      <w:r>
        <w:t xml:space="preserve">closed </w:t>
      </w:r>
      <w:r w:rsidRPr="00FE4578">
        <w:t xml:space="preserve">immigration detention once they were granted TPVs on 16 December 2015 after a lengthy period involving two reviews by the RRT and </w:t>
      </w:r>
      <w:r>
        <w:t>waiting for</w:t>
      </w:r>
      <w:r w:rsidRPr="00FE4578">
        <w:t xml:space="preserve"> over 16 months to obtain security clearances. </w:t>
      </w:r>
      <w:r w:rsidRPr="00C42E22">
        <w:t xml:space="preserve">The failure </w:t>
      </w:r>
      <w:r>
        <w:t>of the Minister to consider exercising his</w:t>
      </w:r>
      <w:r w:rsidRPr="00C42E22">
        <w:t xml:space="preserve"> power</w:t>
      </w:r>
      <w:r>
        <w:t>s under s 195A and s 197A</w:t>
      </w:r>
      <w:r w:rsidRPr="00C42E22">
        <w:t xml:space="preserve"> was not mandated by law</w:t>
      </w:r>
      <w:r>
        <w:t>. Professor Triggs considered that this</w:t>
      </w:r>
      <w:r w:rsidRPr="00C42E22">
        <w:t xml:space="preserve"> was an ‘act’ for</w:t>
      </w:r>
      <w:r w:rsidR="00205AA6">
        <w:t xml:space="preserve"> the purposes of the AHRC Act.</w:t>
      </w:r>
    </w:p>
    <w:p w:rsidR="00F676B5" w:rsidRDefault="00F676B5" w:rsidP="00D517A4">
      <w:pPr>
        <w:pStyle w:val="Heading2"/>
        <w:tabs>
          <w:tab w:val="clear" w:pos="1135"/>
          <w:tab w:val="num" w:pos="2411"/>
        </w:tabs>
        <w:ind w:left="709" w:hanging="709"/>
      </w:pPr>
      <w:bookmarkStart w:id="12" w:name="_Toc509571486"/>
      <w:r>
        <w:lastRenderedPageBreak/>
        <w:t>Assessment</w:t>
      </w:r>
      <w:bookmarkEnd w:id="12"/>
    </w:p>
    <w:p w:rsidR="00F676B5" w:rsidRDefault="00F676B5" w:rsidP="00F676B5">
      <w:pPr>
        <w:pStyle w:val="ListParagraph"/>
        <w:numPr>
          <w:ilvl w:val="0"/>
          <w:numId w:val="7"/>
        </w:numPr>
      </w:pPr>
      <w:r>
        <w:t>In the information provided to the Commission by the department, there is no clear explanation as to why</w:t>
      </w:r>
      <w:r w:rsidRPr="00363A49">
        <w:t xml:space="preserve"> </w:t>
      </w:r>
      <w:r>
        <w:t>the Minister was not asked to exercise his powers to allow Mr DR and Mr DS to reside in a less restrictive alternative to immigration detention prior to April 2014. This is particularly concerning given the RRT’s finding in April 2013 that Mr DR and Mr DS were refugees for the purposes of the Migration Act, and were therefore owed prote</w:t>
      </w:r>
      <w:r w:rsidR="00D517A4">
        <w:t>ction obligations by Australia.</w:t>
      </w:r>
    </w:p>
    <w:p w:rsidR="00F676B5" w:rsidRDefault="00F676B5" w:rsidP="00F676B5">
      <w:pPr>
        <w:pStyle w:val="ListParagraph"/>
        <w:numPr>
          <w:ilvl w:val="0"/>
          <w:numId w:val="7"/>
        </w:numPr>
      </w:pPr>
      <w:r>
        <w:t>In mid-September 2012, the department issued criminal justice stay certificates (CJSCs) to both Mr DR and Mr DS due to allegations they were involved in people smuggling. While this could have been the department’s reason for continuing to detain the brothers in immigration detention centres for a part of 2012, on 20 November 2012, about 6 weeks after the CSJCs were issued, they were cancelled and the Australian Federal Police (AFP) advised that it would not be prosecuting either of the brothers. There is no explanation as to why, at this point, the brothers were not considered for less restrictive alternatives to detention.</w:t>
      </w:r>
    </w:p>
    <w:p w:rsidR="00F676B5" w:rsidRDefault="00F676B5" w:rsidP="00F676B5">
      <w:pPr>
        <w:pStyle w:val="ListParagraph"/>
        <w:numPr>
          <w:ilvl w:val="0"/>
          <w:numId w:val="7"/>
        </w:numPr>
      </w:pPr>
      <w:r>
        <w:t>In a review dated 3 May 2013 on the progression of Mr DS’s case, a senior department officer considered whether Mr DS’s current detention placement was appropriate and stated the following:</w:t>
      </w:r>
    </w:p>
    <w:p w:rsidR="00F676B5" w:rsidRPr="00D517A4" w:rsidRDefault="00F676B5" w:rsidP="00D517A4">
      <w:pPr>
        <w:pStyle w:val="ListParagraph"/>
        <w:ind w:left="1440"/>
        <w:rPr>
          <w:sz w:val="22"/>
          <w:szCs w:val="22"/>
        </w:rPr>
      </w:pPr>
      <w:r>
        <w:rPr>
          <w:sz w:val="22"/>
          <w:szCs w:val="22"/>
        </w:rPr>
        <w:t>O</w:t>
      </w:r>
      <w:r w:rsidRPr="002A0BD0">
        <w:rPr>
          <w:sz w:val="22"/>
          <w:szCs w:val="22"/>
        </w:rPr>
        <w:t>n 8 April 2013, [</w:t>
      </w:r>
      <w:r>
        <w:rPr>
          <w:sz w:val="22"/>
          <w:szCs w:val="22"/>
        </w:rPr>
        <w:t>Mr DS</w:t>
      </w:r>
      <w:r w:rsidRPr="002A0BD0">
        <w:rPr>
          <w:sz w:val="22"/>
          <w:szCs w:val="22"/>
        </w:rPr>
        <w:t>] was assessed as meeting the guideline under section</w:t>
      </w:r>
      <w:r>
        <w:rPr>
          <w:sz w:val="22"/>
          <w:szCs w:val="22"/>
        </w:rPr>
        <w:t>s</w:t>
      </w:r>
      <w:r w:rsidRPr="002A0BD0">
        <w:rPr>
          <w:sz w:val="22"/>
          <w:szCs w:val="22"/>
        </w:rPr>
        <w:t xml:space="preserve"> 195A and 197AB of the </w:t>
      </w:r>
      <w:r w:rsidRPr="002A0BD0">
        <w:rPr>
          <w:i/>
          <w:sz w:val="22"/>
          <w:szCs w:val="22"/>
        </w:rPr>
        <w:t xml:space="preserve">Migration Act </w:t>
      </w:r>
      <w:r w:rsidRPr="002A0BD0">
        <w:rPr>
          <w:sz w:val="22"/>
          <w:szCs w:val="22"/>
        </w:rPr>
        <w:t>1958, for referral to the Minister for consideration of the grant of a Bridging Visa</w:t>
      </w:r>
      <w:r>
        <w:rPr>
          <w:sz w:val="22"/>
          <w:szCs w:val="22"/>
        </w:rPr>
        <w:t xml:space="preserve"> E (BV</w:t>
      </w:r>
      <w:r w:rsidRPr="002A0BD0">
        <w:rPr>
          <w:sz w:val="22"/>
          <w:szCs w:val="22"/>
        </w:rPr>
        <w:t xml:space="preserve">E) or a community detention placement. </w:t>
      </w:r>
      <w:r>
        <w:rPr>
          <w:sz w:val="22"/>
          <w:szCs w:val="22"/>
        </w:rPr>
        <w:t>A submission is being prepared.</w:t>
      </w:r>
    </w:p>
    <w:p w:rsidR="00F676B5" w:rsidRPr="004C47AD" w:rsidRDefault="00F676B5" w:rsidP="00F676B5">
      <w:pPr>
        <w:rPr>
          <w:szCs w:val="24"/>
        </w:rPr>
      </w:pPr>
      <w:r w:rsidRPr="004C47AD">
        <w:rPr>
          <w:szCs w:val="24"/>
        </w:rPr>
        <w:tab/>
        <w:t>It does not appear that a submission was ul</w:t>
      </w:r>
      <w:r w:rsidR="00D517A4">
        <w:rPr>
          <w:szCs w:val="24"/>
        </w:rPr>
        <w:t>timately given to the Minister.</w:t>
      </w:r>
    </w:p>
    <w:p w:rsidR="00F676B5" w:rsidRDefault="00F676B5" w:rsidP="00F676B5">
      <w:pPr>
        <w:numPr>
          <w:ilvl w:val="0"/>
          <w:numId w:val="7"/>
        </w:numPr>
        <w:spacing w:before="240" w:after="240"/>
      </w:pPr>
      <w:r>
        <w:t>Similarly, on 23 May 2013, according to departmental records, Mr DR was being consider</w:t>
      </w:r>
      <w:r w:rsidR="00BE683A">
        <w:t>ed for referral to the Minister</w:t>
      </w:r>
      <w:r>
        <w:t xml:space="preserve"> under s 195A to consider the grant of a BVE, and under s 197AB for consideration of a community detention placement. Subsequently, a senior officer review dated 18 September 2013 stated that progression in relation to Mr DR’s case being considered by the Minister was ‘unlikely since it is contrary to state Government policy’</w:t>
      </w:r>
      <w:r w:rsidR="00D517A4">
        <w:t>.</w:t>
      </w:r>
    </w:p>
    <w:p w:rsidR="00F676B5" w:rsidRDefault="00F676B5" w:rsidP="00F676B5">
      <w:pPr>
        <w:numPr>
          <w:ilvl w:val="0"/>
          <w:numId w:val="7"/>
        </w:numPr>
        <w:spacing w:before="240" w:after="240"/>
      </w:pPr>
      <w:r>
        <w:t>Around August 2013, the department began investigating character concerns in relation to the brothers’ alleged involvement in criminal activity in their home country. However, these concerns did not come to light until the brothers had been detained for over 12 months. Further, the department does not appear to have undertaken a consideration of whether the character concerns were such that precluded Mr DR and Mr DS from residing in the community while the department undertook its investigations, and while the brothers waited for an outcome on the</w:t>
      </w:r>
      <w:r w:rsidR="00D517A4">
        <w:t>ir applications for protection.</w:t>
      </w:r>
    </w:p>
    <w:p w:rsidR="00F676B5" w:rsidRDefault="00F676B5" w:rsidP="00F676B5">
      <w:pPr>
        <w:pStyle w:val="ListParagraph"/>
        <w:numPr>
          <w:ilvl w:val="0"/>
          <w:numId w:val="7"/>
        </w:numPr>
        <w:shd w:val="clear" w:color="auto" w:fill="FFFFFF" w:themeFill="background1"/>
      </w:pPr>
      <w:r>
        <w:lastRenderedPageBreak/>
        <w:t>Professor Triggs considered that the failure of the department to consider less restrictive alternatives to detention prior to April 2014, resulted in the detention of Mr DR and Mr DS for a period of 2 years, where the detention was not justified and not properly considered in light of their particular circumstances. Professor Triggs found that the detention of Mr DR and Mr DS from when they arrived until April 2014 was ‘arbitrary’ for the purpose</w:t>
      </w:r>
      <w:r w:rsidR="00D517A4">
        <w:t>s of article 9(1) of the ICCPR.</w:t>
      </w:r>
    </w:p>
    <w:p w:rsidR="00F676B5" w:rsidRDefault="00F676B5" w:rsidP="00F676B5">
      <w:pPr>
        <w:numPr>
          <w:ilvl w:val="0"/>
          <w:numId w:val="7"/>
        </w:numPr>
        <w:spacing w:before="240" w:after="240"/>
      </w:pPr>
      <w:r>
        <w:t>In a response to the Commission dated 15 September 2014, the department gave the following reason for the continued detention of Mr DR and Mr DS:</w:t>
      </w:r>
    </w:p>
    <w:p w:rsidR="00F676B5" w:rsidRPr="00AF76A0" w:rsidRDefault="00F676B5" w:rsidP="00F676B5">
      <w:pPr>
        <w:spacing w:before="240" w:after="240"/>
        <w:ind w:left="1440"/>
        <w:rPr>
          <w:sz w:val="22"/>
          <w:szCs w:val="22"/>
        </w:rPr>
      </w:pPr>
      <w:r w:rsidRPr="00AF76A0">
        <w:rPr>
          <w:sz w:val="22"/>
          <w:szCs w:val="22"/>
        </w:rPr>
        <w:t xml:space="preserve">Detention remains appropriate under section 189(1) of the Act, as reasonable suspicion exists that </w:t>
      </w:r>
      <w:r>
        <w:rPr>
          <w:sz w:val="22"/>
          <w:szCs w:val="22"/>
        </w:rPr>
        <w:t>Mr DS</w:t>
      </w:r>
      <w:r w:rsidRPr="00AF76A0">
        <w:rPr>
          <w:sz w:val="22"/>
          <w:szCs w:val="22"/>
        </w:rPr>
        <w:t xml:space="preserve"> and </w:t>
      </w:r>
      <w:r>
        <w:rPr>
          <w:sz w:val="22"/>
          <w:szCs w:val="22"/>
        </w:rPr>
        <w:t>Mr DR</w:t>
      </w:r>
      <w:r w:rsidRPr="00AF76A0">
        <w:rPr>
          <w:sz w:val="22"/>
          <w:szCs w:val="22"/>
        </w:rPr>
        <w:t xml:space="preserve"> are UNCs who arrived offshore in Australia without a valid visa…the Minister has declined to intervene…as such, placement at an IDC</w:t>
      </w:r>
      <w:r>
        <w:rPr>
          <w:sz w:val="22"/>
          <w:szCs w:val="22"/>
        </w:rPr>
        <w:t xml:space="preserve"> [immigration detention centre]</w:t>
      </w:r>
      <w:r w:rsidR="007B5265">
        <w:rPr>
          <w:sz w:val="22"/>
          <w:szCs w:val="22"/>
        </w:rPr>
        <w:t xml:space="preserve"> remains appropriate.</w:t>
      </w:r>
    </w:p>
    <w:p w:rsidR="00F676B5" w:rsidRDefault="00F676B5" w:rsidP="00F676B5">
      <w:pPr>
        <w:numPr>
          <w:ilvl w:val="0"/>
          <w:numId w:val="7"/>
        </w:numPr>
        <w:spacing w:before="240" w:after="240"/>
      </w:pPr>
      <w:r>
        <w:t xml:space="preserve">The Commission asked the department </w:t>
      </w:r>
      <w:r w:rsidRPr="00003CAB">
        <w:t xml:space="preserve">to provide a copy of </w:t>
      </w:r>
      <w:r>
        <w:t>the</w:t>
      </w:r>
      <w:r w:rsidRPr="00003CAB">
        <w:t xml:space="preserve"> submissions made to the Minister to con</w:t>
      </w:r>
      <w:r>
        <w:t>sider intervening, however the d</w:t>
      </w:r>
      <w:r w:rsidRPr="00003CAB">
        <w:t xml:space="preserve">epartment has not done so. </w:t>
      </w:r>
      <w:r>
        <w:t>The department has stated that it is unable to provide a copy of the submissions as they are ‘classified at a protected level due to information provided by another agency’</w:t>
      </w:r>
      <w:r w:rsidR="007B5265">
        <w:t>.</w:t>
      </w:r>
    </w:p>
    <w:p w:rsidR="00F676B5" w:rsidRPr="00830B9B" w:rsidRDefault="00F676B5" w:rsidP="00F676B5">
      <w:pPr>
        <w:numPr>
          <w:ilvl w:val="0"/>
          <w:numId w:val="7"/>
        </w:numPr>
        <w:spacing w:before="240" w:after="240"/>
      </w:pPr>
      <w:r>
        <w:t xml:space="preserve">Department reports to the Ombudsman under s 486N of the </w:t>
      </w:r>
      <w:r w:rsidRPr="00D95532">
        <w:t>Migratio</w:t>
      </w:r>
      <w:r>
        <w:t>n Act</w:t>
      </w:r>
      <w:r w:rsidRPr="00D95532">
        <w:t xml:space="preserve"> </w:t>
      </w:r>
      <w:r>
        <w:t>indicate that the Minister’s refusal to consider exercising his power under s 195A and s 197AB may have been due to concerns about the character of Mr DR and Mr DS. As mentioned above, these character concerns arose in or around August 2013 when the brothers were identified as persons of interest to the department in relation to alleged criminal matters while offshore.</w:t>
      </w:r>
      <w:r w:rsidRPr="00C9588A">
        <w:t xml:space="preserve"> </w:t>
      </w:r>
      <w:r>
        <w:t>The allegations related to a murder committed in Sri Lanka.</w:t>
      </w:r>
      <w:r w:rsidRPr="00C9588A">
        <w:t xml:space="preserve"> </w:t>
      </w:r>
      <w:r w:rsidRPr="00097419">
        <w:t xml:space="preserve">It appears that this may </w:t>
      </w:r>
      <w:r>
        <w:t xml:space="preserve">also </w:t>
      </w:r>
      <w:r w:rsidRPr="00097419">
        <w:t>have</w:t>
      </w:r>
      <w:r>
        <w:t xml:space="preserve"> precluded them</w:t>
      </w:r>
      <w:r w:rsidRPr="00097419">
        <w:t xml:space="preserve"> being f</w:t>
      </w:r>
      <w:r>
        <w:t>urther considered for BVEs and c</w:t>
      </w:r>
      <w:r w:rsidRPr="00097419">
        <w:t>ommunity d</w:t>
      </w:r>
      <w:r w:rsidR="007B5265">
        <w:t>etention from that time onward.</w:t>
      </w:r>
    </w:p>
    <w:p w:rsidR="00F676B5" w:rsidRPr="007D6818" w:rsidRDefault="00F676B5" w:rsidP="00F676B5">
      <w:pPr>
        <w:numPr>
          <w:ilvl w:val="0"/>
          <w:numId w:val="7"/>
        </w:numPr>
        <w:spacing w:before="240" w:after="240"/>
      </w:pPr>
      <w:r w:rsidRPr="007D6818">
        <w:t xml:space="preserve">These allegations were reported </w:t>
      </w:r>
      <w:r>
        <w:t xml:space="preserve">by the department </w:t>
      </w:r>
      <w:r w:rsidRPr="007D6818">
        <w:t xml:space="preserve">to the </w:t>
      </w:r>
      <w:r>
        <w:t>d</w:t>
      </w:r>
      <w:r w:rsidRPr="007D6818">
        <w:t xml:space="preserve">epartment’s National Security and Serious Crimes Section (NSSCS), which is responsible for maintaining a central register of allegations on </w:t>
      </w:r>
      <w:r>
        <w:t xml:space="preserve">the </w:t>
      </w:r>
      <w:r w:rsidRPr="007D6818">
        <w:t>department</w:t>
      </w:r>
      <w:r>
        <w:t>’</w:t>
      </w:r>
      <w:r w:rsidRPr="007D6818">
        <w:t>s system. The NSSCS in turn referred the allegations to the AFP for investigation</w:t>
      </w:r>
      <w:r>
        <w:t>.</w:t>
      </w:r>
    </w:p>
    <w:p w:rsidR="00F676B5" w:rsidRDefault="00F676B5" w:rsidP="00F676B5">
      <w:pPr>
        <w:numPr>
          <w:ilvl w:val="0"/>
          <w:numId w:val="7"/>
        </w:numPr>
        <w:spacing w:before="240" w:after="240"/>
      </w:pPr>
      <w:r>
        <w:t>On 9 September 2013, the department interviewed Mr DR and Mr DS separately at Villawood Detention Centre in relation to the allegations.</w:t>
      </w:r>
    </w:p>
    <w:p w:rsidR="00F676B5" w:rsidRDefault="00F676B5" w:rsidP="00F676B5">
      <w:pPr>
        <w:numPr>
          <w:ilvl w:val="0"/>
          <w:numId w:val="7"/>
        </w:numPr>
        <w:spacing w:before="240" w:after="240"/>
      </w:pPr>
      <w:r>
        <w:lastRenderedPageBreak/>
        <w:t>The d</w:t>
      </w:r>
      <w:r w:rsidRPr="00236905">
        <w:t xml:space="preserve">epartment has provided no information indicating the exact nature of the character concerns and whether </w:t>
      </w:r>
      <w:r>
        <w:t>Mr DR</w:t>
      </w:r>
      <w:r w:rsidRPr="00236905">
        <w:t xml:space="preserve"> and </w:t>
      </w:r>
      <w:r>
        <w:t>Mr DS</w:t>
      </w:r>
      <w:r w:rsidRPr="00236905">
        <w:t xml:space="preserve"> posed any specific credible security risk in the event of their release from closed</w:t>
      </w:r>
      <w:r>
        <w:t xml:space="preserve"> immigration detention. They</w:t>
      </w:r>
      <w:r w:rsidRPr="00236905">
        <w:t xml:space="preserve"> were able to receive full security clearances at the time their TPVs were granted in December 2015. </w:t>
      </w:r>
      <w:r>
        <w:t>It is unclear whether the d</w:t>
      </w:r>
      <w:r w:rsidRPr="00236905">
        <w:t xml:space="preserve">epartment’s character concerns were such that precluded </w:t>
      </w:r>
      <w:r>
        <w:t>Mr DR</w:t>
      </w:r>
      <w:r w:rsidRPr="00236905">
        <w:t xml:space="preserve"> and </w:t>
      </w:r>
      <w:r>
        <w:t>Mr DS</w:t>
      </w:r>
      <w:r w:rsidRPr="00236905">
        <w:t xml:space="preserve"> from residing in the community while their protection visa applications were being progressed during and af</w:t>
      </w:r>
      <w:r w:rsidR="007B5265">
        <w:t>ter their appeals at the RRT.</w:t>
      </w:r>
    </w:p>
    <w:p w:rsidR="00F676B5" w:rsidRPr="001C1588" w:rsidRDefault="00F676B5" w:rsidP="00F676B5">
      <w:pPr>
        <w:numPr>
          <w:ilvl w:val="0"/>
          <w:numId w:val="7"/>
        </w:numPr>
        <w:spacing w:before="240" w:after="240"/>
      </w:pPr>
      <w:r>
        <w:t xml:space="preserve">Also of note is that </w:t>
      </w:r>
      <w:r>
        <w:rPr>
          <w:szCs w:val="24"/>
        </w:rPr>
        <w:t>at the time of the RRT’s first decision in April 2013, concluding that Mr DR and Mr DS were owed protection by Australia, they were eligible for permanent protection, and had each applied for a permanent protection visa. However, in the period of time taken by the department to investigate character concerns and subsequently to continue processing the brothers protection visas (approximately from August 2013 to early February 2014), the Migration Regulations were amended to include clause 866.222, and the brothers were no longer eligible for permanent protection but only for temporary protection.</w:t>
      </w:r>
    </w:p>
    <w:p w:rsidR="00F676B5" w:rsidRDefault="00F676B5" w:rsidP="00F676B5">
      <w:pPr>
        <w:numPr>
          <w:ilvl w:val="0"/>
          <w:numId w:val="7"/>
        </w:numPr>
        <w:spacing w:before="240" w:after="240"/>
      </w:pPr>
      <w:r>
        <w:rPr>
          <w:szCs w:val="24"/>
        </w:rPr>
        <w:t>It is unclear how long the department and the AFP took to investigate character concerns in relation to the brothers. In response to a question asked in the Commission’s preliminary view, the department has said that it has not been able to locate records confirming when the</w:t>
      </w:r>
      <w:r w:rsidR="007B5265">
        <w:rPr>
          <w:szCs w:val="24"/>
        </w:rPr>
        <w:t xml:space="preserve"> AFP’s investigation concluded.</w:t>
      </w:r>
    </w:p>
    <w:p w:rsidR="00F676B5" w:rsidRDefault="00F676B5" w:rsidP="00F676B5">
      <w:pPr>
        <w:pStyle w:val="ListParagraph"/>
        <w:numPr>
          <w:ilvl w:val="0"/>
          <w:numId w:val="7"/>
        </w:numPr>
      </w:pPr>
      <w:r w:rsidRPr="00F44AB9">
        <w:t>Furt</w:t>
      </w:r>
      <w:r>
        <w:t>her, the d</w:t>
      </w:r>
      <w:r w:rsidRPr="00F44AB9">
        <w:t>epartment only initiated obtaining security clearances from</w:t>
      </w:r>
      <w:r>
        <w:t xml:space="preserve"> the Australian Security Intelligence Organisation</w:t>
      </w:r>
      <w:r w:rsidRPr="00F44AB9">
        <w:t xml:space="preserve"> </w:t>
      </w:r>
      <w:r>
        <w:t>(</w:t>
      </w:r>
      <w:r w:rsidRPr="00F44AB9">
        <w:t>ASIO</w:t>
      </w:r>
      <w:r>
        <w:t>)</w:t>
      </w:r>
      <w:r w:rsidRPr="00F44AB9">
        <w:t xml:space="preserve"> for the b</w:t>
      </w:r>
      <w:r>
        <w:t>rothers on 6</w:t>
      </w:r>
      <w:r w:rsidRPr="00F44AB9">
        <w:t xml:space="preserve"> August 2014, after the RRT’s second decision, and these checks took</w:t>
      </w:r>
      <w:r w:rsidR="007B5265">
        <w:t xml:space="preserve"> more than 16 months to obtain.</w:t>
      </w:r>
    </w:p>
    <w:p w:rsidR="00F676B5" w:rsidRDefault="00F676B5" w:rsidP="00F676B5">
      <w:pPr>
        <w:pStyle w:val="ListParagraph"/>
        <w:numPr>
          <w:ilvl w:val="0"/>
          <w:numId w:val="7"/>
        </w:numPr>
      </w:pPr>
      <w:r>
        <w:t>In Professor Triggs’ preliminary view, she asked the department to provide an explanation as to why it did not initiate security checks for the brothers prior to 6 August 2017. In response, the department provided the following information:</w:t>
      </w:r>
    </w:p>
    <w:p w:rsidR="00F676B5" w:rsidRPr="007B5265" w:rsidRDefault="00F676B5" w:rsidP="007B5265">
      <w:pPr>
        <w:pStyle w:val="ListParagraph"/>
        <w:ind w:left="1440"/>
        <w:rPr>
          <w:sz w:val="22"/>
          <w:szCs w:val="22"/>
        </w:rPr>
      </w:pPr>
      <w:r w:rsidRPr="00D07F27">
        <w:rPr>
          <w:sz w:val="22"/>
          <w:szCs w:val="22"/>
        </w:rPr>
        <w:t xml:space="preserve">Mr </w:t>
      </w:r>
      <w:r>
        <w:rPr>
          <w:sz w:val="22"/>
          <w:szCs w:val="22"/>
        </w:rPr>
        <w:t>DR’s</w:t>
      </w:r>
      <w:r w:rsidRPr="00D07F27">
        <w:rPr>
          <w:sz w:val="22"/>
          <w:szCs w:val="22"/>
        </w:rPr>
        <w:t xml:space="preserve"> security check was initially sent to ASIO on 12 August 2013. The security check reverted to draft on 5 February 2014 when his visa application </w:t>
      </w:r>
      <w:r w:rsidR="00205AA6">
        <w:rPr>
          <w:sz w:val="22"/>
          <w:szCs w:val="22"/>
        </w:rPr>
        <w:t xml:space="preserve">was refused by the Department. </w:t>
      </w:r>
      <w:r w:rsidRPr="00D07F27">
        <w:rPr>
          <w:sz w:val="22"/>
          <w:szCs w:val="22"/>
        </w:rPr>
        <w:t xml:space="preserve">Following the remittal of </w:t>
      </w:r>
      <w:r>
        <w:rPr>
          <w:sz w:val="22"/>
          <w:szCs w:val="22"/>
        </w:rPr>
        <w:t>Mr DR</w:t>
      </w:r>
      <w:r w:rsidRPr="00D07F27">
        <w:rPr>
          <w:sz w:val="22"/>
          <w:szCs w:val="22"/>
        </w:rPr>
        <w:t>’s visa application by Refugee Review Tribunal on 18 July 2014, the security check was resent to the ASIO on 6 Augus</w:t>
      </w:r>
      <w:r w:rsidR="007B5265">
        <w:rPr>
          <w:sz w:val="22"/>
          <w:szCs w:val="22"/>
        </w:rPr>
        <w:t>t 2014.</w:t>
      </w:r>
    </w:p>
    <w:p w:rsidR="00F676B5" w:rsidRPr="007B5265" w:rsidRDefault="00F676B5" w:rsidP="007B5265">
      <w:pPr>
        <w:pStyle w:val="ListParagraph"/>
        <w:ind w:left="1440"/>
        <w:rPr>
          <w:sz w:val="22"/>
          <w:szCs w:val="22"/>
        </w:rPr>
      </w:pPr>
      <w:r>
        <w:rPr>
          <w:sz w:val="22"/>
          <w:szCs w:val="22"/>
        </w:rPr>
        <w:t>Mr DS</w:t>
      </w:r>
      <w:r w:rsidRPr="00D07F27">
        <w:rPr>
          <w:sz w:val="22"/>
          <w:szCs w:val="22"/>
        </w:rPr>
        <w:t>’ security check was initially sen</w:t>
      </w:r>
      <w:r w:rsidR="00205AA6">
        <w:rPr>
          <w:sz w:val="22"/>
          <w:szCs w:val="22"/>
        </w:rPr>
        <w:t xml:space="preserve">t to the ASIO on 18 July 2013. </w:t>
      </w:r>
      <w:r w:rsidRPr="00D07F27">
        <w:rPr>
          <w:sz w:val="22"/>
          <w:szCs w:val="22"/>
        </w:rPr>
        <w:t xml:space="preserve">The security check reverted to draft on 4 February 2014 when his visa application </w:t>
      </w:r>
      <w:r w:rsidR="00205AA6">
        <w:rPr>
          <w:sz w:val="22"/>
          <w:szCs w:val="22"/>
        </w:rPr>
        <w:t xml:space="preserve">was refused by the Department. </w:t>
      </w:r>
      <w:r w:rsidRPr="00D07F27">
        <w:rPr>
          <w:sz w:val="22"/>
          <w:szCs w:val="22"/>
        </w:rPr>
        <w:t xml:space="preserve">Following the remittal of </w:t>
      </w:r>
      <w:r>
        <w:rPr>
          <w:sz w:val="22"/>
          <w:szCs w:val="22"/>
        </w:rPr>
        <w:t>Mr DS</w:t>
      </w:r>
      <w:r w:rsidRPr="00D07F27">
        <w:rPr>
          <w:sz w:val="22"/>
          <w:szCs w:val="22"/>
        </w:rPr>
        <w:t>’ visa application by Refugee Review Tribunal on 11 July 2014, the security check was r</w:t>
      </w:r>
      <w:r>
        <w:rPr>
          <w:sz w:val="22"/>
          <w:szCs w:val="22"/>
        </w:rPr>
        <w:t>esent to ASIO on 6 August 2014.</w:t>
      </w:r>
    </w:p>
    <w:p w:rsidR="00F676B5" w:rsidRDefault="00F676B5" w:rsidP="00F676B5">
      <w:pPr>
        <w:pStyle w:val="ListParagraph"/>
        <w:numPr>
          <w:ilvl w:val="0"/>
          <w:numId w:val="7"/>
        </w:numPr>
      </w:pPr>
      <w:r>
        <w:t>In its response to Professor Triggs’ preliminary view, the department also stated that it escalated the security checks with ASIO on 15 June 2015, and was provided with clear security checks for both brothers on 21 July 2015.</w:t>
      </w:r>
    </w:p>
    <w:p w:rsidR="00F676B5" w:rsidRPr="00236905" w:rsidRDefault="00F676B5" w:rsidP="00F676B5">
      <w:pPr>
        <w:pStyle w:val="ListParagraph"/>
        <w:numPr>
          <w:ilvl w:val="0"/>
          <w:numId w:val="7"/>
        </w:numPr>
      </w:pPr>
      <w:r>
        <w:lastRenderedPageBreak/>
        <w:t>The department has indicated that it did not ask</w:t>
      </w:r>
      <w:r w:rsidRPr="00F44AB9">
        <w:t xml:space="preserve"> ASIO, at any point, to assess whether </w:t>
      </w:r>
      <w:r>
        <w:t>Mr DR</w:t>
      </w:r>
      <w:r w:rsidRPr="00F44AB9">
        <w:t xml:space="preserve"> and </w:t>
      </w:r>
      <w:r>
        <w:t>Mr DS</w:t>
      </w:r>
      <w:r w:rsidRPr="00F44AB9">
        <w:t xml:space="preserve"> were suitable for community based</w:t>
      </w:r>
      <w:r>
        <w:t>-</w:t>
      </w:r>
      <w:r w:rsidRPr="00F44AB9">
        <w:t>detention while awaiting their full security clearances.</w:t>
      </w:r>
      <w:r>
        <w:t xml:space="preserve"> In response to a question asked in Professor Triggs’ preliminary view, the department has stated that it ‘does not routinely seek advice from ASIO regarding community placements’</w:t>
      </w:r>
      <w:r w:rsidR="007B5265">
        <w:t>.</w:t>
      </w:r>
    </w:p>
    <w:p w:rsidR="00F676B5" w:rsidRDefault="00F676B5" w:rsidP="00F676B5">
      <w:pPr>
        <w:numPr>
          <w:ilvl w:val="0"/>
          <w:numId w:val="7"/>
        </w:numPr>
        <w:spacing w:before="240" w:after="240"/>
      </w:pPr>
      <w:r>
        <w:t xml:space="preserve">The satisfaction of ‘public interest criterion 4002’ was prescribed by the </w:t>
      </w:r>
      <w:r w:rsidRPr="002C51CF">
        <w:rPr>
          <w:i/>
        </w:rPr>
        <w:t xml:space="preserve">Migration Regulations </w:t>
      </w:r>
      <w:r>
        <w:rPr>
          <w:i/>
        </w:rPr>
        <w:t>1994</w:t>
      </w:r>
      <w:r>
        <w:t xml:space="preserve"> as a precondition for the grant of a protection visa. The relevant regulation was found to be invalid in 2012.</w:t>
      </w:r>
      <w:r>
        <w:rPr>
          <w:rStyle w:val="EndnoteReference"/>
        </w:rPr>
        <w:endnoteReference w:id="11"/>
      </w:r>
      <w:r>
        <w:t xml:space="preserve"> An equivalent requirement was subsequently introduced into the body of the </w:t>
      </w:r>
      <w:r w:rsidRPr="00B903DD">
        <w:t>Migration Act</w:t>
      </w:r>
      <w:r>
        <w:t>.</w:t>
      </w:r>
      <w:r>
        <w:rPr>
          <w:rStyle w:val="EndnoteReference"/>
        </w:rPr>
        <w:endnoteReference w:id="12"/>
      </w:r>
      <w:r>
        <w:t xml:space="preserve"> However, the fact that a person’s security clearance for the purposes of the grant of a protection visa is outstanding is not a reason they should not be placed in community detention or granted another category of visa under s 195A. Separate advice can be sought by the department from ASIO about the security implications of the exercise of those powers. This matter has been discussed in detail by previous Presidents of the Commission in reports resulting from previous human rights inquiries.</w:t>
      </w:r>
      <w:r>
        <w:rPr>
          <w:rStyle w:val="EndnoteReference"/>
        </w:rPr>
        <w:endnoteReference w:id="13"/>
      </w:r>
    </w:p>
    <w:p w:rsidR="00F676B5" w:rsidRDefault="00F676B5" w:rsidP="00F676B5">
      <w:pPr>
        <w:numPr>
          <w:ilvl w:val="0"/>
          <w:numId w:val="7"/>
        </w:numPr>
        <w:spacing w:before="240" w:after="240"/>
      </w:pPr>
      <w:r w:rsidRPr="005663B4">
        <w:t>The</w:t>
      </w:r>
      <w:r>
        <w:t xml:space="preserve"> only factor identified by the d</w:t>
      </w:r>
      <w:r w:rsidRPr="005663B4">
        <w:t>epartment that might be seen to weigh against the exercise of the Minister’s discretion to grant the brothers visas to reside in the community, was the concerns in relation to their character.</w:t>
      </w:r>
      <w:r>
        <w:t xml:space="preserve"> However, as noted above, it is not the case that the Minister considered whether to exercise his powers, and having considered the matter in its entirety, refused to do so. Rather, the Minister indicated that he did not wish to consid</w:t>
      </w:r>
      <w:r w:rsidR="00EA4299">
        <w:t>er exercising his power at all.</w:t>
      </w:r>
    </w:p>
    <w:p w:rsidR="00F676B5" w:rsidRDefault="00F676B5" w:rsidP="00F676B5">
      <w:pPr>
        <w:pStyle w:val="ListParagraph"/>
        <w:numPr>
          <w:ilvl w:val="0"/>
          <w:numId w:val="7"/>
        </w:numPr>
        <w:shd w:val="clear" w:color="auto" w:fill="FFFFFF" w:themeFill="background1"/>
      </w:pPr>
      <w:r>
        <w:t>Professor Triggs found that</w:t>
      </w:r>
      <w:r w:rsidRPr="005663B4">
        <w:t xml:space="preserve"> the failure of the Minister to consider exercising his discretionary power under s 195A and s 197AB resulted in the continued detention of </w:t>
      </w:r>
      <w:r>
        <w:t>Mr DR</w:t>
      </w:r>
      <w:r w:rsidRPr="005663B4">
        <w:t xml:space="preserve"> and </w:t>
      </w:r>
      <w:r>
        <w:t>Mr DS</w:t>
      </w:r>
      <w:r w:rsidRPr="005663B4">
        <w:t>, in circumstances where the justification for detention was not considered in light of the particular circumstances of each of their cases</w:t>
      </w:r>
      <w:r>
        <w:t xml:space="preserve">. Professor Triggs found that this failure resulted in the </w:t>
      </w:r>
      <w:r w:rsidRPr="005663B4">
        <w:t>detention</w:t>
      </w:r>
      <w:r>
        <w:t xml:space="preserve"> of Mr DR and Mr DS</w:t>
      </w:r>
      <w:r w:rsidRPr="005663B4">
        <w:t xml:space="preserve"> </w:t>
      </w:r>
      <w:r>
        <w:t>becoming</w:t>
      </w:r>
      <w:r w:rsidRPr="005663B4">
        <w:t xml:space="preserve"> </w:t>
      </w:r>
      <w:r>
        <w:t>‘</w:t>
      </w:r>
      <w:r w:rsidRPr="005663B4">
        <w:t>arbitrary</w:t>
      </w:r>
      <w:r>
        <w:t>’</w:t>
      </w:r>
      <w:r w:rsidRPr="005663B4">
        <w:t xml:space="preserve"> for the purposes</w:t>
      </w:r>
      <w:r w:rsidR="007B5265">
        <w:t xml:space="preserve"> of article 9(1) of the ICCPR.</w:t>
      </w:r>
    </w:p>
    <w:p w:rsidR="00F676B5" w:rsidRDefault="00F676B5" w:rsidP="00F676B5">
      <w:pPr>
        <w:pStyle w:val="Heading1"/>
      </w:pPr>
      <w:bookmarkStart w:id="13" w:name="_Toc509571487"/>
      <w:bookmarkStart w:id="14" w:name="_Toc352947010"/>
      <w:r>
        <w:t>Findings and Recommendations</w:t>
      </w:r>
      <w:bookmarkEnd w:id="13"/>
    </w:p>
    <w:bookmarkEnd w:id="14"/>
    <w:p w:rsidR="00F676B5" w:rsidRDefault="00F676B5" w:rsidP="00F676B5">
      <w:pPr>
        <w:numPr>
          <w:ilvl w:val="0"/>
          <w:numId w:val="7"/>
        </w:numPr>
        <w:spacing w:before="240" w:after="240"/>
        <w:rPr>
          <w:szCs w:val="24"/>
        </w:rPr>
      </w:pPr>
      <w:r>
        <w:rPr>
          <w:szCs w:val="24"/>
        </w:rPr>
        <w:t>On the basis of this inquiry, Professor Triggs made</w:t>
      </w:r>
      <w:r w:rsidR="007B5265">
        <w:rPr>
          <w:szCs w:val="24"/>
        </w:rPr>
        <w:t xml:space="preserve"> the following findings:</w:t>
      </w:r>
    </w:p>
    <w:p w:rsidR="00F676B5" w:rsidRPr="007B5265" w:rsidRDefault="00F676B5" w:rsidP="007B5265">
      <w:pPr>
        <w:pStyle w:val="ListParagraph"/>
        <w:numPr>
          <w:ilvl w:val="1"/>
          <w:numId w:val="7"/>
        </w:numPr>
        <w:rPr>
          <w:szCs w:val="24"/>
        </w:rPr>
      </w:pPr>
      <w:r>
        <w:t>the failure of the department to consider less restrictive alternatives to detention prior to April 2014 resulted in the detention of Mr DR and Mr DS for a period of 2 years, where the detention was not justified and not properly considered in light of their particular circumstances. The detention of Mr DR and Mr DS from soon after they arrived until April 2014 was ‘arbitrary’ for the purposes of article 9(1) of the ICCPR, and</w:t>
      </w:r>
    </w:p>
    <w:p w:rsidR="00F676B5" w:rsidRPr="00BC18A9" w:rsidRDefault="00F676B5" w:rsidP="00F676B5">
      <w:pPr>
        <w:pStyle w:val="ListParagraph"/>
        <w:numPr>
          <w:ilvl w:val="1"/>
          <w:numId w:val="7"/>
        </w:numPr>
        <w:rPr>
          <w:szCs w:val="24"/>
        </w:rPr>
      </w:pPr>
      <w:r>
        <w:rPr>
          <w:szCs w:val="24"/>
        </w:rPr>
        <w:lastRenderedPageBreak/>
        <w:t xml:space="preserve">the </w:t>
      </w:r>
      <w:r w:rsidRPr="003C4AD4">
        <w:rPr>
          <w:szCs w:val="24"/>
        </w:rPr>
        <w:t xml:space="preserve">Minister’s failure to consider exercising his powers under s 195A and s 197AB of the Migration Act 1958 (Cth) (Migration Act), to allow </w:t>
      </w:r>
      <w:r>
        <w:rPr>
          <w:szCs w:val="24"/>
        </w:rPr>
        <w:t>Mr DR</w:t>
      </w:r>
      <w:r w:rsidRPr="003C4AD4">
        <w:rPr>
          <w:szCs w:val="24"/>
        </w:rPr>
        <w:t xml:space="preserve"> and </w:t>
      </w:r>
      <w:r>
        <w:rPr>
          <w:szCs w:val="24"/>
        </w:rPr>
        <w:t>Mr DS</w:t>
      </w:r>
      <w:r w:rsidRPr="003C4AD4">
        <w:rPr>
          <w:szCs w:val="24"/>
        </w:rPr>
        <w:t xml:space="preserve"> to reside outside a closed immigration detention centre, when their cases were referred t</w:t>
      </w:r>
      <w:r>
        <w:rPr>
          <w:szCs w:val="24"/>
        </w:rPr>
        <w:t>o him by the d</w:t>
      </w:r>
      <w:r w:rsidRPr="003C4AD4">
        <w:rPr>
          <w:szCs w:val="24"/>
        </w:rPr>
        <w:t>epartment in April 2014, is an act that is inconsistent with or contrary to article 9(1) of the ICCPR</w:t>
      </w:r>
      <w:r w:rsidR="007B5265">
        <w:rPr>
          <w:szCs w:val="24"/>
        </w:rPr>
        <w:t>.</w:t>
      </w:r>
    </w:p>
    <w:p w:rsidR="00F676B5" w:rsidRDefault="00F676B5" w:rsidP="00F676B5">
      <w:pPr>
        <w:pStyle w:val="Heading2"/>
      </w:pPr>
      <w:bookmarkStart w:id="15" w:name="_Toc509571488"/>
      <w:r>
        <w:t>Power to make recommendations</w:t>
      </w:r>
      <w:bookmarkEnd w:id="15"/>
    </w:p>
    <w:p w:rsidR="00F676B5" w:rsidRDefault="00F676B5" w:rsidP="00F676B5">
      <w:pPr>
        <w:numPr>
          <w:ilvl w:val="0"/>
          <w:numId w:val="7"/>
        </w:numPr>
        <w:spacing w:before="240" w:after="240"/>
        <w:rPr>
          <w:rFonts w:cs="Arial"/>
          <w:szCs w:val="24"/>
        </w:rPr>
      </w:pPr>
      <w:r w:rsidRPr="003B7173">
        <w:rPr>
          <w:rFonts w:cs="Arial"/>
          <w:szCs w:val="24"/>
        </w:rPr>
        <w:t xml:space="preserve">Where, after conducting an inquiry, the Commission finds that an act or practice engaged in by a respondent </w:t>
      </w:r>
      <w:r>
        <w:rPr>
          <w:rFonts w:cs="Arial"/>
          <w:szCs w:val="24"/>
        </w:rPr>
        <w:t>is inconsistent with or contrary to any human right;</w:t>
      </w:r>
      <w:r w:rsidRPr="003B7173">
        <w:rPr>
          <w:rFonts w:cs="Arial"/>
          <w:szCs w:val="24"/>
        </w:rPr>
        <w:t xml:space="preserve"> the Commission is required to serve notice on the respondent setting out its findings and reasons for those findings.</w:t>
      </w:r>
      <w:r>
        <w:rPr>
          <w:rStyle w:val="EndnoteReference"/>
          <w:szCs w:val="24"/>
        </w:rPr>
        <w:endnoteReference w:id="14"/>
      </w:r>
      <w:r w:rsidRPr="003B7173">
        <w:rPr>
          <w:rFonts w:cs="Arial"/>
          <w:szCs w:val="24"/>
        </w:rPr>
        <w:t xml:space="preserve"> The Commission may include in the notice any recommendation</w:t>
      </w:r>
      <w:r>
        <w:rPr>
          <w:rFonts w:cs="Arial"/>
          <w:szCs w:val="24"/>
        </w:rPr>
        <w:t>s</w:t>
      </w:r>
      <w:r w:rsidRPr="003B7173">
        <w:rPr>
          <w:rFonts w:cs="Arial"/>
          <w:szCs w:val="24"/>
        </w:rPr>
        <w:t xml:space="preserve"> for preventing a repetition of the act or a continuation of the practice</w:t>
      </w:r>
      <w:r>
        <w:rPr>
          <w:rFonts w:cs="Arial"/>
          <w:szCs w:val="24"/>
        </w:rPr>
        <w:t>, or for the taking of action to remedy or reduce loss or damage suffered by a person because of the act or practice</w:t>
      </w:r>
      <w:r w:rsidRPr="003B7173">
        <w:rPr>
          <w:rFonts w:cs="Arial"/>
          <w:szCs w:val="24"/>
        </w:rPr>
        <w:t>.</w:t>
      </w:r>
      <w:r w:rsidRPr="00AF7012">
        <w:rPr>
          <w:rFonts w:cs="Arial"/>
          <w:szCs w:val="24"/>
          <w:vertAlign w:val="superscript"/>
        </w:rPr>
        <w:endnoteReference w:id="15"/>
      </w:r>
    </w:p>
    <w:p w:rsidR="00F676B5" w:rsidRPr="006F6E30" w:rsidRDefault="00F676B5" w:rsidP="00F676B5">
      <w:pPr>
        <w:numPr>
          <w:ilvl w:val="0"/>
          <w:numId w:val="7"/>
        </w:numPr>
        <w:spacing w:before="240" w:after="240"/>
        <w:rPr>
          <w:rFonts w:cs="Arial"/>
          <w:szCs w:val="24"/>
        </w:rPr>
      </w:pPr>
      <w:r w:rsidRPr="006F6E30">
        <w:rPr>
          <w:rFonts w:cs="Arial"/>
          <w:szCs w:val="24"/>
        </w:rPr>
        <w:t>The Commission may also recommend:</w:t>
      </w:r>
      <w:r w:rsidRPr="006F6E30">
        <w:rPr>
          <w:szCs w:val="24"/>
          <w:vertAlign w:val="superscript"/>
        </w:rPr>
        <w:endnoteReference w:id="16"/>
      </w:r>
    </w:p>
    <w:p w:rsidR="00F676B5" w:rsidRPr="006F6E30" w:rsidRDefault="00F676B5" w:rsidP="00F676B5">
      <w:pPr>
        <w:spacing w:before="240" w:after="240"/>
        <w:ind w:left="1440" w:hanging="720"/>
        <w:rPr>
          <w:rFonts w:cs="Arial"/>
          <w:szCs w:val="24"/>
        </w:rPr>
      </w:pPr>
      <w:r w:rsidRPr="006F6E30">
        <w:rPr>
          <w:rFonts w:cs="Arial"/>
          <w:szCs w:val="24"/>
        </w:rPr>
        <w:t>(a)</w:t>
      </w:r>
      <w:r w:rsidRPr="006F6E30">
        <w:rPr>
          <w:rFonts w:cs="Arial"/>
          <w:szCs w:val="24"/>
        </w:rPr>
        <w:tab/>
        <w:t>the payment of compensation to, or in respect of, a person who has suffered loss or damage as a</w:t>
      </w:r>
      <w:r>
        <w:rPr>
          <w:rFonts w:cs="Arial"/>
          <w:szCs w:val="24"/>
        </w:rPr>
        <w:t xml:space="preserve"> result of the act or practice, </w:t>
      </w:r>
      <w:r w:rsidR="007B5265">
        <w:rPr>
          <w:rFonts w:cs="Arial"/>
          <w:szCs w:val="24"/>
        </w:rPr>
        <w:t>and</w:t>
      </w:r>
    </w:p>
    <w:p w:rsidR="00F676B5" w:rsidRDefault="00F676B5" w:rsidP="00F676B5">
      <w:pPr>
        <w:spacing w:before="240" w:after="240"/>
        <w:ind w:left="1440" w:hanging="720"/>
        <w:rPr>
          <w:rFonts w:cs="Arial"/>
          <w:szCs w:val="24"/>
        </w:rPr>
      </w:pPr>
      <w:r w:rsidRPr="006F6E30">
        <w:rPr>
          <w:rFonts w:cs="Arial"/>
          <w:szCs w:val="24"/>
        </w:rPr>
        <w:t>(b)</w:t>
      </w:r>
      <w:r w:rsidRPr="006F6E30">
        <w:rPr>
          <w:rFonts w:cs="Arial"/>
          <w:szCs w:val="24"/>
        </w:rPr>
        <w:tab/>
        <w:t>the taking of other action to remedy or reduce the loss or damage suffered by a person as a result of the act or practice.</w:t>
      </w:r>
    </w:p>
    <w:p w:rsidR="00F676B5" w:rsidRDefault="00F676B5" w:rsidP="00F676B5">
      <w:pPr>
        <w:pStyle w:val="Heading2"/>
      </w:pPr>
      <w:bookmarkStart w:id="16" w:name="_Toc509571489"/>
      <w:r>
        <w:t>Compensation</w:t>
      </w:r>
      <w:bookmarkEnd w:id="16"/>
    </w:p>
    <w:p w:rsidR="00F676B5" w:rsidRPr="00EA4B0A" w:rsidRDefault="00F676B5" w:rsidP="00F676B5">
      <w:pPr>
        <w:numPr>
          <w:ilvl w:val="0"/>
          <w:numId w:val="7"/>
        </w:numPr>
        <w:spacing w:before="240" w:after="240"/>
        <w:rPr>
          <w:rFonts w:cs="Arial"/>
          <w:szCs w:val="24"/>
        </w:rPr>
      </w:pPr>
      <w:r w:rsidRPr="00D04415">
        <w:rPr>
          <w:rFonts w:cs="Arial"/>
          <w:szCs w:val="24"/>
        </w:rPr>
        <w:t>There</w:t>
      </w:r>
      <w:r w:rsidRPr="00D04415">
        <w:rPr>
          <w:szCs w:val="24"/>
        </w:rPr>
        <w:t xml:space="preserve"> is </w:t>
      </w:r>
      <w:r w:rsidRPr="00D04415">
        <w:rPr>
          <w:rFonts w:cs="Arial"/>
          <w:szCs w:val="24"/>
        </w:rPr>
        <w:t>no</w:t>
      </w:r>
      <w:r w:rsidRPr="00D04415">
        <w:rPr>
          <w:szCs w:val="24"/>
        </w:rPr>
        <w:t xml:space="preserve"> judicial guidance dealing with the assessment of recommendations for financial compensation for breaches of human rights under the AHRC Act.</w:t>
      </w:r>
    </w:p>
    <w:p w:rsidR="00F676B5" w:rsidRPr="00EA4B0A" w:rsidRDefault="00F676B5" w:rsidP="00F676B5">
      <w:pPr>
        <w:numPr>
          <w:ilvl w:val="0"/>
          <w:numId w:val="7"/>
        </w:numPr>
        <w:spacing w:before="240" w:after="240"/>
        <w:rPr>
          <w:rFonts w:cs="Arial"/>
          <w:szCs w:val="24"/>
        </w:rPr>
      </w:pPr>
      <w:r w:rsidRPr="00D04415">
        <w:rPr>
          <w:rFonts w:cs="Arial"/>
          <w:szCs w:val="24"/>
        </w:rPr>
        <w:t>However</w:t>
      </w:r>
      <w:r w:rsidRPr="00D04415">
        <w:rPr>
          <w:szCs w:val="24"/>
        </w:rPr>
        <w:t xml:space="preserve">, in considering the assessment of a recommendation for </w:t>
      </w:r>
      <w:r w:rsidRPr="00D04415">
        <w:rPr>
          <w:rFonts w:cs="Arial"/>
          <w:szCs w:val="24"/>
        </w:rPr>
        <w:t>compensation</w:t>
      </w:r>
      <w:r w:rsidRPr="00D04415">
        <w:rPr>
          <w:szCs w:val="24"/>
        </w:rPr>
        <w:t xml:space="preserve"> under section 35 of the AHRC Act (relating to discrimination matters under Part II, Division 4 of the AHRC Act), the Federal Court has indicated that tort principles for the assessment of damages should be applied.</w:t>
      </w:r>
    </w:p>
    <w:p w:rsidR="00F676B5" w:rsidRPr="00DB5076" w:rsidRDefault="00F676B5" w:rsidP="00F676B5">
      <w:pPr>
        <w:numPr>
          <w:ilvl w:val="0"/>
          <w:numId w:val="7"/>
        </w:numPr>
        <w:spacing w:before="240" w:after="240"/>
        <w:rPr>
          <w:rFonts w:cs="Arial"/>
          <w:szCs w:val="24"/>
        </w:rPr>
      </w:pPr>
      <w:r>
        <w:rPr>
          <w:szCs w:val="24"/>
        </w:rPr>
        <w:t>Professor Triggs was of the view</w:t>
      </w:r>
      <w:r w:rsidRPr="00D04415">
        <w:rPr>
          <w:szCs w:val="24"/>
        </w:rPr>
        <w:t xml:space="preserve"> that this is the appropriate approach to take to the present matter. For this reason, so far as is possible in the case of a recommendation for compensation, the object should be to place the injured party in the same position as if the wrong had not occu</w:t>
      </w:r>
      <w:r w:rsidR="007B5265">
        <w:rPr>
          <w:szCs w:val="24"/>
        </w:rPr>
        <w:t>rred.</w:t>
      </w:r>
    </w:p>
    <w:p w:rsidR="00F676B5" w:rsidRPr="00C16799" w:rsidRDefault="00F676B5" w:rsidP="00F676B5">
      <w:pPr>
        <w:numPr>
          <w:ilvl w:val="0"/>
          <w:numId w:val="7"/>
        </w:numPr>
        <w:spacing w:before="240" w:after="240"/>
        <w:rPr>
          <w:rFonts w:cs="Arial"/>
          <w:szCs w:val="24"/>
        </w:rPr>
      </w:pPr>
      <w:r>
        <w:rPr>
          <w:szCs w:val="24"/>
        </w:rPr>
        <w:t>Professor Triggs considered whether to recommend compensation for Mr DR and Mr DS being arbitrarily detained in contraventio</w:t>
      </w:r>
      <w:r w:rsidR="007B5265">
        <w:rPr>
          <w:szCs w:val="24"/>
        </w:rPr>
        <w:t>n of article 9(1) of the ICCPR.</w:t>
      </w:r>
    </w:p>
    <w:p w:rsidR="00F676B5" w:rsidRPr="00EA4B0A" w:rsidRDefault="00F676B5" w:rsidP="00F676B5">
      <w:pPr>
        <w:numPr>
          <w:ilvl w:val="0"/>
          <w:numId w:val="7"/>
        </w:numPr>
        <w:spacing w:before="240" w:after="240"/>
        <w:rPr>
          <w:rFonts w:cs="Arial"/>
          <w:szCs w:val="24"/>
        </w:rPr>
      </w:pPr>
      <w:r>
        <w:rPr>
          <w:szCs w:val="24"/>
        </w:rPr>
        <w:lastRenderedPageBreak/>
        <w:t xml:space="preserve">The tort of false imprisonment is </w:t>
      </w:r>
      <w:r w:rsidRPr="00D04415">
        <w:rPr>
          <w:szCs w:val="24"/>
        </w:rPr>
        <w:t>a more limited action than an action for breach of article 9(1)</w:t>
      </w:r>
      <w:r>
        <w:rPr>
          <w:szCs w:val="24"/>
        </w:rPr>
        <w:t xml:space="preserve"> of the ICCPR</w:t>
      </w:r>
      <w:r w:rsidRPr="00D04415">
        <w:rPr>
          <w:szCs w:val="24"/>
        </w:rPr>
        <w:t>.</w:t>
      </w:r>
      <w:r>
        <w:rPr>
          <w:szCs w:val="24"/>
        </w:rPr>
        <w:t xml:space="preserve"> </w:t>
      </w:r>
      <w:r w:rsidRPr="00D04415">
        <w:rPr>
          <w:szCs w:val="24"/>
        </w:rPr>
        <w:t>This is because an action for false imprisonment cannot succeed where there is a lawful justification for the detention, whereas a breach of article 9(1)</w:t>
      </w:r>
      <w:r>
        <w:rPr>
          <w:szCs w:val="24"/>
        </w:rPr>
        <w:t xml:space="preserve"> of the ICCPR</w:t>
      </w:r>
      <w:r w:rsidRPr="00D04415">
        <w:rPr>
          <w:szCs w:val="24"/>
        </w:rPr>
        <w:t xml:space="preserve"> will be made out where it can be established that the detention was </w:t>
      </w:r>
      <w:r>
        <w:rPr>
          <w:szCs w:val="24"/>
        </w:rPr>
        <w:t>‘</w:t>
      </w:r>
      <w:r w:rsidRPr="00D04415">
        <w:rPr>
          <w:szCs w:val="24"/>
        </w:rPr>
        <w:t>arbitrary</w:t>
      </w:r>
      <w:r>
        <w:rPr>
          <w:szCs w:val="24"/>
        </w:rPr>
        <w:t>’</w:t>
      </w:r>
      <w:r w:rsidRPr="00D04415">
        <w:rPr>
          <w:szCs w:val="24"/>
        </w:rPr>
        <w:t xml:space="preserve"> irrespective of legality.</w:t>
      </w:r>
    </w:p>
    <w:p w:rsidR="00F676B5" w:rsidRPr="00EA4B0A" w:rsidRDefault="00F676B5" w:rsidP="00F676B5">
      <w:pPr>
        <w:numPr>
          <w:ilvl w:val="0"/>
          <w:numId w:val="7"/>
        </w:numPr>
        <w:spacing w:before="240" w:after="240"/>
        <w:rPr>
          <w:rFonts w:cs="Arial"/>
          <w:szCs w:val="24"/>
        </w:rPr>
      </w:pPr>
      <w:r w:rsidRPr="00D04415">
        <w:rPr>
          <w:rFonts w:cs="Arial"/>
          <w:szCs w:val="24"/>
        </w:rPr>
        <w:t>Notwithstanding</w:t>
      </w:r>
      <w:r w:rsidRPr="00D04415">
        <w:rPr>
          <w:szCs w:val="24"/>
        </w:rPr>
        <w:t xml:space="preserve"> this important distinction, the damages awarded in false imprisonment </w:t>
      </w:r>
      <w:r>
        <w:rPr>
          <w:szCs w:val="24"/>
        </w:rPr>
        <w:t xml:space="preserve">cases </w:t>
      </w:r>
      <w:r w:rsidRPr="00D04415">
        <w:rPr>
          <w:szCs w:val="24"/>
        </w:rPr>
        <w:t>provide an appropriate guide for the award of compensation for a breach of article 9(1)</w:t>
      </w:r>
      <w:r>
        <w:rPr>
          <w:szCs w:val="24"/>
        </w:rPr>
        <w:t xml:space="preserve"> of the ICCPR</w:t>
      </w:r>
      <w:r w:rsidRPr="00D04415">
        <w:rPr>
          <w:szCs w:val="24"/>
        </w:rPr>
        <w:t>.</w:t>
      </w:r>
      <w:r>
        <w:rPr>
          <w:szCs w:val="24"/>
        </w:rPr>
        <w:t xml:space="preserve"> </w:t>
      </w:r>
      <w:r w:rsidRPr="00D04415">
        <w:rPr>
          <w:szCs w:val="24"/>
        </w:rPr>
        <w:t>This is because the damages that are available in false imprisonment matters provide an indication of how the courts have considered it appropriate to compensate for loss of liberty.</w:t>
      </w:r>
    </w:p>
    <w:p w:rsidR="00F676B5" w:rsidRPr="00EA4B0A" w:rsidRDefault="00F676B5" w:rsidP="00F676B5">
      <w:pPr>
        <w:numPr>
          <w:ilvl w:val="0"/>
          <w:numId w:val="7"/>
        </w:numPr>
        <w:spacing w:before="240" w:after="240"/>
        <w:rPr>
          <w:rFonts w:cs="Arial"/>
          <w:szCs w:val="24"/>
        </w:rPr>
      </w:pPr>
      <w:r w:rsidRPr="00D04415">
        <w:rPr>
          <w:rFonts w:cs="Arial"/>
          <w:szCs w:val="24"/>
        </w:rPr>
        <w:t>In</w:t>
      </w:r>
      <w:r w:rsidRPr="00D04415">
        <w:rPr>
          <w:szCs w:val="24"/>
        </w:rPr>
        <w:t xml:space="preserve"> </w:t>
      </w:r>
      <w:r w:rsidRPr="00D04415">
        <w:rPr>
          <w:i/>
          <w:szCs w:val="24"/>
        </w:rPr>
        <w:t>Fernando v Commonwealth of Australia (No 5)</w:t>
      </w:r>
      <w:r w:rsidRPr="00D04415">
        <w:rPr>
          <w:szCs w:val="24"/>
        </w:rPr>
        <w:t>,</w:t>
      </w:r>
      <w:r w:rsidRPr="00D04415">
        <w:rPr>
          <w:szCs w:val="24"/>
          <w:vertAlign w:val="superscript"/>
        </w:rPr>
        <w:endnoteReference w:id="17"/>
      </w:r>
      <w:r w:rsidRPr="00D04415">
        <w:rPr>
          <w:szCs w:val="24"/>
        </w:rPr>
        <w:t xml:space="preserve"> Siopis J considered the judicial guidance available on the quantum of damages for loss of liberty for a long period arising from wrongful imprisonment.</w:t>
      </w:r>
      <w:r>
        <w:rPr>
          <w:szCs w:val="24"/>
        </w:rPr>
        <w:t xml:space="preserve"> Justice </w:t>
      </w:r>
      <w:r w:rsidRPr="00D04415">
        <w:rPr>
          <w:szCs w:val="24"/>
        </w:rPr>
        <w:t xml:space="preserve">Siopis referred to the case of </w:t>
      </w:r>
      <w:r w:rsidRPr="00D04415">
        <w:rPr>
          <w:i/>
          <w:szCs w:val="24"/>
        </w:rPr>
        <w:t>Nye v State of New South Wales</w:t>
      </w:r>
      <w:r w:rsidRPr="00D04415">
        <w:rPr>
          <w:szCs w:val="24"/>
        </w:rPr>
        <w:t>:</w:t>
      </w:r>
      <w:r w:rsidRPr="00D04415">
        <w:rPr>
          <w:szCs w:val="24"/>
          <w:vertAlign w:val="superscript"/>
        </w:rPr>
        <w:endnoteReference w:id="18"/>
      </w:r>
    </w:p>
    <w:p w:rsidR="00F676B5" w:rsidRPr="00DD711E" w:rsidRDefault="00F676B5" w:rsidP="00F676B5">
      <w:pPr>
        <w:spacing w:before="240" w:after="240"/>
        <w:ind w:left="1134"/>
        <w:rPr>
          <w:sz w:val="22"/>
          <w:szCs w:val="22"/>
          <w:lang w:val="en-US"/>
        </w:rPr>
      </w:pPr>
      <w:r w:rsidRPr="00D04415">
        <w:rPr>
          <w:sz w:val="22"/>
          <w:szCs w:val="22"/>
          <w:lang w:val="en-US"/>
        </w:rPr>
        <w:t>…</w:t>
      </w:r>
      <w:r w:rsidRPr="00DD711E">
        <w:rPr>
          <w:sz w:val="22"/>
          <w:szCs w:val="22"/>
          <w:lang w:val="en-US"/>
        </w:rPr>
        <w:t xml:space="preserve">the </w:t>
      </w:r>
      <w:r w:rsidRPr="005B041F">
        <w:rPr>
          <w:i/>
          <w:sz w:val="22"/>
          <w:szCs w:val="22"/>
          <w:lang w:val="en-US"/>
        </w:rPr>
        <w:t xml:space="preserve">Nye </w:t>
      </w:r>
      <w:r w:rsidRPr="005B041F">
        <w:rPr>
          <w:sz w:val="22"/>
          <w:szCs w:val="22"/>
          <w:lang w:val="en-US"/>
        </w:rPr>
        <w:t xml:space="preserve">case is useful in one respect, namely, that the court was required to consider the quantum of damages to be awarded to Mr Nye in respect of his loss of liberty for a period of some 16 months which he </w:t>
      </w:r>
      <w:r w:rsidRPr="00D04415">
        <w:rPr>
          <w:rFonts w:cs="Arial"/>
          <w:sz w:val="22"/>
          <w:szCs w:val="22"/>
        </w:rPr>
        <w:t>spent</w:t>
      </w:r>
      <w:r w:rsidRPr="00DD711E">
        <w:rPr>
          <w:sz w:val="22"/>
          <w:szCs w:val="22"/>
          <w:lang w:val="en-US"/>
        </w:rPr>
        <w:t xml:space="preserve"> in Long Bay Gaol.</w:t>
      </w:r>
      <w:r>
        <w:rPr>
          <w:sz w:val="22"/>
          <w:szCs w:val="22"/>
          <w:lang w:val="en-US"/>
        </w:rPr>
        <w:t xml:space="preserve"> </w:t>
      </w:r>
      <w:r w:rsidRPr="00DD711E">
        <w:rPr>
          <w:sz w:val="22"/>
          <w:szCs w:val="22"/>
          <w:lang w:val="en-US"/>
        </w:rPr>
        <w:t xml:space="preserve">In doing so, consistently with </w:t>
      </w:r>
      <w:r w:rsidRPr="0091601B">
        <w:rPr>
          <w:sz w:val="22"/>
          <w:szCs w:val="22"/>
          <w:lang w:val="en-US"/>
        </w:rPr>
        <w:t>the approach recognized by Spigelma</w:t>
      </w:r>
      <w:r w:rsidRPr="00B66C91">
        <w:rPr>
          <w:sz w:val="22"/>
          <w:szCs w:val="22"/>
          <w:lang w:val="en-US"/>
        </w:rPr>
        <w:t xml:space="preserve">n CJ in </w:t>
      </w:r>
      <w:r w:rsidRPr="00B66C91">
        <w:rPr>
          <w:i/>
          <w:sz w:val="22"/>
          <w:szCs w:val="22"/>
          <w:lang w:val="en-US"/>
        </w:rPr>
        <w:t xml:space="preserve">Ruddock </w:t>
      </w:r>
      <w:r w:rsidRPr="00C1729E">
        <w:rPr>
          <w:sz w:val="22"/>
          <w:szCs w:val="22"/>
          <w:lang w:val="en-US"/>
        </w:rPr>
        <w:t>(NSWCA), the Court did not assess damages by application of a daily rate, but awarded Mr Nye the sum of $100,000 in general damages.</w:t>
      </w:r>
      <w:r>
        <w:rPr>
          <w:sz w:val="22"/>
          <w:szCs w:val="22"/>
          <w:lang w:val="en-US"/>
        </w:rPr>
        <w:t xml:space="preserve"> </w:t>
      </w:r>
      <w:r w:rsidRPr="00C1729E">
        <w:rPr>
          <w:sz w:val="22"/>
          <w:szCs w:val="22"/>
          <w:lang w:val="en-US"/>
        </w:rPr>
        <w:t xml:space="preserve">It is also relevant to observe that in </w:t>
      </w:r>
      <w:r w:rsidRPr="00306B1E">
        <w:rPr>
          <w:i/>
          <w:sz w:val="22"/>
          <w:szCs w:val="22"/>
          <w:lang w:val="en-US"/>
        </w:rPr>
        <w:t>Nye,</w:t>
      </w:r>
      <w:r w:rsidRPr="00306B1E">
        <w:rPr>
          <w:sz w:val="22"/>
          <w:szCs w:val="22"/>
          <w:lang w:val="en-US"/>
        </w:rPr>
        <w:t xml:space="preserve"> the court referred to the fact that for a period of time during his detention in Long Bay Gaol, Mr Nye feared for his life at the hands of other inmates of that gaol.</w:t>
      </w:r>
      <w:r w:rsidRPr="00D04415">
        <w:rPr>
          <w:sz w:val="22"/>
          <w:szCs w:val="22"/>
          <w:vertAlign w:val="superscript"/>
          <w:lang w:val="en-US"/>
        </w:rPr>
        <w:endnoteReference w:id="19"/>
      </w:r>
    </w:p>
    <w:p w:rsidR="00F676B5" w:rsidRPr="00EA4B0A" w:rsidRDefault="00F676B5" w:rsidP="00F676B5">
      <w:pPr>
        <w:numPr>
          <w:ilvl w:val="0"/>
          <w:numId w:val="7"/>
        </w:numPr>
        <w:spacing w:before="240" w:after="240"/>
        <w:rPr>
          <w:szCs w:val="24"/>
        </w:rPr>
      </w:pPr>
      <w:r>
        <w:rPr>
          <w:szCs w:val="24"/>
        </w:rPr>
        <w:t xml:space="preserve">Justice </w:t>
      </w:r>
      <w:r w:rsidRPr="00D04415">
        <w:rPr>
          <w:szCs w:val="24"/>
        </w:rPr>
        <w:t xml:space="preserve">Siopis noted that further guidance on the quantum of damages for loss of liberty for a long period arising from wrongful imprisonment can be obtained from the case of </w:t>
      </w:r>
      <w:r w:rsidRPr="00D04415">
        <w:rPr>
          <w:i/>
          <w:szCs w:val="24"/>
        </w:rPr>
        <w:t>Ruddock</w:t>
      </w:r>
      <w:r w:rsidRPr="00D04415">
        <w:rPr>
          <w:szCs w:val="24"/>
        </w:rPr>
        <w:t xml:space="preserve"> (NSWCA).</w:t>
      </w:r>
      <w:r w:rsidRPr="00D04415">
        <w:rPr>
          <w:rStyle w:val="EndnoteReference"/>
          <w:szCs w:val="24"/>
        </w:rPr>
        <w:endnoteReference w:id="20"/>
      </w:r>
      <w:r>
        <w:rPr>
          <w:szCs w:val="24"/>
        </w:rPr>
        <w:t xml:space="preserve"> </w:t>
      </w:r>
      <w:r w:rsidRPr="00D04415">
        <w:rPr>
          <w:szCs w:val="24"/>
        </w:rPr>
        <w:t>In that case, at first instance,</w:t>
      </w:r>
      <w:r w:rsidRPr="00D04415">
        <w:rPr>
          <w:rStyle w:val="EndnoteReference"/>
          <w:szCs w:val="24"/>
        </w:rPr>
        <w:endnoteReference w:id="21"/>
      </w:r>
      <w:r w:rsidRPr="00D04415">
        <w:rPr>
          <w:szCs w:val="24"/>
        </w:rPr>
        <w:t xml:space="preserve"> the New South Wales District Court awarded the plaintiff, Mr Taylor, the sum of $116,000 in damages in respect of wrongful imprisonment, consequent upon his detention following the cancellation of his permanent resid</w:t>
      </w:r>
      <w:r w:rsidR="007B5265">
        <w:rPr>
          <w:szCs w:val="24"/>
        </w:rPr>
        <w:t>ency visa on character grounds.</w:t>
      </w:r>
    </w:p>
    <w:p w:rsidR="00F676B5" w:rsidRPr="00EA4B0A" w:rsidRDefault="00F676B5" w:rsidP="00F676B5">
      <w:pPr>
        <w:numPr>
          <w:ilvl w:val="0"/>
          <w:numId w:val="7"/>
        </w:numPr>
        <w:spacing w:before="240" w:after="240"/>
        <w:rPr>
          <w:szCs w:val="24"/>
        </w:rPr>
      </w:pPr>
      <w:r w:rsidRPr="00D04415">
        <w:rPr>
          <w:rFonts w:cs="Arial"/>
          <w:szCs w:val="24"/>
        </w:rPr>
        <w:t>Mr</w:t>
      </w:r>
      <w:r w:rsidRPr="00D04415">
        <w:rPr>
          <w:szCs w:val="24"/>
        </w:rPr>
        <w:t xml:space="preserve"> Taylor was detained for two separate periods.</w:t>
      </w:r>
      <w:r>
        <w:rPr>
          <w:szCs w:val="24"/>
        </w:rPr>
        <w:t xml:space="preserve"> </w:t>
      </w:r>
      <w:r w:rsidRPr="00D04415">
        <w:rPr>
          <w:szCs w:val="24"/>
        </w:rPr>
        <w:t>The first was for 161 days and the second was for 155 days.</w:t>
      </w:r>
      <w:r>
        <w:rPr>
          <w:szCs w:val="24"/>
        </w:rPr>
        <w:t xml:space="preserve"> </w:t>
      </w:r>
      <w:r w:rsidRPr="00D04415">
        <w:rPr>
          <w:szCs w:val="24"/>
        </w:rPr>
        <w:t>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w:t>
      </w:r>
      <w:r w:rsidR="007B5265">
        <w:rPr>
          <w:szCs w:val="24"/>
        </w:rPr>
        <w:t xml:space="preserve"> as a ‘particularly harsh one’.</w:t>
      </w:r>
    </w:p>
    <w:p w:rsidR="00F676B5" w:rsidRPr="00EA4B0A" w:rsidRDefault="00F676B5" w:rsidP="00F676B5">
      <w:pPr>
        <w:numPr>
          <w:ilvl w:val="0"/>
          <w:numId w:val="7"/>
        </w:numPr>
        <w:spacing w:before="240" w:after="240"/>
        <w:rPr>
          <w:szCs w:val="24"/>
        </w:rPr>
      </w:pPr>
      <w:r w:rsidRPr="00D04415">
        <w:rPr>
          <w:rFonts w:cs="Arial"/>
          <w:szCs w:val="24"/>
        </w:rPr>
        <w:t>The</w:t>
      </w:r>
      <w:r w:rsidRPr="00D04415">
        <w:rPr>
          <w:szCs w:val="24"/>
        </w:rPr>
        <w:t xml:space="preserve"> Court also took into account the fact that Mr Taylor had a long criminal record and that this was not his first experience of a loss of liberty.</w:t>
      </w:r>
      <w:r>
        <w:rPr>
          <w:szCs w:val="24"/>
        </w:rPr>
        <w:t xml:space="preserve"> </w:t>
      </w:r>
      <w:r w:rsidRPr="00D04415">
        <w:rPr>
          <w:szCs w:val="24"/>
        </w:rPr>
        <w:t>He was also considered to be a person of low repute who would not have felt the disgrace and humiliation experienced by a person of good character in similar circumstances.</w:t>
      </w:r>
      <w:r w:rsidRPr="00D04415">
        <w:rPr>
          <w:rStyle w:val="EndnoteReference"/>
          <w:szCs w:val="24"/>
        </w:rPr>
        <w:endnoteReference w:id="22"/>
      </w:r>
    </w:p>
    <w:p w:rsidR="00F676B5" w:rsidRPr="00EA4B0A" w:rsidRDefault="00F676B5" w:rsidP="00F676B5">
      <w:pPr>
        <w:numPr>
          <w:ilvl w:val="0"/>
          <w:numId w:val="7"/>
        </w:numPr>
        <w:spacing w:before="240" w:after="240"/>
        <w:rPr>
          <w:szCs w:val="24"/>
        </w:rPr>
      </w:pPr>
      <w:r w:rsidRPr="00D04415">
        <w:rPr>
          <w:szCs w:val="24"/>
        </w:rPr>
        <w:lastRenderedPageBreak/>
        <w:t>On appeal, the New South Wales Court of Appeal considered that the award was low but in the acceptable range.</w:t>
      </w:r>
      <w:r>
        <w:rPr>
          <w:szCs w:val="24"/>
        </w:rPr>
        <w:t xml:space="preserve"> </w:t>
      </w:r>
      <w:r w:rsidRPr="00D04415">
        <w:rPr>
          <w:szCs w:val="24"/>
        </w:rPr>
        <w:t>The Court noted that ‘as the term of imprisonment extends, the effect upon the person falsely imprisoned does progressively diminish’.</w:t>
      </w:r>
      <w:r w:rsidRPr="00D04415">
        <w:rPr>
          <w:rStyle w:val="EndnoteReference"/>
          <w:szCs w:val="24"/>
        </w:rPr>
        <w:endnoteReference w:id="23"/>
      </w:r>
    </w:p>
    <w:p w:rsidR="00F676B5" w:rsidRDefault="00F676B5" w:rsidP="00F676B5">
      <w:pPr>
        <w:numPr>
          <w:ilvl w:val="0"/>
          <w:numId w:val="7"/>
        </w:numPr>
        <w:spacing w:before="240" w:after="240"/>
        <w:rPr>
          <w:szCs w:val="24"/>
        </w:rPr>
      </w:pPr>
      <w:r w:rsidRPr="00D04415">
        <w:rPr>
          <w:rFonts w:cs="Arial"/>
          <w:szCs w:val="24"/>
        </w:rPr>
        <w:t>Although</w:t>
      </w:r>
      <w:r w:rsidRPr="00D04415">
        <w:rPr>
          <w:szCs w:val="24"/>
        </w:rPr>
        <w:t xml:space="preserve"> in </w:t>
      </w:r>
      <w:r w:rsidRPr="00D04415">
        <w:rPr>
          <w:i/>
          <w:szCs w:val="24"/>
        </w:rPr>
        <w:t>Fernando v Commonwealth of Australia (No 5)</w:t>
      </w:r>
      <w:r w:rsidRPr="00D04415">
        <w:rPr>
          <w:szCs w:val="24"/>
        </w:rPr>
        <w:t>, Siopis J ultimately accepted the Commonwealth’s argument that Mr Fernando was only entitled to nominal damages,</w:t>
      </w:r>
      <w:r w:rsidRPr="00D04415">
        <w:rPr>
          <w:rStyle w:val="EndnoteReference"/>
          <w:szCs w:val="24"/>
        </w:rPr>
        <w:endnoteReference w:id="24"/>
      </w:r>
      <w:r w:rsidRPr="00D04415">
        <w:rPr>
          <w:szCs w:val="24"/>
        </w:rPr>
        <w:t xml:space="preserve"> his Honour considered the sum of general damages he would have awarded in respect of Mr Fernando’s claim if his findings in respect of the Commonwealth’s argument on nominal damages were wrong.</w:t>
      </w:r>
      <w:r>
        <w:rPr>
          <w:szCs w:val="24"/>
        </w:rPr>
        <w:t xml:space="preserve"> </w:t>
      </w:r>
      <w:r w:rsidRPr="00D04415">
        <w:rPr>
          <w:szCs w:val="24"/>
        </w:rPr>
        <w:t>Mr Fernando was wrongfully imprisoned for 1,203 days in an immigration detention centre.</w:t>
      </w:r>
      <w:r>
        <w:rPr>
          <w:szCs w:val="24"/>
        </w:rPr>
        <w:t xml:space="preserve"> Justice </w:t>
      </w:r>
      <w:r w:rsidRPr="00D04415">
        <w:rPr>
          <w:szCs w:val="24"/>
        </w:rPr>
        <w:t>Siopis accepted Mr Fernando’s evidence that he suffered anxiety and stress during his detention and, also, that he was treated for depression during and after his detention and took these factors into account in assessing the quantum of damages.</w:t>
      </w:r>
      <w:r>
        <w:rPr>
          <w:szCs w:val="24"/>
        </w:rPr>
        <w:t xml:space="preserve"> </w:t>
      </w:r>
      <w:r w:rsidRPr="00D04415">
        <w:rPr>
          <w:szCs w:val="24"/>
        </w:rPr>
        <w:t>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w:t>
      </w:r>
      <w:r>
        <w:rPr>
          <w:szCs w:val="24"/>
        </w:rPr>
        <w:t xml:space="preserve"> </w:t>
      </w:r>
      <w:r w:rsidRPr="00D04415">
        <w:rPr>
          <w:szCs w:val="24"/>
        </w:rPr>
        <w:t>Taking all of these factors into account, Siopis J stated that he would have awarded Mr Fernando the sum of $265,000 in respect of his 1,203 days in detention.</w:t>
      </w:r>
      <w:r w:rsidRPr="00D04415">
        <w:rPr>
          <w:rStyle w:val="EndnoteReference"/>
          <w:szCs w:val="24"/>
        </w:rPr>
        <w:endnoteReference w:id="25"/>
      </w:r>
      <w:r>
        <w:rPr>
          <w:szCs w:val="24"/>
        </w:rPr>
        <w:t xml:space="preserve"> </w:t>
      </w:r>
      <w:r w:rsidRPr="0091601B">
        <w:rPr>
          <w:szCs w:val="24"/>
        </w:rPr>
        <w:t xml:space="preserve">On appeal, the Full Federal Court </w:t>
      </w:r>
      <w:r>
        <w:rPr>
          <w:szCs w:val="24"/>
        </w:rPr>
        <w:t>noted that although ‘t</w:t>
      </w:r>
      <w:r w:rsidRPr="0091601B">
        <w:rPr>
          <w:szCs w:val="24"/>
        </w:rPr>
        <w:t>he primary judge’s assessment seems to us to be low</w:t>
      </w:r>
      <w:r>
        <w:rPr>
          <w:szCs w:val="24"/>
        </w:rPr>
        <w:t>’, it was</w:t>
      </w:r>
      <w:r w:rsidRPr="0091601B">
        <w:rPr>
          <w:szCs w:val="24"/>
        </w:rPr>
        <w:t xml:space="preserve"> not so low as to indicate error</w:t>
      </w:r>
      <w:r>
        <w:rPr>
          <w:szCs w:val="24"/>
        </w:rPr>
        <w:t>.</w:t>
      </w:r>
      <w:r>
        <w:rPr>
          <w:rStyle w:val="EndnoteReference"/>
          <w:szCs w:val="24"/>
        </w:rPr>
        <w:endnoteReference w:id="26"/>
      </w:r>
    </w:p>
    <w:p w:rsidR="00F676B5" w:rsidRDefault="00F676B5" w:rsidP="00F676B5">
      <w:pPr>
        <w:numPr>
          <w:ilvl w:val="0"/>
          <w:numId w:val="7"/>
        </w:numPr>
        <w:spacing w:before="240" w:after="240"/>
        <w:rPr>
          <w:szCs w:val="24"/>
        </w:rPr>
      </w:pPr>
      <w:r>
        <w:rPr>
          <w:szCs w:val="24"/>
        </w:rPr>
        <w:t>Mr DR was held in closed immigration detention for 46 months, from 17 Februa</w:t>
      </w:r>
      <w:r w:rsidR="007B5265">
        <w:rPr>
          <w:szCs w:val="24"/>
        </w:rPr>
        <w:t>ry 2012 until 16 December 2015.</w:t>
      </w:r>
    </w:p>
    <w:p w:rsidR="00F676B5" w:rsidRDefault="00F676B5" w:rsidP="00F676B5">
      <w:pPr>
        <w:numPr>
          <w:ilvl w:val="0"/>
          <w:numId w:val="7"/>
        </w:numPr>
        <w:spacing w:before="240" w:after="240"/>
        <w:rPr>
          <w:szCs w:val="24"/>
        </w:rPr>
      </w:pPr>
      <w:r>
        <w:rPr>
          <w:szCs w:val="24"/>
        </w:rPr>
        <w:t>Mr DS was held in closed immigration detention for 44 months, from 10 April 2012 until 16 December</w:t>
      </w:r>
      <w:r w:rsidR="007B5265">
        <w:rPr>
          <w:szCs w:val="24"/>
        </w:rPr>
        <w:t xml:space="preserve"> 2015.</w:t>
      </w:r>
    </w:p>
    <w:p w:rsidR="00F676B5" w:rsidRPr="00315EC5" w:rsidRDefault="00F676B5" w:rsidP="00F676B5">
      <w:pPr>
        <w:numPr>
          <w:ilvl w:val="0"/>
          <w:numId w:val="7"/>
        </w:numPr>
        <w:spacing w:before="240" w:after="240"/>
        <w:rPr>
          <w:rFonts w:cs="Arial"/>
          <w:szCs w:val="24"/>
        </w:rPr>
      </w:pPr>
      <w:r>
        <w:rPr>
          <w:rFonts w:cs="Arial"/>
          <w:szCs w:val="24"/>
        </w:rPr>
        <w:t>Professor Triggs found that the department’s failure to consider less restrictive alternatives to detention prior to April 2014, and the Minister’s failure to consider exercising his personal powers to allow Mr DR and Mr DS to reside outside of closed immigration detention when their matters were referred to him in April 2014, resulted</w:t>
      </w:r>
      <w:r w:rsidR="007B5265">
        <w:rPr>
          <w:rFonts w:cs="Arial"/>
          <w:szCs w:val="24"/>
        </w:rPr>
        <w:t xml:space="preserve"> in their arbitrary detention.</w:t>
      </w:r>
    </w:p>
    <w:p w:rsidR="00F676B5" w:rsidRDefault="00F676B5" w:rsidP="00F676B5">
      <w:pPr>
        <w:numPr>
          <w:ilvl w:val="0"/>
          <w:numId w:val="7"/>
        </w:numPr>
        <w:spacing w:before="240" w:after="240"/>
        <w:rPr>
          <w:rFonts w:cs="Arial"/>
          <w:szCs w:val="24"/>
        </w:rPr>
      </w:pPr>
      <w:r>
        <w:rPr>
          <w:rFonts w:cs="Arial"/>
          <w:szCs w:val="24"/>
        </w:rPr>
        <w:t>Professor Triggs was of the view that the Commonwealth should pay to Mr DR and Mr DS an appropriate amount of compensation to reflect the loss of liberty caused by their detention in accordance with</w:t>
      </w:r>
      <w:r w:rsidR="00EA4299">
        <w:rPr>
          <w:rFonts w:cs="Arial"/>
          <w:szCs w:val="24"/>
        </w:rPr>
        <w:t xml:space="preserve"> the principles outlined above.</w:t>
      </w:r>
    </w:p>
    <w:p w:rsidR="00F676B5" w:rsidRPr="007B5265" w:rsidRDefault="00F676B5" w:rsidP="00F676B5">
      <w:pPr>
        <w:spacing w:before="240" w:after="240"/>
        <w:ind w:left="720"/>
        <w:rPr>
          <w:rFonts w:cs="Arial"/>
          <w:b/>
          <w:szCs w:val="24"/>
        </w:rPr>
      </w:pPr>
      <w:r w:rsidRPr="007B5265">
        <w:rPr>
          <w:rFonts w:cs="Arial"/>
          <w:b/>
          <w:szCs w:val="24"/>
        </w:rPr>
        <w:t>Recommendation 1</w:t>
      </w:r>
    </w:p>
    <w:p w:rsidR="00F676B5" w:rsidRPr="00631E8F" w:rsidRDefault="00F676B5" w:rsidP="00F676B5">
      <w:pPr>
        <w:numPr>
          <w:ilvl w:val="0"/>
          <w:numId w:val="7"/>
        </w:numPr>
        <w:spacing w:before="240" w:after="240"/>
        <w:rPr>
          <w:rFonts w:cs="Arial"/>
          <w:szCs w:val="24"/>
        </w:rPr>
      </w:pPr>
      <w:r>
        <w:rPr>
          <w:rFonts w:cs="Arial"/>
          <w:szCs w:val="24"/>
        </w:rPr>
        <w:t xml:space="preserve">Professor Triggs recommended that the </w:t>
      </w:r>
      <w:r>
        <w:t>Commonwealth pay to Mr DR an appropriate amount of compensation to reflect the loss of liberty caused by his detention.</w:t>
      </w:r>
    </w:p>
    <w:p w:rsidR="00F676B5" w:rsidRPr="007B5265" w:rsidRDefault="00F676B5" w:rsidP="00F676B5">
      <w:pPr>
        <w:spacing w:before="240" w:after="240"/>
        <w:ind w:left="720"/>
        <w:rPr>
          <w:rFonts w:cs="Arial"/>
          <w:b/>
          <w:szCs w:val="24"/>
        </w:rPr>
      </w:pPr>
      <w:r w:rsidRPr="007B5265">
        <w:rPr>
          <w:rFonts w:cs="Arial"/>
          <w:b/>
          <w:szCs w:val="24"/>
        </w:rPr>
        <w:lastRenderedPageBreak/>
        <w:t>Recommendation 2</w:t>
      </w:r>
    </w:p>
    <w:p w:rsidR="00F676B5" w:rsidRPr="00955515" w:rsidRDefault="00F676B5" w:rsidP="00F676B5">
      <w:pPr>
        <w:numPr>
          <w:ilvl w:val="0"/>
          <w:numId w:val="7"/>
        </w:numPr>
        <w:spacing w:before="240" w:after="240"/>
        <w:rPr>
          <w:rFonts w:cs="Arial"/>
          <w:szCs w:val="24"/>
        </w:rPr>
      </w:pPr>
      <w:r>
        <w:t>Professor Triggs recommended that the Commonwealth pay to Mr DS an appropriate amount of compensation to reflect the loss of liberty caused by h</w:t>
      </w:r>
      <w:r w:rsidR="007B5265">
        <w:t>is detention.</w:t>
      </w:r>
    </w:p>
    <w:p w:rsidR="00F676B5" w:rsidRPr="00955515" w:rsidRDefault="00F676B5" w:rsidP="00F676B5">
      <w:pPr>
        <w:pStyle w:val="Heading1"/>
      </w:pPr>
      <w:bookmarkStart w:id="17" w:name="_Toc509571490"/>
      <w:r>
        <w:t>Department’s response to the recommendations</w:t>
      </w:r>
      <w:bookmarkEnd w:id="17"/>
    </w:p>
    <w:p w:rsidR="00F676B5" w:rsidRPr="00AE7F7B" w:rsidRDefault="00F676B5" w:rsidP="00F676B5">
      <w:pPr>
        <w:numPr>
          <w:ilvl w:val="0"/>
          <w:numId w:val="7"/>
        </w:numPr>
        <w:spacing w:before="240" w:after="240"/>
        <w:rPr>
          <w:rFonts w:cs="Arial"/>
          <w:szCs w:val="24"/>
        </w:rPr>
      </w:pPr>
      <w:r>
        <w:rPr>
          <w:rFonts w:cs="Arial"/>
          <w:szCs w:val="24"/>
        </w:rPr>
        <w:t>On 28 July 2017, Professor Triggs provided a notice of her findings and recommendations to the department, and sought a</w:t>
      </w:r>
      <w:r w:rsidR="007B5265">
        <w:rPr>
          <w:rFonts w:cs="Arial"/>
          <w:szCs w:val="24"/>
        </w:rPr>
        <w:t xml:space="preserve"> response from the department.</w:t>
      </w:r>
    </w:p>
    <w:p w:rsidR="00F676B5" w:rsidRDefault="00F676B5" w:rsidP="00F676B5">
      <w:pPr>
        <w:numPr>
          <w:ilvl w:val="0"/>
          <w:numId w:val="7"/>
        </w:numPr>
        <w:spacing w:before="240" w:after="240"/>
        <w:rPr>
          <w:rFonts w:cs="Arial"/>
          <w:szCs w:val="24"/>
        </w:rPr>
      </w:pPr>
      <w:r>
        <w:rPr>
          <w:rFonts w:cs="Arial"/>
        </w:rPr>
        <w:t>By letter dated 27 October 2017, the department provided the following response to Professor Triggs’ notice</w:t>
      </w:r>
      <w:r w:rsidR="007B5265">
        <w:rPr>
          <w:rFonts w:cs="Arial"/>
        </w:rPr>
        <w:t>:</w:t>
      </w:r>
    </w:p>
    <w:p w:rsidR="00F676B5" w:rsidRPr="007B5265" w:rsidRDefault="00F676B5" w:rsidP="007B5265">
      <w:pPr>
        <w:pStyle w:val="ListParagraph"/>
        <w:rPr>
          <w:b/>
          <w:sz w:val="22"/>
          <w:szCs w:val="22"/>
          <w:lang w:eastAsia="en-AU"/>
        </w:rPr>
      </w:pPr>
      <w:r w:rsidRPr="00F20569">
        <w:rPr>
          <w:b/>
          <w:sz w:val="22"/>
          <w:szCs w:val="22"/>
          <w:lang w:eastAsia="en-AU"/>
        </w:rPr>
        <w:t>The Department of Immigration and Border Protection’s response to the Australian Human Rights Commission’s final view – Mr DR and Mr DS</w:t>
      </w:r>
    </w:p>
    <w:p w:rsidR="00F676B5" w:rsidRPr="007B5265" w:rsidRDefault="00F676B5" w:rsidP="007B5265">
      <w:pPr>
        <w:pStyle w:val="ListParagraph"/>
        <w:rPr>
          <w:sz w:val="22"/>
          <w:szCs w:val="22"/>
          <w:lang w:eastAsia="en-AU"/>
        </w:rPr>
      </w:pPr>
      <w:r w:rsidRPr="00F20569">
        <w:rPr>
          <w:sz w:val="22"/>
          <w:szCs w:val="22"/>
          <w:lang w:eastAsia="en-AU"/>
        </w:rPr>
        <w:t xml:space="preserve">Professor Gillian Triggs, former President of the Australian Human Rights Commission (AHRC), issued a notice in accordance with section 29(2) of the </w:t>
      </w:r>
      <w:r w:rsidRPr="00F20569">
        <w:rPr>
          <w:i/>
          <w:sz w:val="22"/>
          <w:szCs w:val="22"/>
          <w:lang w:eastAsia="en-AU"/>
        </w:rPr>
        <w:t>Australian Human Rights Commission Act 1986</w:t>
      </w:r>
      <w:r w:rsidRPr="00F20569">
        <w:rPr>
          <w:sz w:val="22"/>
          <w:szCs w:val="22"/>
          <w:lang w:eastAsia="en-AU"/>
        </w:rPr>
        <w:t xml:space="preserve"> (Cth) on 28 July 2017. Professor Trig</w:t>
      </w:r>
      <w:r w:rsidR="00920F73">
        <w:rPr>
          <w:sz w:val="22"/>
          <w:szCs w:val="22"/>
          <w:lang w:eastAsia="en-AU"/>
        </w:rPr>
        <w:t>gs made the following findings:</w:t>
      </w:r>
    </w:p>
    <w:p w:rsidR="00F676B5" w:rsidRPr="007B5265" w:rsidRDefault="00F676B5" w:rsidP="00BE3FAA">
      <w:pPr>
        <w:pStyle w:val="ListParagraph"/>
        <w:numPr>
          <w:ilvl w:val="0"/>
          <w:numId w:val="29"/>
        </w:numPr>
        <w:ind w:left="1077" w:hanging="357"/>
        <w:rPr>
          <w:i/>
          <w:sz w:val="22"/>
          <w:szCs w:val="22"/>
          <w:lang w:eastAsia="en-AU"/>
        </w:rPr>
      </w:pPr>
      <w:r w:rsidRPr="00BC249F">
        <w:rPr>
          <w:i/>
          <w:sz w:val="22"/>
          <w:szCs w:val="22"/>
          <w:lang w:eastAsia="en-AU"/>
        </w:rPr>
        <w:t>That the failure of the Department to consider less restrictive alternatives to detention prior to April 2014, resulted in the detention of Mr DR and Mr DS for a period of 2 years, where the detention was not justified and not properly considered in light of their particular circumstances. In her view, the detention of Mr DR and Mr DS from soon after they arrived until April 2014 was arbitrary for the purposes of article 9(1) of the International Convention of Civil</w:t>
      </w:r>
      <w:r w:rsidR="007B5265">
        <w:rPr>
          <w:i/>
          <w:sz w:val="22"/>
          <w:szCs w:val="22"/>
          <w:lang w:eastAsia="en-AU"/>
        </w:rPr>
        <w:t xml:space="preserve"> and Political Rights (ICCPR).</w:t>
      </w:r>
    </w:p>
    <w:p w:rsidR="00F676B5" w:rsidRPr="007B5265" w:rsidRDefault="00F676B5" w:rsidP="007B5265">
      <w:pPr>
        <w:pStyle w:val="ListParagraph"/>
        <w:rPr>
          <w:b/>
          <w:sz w:val="22"/>
          <w:szCs w:val="22"/>
          <w:lang w:eastAsia="en-AU"/>
        </w:rPr>
      </w:pPr>
      <w:r w:rsidRPr="00F676B5">
        <w:rPr>
          <w:b/>
          <w:sz w:val="22"/>
          <w:szCs w:val="22"/>
          <w:lang w:eastAsia="en-AU"/>
        </w:rPr>
        <w:t>Response to finding</w:t>
      </w:r>
    </w:p>
    <w:p w:rsidR="00F676B5" w:rsidRPr="007B5265" w:rsidRDefault="00F676B5" w:rsidP="007B5265">
      <w:pPr>
        <w:pStyle w:val="ListParagraph"/>
        <w:rPr>
          <w:sz w:val="22"/>
          <w:szCs w:val="22"/>
          <w:lang w:eastAsia="en-AU"/>
        </w:rPr>
      </w:pPr>
      <w:r w:rsidRPr="00AE7F7B">
        <w:rPr>
          <w:sz w:val="22"/>
          <w:szCs w:val="22"/>
          <w:lang w:eastAsia="en-AU"/>
        </w:rPr>
        <w:t xml:space="preserve">The Department considers less restrictive detention placements for illegal maritime arrivals (IMAs) in line with Government policy. Government policy in effect at the time of Mr DS and Mr DR’s arrival in Australia in 2012 was for priority consideration for community detention placements be given to families with children and single adult IMAs identified as having vulnerabilities were to be referred for assessment against the section 197AB guidelines, neither of </w:t>
      </w:r>
      <w:r w:rsidR="007B5265">
        <w:rPr>
          <w:sz w:val="22"/>
          <w:szCs w:val="22"/>
          <w:lang w:eastAsia="en-AU"/>
        </w:rPr>
        <w:t>which applied to Mr DS or Mr DR.</w:t>
      </w:r>
    </w:p>
    <w:p w:rsidR="007B5265" w:rsidRDefault="00F676B5" w:rsidP="007B5265">
      <w:pPr>
        <w:pStyle w:val="ListParagraph"/>
        <w:rPr>
          <w:sz w:val="22"/>
          <w:szCs w:val="22"/>
          <w:lang w:eastAsia="en-AU"/>
        </w:rPr>
      </w:pPr>
      <w:r w:rsidRPr="00AE7F7B">
        <w:rPr>
          <w:sz w:val="22"/>
          <w:szCs w:val="22"/>
          <w:lang w:eastAsia="en-AU"/>
        </w:rPr>
        <w:lastRenderedPageBreak/>
        <w:t>After Mr DS and Mr DR arrived in Australia as IMAs in February and April 2012 respectively, their cases were reviewed monthly by a departmental case manager. These reviews considered a number of factors including whether detention continues to be appropriate, whether the right level of case management intervention is being applied and re-consideration of the detainee’s detention placement (taking into account health and wellbeing, family structure, community support, availability of accommodation and any security factors). As part of this ongoing review, if it is determined that a detainee’s circumstances fall within the section 195A or section 197AB guidelines, their case will be referred to the Minister for consideration of alternate management options. Monthly reviews from their arrival until December 2012 concluded that Mr DS and Mr DR’s placement in held immigration detention was appropriate, given there were no vulnerabilities in their case that warranted referral to the Minister for consideration under sections 195A of the Act for a visa grant and 197AB of the Act for community detention.</w:t>
      </w:r>
    </w:p>
    <w:p w:rsidR="00F676B5" w:rsidRPr="007B5265" w:rsidRDefault="00F676B5" w:rsidP="007B5265">
      <w:pPr>
        <w:pStyle w:val="ListParagraph"/>
        <w:rPr>
          <w:sz w:val="22"/>
          <w:szCs w:val="22"/>
          <w:lang w:eastAsia="en-AU"/>
        </w:rPr>
      </w:pPr>
      <w:r w:rsidRPr="007B5265">
        <w:rPr>
          <w:sz w:val="22"/>
          <w:szCs w:val="22"/>
          <w:lang w:eastAsia="en-AU"/>
        </w:rPr>
        <w:t>Assessments against the guidelines are initiated through internal departmental processes (for example, referral by a departmental case manager) or following a request from a detainee or on behalf of a detainee.</w:t>
      </w:r>
    </w:p>
    <w:p w:rsidR="00F676B5" w:rsidRPr="007B5265" w:rsidRDefault="00F676B5" w:rsidP="007B5265">
      <w:pPr>
        <w:pStyle w:val="ListParagraph"/>
        <w:rPr>
          <w:sz w:val="22"/>
          <w:szCs w:val="22"/>
          <w:lang w:eastAsia="en-AU"/>
        </w:rPr>
      </w:pPr>
      <w:r w:rsidRPr="00AE7F7B">
        <w:rPr>
          <w:sz w:val="22"/>
          <w:szCs w:val="22"/>
          <w:lang w:eastAsia="en-AU"/>
        </w:rPr>
        <w:t>Following the AFP finalising their investigations regarding Mr DS and Mr DR’s alleged involvement in people smuggling activities and deciding charges would not be pursued, their departmental case manager referred their case for an assessment against the section 197AB guidelines in December 2012.</w:t>
      </w:r>
    </w:p>
    <w:p w:rsidR="00F676B5" w:rsidRPr="007B5265" w:rsidRDefault="00F676B5" w:rsidP="007B5265">
      <w:pPr>
        <w:pStyle w:val="ListParagraph"/>
        <w:rPr>
          <w:sz w:val="22"/>
          <w:szCs w:val="22"/>
          <w:lang w:eastAsia="en-AU"/>
        </w:rPr>
      </w:pPr>
      <w:r w:rsidRPr="00AE7F7B">
        <w:rPr>
          <w:sz w:val="22"/>
          <w:szCs w:val="22"/>
          <w:lang w:eastAsia="en-AU"/>
        </w:rPr>
        <w:t>In April 2013 and July 2013, respectively, Mr DS and Mr DR were assessed as meeting the section 197AB guidelines. These assessments took time to complete given the prioritisation of detention cases based on vulnerabilities and length of time in detention. At that time, Mr DS and Mr DR were not considered high priority cases based on their vulnerabilities and length of time in detention.</w:t>
      </w:r>
    </w:p>
    <w:p w:rsidR="00F676B5" w:rsidRPr="007B5265" w:rsidRDefault="00F676B5" w:rsidP="007B5265">
      <w:pPr>
        <w:pStyle w:val="ListParagraph"/>
        <w:rPr>
          <w:sz w:val="22"/>
          <w:szCs w:val="22"/>
          <w:lang w:eastAsia="en-AU"/>
        </w:rPr>
      </w:pPr>
      <w:r w:rsidRPr="00AE7F7B">
        <w:rPr>
          <w:sz w:val="22"/>
          <w:szCs w:val="22"/>
          <w:lang w:eastAsia="en-AU"/>
        </w:rPr>
        <w:t>Following these assessments, the Department commenced preparation of a submission for the former Minister in July 2013. At this time, the team preparing the submission was made aware of allegations that Mr DR and Mr DS had left Sri Lanka to escape from a murder charge. The officer drafting the submission requested further information from the AFP and other areas of the Department to include in the submission for the former Minister, including details of the allegation and progress on investigating the veracity of the allegation.</w:t>
      </w:r>
    </w:p>
    <w:p w:rsidR="00F676B5" w:rsidRPr="007B5265" w:rsidRDefault="00F676B5" w:rsidP="007B5265">
      <w:pPr>
        <w:pStyle w:val="ListParagraph"/>
        <w:rPr>
          <w:sz w:val="22"/>
          <w:szCs w:val="22"/>
          <w:lang w:eastAsia="en-AU"/>
        </w:rPr>
      </w:pPr>
      <w:r w:rsidRPr="00AE7F7B">
        <w:rPr>
          <w:sz w:val="22"/>
          <w:szCs w:val="22"/>
          <w:lang w:eastAsia="en-AU"/>
        </w:rPr>
        <w:t>During this time the Department pursued inquiries through offshore partners to obtain the required information regarding the allegations, in a manner that would not compromise the protection status of Mr DR and Mr DS.</w:t>
      </w:r>
    </w:p>
    <w:p w:rsidR="00F676B5" w:rsidRPr="007B5265" w:rsidRDefault="00F676B5" w:rsidP="007B5265">
      <w:pPr>
        <w:pStyle w:val="ListParagraph"/>
        <w:rPr>
          <w:sz w:val="22"/>
          <w:szCs w:val="22"/>
          <w:lang w:eastAsia="en-AU"/>
        </w:rPr>
      </w:pPr>
      <w:r w:rsidRPr="00AE7F7B">
        <w:rPr>
          <w:sz w:val="22"/>
          <w:szCs w:val="22"/>
          <w:lang w:eastAsia="en-AU"/>
        </w:rPr>
        <w:t>Following the provision of this information, the Department provided the submission and all relevant information to the former Minister for his consideration of possible release of Mr DR and Mr DS from held immigration detention. At the time of the submission being referred to the Minister for consideration, AFP investigations indicated that these allegations were likely to be credible. On 30 May 2014, the former Minister considered the submissions and declined to consider releasing Mr DR and Mr DS from held immigration detention.</w:t>
      </w:r>
    </w:p>
    <w:p w:rsidR="00F676B5" w:rsidRPr="007B5265" w:rsidRDefault="00F676B5" w:rsidP="007B5265">
      <w:pPr>
        <w:pStyle w:val="ListParagraph"/>
        <w:rPr>
          <w:sz w:val="22"/>
          <w:szCs w:val="22"/>
          <w:lang w:eastAsia="en-AU"/>
        </w:rPr>
      </w:pPr>
      <w:r w:rsidRPr="00AE7F7B">
        <w:rPr>
          <w:sz w:val="22"/>
          <w:szCs w:val="22"/>
          <w:lang w:eastAsia="en-AU"/>
        </w:rPr>
        <w:lastRenderedPageBreak/>
        <w:t>After examining the Department’s records of this period, the Department is satisfied that it was actively considering and pursuing options for less restrictive detention for the complainants, balanced with obtaining the required information for the former Minister to make an informed assessment of the potential risks pos</w:t>
      </w:r>
      <w:r w:rsidR="007B5265">
        <w:rPr>
          <w:sz w:val="22"/>
          <w:szCs w:val="22"/>
          <w:lang w:eastAsia="en-AU"/>
        </w:rPr>
        <w:t>ed to the Australian community.</w:t>
      </w:r>
    </w:p>
    <w:p w:rsidR="00F676B5" w:rsidRPr="007B5265" w:rsidRDefault="00F676B5" w:rsidP="007B5265">
      <w:pPr>
        <w:pStyle w:val="ListParagraph"/>
        <w:rPr>
          <w:sz w:val="22"/>
          <w:szCs w:val="22"/>
          <w:lang w:eastAsia="en-AU"/>
        </w:rPr>
      </w:pPr>
      <w:r w:rsidRPr="00AE7F7B">
        <w:rPr>
          <w:sz w:val="22"/>
          <w:szCs w:val="22"/>
          <w:lang w:eastAsia="en-AU"/>
        </w:rPr>
        <w:t>For the reasons above, the Department does not accept the AHRC’s finding and asserts that, given the seriousness of the allegation raised in their case, a full investigation was required as part of presenting their case for the former Minister’s consideration of possible release f</w:t>
      </w:r>
      <w:r w:rsidR="007B5265">
        <w:rPr>
          <w:sz w:val="22"/>
          <w:szCs w:val="22"/>
          <w:lang w:eastAsia="en-AU"/>
        </w:rPr>
        <w:t>rom held immigration detention.</w:t>
      </w:r>
    </w:p>
    <w:p w:rsidR="00F676B5" w:rsidRPr="007B5265" w:rsidRDefault="00F676B5" w:rsidP="00BE3FAA">
      <w:pPr>
        <w:pStyle w:val="ListParagraph"/>
        <w:numPr>
          <w:ilvl w:val="0"/>
          <w:numId w:val="29"/>
        </w:numPr>
        <w:ind w:left="1077" w:hanging="357"/>
        <w:rPr>
          <w:sz w:val="22"/>
          <w:szCs w:val="22"/>
          <w:lang w:eastAsia="en-AU"/>
        </w:rPr>
      </w:pPr>
      <w:r w:rsidRPr="002D22EB">
        <w:rPr>
          <w:i/>
          <w:sz w:val="22"/>
          <w:szCs w:val="22"/>
          <w:lang w:eastAsia="en-AU"/>
        </w:rPr>
        <w:t>That the Minister’s failure to consider exercising his powers under section 195A and 197AB of the Migration Act 1958, to allow Mr DR and Mr DS to reside outside a closed immigration detention centre, when their cases were referred to him by the Department in April 2014, is an act that is inconsistent with or contrary to article 9(1) of the ICCPR.</w:t>
      </w:r>
    </w:p>
    <w:p w:rsidR="00F676B5" w:rsidRPr="007B5265" w:rsidRDefault="00F676B5" w:rsidP="007B5265">
      <w:pPr>
        <w:pStyle w:val="ListParagraph"/>
        <w:rPr>
          <w:b/>
          <w:sz w:val="22"/>
          <w:szCs w:val="22"/>
          <w:lang w:eastAsia="en-AU"/>
        </w:rPr>
      </w:pPr>
      <w:r w:rsidRPr="00F676B5">
        <w:rPr>
          <w:b/>
          <w:sz w:val="22"/>
          <w:szCs w:val="22"/>
          <w:lang w:eastAsia="en-AU"/>
        </w:rPr>
        <w:t>Response to finding</w:t>
      </w:r>
    </w:p>
    <w:p w:rsidR="00F676B5" w:rsidRPr="007B5265" w:rsidRDefault="00F676B5" w:rsidP="007B5265">
      <w:pPr>
        <w:pStyle w:val="ListParagraph"/>
        <w:rPr>
          <w:sz w:val="22"/>
          <w:szCs w:val="22"/>
          <w:lang w:eastAsia="en-AU"/>
        </w:rPr>
      </w:pPr>
      <w:r w:rsidRPr="00AE7F7B">
        <w:rPr>
          <w:sz w:val="22"/>
          <w:szCs w:val="22"/>
          <w:lang w:eastAsia="en-AU"/>
        </w:rPr>
        <w:t>The Minister’s powers under sections 195A and 197AB of the Migration Act are non-delegable and non-compellable and require the consideration of many factors, including a detainee’s immigration pathway, behaviour in detention, risk to the Australian community and connecti</w:t>
      </w:r>
      <w:r w:rsidR="007B5265">
        <w:rPr>
          <w:sz w:val="22"/>
          <w:szCs w:val="22"/>
          <w:lang w:eastAsia="en-AU"/>
        </w:rPr>
        <w:t>on to the Australian community.</w:t>
      </w:r>
    </w:p>
    <w:p w:rsidR="00F676B5" w:rsidRPr="007B5265" w:rsidRDefault="00F676B5" w:rsidP="007B5265">
      <w:pPr>
        <w:pStyle w:val="ListParagraph"/>
        <w:rPr>
          <w:sz w:val="22"/>
          <w:szCs w:val="22"/>
          <w:lang w:eastAsia="en-AU"/>
        </w:rPr>
      </w:pPr>
      <w:r w:rsidRPr="00AE7F7B">
        <w:rPr>
          <w:sz w:val="22"/>
          <w:szCs w:val="22"/>
          <w:lang w:eastAsia="en-AU"/>
        </w:rPr>
        <w:t>Ultimately, decisions are made at the discretion of the Minister, and are a reflection of what is deemed to be in the public interest at that time.</w:t>
      </w:r>
    </w:p>
    <w:p w:rsidR="00F676B5" w:rsidRPr="007B5265" w:rsidRDefault="00F676B5" w:rsidP="007B5265">
      <w:pPr>
        <w:pStyle w:val="ListParagraph"/>
        <w:rPr>
          <w:sz w:val="22"/>
          <w:szCs w:val="22"/>
          <w:lang w:eastAsia="en-AU"/>
        </w:rPr>
      </w:pPr>
      <w:r w:rsidRPr="00AE7F7B">
        <w:rPr>
          <w:sz w:val="22"/>
          <w:szCs w:val="22"/>
          <w:lang w:eastAsia="en-AU"/>
        </w:rPr>
        <w:t>On the basis of the above, the Department does not accept the AHRC</w:t>
      </w:r>
      <w:r w:rsidR="007B5265">
        <w:rPr>
          <w:sz w:val="22"/>
          <w:szCs w:val="22"/>
          <w:lang w:eastAsia="en-AU"/>
        </w:rPr>
        <w:t>’s finding.</w:t>
      </w:r>
    </w:p>
    <w:p w:rsidR="00F676B5" w:rsidRPr="007B5265" w:rsidRDefault="00F676B5" w:rsidP="007B5265">
      <w:pPr>
        <w:ind w:firstLine="720"/>
        <w:mirrorIndents/>
        <w:rPr>
          <w:b/>
          <w:sz w:val="22"/>
          <w:szCs w:val="22"/>
          <w:lang w:eastAsia="en-AU"/>
        </w:rPr>
      </w:pPr>
      <w:r w:rsidRPr="00F676B5">
        <w:rPr>
          <w:b/>
          <w:sz w:val="22"/>
          <w:szCs w:val="22"/>
          <w:lang w:eastAsia="en-AU"/>
        </w:rPr>
        <w:t xml:space="preserve">Response to the recommendations </w:t>
      </w:r>
    </w:p>
    <w:p w:rsidR="00F676B5" w:rsidRPr="007B5265" w:rsidRDefault="00F676B5" w:rsidP="007B5265">
      <w:pPr>
        <w:pStyle w:val="ListParagraph"/>
        <w:mirrorIndents/>
        <w:rPr>
          <w:i/>
          <w:sz w:val="22"/>
          <w:szCs w:val="22"/>
          <w:lang w:eastAsia="en-AU"/>
        </w:rPr>
      </w:pPr>
      <w:r w:rsidRPr="00AE7F7B">
        <w:rPr>
          <w:i/>
          <w:sz w:val="22"/>
          <w:szCs w:val="22"/>
          <w:lang w:eastAsia="en-AU"/>
        </w:rPr>
        <w:t>Recommendation 1 – That the Commonwealth pay to Mr DR an appropriate amount of compensation to reflect the loss of liberty caused by his detention.</w:t>
      </w:r>
    </w:p>
    <w:p w:rsidR="00F676B5" w:rsidRPr="007B5265" w:rsidRDefault="00F676B5" w:rsidP="007B5265">
      <w:pPr>
        <w:pStyle w:val="ListParagraph"/>
        <w:rPr>
          <w:sz w:val="22"/>
          <w:szCs w:val="22"/>
          <w:lang w:eastAsia="en-AU"/>
        </w:rPr>
      </w:pPr>
      <w:r w:rsidRPr="00AE7F7B">
        <w:rPr>
          <w:sz w:val="22"/>
          <w:szCs w:val="22"/>
          <w:lang w:eastAsia="en-AU"/>
        </w:rPr>
        <w:t>The Department notes the AHRC recommendation however as noted above does not accept the AHRC findings and will not be taking any action in relation to this recommendation.</w:t>
      </w:r>
    </w:p>
    <w:p w:rsidR="00F676B5" w:rsidRPr="007B5265" w:rsidRDefault="00F676B5" w:rsidP="007B5265">
      <w:pPr>
        <w:pStyle w:val="ListParagraph"/>
        <w:rPr>
          <w:sz w:val="22"/>
          <w:szCs w:val="22"/>
          <w:lang w:eastAsia="en-AU"/>
        </w:rPr>
      </w:pPr>
      <w:r w:rsidRPr="00AE7F7B">
        <w:rPr>
          <w:sz w:val="22"/>
          <w:szCs w:val="22"/>
          <w:lang w:eastAsia="en-AU"/>
        </w:rPr>
        <w:t>The Department maintains that Mr DR’s placement in a detention centre was appropriate, reasonable and justified in the individual circumstances.</w:t>
      </w:r>
    </w:p>
    <w:p w:rsidR="00F676B5" w:rsidRPr="007B5265" w:rsidRDefault="00F676B5" w:rsidP="007B5265">
      <w:pPr>
        <w:pStyle w:val="ListParagraph"/>
        <w:rPr>
          <w:sz w:val="22"/>
          <w:szCs w:val="22"/>
          <w:lang w:eastAsia="en-AU"/>
        </w:rPr>
      </w:pPr>
      <w:r w:rsidRPr="00AE7F7B">
        <w:rPr>
          <w:sz w:val="22"/>
          <w:szCs w:val="22"/>
          <w:lang w:eastAsia="en-AU"/>
        </w:rPr>
        <w:t xml:space="preserve">Any monetary claim for compensation against the Commonwealth can only be considered where it is consistent with the </w:t>
      </w:r>
      <w:r w:rsidRPr="00AE7F7B">
        <w:rPr>
          <w:i/>
          <w:sz w:val="22"/>
          <w:szCs w:val="22"/>
          <w:lang w:eastAsia="en-AU"/>
        </w:rPr>
        <w:t>Legal Services Directions 2017</w:t>
      </w:r>
      <w:r w:rsidRPr="00AE7F7B">
        <w:rPr>
          <w:sz w:val="22"/>
          <w:szCs w:val="22"/>
          <w:lang w:eastAsia="en-AU"/>
        </w:rPr>
        <w:t xml:space="preserve">. The </w:t>
      </w:r>
      <w:r w:rsidRPr="00AE7F7B">
        <w:rPr>
          <w:i/>
          <w:sz w:val="22"/>
          <w:szCs w:val="22"/>
          <w:lang w:eastAsia="en-AU"/>
        </w:rPr>
        <w:t xml:space="preserve">Legal Service Directions 2017 </w:t>
      </w:r>
      <w:r w:rsidRPr="00AE7F7B">
        <w:rPr>
          <w:sz w:val="22"/>
          <w:szCs w:val="22"/>
          <w:lang w:eastAsia="en-AU"/>
        </w:rPr>
        <w:t>provide that a matter may only be settled where there is at least a meaningful prospect of liability being established against the Commonwealth. Furthermore, the amount of compensation that is offered must be in accordance with legal principle and practice.</w:t>
      </w:r>
    </w:p>
    <w:p w:rsidR="00F676B5" w:rsidRPr="007B5265" w:rsidRDefault="00F676B5" w:rsidP="007B5265">
      <w:pPr>
        <w:pStyle w:val="ListParagraph"/>
        <w:rPr>
          <w:sz w:val="22"/>
          <w:szCs w:val="22"/>
          <w:lang w:eastAsia="en-AU"/>
        </w:rPr>
      </w:pPr>
      <w:r w:rsidRPr="00AE7F7B">
        <w:rPr>
          <w:sz w:val="22"/>
          <w:szCs w:val="22"/>
          <w:lang w:eastAsia="en-AU"/>
        </w:rPr>
        <w:t>The Department considers that Mr DR’s detention was lawful and that the decisions and processes followed were appropriate having regard to their circumstances. On this basis, with there being no meaningful prospect of liability being established, the Department is respectfully of the view that payment of compensation to Mr DR would not be appropriate in this case.</w:t>
      </w:r>
    </w:p>
    <w:p w:rsidR="00F676B5" w:rsidRPr="007B5265" w:rsidRDefault="00F676B5" w:rsidP="007B5265">
      <w:pPr>
        <w:pStyle w:val="ListParagraph"/>
        <w:rPr>
          <w:sz w:val="22"/>
          <w:szCs w:val="22"/>
          <w:lang w:eastAsia="en-AU"/>
        </w:rPr>
      </w:pPr>
      <w:r w:rsidRPr="00AE7F7B">
        <w:rPr>
          <w:sz w:val="22"/>
          <w:szCs w:val="22"/>
          <w:lang w:eastAsia="en-AU"/>
        </w:rPr>
        <w:lastRenderedPageBreak/>
        <w:t>Although there are limited circumstances in which the Commonwealth may pay compensation on a discretionary basis, Resource Management Guide No. 409 generally limits such payments to situation where a person has suffered some form of financial detriment or injury arising out of defective administration on the part of the Commonwealth, or otherwise experienced an anomalous, inequitable or unintended outcome as a result of the application of the Commonwealth legislation or policy. On the basis of the current information, the Department is not satisfied that there is a proper basis for the payment of discretio</w:t>
      </w:r>
      <w:r w:rsidR="007B5265">
        <w:rPr>
          <w:sz w:val="22"/>
          <w:szCs w:val="22"/>
          <w:lang w:eastAsia="en-AU"/>
        </w:rPr>
        <w:t>nary compensation at this time.</w:t>
      </w:r>
    </w:p>
    <w:p w:rsidR="00F676B5" w:rsidRPr="007B5265" w:rsidRDefault="00F676B5" w:rsidP="007B5265">
      <w:pPr>
        <w:pStyle w:val="ListParagraph"/>
        <w:rPr>
          <w:i/>
          <w:sz w:val="22"/>
          <w:szCs w:val="22"/>
          <w:lang w:eastAsia="en-AU"/>
        </w:rPr>
      </w:pPr>
      <w:r w:rsidRPr="00AE7F7B">
        <w:rPr>
          <w:i/>
          <w:sz w:val="22"/>
          <w:szCs w:val="22"/>
          <w:lang w:eastAsia="en-AU"/>
        </w:rPr>
        <w:t>Recommendation 2 – That the Commonwealth pay to Mr DS an appropriate amount of compensation to reflect the loss of liberty caused by his detention</w:t>
      </w:r>
    </w:p>
    <w:p w:rsidR="00F676B5" w:rsidRPr="00AE7F7B" w:rsidRDefault="00F676B5" w:rsidP="00F676B5">
      <w:pPr>
        <w:pStyle w:val="ListParagraph"/>
        <w:rPr>
          <w:sz w:val="22"/>
          <w:szCs w:val="22"/>
          <w:lang w:eastAsia="en-AU"/>
        </w:rPr>
      </w:pPr>
      <w:r w:rsidRPr="00AE7F7B">
        <w:rPr>
          <w:sz w:val="22"/>
          <w:szCs w:val="22"/>
          <w:lang w:eastAsia="en-AU"/>
        </w:rPr>
        <w:t>The Department notes the AHRC recommendation however as noted above does not accept the AHRC findings and will not be taking any action in relation to this recommendation.</w:t>
      </w:r>
    </w:p>
    <w:p w:rsidR="007B5265" w:rsidRDefault="00F676B5" w:rsidP="007B5265">
      <w:pPr>
        <w:pStyle w:val="ListParagraph"/>
        <w:rPr>
          <w:sz w:val="22"/>
          <w:szCs w:val="22"/>
          <w:lang w:eastAsia="en-AU"/>
        </w:rPr>
      </w:pPr>
      <w:r w:rsidRPr="00AE7F7B">
        <w:rPr>
          <w:sz w:val="22"/>
          <w:szCs w:val="22"/>
          <w:lang w:eastAsia="en-AU"/>
        </w:rPr>
        <w:t>The Department maintains that Mr DS’s placement in a detention centre was appropriate, reasonable and justified in the individual circumstances.</w:t>
      </w:r>
    </w:p>
    <w:p w:rsidR="00F676B5" w:rsidRPr="007B5265" w:rsidRDefault="00F676B5" w:rsidP="007B5265">
      <w:pPr>
        <w:pStyle w:val="ListParagraph"/>
        <w:rPr>
          <w:sz w:val="22"/>
          <w:szCs w:val="22"/>
          <w:lang w:eastAsia="en-AU"/>
        </w:rPr>
      </w:pPr>
      <w:r w:rsidRPr="007B5265">
        <w:rPr>
          <w:sz w:val="22"/>
          <w:szCs w:val="22"/>
          <w:lang w:eastAsia="en-AU"/>
        </w:rPr>
        <w:t xml:space="preserve">Any monetary claim for compensation against the Commonwealth can only be considered where it is consistent with the </w:t>
      </w:r>
      <w:r w:rsidRPr="007B5265">
        <w:rPr>
          <w:i/>
          <w:sz w:val="22"/>
          <w:szCs w:val="22"/>
          <w:lang w:eastAsia="en-AU"/>
        </w:rPr>
        <w:t>Legal Services Directions 2017</w:t>
      </w:r>
      <w:r w:rsidRPr="007B5265">
        <w:rPr>
          <w:sz w:val="22"/>
          <w:szCs w:val="22"/>
          <w:lang w:eastAsia="en-AU"/>
        </w:rPr>
        <w:t xml:space="preserve">. The </w:t>
      </w:r>
      <w:r w:rsidRPr="007B5265">
        <w:rPr>
          <w:i/>
          <w:sz w:val="22"/>
          <w:szCs w:val="22"/>
          <w:lang w:eastAsia="en-AU"/>
        </w:rPr>
        <w:t xml:space="preserve">Legal Services Directions 2017 </w:t>
      </w:r>
      <w:r w:rsidRPr="007B5265">
        <w:rPr>
          <w:sz w:val="22"/>
          <w:szCs w:val="22"/>
          <w:lang w:eastAsia="en-AU"/>
        </w:rPr>
        <w:t>provide that a matter may only be settled where there is at least a meaningful prospect of liability being established against the Commonwealth. Furthermore, the amount of compensation that is offered must be in accordance with</w:t>
      </w:r>
      <w:r w:rsidR="007B5265">
        <w:rPr>
          <w:sz w:val="22"/>
          <w:szCs w:val="22"/>
          <w:lang w:eastAsia="en-AU"/>
        </w:rPr>
        <w:t xml:space="preserve"> legal principles and practice.</w:t>
      </w:r>
    </w:p>
    <w:p w:rsidR="00F676B5" w:rsidRPr="007B5265" w:rsidRDefault="00F676B5" w:rsidP="007B5265">
      <w:pPr>
        <w:pStyle w:val="ListParagraph"/>
        <w:rPr>
          <w:sz w:val="22"/>
          <w:szCs w:val="22"/>
          <w:lang w:eastAsia="en-AU"/>
        </w:rPr>
      </w:pPr>
      <w:r w:rsidRPr="00AE7F7B">
        <w:rPr>
          <w:sz w:val="22"/>
          <w:szCs w:val="22"/>
          <w:lang w:eastAsia="en-AU"/>
        </w:rPr>
        <w:t>The Department considers that Mr DS’s detention was lawful and that the decisions and processes followed were appropriate having regard to their circumstances. On this basis, the Department is respectfully of the view that payment of compensation to Mr DS would not be appropriate in this case.</w:t>
      </w:r>
    </w:p>
    <w:p w:rsidR="00F676B5" w:rsidRPr="00AE7F7B" w:rsidRDefault="00F676B5" w:rsidP="00F676B5">
      <w:pPr>
        <w:pStyle w:val="ListParagraph"/>
        <w:rPr>
          <w:sz w:val="22"/>
          <w:szCs w:val="22"/>
          <w:lang w:eastAsia="en-AU"/>
        </w:rPr>
      </w:pPr>
      <w:r w:rsidRPr="00AE7F7B">
        <w:rPr>
          <w:sz w:val="22"/>
          <w:szCs w:val="22"/>
          <w:lang w:eastAsia="en-AU"/>
        </w:rPr>
        <w:t>Although there are limited circumstances in which the Commonwealth may pay compensation on a discretionary basis, Resource Management Guide No. 409 generally limits such payments to situations where a person has suffered some form of financial detriment or injury arising out of defective administration on the part of the Commonwealth, or otherwise experienced an anomalous, inequitable or unintended outcome as a result of application of the Commonwealth legislation or policy. On the basis of the current information, the Department is not satisfied that there is a proper basis for the payment of discretio</w:t>
      </w:r>
      <w:r w:rsidR="007B5265">
        <w:rPr>
          <w:sz w:val="22"/>
          <w:szCs w:val="22"/>
          <w:lang w:eastAsia="en-AU"/>
        </w:rPr>
        <w:t>nary compensation at this time.</w:t>
      </w:r>
    </w:p>
    <w:p w:rsidR="003D51FA" w:rsidRDefault="003D51FA">
      <w:pPr>
        <w:keepLines w:val="0"/>
        <w:spacing w:after="0" w:line="240" w:lineRule="auto"/>
        <w:rPr>
          <w:rFonts w:cs="Arial"/>
          <w:szCs w:val="24"/>
        </w:rPr>
      </w:pPr>
      <w:r>
        <w:rPr>
          <w:rFonts w:cs="Arial"/>
          <w:szCs w:val="24"/>
        </w:rPr>
        <w:br w:type="page"/>
      </w:r>
    </w:p>
    <w:p w:rsidR="00F676B5" w:rsidRPr="00AE7F7B" w:rsidRDefault="00F676B5" w:rsidP="00F676B5">
      <w:pPr>
        <w:numPr>
          <w:ilvl w:val="0"/>
          <w:numId w:val="7"/>
        </w:numPr>
        <w:spacing w:before="240" w:after="240"/>
        <w:rPr>
          <w:rFonts w:cs="Arial"/>
          <w:szCs w:val="24"/>
        </w:rPr>
      </w:pPr>
      <w:r>
        <w:rPr>
          <w:rFonts w:cs="Arial"/>
          <w:szCs w:val="24"/>
        </w:rPr>
        <w:lastRenderedPageBreak/>
        <w:t>I report Professor Triggs’ decision accordingly to the Attorney-</w:t>
      </w:r>
      <w:r w:rsidR="00A81F84">
        <w:rPr>
          <w:rFonts w:cs="Arial"/>
          <w:szCs w:val="24"/>
        </w:rPr>
        <w:t>General.</w:t>
      </w:r>
    </w:p>
    <w:p w:rsidR="00F676B5" w:rsidRDefault="00F676B5" w:rsidP="00036FEE">
      <w:pPr>
        <w:rPr>
          <w:noProof/>
          <w:lang w:eastAsia="en-AU"/>
        </w:rPr>
      </w:pPr>
    </w:p>
    <w:p w:rsidR="00F676B5" w:rsidRDefault="00F676B5" w:rsidP="00036FEE">
      <w:pPr>
        <w:spacing w:after="0"/>
        <w:rPr>
          <w:rFonts w:cs="Arial"/>
        </w:rPr>
      </w:pPr>
      <w:r>
        <w:rPr>
          <w:rFonts w:cs="Arial"/>
        </w:rPr>
        <w:t>Emeritus Professor Rosalind Croucher AM</w:t>
      </w:r>
    </w:p>
    <w:p w:rsidR="00F676B5" w:rsidRPr="004B580A" w:rsidRDefault="00F676B5" w:rsidP="00036FEE">
      <w:pPr>
        <w:spacing w:after="0"/>
        <w:rPr>
          <w:rFonts w:cs="Arial"/>
          <w:b/>
        </w:rPr>
      </w:pPr>
      <w:r>
        <w:rPr>
          <w:rFonts w:cs="Arial"/>
          <w:b/>
        </w:rPr>
        <w:t>President</w:t>
      </w:r>
    </w:p>
    <w:p w:rsidR="00F676B5" w:rsidRDefault="00F676B5" w:rsidP="00036FEE">
      <w:pPr>
        <w:rPr>
          <w:rFonts w:cs="Arial"/>
          <w:szCs w:val="24"/>
        </w:rPr>
      </w:pPr>
      <w:r w:rsidRPr="004B580A">
        <w:rPr>
          <w:rFonts w:cs="Arial"/>
          <w:szCs w:val="24"/>
        </w:rPr>
        <w:t>Australian Human Rights Commission</w:t>
      </w:r>
    </w:p>
    <w:p w:rsidR="00F676B5" w:rsidRDefault="00F676B5" w:rsidP="00036FEE">
      <w:pPr>
        <w:spacing w:after="120"/>
        <w:rPr>
          <w:rFonts w:cs="Arial"/>
          <w:szCs w:val="24"/>
        </w:rPr>
      </w:pPr>
      <w:r>
        <w:rPr>
          <w:rFonts w:cs="Arial"/>
          <w:szCs w:val="24"/>
        </w:rPr>
        <w:t>March 2018</w:t>
      </w:r>
    </w:p>
    <w:p w:rsidR="008B0D62" w:rsidRPr="008B0D62" w:rsidRDefault="008B0D62" w:rsidP="00F676B5">
      <w:pPr>
        <w:rPr>
          <w:lang w:eastAsia="en-AU"/>
        </w:rPr>
      </w:pPr>
    </w:p>
    <w:sectPr w:rsidR="008B0D62" w:rsidRPr="008B0D62" w:rsidSect="00B75196">
      <w:footerReference w:type="even" r:id="rId10"/>
      <w:foot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00B" w:rsidRDefault="00AD000B" w:rsidP="00F14C6D">
      <w:r>
        <w:separator/>
      </w:r>
    </w:p>
  </w:endnote>
  <w:endnote w:type="continuationSeparator" w:id="0">
    <w:p w:rsidR="00AD000B" w:rsidRDefault="00AD000B" w:rsidP="00F14C6D">
      <w:r>
        <w:continuationSeparator/>
      </w:r>
    </w:p>
  </w:endnote>
  <w:endnote w:id="1">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See</w:t>
      </w:r>
      <w:r w:rsidRPr="00C35481">
        <w:rPr>
          <w:spacing w:val="-4"/>
        </w:rPr>
        <w:t xml:space="preserve"> </w:t>
      </w:r>
      <w:r w:rsidRPr="00C35481">
        <w:rPr>
          <w:i/>
        </w:rPr>
        <w:t>Secretary,</w:t>
      </w:r>
      <w:r w:rsidRPr="00C35481">
        <w:rPr>
          <w:i/>
          <w:spacing w:val="-4"/>
        </w:rPr>
        <w:t xml:space="preserve"> </w:t>
      </w:r>
      <w:r w:rsidRPr="00C35481">
        <w:rPr>
          <w:i/>
        </w:rPr>
        <w:t>Department of Defence v</w:t>
      </w:r>
      <w:r w:rsidRPr="00C35481">
        <w:rPr>
          <w:i/>
          <w:spacing w:val="-4"/>
        </w:rPr>
        <w:t xml:space="preserve"> </w:t>
      </w:r>
      <w:r w:rsidRPr="00C35481">
        <w:rPr>
          <w:i/>
        </w:rPr>
        <w:t>HREOC, Burgess</w:t>
      </w:r>
      <w:r w:rsidRPr="00C35481">
        <w:rPr>
          <w:i/>
          <w:spacing w:val="-4"/>
        </w:rPr>
        <w:t xml:space="preserve"> </w:t>
      </w:r>
      <w:r w:rsidRPr="00C35481">
        <w:rPr>
          <w:i/>
        </w:rPr>
        <w:t>&amp;</w:t>
      </w:r>
      <w:r w:rsidRPr="00C35481">
        <w:rPr>
          <w:i/>
          <w:spacing w:val="-4"/>
        </w:rPr>
        <w:t xml:space="preserve"> </w:t>
      </w:r>
      <w:r w:rsidRPr="00C35481">
        <w:rPr>
          <w:i/>
        </w:rPr>
        <w:t>Ors</w:t>
      </w:r>
      <w:r w:rsidRPr="00C35481">
        <w:rPr>
          <w:i/>
          <w:spacing w:val="-3"/>
        </w:rPr>
        <w:t xml:space="preserve"> </w:t>
      </w:r>
      <w:r w:rsidRPr="00C35481">
        <w:t>(1997)</w:t>
      </w:r>
      <w:r w:rsidRPr="00C35481">
        <w:rPr>
          <w:spacing w:val="-4"/>
        </w:rPr>
        <w:t xml:space="preserve"> </w:t>
      </w:r>
      <w:r w:rsidRPr="00C35481">
        <w:t>78 FCR</w:t>
      </w:r>
      <w:r w:rsidRPr="00C35481">
        <w:rPr>
          <w:spacing w:val="-4"/>
        </w:rPr>
        <w:t xml:space="preserve"> </w:t>
      </w:r>
      <w:r w:rsidRPr="00C35481">
        <w:t>208, where Branson J found that the Commission could not, in conducting its inquiry, disregard the legal obligations of the Secretary in exercising a statutory power. Note in particular 212-3 and 214-5.</w:t>
      </w:r>
    </w:p>
  </w:endnote>
  <w:endnote w:id="2">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UN Human Rights Committee,</w:t>
      </w:r>
      <w:r w:rsidRPr="00C35481">
        <w:rPr>
          <w:rFonts w:cs="Arial"/>
        </w:rPr>
        <w:t xml:space="preserve"> </w:t>
      </w:r>
      <w:r w:rsidRPr="00C35481">
        <w:rPr>
          <w:rFonts w:cs="Arial"/>
          <w:i/>
        </w:rPr>
        <w:t>General Comment No. 35</w:t>
      </w:r>
      <w:r w:rsidRPr="00C35481">
        <w:rPr>
          <w:rFonts w:cs="Arial"/>
        </w:rPr>
        <w:t xml:space="preserve"> </w:t>
      </w:r>
      <w:r w:rsidRPr="00C35481">
        <w:rPr>
          <w:rFonts w:cs="Arial"/>
          <w:i/>
        </w:rPr>
        <w:t>Article 9 (Liberty and security of person)</w:t>
      </w:r>
      <w:r w:rsidRPr="00C35481">
        <w:rPr>
          <w:rFonts w:cs="Arial"/>
        </w:rPr>
        <w:t>, 112</w:t>
      </w:r>
      <w:r w:rsidRPr="00C35481">
        <w:rPr>
          <w:rFonts w:cs="Arial"/>
          <w:vertAlign w:val="superscript"/>
        </w:rPr>
        <w:t>th</w:t>
      </w:r>
      <w:r w:rsidRPr="00C35481">
        <w:rPr>
          <w:rFonts w:cs="Arial"/>
        </w:rPr>
        <w:t xml:space="preserve"> Sess, UN Doc CCPR/C/GC/35</w:t>
      </w:r>
      <w:r w:rsidRPr="00C35481">
        <w:rPr>
          <w:rFonts w:cs="Arial"/>
          <w:i/>
        </w:rPr>
        <w:t xml:space="preserve"> </w:t>
      </w:r>
      <w:r w:rsidRPr="00C35481">
        <w:rPr>
          <w:rFonts w:cs="Arial"/>
        </w:rPr>
        <w:t>(2014)</w:t>
      </w:r>
      <w:r w:rsidRPr="00C35481">
        <w:rPr>
          <w:i/>
          <w:color w:val="231F20"/>
        </w:rPr>
        <w:t xml:space="preserve">. </w:t>
      </w:r>
      <w:r w:rsidRPr="00C35481">
        <w:rPr>
          <w:color w:val="231F20"/>
        </w:rPr>
        <w:t xml:space="preserve">See also </w:t>
      </w:r>
      <w:r w:rsidRPr="00C35481">
        <w:rPr>
          <w:rFonts w:cs="Arial"/>
        </w:rPr>
        <w:t xml:space="preserve">UN Human Rights Committee, </w:t>
      </w:r>
      <w:r w:rsidRPr="00C35481">
        <w:rPr>
          <w:rFonts w:cs="Arial"/>
          <w:bCs/>
          <w:i/>
        </w:rPr>
        <w:t>Communication No. 560/1993</w:t>
      </w:r>
      <w:r w:rsidRPr="00C35481">
        <w:rPr>
          <w:rFonts w:cs="Arial"/>
          <w:bCs/>
        </w:rPr>
        <w:t>, 59</w:t>
      </w:r>
      <w:r w:rsidRPr="00C35481">
        <w:rPr>
          <w:rFonts w:cs="Arial"/>
          <w:bCs/>
          <w:vertAlign w:val="superscript"/>
        </w:rPr>
        <w:t>th</w:t>
      </w:r>
      <w:r w:rsidRPr="00C35481">
        <w:rPr>
          <w:rFonts w:cs="Arial"/>
          <w:bCs/>
        </w:rPr>
        <w:t xml:space="preserve"> Sess,</w:t>
      </w:r>
      <w:r w:rsidRPr="00C35481">
        <w:rPr>
          <w:rFonts w:cs="Arial"/>
          <w:b/>
          <w:bCs/>
        </w:rPr>
        <w:t xml:space="preserve"> </w:t>
      </w:r>
      <w:r w:rsidRPr="00C35481">
        <w:rPr>
          <w:rFonts w:cs="Arial"/>
        </w:rPr>
        <w:t>UN</w:t>
      </w:r>
      <w:r w:rsidRPr="00C35481">
        <w:rPr>
          <w:rFonts w:cs="Arial"/>
          <w:spacing w:val="-4"/>
        </w:rPr>
        <w:t xml:space="preserve"> </w:t>
      </w:r>
      <w:r w:rsidRPr="00C35481">
        <w:rPr>
          <w:rFonts w:cs="Arial"/>
        </w:rPr>
        <w:t>Doc</w:t>
      </w:r>
      <w:r w:rsidRPr="00C35481">
        <w:rPr>
          <w:rFonts w:cs="Arial"/>
          <w:spacing w:val="-4"/>
        </w:rPr>
        <w:t xml:space="preserve"> </w:t>
      </w:r>
      <w:r w:rsidRPr="00C35481">
        <w:rPr>
          <w:rFonts w:cs="Arial"/>
        </w:rPr>
        <w:t>CCPR/C/59/D/560/1993 (1997) (‘</w:t>
      </w:r>
      <w:r w:rsidRPr="00C35481">
        <w:rPr>
          <w:rFonts w:cs="Arial"/>
          <w:i/>
        </w:rPr>
        <w:t>A</w:t>
      </w:r>
      <w:r w:rsidRPr="00C35481">
        <w:rPr>
          <w:rFonts w:cs="Arial"/>
          <w:i/>
          <w:spacing w:val="-10"/>
        </w:rPr>
        <w:t xml:space="preserve"> </w:t>
      </w:r>
      <w:r w:rsidRPr="00C35481">
        <w:rPr>
          <w:rFonts w:cs="Arial"/>
          <w:i/>
        </w:rPr>
        <w:t>v</w:t>
      </w:r>
      <w:r w:rsidRPr="00C35481">
        <w:rPr>
          <w:rFonts w:cs="Arial"/>
          <w:i/>
          <w:spacing w:val="-10"/>
        </w:rPr>
        <w:t xml:space="preserve"> </w:t>
      </w:r>
      <w:r w:rsidRPr="00C35481">
        <w:rPr>
          <w:rFonts w:cs="Arial"/>
          <w:i/>
        </w:rPr>
        <w:t>Australia</w:t>
      </w:r>
      <w:r w:rsidRPr="00C35481">
        <w:rPr>
          <w:rFonts w:cs="Arial"/>
          <w:spacing w:val="-4"/>
        </w:rPr>
        <w:t xml:space="preserve">’); </w:t>
      </w:r>
      <w:r w:rsidRPr="00C35481">
        <w:rPr>
          <w:rFonts w:cs="Arial"/>
        </w:rPr>
        <w:t xml:space="preserve">UN Human Rights Committee, </w:t>
      </w:r>
      <w:r w:rsidRPr="00C35481">
        <w:rPr>
          <w:rFonts w:cs="Arial"/>
          <w:bCs/>
          <w:i/>
          <w:lang w:val="en"/>
        </w:rPr>
        <w:t>Communication No. 900/1999</w:t>
      </w:r>
      <w:r w:rsidRPr="00C35481">
        <w:rPr>
          <w:rFonts w:cs="Arial"/>
          <w:bCs/>
          <w:lang w:val="en"/>
        </w:rPr>
        <w:t>, 67</w:t>
      </w:r>
      <w:r w:rsidRPr="00C35481">
        <w:rPr>
          <w:rFonts w:cs="Arial"/>
          <w:bCs/>
          <w:vertAlign w:val="superscript"/>
          <w:lang w:val="en"/>
        </w:rPr>
        <w:t>th</w:t>
      </w:r>
      <w:r w:rsidRPr="00C35481">
        <w:rPr>
          <w:rFonts w:cs="Arial"/>
          <w:bCs/>
          <w:lang w:val="en"/>
        </w:rPr>
        <w:t xml:space="preserve"> Sess, </w:t>
      </w:r>
      <w:r w:rsidRPr="00C35481">
        <w:rPr>
          <w:rFonts w:cs="Arial"/>
        </w:rPr>
        <w:t>UN Doc CCPR/C/76/D/900/1999 (2002)</w:t>
      </w:r>
      <w:r w:rsidRPr="00C35481">
        <w:rPr>
          <w:rFonts w:cs="Arial"/>
          <w:i/>
        </w:rPr>
        <w:t xml:space="preserve"> </w:t>
      </w:r>
      <w:r w:rsidRPr="00C35481">
        <w:rPr>
          <w:rFonts w:cs="Arial"/>
        </w:rPr>
        <w:t>(‘</w:t>
      </w:r>
      <w:r w:rsidRPr="00C35481">
        <w:rPr>
          <w:rFonts w:cs="Arial"/>
          <w:i/>
        </w:rPr>
        <w:t>C v</w:t>
      </w:r>
      <w:r w:rsidRPr="00C35481">
        <w:rPr>
          <w:rFonts w:cs="Arial"/>
          <w:i/>
          <w:spacing w:val="-10"/>
        </w:rPr>
        <w:t xml:space="preserve"> </w:t>
      </w:r>
      <w:r w:rsidRPr="00C35481">
        <w:rPr>
          <w:rFonts w:cs="Arial"/>
          <w:i/>
        </w:rPr>
        <w:t>Australia</w:t>
      </w:r>
      <w:r w:rsidRPr="00C35481">
        <w:rPr>
          <w:rFonts w:cs="Arial"/>
        </w:rPr>
        <w:t>’); UN Human Rights Committee, Communication No 1014/2001, 78</w:t>
      </w:r>
      <w:r w:rsidRPr="00C35481">
        <w:rPr>
          <w:rFonts w:cs="Arial"/>
          <w:vertAlign w:val="superscript"/>
        </w:rPr>
        <w:t>th</w:t>
      </w:r>
      <w:r w:rsidRPr="00C35481">
        <w:rPr>
          <w:rFonts w:cs="Arial"/>
        </w:rPr>
        <w:t xml:space="preserve"> Sess, CCPR/C/78/D/1014/2001 (2003) (‘</w:t>
      </w:r>
      <w:r w:rsidRPr="00C35481">
        <w:rPr>
          <w:rFonts w:cs="Arial"/>
          <w:i/>
        </w:rPr>
        <w:t>Baban v</w:t>
      </w:r>
      <w:r w:rsidRPr="00C35481">
        <w:rPr>
          <w:rFonts w:cs="Arial"/>
          <w:i/>
          <w:spacing w:val="-11"/>
        </w:rPr>
        <w:t xml:space="preserve"> </w:t>
      </w:r>
      <w:r w:rsidRPr="00C35481">
        <w:rPr>
          <w:rFonts w:cs="Arial"/>
          <w:i/>
        </w:rPr>
        <w:t>Australia</w:t>
      </w:r>
      <w:r w:rsidR="001B14EB">
        <w:rPr>
          <w:rFonts w:cs="Arial"/>
        </w:rPr>
        <w:t>’).</w:t>
      </w:r>
    </w:p>
  </w:endnote>
  <w:endnote w:id="3">
    <w:p w:rsidR="00F676B5" w:rsidRPr="00C35481" w:rsidRDefault="00F676B5" w:rsidP="00036FEE">
      <w:pPr>
        <w:pStyle w:val="EndnoteText"/>
        <w:tabs>
          <w:tab w:val="left" w:pos="284"/>
        </w:tabs>
        <w:spacing w:after="0"/>
        <w:ind w:left="284" w:hanging="284"/>
        <w:rPr>
          <w:b/>
          <w:color w:val="FF0000"/>
        </w:rPr>
      </w:pPr>
      <w:r w:rsidRPr="00C35481">
        <w:rPr>
          <w:rStyle w:val="EndnoteReference"/>
          <w:sz w:val="18"/>
          <w:szCs w:val="18"/>
        </w:rPr>
        <w:endnoteRef/>
      </w:r>
      <w:r w:rsidRPr="00C35481">
        <w:t xml:space="preserve"> </w:t>
      </w:r>
      <w:r w:rsidRPr="00C35481">
        <w:tab/>
        <w:t xml:space="preserve">UN Human Rights Committee, </w:t>
      </w:r>
      <w:r w:rsidRPr="00C35481">
        <w:rPr>
          <w:rFonts w:cs="Arial"/>
          <w:i/>
        </w:rPr>
        <w:t>General Comment No. 35</w:t>
      </w:r>
      <w:r w:rsidRPr="00C35481">
        <w:rPr>
          <w:rFonts w:cs="Arial"/>
        </w:rPr>
        <w:t xml:space="preserve"> </w:t>
      </w:r>
      <w:r w:rsidRPr="00C35481">
        <w:rPr>
          <w:rFonts w:cs="Arial"/>
          <w:i/>
        </w:rPr>
        <w:t>Article 9 (Liberty and security of person)</w:t>
      </w:r>
      <w:r w:rsidRPr="00C35481">
        <w:rPr>
          <w:rFonts w:cs="Arial"/>
        </w:rPr>
        <w:t>, 112</w:t>
      </w:r>
      <w:r w:rsidRPr="00C35481">
        <w:rPr>
          <w:rFonts w:cs="Arial"/>
          <w:vertAlign w:val="superscript"/>
        </w:rPr>
        <w:t>th</w:t>
      </w:r>
      <w:r w:rsidRPr="00C35481">
        <w:rPr>
          <w:rFonts w:cs="Arial"/>
        </w:rPr>
        <w:t xml:space="preserve"> Sess, UN Doc CCPR/C/GC/35</w:t>
      </w:r>
      <w:r w:rsidRPr="00C35481">
        <w:rPr>
          <w:rFonts w:cs="Arial"/>
          <w:i/>
        </w:rPr>
        <w:t xml:space="preserve"> </w:t>
      </w:r>
      <w:r w:rsidRPr="00C35481">
        <w:rPr>
          <w:rFonts w:cs="Arial"/>
        </w:rPr>
        <w:t xml:space="preserve">(2014) </w:t>
      </w:r>
      <w:r w:rsidRPr="00C35481">
        <w:rPr>
          <w:color w:val="231F20"/>
        </w:rPr>
        <w:t xml:space="preserve">[18]; </w:t>
      </w:r>
      <w:r w:rsidRPr="00C35481">
        <w:rPr>
          <w:rFonts w:cs="Arial"/>
        </w:rPr>
        <w:t xml:space="preserve">UN Human Rights Committee, </w:t>
      </w:r>
      <w:r w:rsidRPr="00C35481">
        <w:rPr>
          <w:rFonts w:cs="Arial"/>
          <w:i/>
        </w:rPr>
        <w:t>General Comment No. 31,</w:t>
      </w:r>
      <w:r w:rsidRPr="00C35481">
        <w:rPr>
          <w:rFonts w:cs="Arial"/>
        </w:rPr>
        <w:t xml:space="preserve"> </w:t>
      </w:r>
      <w:r w:rsidRPr="00C35481">
        <w:rPr>
          <w:rFonts w:cs="Arial"/>
          <w:i/>
        </w:rPr>
        <w:t>Nature of the General Legal Obligation Imposed on States Parties to the Covenant</w:t>
      </w:r>
      <w:r w:rsidRPr="00C35481">
        <w:rPr>
          <w:rFonts w:cs="Arial"/>
        </w:rPr>
        <w:t>, UN Doc CCPR/C/21/Rev.1/Add.13 (2004)</w:t>
      </w:r>
      <w:r w:rsidRPr="00C35481">
        <w:t xml:space="preserve"> [6].</w:t>
      </w:r>
    </w:p>
  </w:endnote>
  <w:endnote w:id="4">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r>
      <w:r w:rsidRPr="00C35481">
        <w:rPr>
          <w:i/>
        </w:rPr>
        <w:t xml:space="preserve">Manga v Attorney-General </w:t>
      </w:r>
      <w:r w:rsidRPr="00C35481">
        <w:t xml:space="preserve">[2000] 2 NZLR 65 [40]–[42] (Hammond J). See also the views of the UN Human Rights Committee in </w:t>
      </w:r>
      <w:r w:rsidRPr="00C35481">
        <w:rPr>
          <w:rFonts w:cs="Arial"/>
          <w:i/>
          <w:iCs/>
        </w:rPr>
        <w:t>Communication No. 305/1988,</w:t>
      </w:r>
      <w:r w:rsidRPr="00C35481">
        <w:rPr>
          <w:rFonts w:cs="Arial"/>
          <w:i/>
          <w:spacing w:val="-3"/>
        </w:rPr>
        <w:t xml:space="preserve"> </w:t>
      </w:r>
      <w:r w:rsidRPr="00C35481">
        <w:rPr>
          <w:rFonts w:cs="Arial"/>
          <w:spacing w:val="-3"/>
        </w:rPr>
        <w:t>39</w:t>
      </w:r>
      <w:r w:rsidRPr="00C35481">
        <w:rPr>
          <w:rFonts w:cs="Arial"/>
          <w:spacing w:val="-3"/>
          <w:vertAlign w:val="superscript"/>
        </w:rPr>
        <w:t>th</w:t>
      </w:r>
      <w:r w:rsidRPr="00C35481">
        <w:rPr>
          <w:rFonts w:cs="Arial"/>
          <w:spacing w:val="-3"/>
        </w:rPr>
        <w:t xml:space="preserve"> Sess, </w:t>
      </w:r>
      <w:r w:rsidRPr="00C35481">
        <w:rPr>
          <w:rFonts w:cs="Arial"/>
        </w:rPr>
        <w:t>UN Doc CCPR/C/39/D/305/1988 (1990) (‘</w:t>
      </w:r>
      <w:r w:rsidRPr="00C35481">
        <w:rPr>
          <w:rFonts w:cs="Arial"/>
          <w:i/>
          <w:spacing w:val="-3"/>
        </w:rPr>
        <w:t xml:space="preserve">Van </w:t>
      </w:r>
      <w:r w:rsidRPr="00C35481">
        <w:rPr>
          <w:rFonts w:cs="Arial"/>
          <w:i/>
        </w:rPr>
        <w:t>Alphen v The Netherlands</w:t>
      </w:r>
      <w:r w:rsidRPr="00C35481">
        <w:rPr>
          <w:rFonts w:cs="Arial"/>
        </w:rPr>
        <w:t xml:space="preserve">’); UN Human Rights Committee, </w:t>
      </w:r>
      <w:r w:rsidRPr="00C35481">
        <w:rPr>
          <w:rFonts w:cs="Arial"/>
          <w:bCs/>
          <w:i/>
        </w:rPr>
        <w:t>Communication No. 560/1993</w:t>
      </w:r>
      <w:r w:rsidRPr="00C35481">
        <w:rPr>
          <w:rFonts w:cs="Arial"/>
          <w:bCs/>
        </w:rPr>
        <w:t>, 59</w:t>
      </w:r>
      <w:r w:rsidRPr="00C35481">
        <w:rPr>
          <w:rFonts w:cs="Arial"/>
          <w:bCs/>
          <w:vertAlign w:val="superscript"/>
        </w:rPr>
        <w:t>th</w:t>
      </w:r>
      <w:r w:rsidRPr="00C35481">
        <w:rPr>
          <w:rFonts w:cs="Arial"/>
          <w:bCs/>
        </w:rPr>
        <w:t xml:space="preserve"> Sess,</w:t>
      </w:r>
      <w:r w:rsidRPr="00C35481">
        <w:rPr>
          <w:rFonts w:cs="Arial"/>
          <w:b/>
          <w:bCs/>
        </w:rPr>
        <w:t xml:space="preserve"> </w:t>
      </w:r>
      <w:r w:rsidRPr="00C35481">
        <w:rPr>
          <w:rFonts w:cs="Arial"/>
        </w:rPr>
        <w:t>UN</w:t>
      </w:r>
      <w:r w:rsidRPr="00C35481">
        <w:rPr>
          <w:rFonts w:cs="Arial"/>
          <w:spacing w:val="-4"/>
        </w:rPr>
        <w:t xml:space="preserve"> </w:t>
      </w:r>
      <w:r w:rsidRPr="00C35481">
        <w:rPr>
          <w:rFonts w:cs="Arial"/>
        </w:rPr>
        <w:t>Doc</w:t>
      </w:r>
      <w:r w:rsidRPr="00C35481">
        <w:rPr>
          <w:rFonts w:cs="Arial"/>
          <w:spacing w:val="-4"/>
        </w:rPr>
        <w:t xml:space="preserve"> </w:t>
      </w:r>
      <w:r w:rsidRPr="00C35481">
        <w:rPr>
          <w:rFonts w:cs="Arial"/>
        </w:rPr>
        <w:t>CCPR/C/59/D/560/1993 (1997) (‘</w:t>
      </w:r>
      <w:r w:rsidRPr="00C35481">
        <w:rPr>
          <w:rFonts w:cs="Arial"/>
          <w:i/>
        </w:rPr>
        <w:t>A</w:t>
      </w:r>
      <w:r w:rsidRPr="00C35481">
        <w:rPr>
          <w:rFonts w:cs="Arial"/>
          <w:i/>
          <w:spacing w:val="-10"/>
        </w:rPr>
        <w:t xml:space="preserve"> </w:t>
      </w:r>
      <w:r w:rsidRPr="00C35481">
        <w:rPr>
          <w:rFonts w:cs="Arial"/>
          <w:i/>
        </w:rPr>
        <w:t>v</w:t>
      </w:r>
      <w:r w:rsidRPr="00C35481">
        <w:rPr>
          <w:rFonts w:cs="Arial"/>
          <w:i/>
          <w:spacing w:val="-10"/>
        </w:rPr>
        <w:t xml:space="preserve"> </w:t>
      </w:r>
      <w:r w:rsidRPr="00C35481">
        <w:rPr>
          <w:rFonts w:cs="Arial"/>
          <w:i/>
        </w:rPr>
        <w:t>Australia</w:t>
      </w:r>
      <w:r w:rsidRPr="00C35481">
        <w:rPr>
          <w:rFonts w:cs="Arial"/>
          <w:spacing w:val="-4"/>
        </w:rPr>
        <w:t>’)</w:t>
      </w:r>
      <w:r w:rsidRPr="00C35481">
        <w:rPr>
          <w:rFonts w:cs="Arial"/>
        </w:rPr>
        <w:t xml:space="preserve">; UN Human Rights Committee, </w:t>
      </w:r>
      <w:r w:rsidRPr="00C35481">
        <w:rPr>
          <w:rFonts w:cs="Arial"/>
          <w:bCs/>
          <w:i/>
        </w:rPr>
        <w:t xml:space="preserve">Communication No. 631/1995, </w:t>
      </w:r>
      <w:r w:rsidRPr="00C35481">
        <w:rPr>
          <w:rFonts w:cs="Arial"/>
          <w:bCs/>
        </w:rPr>
        <w:t>67</w:t>
      </w:r>
      <w:r w:rsidRPr="00C35481">
        <w:rPr>
          <w:rFonts w:cs="Arial"/>
          <w:bCs/>
          <w:vertAlign w:val="superscript"/>
        </w:rPr>
        <w:t>th</w:t>
      </w:r>
      <w:r w:rsidRPr="00C35481">
        <w:rPr>
          <w:rFonts w:cs="Arial"/>
          <w:bCs/>
        </w:rPr>
        <w:t xml:space="preserve"> Sess,</w:t>
      </w:r>
      <w:r w:rsidRPr="00C35481">
        <w:rPr>
          <w:rFonts w:cs="Arial"/>
          <w:b/>
          <w:bCs/>
        </w:rPr>
        <w:t xml:space="preserve"> </w:t>
      </w:r>
      <w:r w:rsidRPr="00C35481">
        <w:rPr>
          <w:rFonts w:cs="Arial"/>
        </w:rPr>
        <w:t>UN Doc</w:t>
      </w:r>
      <w:r w:rsidRPr="00C35481">
        <w:rPr>
          <w:rFonts w:cs="Arial"/>
          <w:spacing w:val="-24"/>
        </w:rPr>
        <w:t xml:space="preserve"> </w:t>
      </w:r>
      <w:r w:rsidRPr="00C35481">
        <w:rPr>
          <w:rFonts w:cs="Arial"/>
        </w:rPr>
        <w:t>CCPR/C/67/D/631/1995 (1999)</w:t>
      </w:r>
      <w:r w:rsidRPr="00C35481">
        <w:rPr>
          <w:rFonts w:cs="Arial"/>
          <w:i/>
        </w:rPr>
        <w:t xml:space="preserve"> </w:t>
      </w:r>
      <w:r w:rsidRPr="00C35481">
        <w:rPr>
          <w:rFonts w:cs="Arial"/>
        </w:rPr>
        <w:t>(‘</w:t>
      </w:r>
      <w:r w:rsidRPr="00C35481">
        <w:rPr>
          <w:rFonts w:cs="Arial"/>
          <w:i/>
        </w:rPr>
        <w:t>Spakmo</w:t>
      </w:r>
      <w:r w:rsidRPr="00C35481">
        <w:rPr>
          <w:rFonts w:cs="Arial"/>
          <w:i/>
          <w:spacing w:val="-3"/>
        </w:rPr>
        <w:t xml:space="preserve"> </w:t>
      </w:r>
      <w:r w:rsidRPr="00C35481">
        <w:rPr>
          <w:rFonts w:cs="Arial"/>
          <w:i/>
        </w:rPr>
        <w:t>v</w:t>
      </w:r>
      <w:r w:rsidRPr="00C35481">
        <w:rPr>
          <w:rFonts w:cs="Arial"/>
          <w:i/>
          <w:spacing w:val="-3"/>
        </w:rPr>
        <w:t xml:space="preserve"> </w:t>
      </w:r>
      <w:r w:rsidRPr="00C35481">
        <w:rPr>
          <w:rFonts w:cs="Arial"/>
          <w:i/>
        </w:rPr>
        <w:t>Norway</w:t>
      </w:r>
      <w:r w:rsidRPr="00C35481">
        <w:rPr>
          <w:rFonts w:cs="Arial"/>
        </w:rPr>
        <w:t>’)</w:t>
      </w:r>
      <w:r w:rsidRPr="00C35481">
        <w:t>.</w:t>
      </w:r>
    </w:p>
  </w:endnote>
  <w:endnote w:id="5">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 xml:space="preserve">UN Human Rights Committee, </w:t>
      </w:r>
      <w:r w:rsidRPr="00C35481">
        <w:rPr>
          <w:rFonts w:cs="Arial"/>
          <w:i/>
        </w:rPr>
        <w:t>General Comment 31,</w:t>
      </w:r>
      <w:r w:rsidRPr="00C35481">
        <w:rPr>
          <w:rFonts w:cs="Arial"/>
        </w:rPr>
        <w:t xml:space="preserve"> </w:t>
      </w:r>
      <w:r w:rsidRPr="00C35481">
        <w:rPr>
          <w:rFonts w:cs="Arial"/>
          <w:i/>
        </w:rPr>
        <w:t>Nature of the General Legal Obligation Imposed on States Parties to the Covenant</w:t>
      </w:r>
      <w:r w:rsidRPr="00C35481">
        <w:rPr>
          <w:rFonts w:cs="Arial"/>
        </w:rPr>
        <w:t>, UN Doc CCPR/C/21/Rev.1/Add.13 (2004) [6]</w:t>
      </w:r>
      <w:r w:rsidRPr="00C35481">
        <w:rPr>
          <w:color w:val="231F20"/>
        </w:rPr>
        <w:t xml:space="preserve">; </w:t>
      </w:r>
      <w:r w:rsidRPr="00C35481">
        <w:rPr>
          <w:rFonts w:cs="Arial"/>
        </w:rPr>
        <w:t xml:space="preserve">UN Human Rights Committee, </w:t>
      </w:r>
      <w:r w:rsidRPr="00C35481">
        <w:rPr>
          <w:rFonts w:cs="Arial"/>
          <w:i/>
        </w:rPr>
        <w:t>General Comment No. 35</w:t>
      </w:r>
      <w:r w:rsidRPr="00C35481">
        <w:rPr>
          <w:rFonts w:cs="Arial"/>
        </w:rPr>
        <w:t xml:space="preserve"> </w:t>
      </w:r>
      <w:r w:rsidRPr="00C35481">
        <w:rPr>
          <w:rFonts w:cs="Arial"/>
          <w:i/>
        </w:rPr>
        <w:t>Article 9 (Liberty and security of person)</w:t>
      </w:r>
      <w:r w:rsidRPr="00C35481">
        <w:rPr>
          <w:rFonts w:cs="Arial"/>
        </w:rPr>
        <w:t>, 112</w:t>
      </w:r>
      <w:r w:rsidRPr="00C35481">
        <w:rPr>
          <w:rFonts w:cs="Arial"/>
          <w:vertAlign w:val="superscript"/>
        </w:rPr>
        <w:t>th</w:t>
      </w:r>
      <w:r w:rsidRPr="00C35481">
        <w:rPr>
          <w:rFonts w:cs="Arial"/>
        </w:rPr>
        <w:t xml:space="preserve"> Sess, UN Doc CCPR/C/GC/35</w:t>
      </w:r>
      <w:r w:rsidRPr="00C35481">
        <w:rPr>
          <w:rFonts w:cs="Arial"/>
          <w:i/>
        </w:rPr>
        <w:t xml:space="preserve"> </w:t>
      </w:r>
      <w:r w:rsidRPr="00C35481">
        <w:rPr>
          <w:rFonts w:cs="Arial"/>
        </w:rPr>
        <w:t xml:space="preserve">(2014); UN Human Rights Committee, </w:t>
      </w:r>
      <w:r w:rsidRPr="00C35481">
        <w:rPr>
          <w:rFonts w:cs="Arial"/>
          <w:bCs/>
          <w:i/>
        </w:rPr>
        <w:t>Communication No. 560/1993</w:t>
      </w:r>
      <w:r w:rsidRPr="00C35481">
        <w:rPr>
          <w:rFonts w:cs="Arial"/>
          <w:bCs/>
        </w:rPr>
        <w:t>, 59</w:t>
      </w:r>
      <w:r w:rsidRPr="00C35481">
        <w:rPr>
          <w:rFonts w:cs="Arial"/>
          <w:bCs/>
          <w:vertAlign w:val="superscript"/>
        </w:rPr>
        <w:t>th</w:t>
      </w:r>
      <w:r w:rsidRPr="00C35481">
        <w:rPr>
          <w:rFonts w:cs="Arial"/>
          <w:bCs/>
        </w:rPr>
        <w:t xml:space="preserve"> Sess,</w:t>
      </w:r>
      <w:r w:rsidRPr="00C35481">
        <w:rPr>
          <w:rFonts w:cs="Arial"/>
          <w:b/>
          <w:bCs/>
        </w:rPr>
        <w:t xml:space="preserve"> </w:t>
      </w:r>
      <w:r w:rsidRPr="00C35481">
        <w:rPr>
          <w:rFonts w:cs="Arial"/>
        </w:rPr>
        <w:t>UN</w:t>
      </w:r>
      <w:r w:rsidRPr="00C35481">
        <w:rPr>
          <w:rFonts w:cs="Arial"/>
          <w:spacing w:val="-4"/>
        </w:rPr>
        <w:t xml:space="preserve"> </w:t>
      </w:r>
      <w:r w:rsidRPr="00C35481">
        <w:rPr>
          <w:rFonts w:cs="Arial"/>
        </w:rPr>
        <w:t>Doc</w:t>
      </w:r>
      <w:r w:rsidRPr="00C35481">
        <w:rPr>
          <w:rFonts w:cs="Arial"/>
          <w:spacing w:val="-4"/>
        </w:rPr>
        <w:t xml:space="preserve"> </w:t>
      </w:r>
      <w:r w:rsidRPr="00C35481">
        <w:rPr>
          <w:rFonts w:cs="Arial"/>
        </w:rPr>
        <w:t>CCPR/C/59/D/560/1993 (1997) (‘</w:t>
      </w:r>
      <w:r w:rsidRPr="00C35481">
        <w:rPr>
          <w:rFonts w:cs="Arial"/>
          <w:i/>
        </w:rPr>
        <w:t>A</w:t>
      </w:r>
      <w:r w:rsidRPr="00C35481">
        <w:rPr>
          <w:rFonts w:cs="Arial"/>
          <w:i/>
          <w:spacing w:val="-10"/>
        </w:rPr>
        <w:t xml:space="preserve"> </w:t>
      </w:r>
      <w:r w:rsidRPr="00C35481">
        <w:rPr>
          <w:rFonts w:cs="Arial"/>
          <w:i/>
        </w:rPr>
        <w:t>v</w:t>
      </w:r>
      <w:r w:rsidRPr="00C35481">
        <w:rPr>
          <w:rFonts w:cs="Arial"/>
          <w:i/>
          <w:spacing w:val="-10"/>
        </w:rPr>
        <w:t xml:space="preserve"> </w:t>
      </w:r>
      <w:r w:rsidRPr="00C35481">
        <w:rPr>
          <w:rFonts w:cs="Arial"/>
          <w:i/>
        </w:rPr>
        <w:t>Australia</w:t>
      </w:r>
      <w:r w:rsidRPr="00C35481">
        <w:rPr>
          <w:rFonts w:cs="Arial"/>
          <w:spacing w:val="-4"/>
        </w:rPr>
        <w:t xml:space="preserve">’) </w:t>
      </w:r>
      <w:r w:rsidRPr="00C35481">
        <w:rPr>
          <w:color w:val="231F20"/>
        </w:rPr>
        <w:t>(the fact that the author may abscond if released into the community was not sufficient reason to justify holding the author in immigration detention for four</w:t>
      </w:r>
      <w:r w:rsidRPr="00C35481">
        <w:rPr>
          <w:color w:val="231F20"/>
          <w:spacing w:val="-4"/>
        </w:rPr>
        <w:t xml:space="preserve"> </w:t>
      </w:r>
      <w:r w:rsidRPr="00C35481">
        <w:rPr>
          <w:color w:val="231F20"/>
        </w:rPr>
        <w:t xml:space="preserve">years); </w:t>
      </w:r>
      <w:r w:rsidRPr="00C35481">
        <w:rPr>
          <w:rFonts w:cs="Arial"/>
        </w:rPr>
        <w:t xml:space="preserve">UN Human Rights Committee, </w:t>
      </w:r>
      <w:r w:rsidRPr="00C35481">
        <w:rPr>
          <w:rFonts w:cs="Arial"/>
          <w:bCs/>
          <w:i/>
          <w:lang w:val="en"/>
        </w:rPr>
        <w:t>Communication No. 900/1999</w:t>
      </w:r>
      <w:r w:rsidRPr="00C35481">
        <w:rPr>
          <w:rFonts w:cs="Arial"/>
          <w:bCs/>
          <w:lang w:val="en"/>
        </w:rPr>
        <w:t>, 67</w:t>
      </w:r>
      <w:r w:rsidRPr="00C35481">
        <w:rPr>
          <w:rFonts w:cs="Arial"/>
          <w:bCs/>
          <w:vertAlign w:val="superscript"/>
          <w:lang w:val="en"/>
        </w:rPr>
        <w:t>th</w:t>
      </w:r>
      <w:r w:rsidRPr="00C35481">
        <w:rPr>
          <w:rFonts w:cs="Arial"/>
          <w:bCs/>
          <w:lang w:val="en"/>
        </w:rPr>
        <w:t xml:space="preserve"> Sess, </w:t>
      </w:r>
      <w:r w:rsidRPr="00C35481">
        <w:rPr>
          <w:rFonts w:cs="Arial"/>
        </w:rPr>
        <w:t>UN Doc CCPR/C/76/D/900/1999 (2002)</w:t>
      </w:r>
      <w:r w:rsidRPr="00C35481">
        <w:rPr>
          <w:rFonts w:cs="Arial"/>
          <w:i/>
        </w:rPr>
        <w:t xml:space="preserve"> </w:t>
      </w:r>
      <w:r w:rsidRPr="00C35481">
        <w:rPr>
          <w:rFonts w:cs="Arial"/>
        </w:rPr>
        <w:t>(‘</w:t>
      </w:r>
      <w:r w:rsidRPr="00C35481">
        <w:rPr>
          <w:rFonts w:cs="Arial"/>
          <w:i/>
        </w:rPr>
        <w:t>C v</w:t>
      </w:r>
      <w:r w:rsidRPr="00C35481">
        <w:rPr>
          <w:rFonts w:cs="Arial"/>
          <w:i/>
          <w:spacing w:val="-10"/>
        </w:rPr>
        <w:t xml:space="preserve"> </w:t>
      </w:r>
      <w:r w:rsidRPr="00C35481">
        <w:rPr>
          <w:rFonts w:cs="Arial"/>
          <w:i/>
        </w:rPr>
        <w:t>Australia</w:t>
      </w:r>
      <w:r w:rsidRPr="00C35481">
        <w:rPr>
          <w:rFonts w:cs="Arial"/>
        </w:rPr>
        <w:t>’)</w:t>
      </w:r>
      <w:r w:rsidR="001B14EB">
        <w:t>.</w:t>
      </w:r>
    </w:p>
  </w:endnote>
  <w:endnote w:id="6">
    <w:p w:rsidR="00F676B5" w:rsidRPr="00C35481" w:rsidRDefault="00F676B5" w:rsidP="00036FEE">
      <w:pPr>
        <w:pStyle w:val="EndnoteText"/>
        <w:tabs>
          <w:tab w:val="left" w:pos="284"/>
        </w:tabs>
        <w:spacing w:after="0"/>
        <w:ind w:left="284" w:hanging="284"/>
        <w:rPr>
          <w:rFonts w:cs="Arial"/>
        </w:rPr>
      </w:pPr>
      <w:r w:rsidRPr="00C35481">
        <w:rPr>
          <w:rStyle w:val="EndnoteReference"/>
          <w:sz w:val="18"/>
          <w:szCs w:val="18"/>
        </w:rPr>
        <w:endnoteRef/>
      </w:r>
      <w:r w:rsidRPr="00C35481">
        <w:t xml:space="preserve"> </w:t>
      </w:r>
      <w:r w:rsidRPr="00C35481">
        <w:tab/>
      </w:r>
      <w:r w:rsidRPr="00C35481">
        <w:rPr>
          <w:rFonts w:cs="Arial"/>
        </w:rPr>
        <w:t xml:space="preserve">UN Human Rights Committee, </w:t>
      </w:r>
      <w:r w:rsidRPr="00C35481">
        <w:rPr>
          <w:rFonts w:cs="Arial"/>
          <w:i/>
          <w:iCs/>
        </w:rPr>
        <w:t>Communication No. 305/1988,</w:t>
      </w:r>
      <w:r w:rsidRPr="00C35481">
        <w:rPr>
          <w:rFonts w:cs="Arial"/>
          <w:i/>
          <w:spacing w:val="-3"/>
        </w:rPr>
        <w:t xml:space="preserve"> </w:t>
      </w:r>
      <w:r w:rsidRPr="00C35481">
        <w:rPr>
          <w:rFonts w:cs="Arial"/>
          <w:spacing w:val="-3"/>
        </w:rPr>
        <w:t>39</w:t>
      </w:r>
      <w:r w:rsidRPr="00C35481">
        <w:rPr>
          <w:rFonts w:cs="Arial"/>
          <w:spacing w:val="-3"/>
          <w:vertAlign w:val="superscript"/>
        </w:rPr>
        <w:t>th</w:t>
      </w:r>
      <w:r w:rsidRPr="00C35481">
        <w:rPr>
          <w:rFonts w:cs="Arial"/>
          <w:spacing w:val="-3"/>
        </w:rPr>
        <w:t xml:space="preserve"> Sess, </w:t>
      </w:r>
      <w:r w:rsidRPr="00C35481">
        <w:rPr>
          <w:rFonts w:cs="Arial"/>
        </w:rPr>
        <w:t>UN Doc CCPR/C/39/D/305/1988 (1990) (‘</w:t>
      </w:r>
      <w:r w:rsidRPr="00C35481">
        <w:rPr>
          <w:rFonts w:cs="Arial"/>
          <w:i/>
          <w:spacing w:val="-3"/>
        </w:rPr>
        <w:t xml:space="preserve">Van </w:t>
      </w:r>
      <w:r w:rsidRPr="00C35481">
        <w:rPr>
          <w:rFonts w:cs="Arial"/>
          <w:i/>
        </w:rPr>
        <w:t>Alphen v The Netherlands</w:t>
      </w:r>
      <w:r w:rsidRPr="00C35481">
        <w:rPr>
          <w:rFonts w:cs="Arial"/>
        </w:rPr>
        <w:t>’).</w:t>
      </w:r>
    </w:p>
  </w:endnote>
  <w:endnote w:id="7">
    <w:p w:rsidR="00F676B5" w:rsidRPr="00C35481" w:rsidRDefault="00F676B5" w:rsidP="00036FEE">
      <w:pPr>
        <w:pStyle w:val="EndnoteText"/>
        <w:tabs>
          <w:tab w:val="left" w:pos="284"/>
        </w:tabs>
        <w:spacing w:after="0"/>
        <w:ind w:left="284" w:hanging="284"/>
        <w:rPr>
          <w:rFonts w:cs="Arial"/>
        </w:rPr>
      </w:pPr>
      <w:r w:rsidRPr="00C35481">
        <w:rPr>
          <w:rStyle w:val="EndnoteReference"/>
          <w:rFonts w:cs="Arial"/>
          <w:sz w:val="18"/>
          <w:szCs w:val="18"/>
        </w:rPr>
        <w:endnoteRef/>
      </w:r>
      <w:r w:rsidRPr="00C35481">
        <w:rPr>
          <w:rFonts w:cs="Arial"/>
        </w:rPr>
        <w:t xml:space="preserve"> </w:t>
      </w:r>
      <w:r>
        <w:rPr>
          <w:rFonts w:cs="Arial"/>
        </w:rPr>
        <w:tab/>
      </w:r>
      <w:r w:rsidRPr="00C35481">
        <w:rPr>
          <w:rFonts w:cs="Arial"/>
        </w:rPr>
        <w:t>UN Human Rights Committee, Concluding Observations on Switzerland, UN Doc CCPR/C/79/Add.70 (1997) [100].</w:t>
      </w:r>
    </w:p>
  </w:endnote>
  <w:endnote w:id="8">
    <w:p w:rsidR="00F676B5" w:rsidRPr="00C35481" w:rsidRDefault="00F676B5" w:rsidP="00036FEE">
      <w:pPr>
        <w:pStyle w:val="EndnoteText"/>
        <w:tabs>
          <w:tab w:val="left" w:pos="284"/>
        </w:tabs>
        <w:spacing w:after="0"/>
        <w:ind w:left="284" w:hanging="284"/>
        <w:rPr>
          <w:rFonts w:cs="Arial"/>
        </w:rPr>
      </w:pPr>
      <w:r w:rsidRPr="00C35481">
        <w:rPr>
          <w:rStyle w:val="EndnoteReference"/>
          <w:rFonts w:cs="Arial"/>
          <w:sz w:val="18"/>
          <w:szCs w:val="18"/>
        </w:rPr>
        <w:endnoteRef/>
      </w:r>
      <w:r w:rsidRPr="00C35481">
        <w:rPr>
          <w:rFonts w:cs="Arial"/>
        </w:rPr>
        <w:t xml:space="preserve"> </w:t>
      </w:r>
      <w:r w:rsidRPr="00C35481">
        <w:rPr>
          <w:rFonts w:cs="Arial"/>
        </w:rPr>
        <w:tab/>
        <w:t xml:space="preserve">UN Human Rights Committee, </w:t>
      </w:r>
      <w:r w:rsidRPr="00C35481">
        <w:rPr>
          <w:rFonts w:cs="Arial"/>
          <w:bCs/>
          <w:i/>
          <w:lang w:val="en"/>
        </w:rPr>
        <w:t>Communication No. 900/1999</w:t>
      </w:r>
      <w:r w:rsidRPr="00C35481">
        <w:rPr>
          <w:rFonts w:cs="Arial"/>
          <w:bCs/>
          <w:lang w:val="en"/>
        </w:rPr>
        <w:t>, 67</w:t>
      </w:r>
      <w:r w:rsidRPr="00C35481">
        <w:rPr>
          <w:rFonts w:cs="Arial"/>
          <w:bCs/>
          <w:vertAlign w:val="superscript"/>
          <w:lang w:val="en"/>
        </w:rPr>
        <w:t>th</w:t>
      </w:r>
      <w:r w:rsidRPr="00C35481">
        <w:rPr>
          <w:rFonts w:cs="Arial"/>
          <w:bCs/>
          <w:lang w:val="en"/>
        </w:rPr>
        <w:t xml:space="preserve"> Sess, </w:t>
      </w:r>
      <w:r w:rsidRPr="00C35481">
        <w:rPr>
          <w:rFonts w:cs="Arial"/>
        </w:rPr>
        <w:t>UN Doc CCPR/C/76/D/900/1999 (2002)</w:t>
      </w:r>
      <w:r w:rsidRPr="00C35481">
        <w:rPr>
          <w:rFonts w:cs="Arial"/>
          <w:i/>
        </w:rPr>
        <w:t xml:space="preserve"> </w:t>
      </w:r>
      <w:r w:rsidRPr="00C35481">
        <w:rPr>
          <w:rFonts w:cs="Arial"/>
        </w:rPr>
        <w:t>(‘</w:t>
      </w:r>
      <w:r w:rsidRPr="00C35481">
        <w:rPr>
          <w:rFonts w:cs="Arial"/>
          <w:i/>
        </w:rPr>
        <w:t>C v</w:t>
      </w:r>
      <w:r w:rsidRPr="00C35481">
        <w:rPr>
          <w:rFonts w:cs="Arial"/>
          <w:i/>
          <w:spacing w:val="-10"/>
        </w:rPr>
        <w:t xml:space="preserve"> </w:t>
      </w:r>
      <w:r w:rsidRPr="00C35481">
        <w:rPr>
          <w:rFonts w:cs="Arial"/>
          <w:i/>
        </w:rPr>
        <w:t>Australia</w:t>
      </w:r>
      <w:r w:rsidRPr="00C35481">
        <w:rPr>
          <w:rFonts w:cs="Arial"/>
        </w:rPr>
        <w:t>’)</w:t>
      </w:r>
      <w:r w:rsidRPr="00C35481">
        <w:rPr>
          <w:color w:val="231F20"/>
        </w:rPr>
        <w:t>;</w:t>
      </w:r>
      <w:r w:rsidRPr="00C35481">
        <w:rPr>
          <w:rFonts w:cs="Arial"/>
        </w:rPr>
        <w:t xml:space="preserve"> UN Human Rights Committee, </w:t>
      </w:r>
      <w:r w:rsidRPr="00C35481">
        <w:rPr>
          <w:rFonts w:cs="Arial"/>
          <w:bCs/>
          <w:i/>
        </w:rPr>
        <w:t>Communications Nos. 1255,1256,1259,1260,1266,1268,1270,1288/2004</w:t>
      </w:r>
      <w:r w:rsidRPr="00C35481">
        <w:rPr>
          <w:rFonts w:cs="Arial"/>
          <w:bCs/>
        </w:rPr>
        <w:t>, 90</w:t>
      </w:r>
      <w:r w:rsidRPr="00C35481">
        <w:rPr>
          <w:rFonts w:cs="Arial"/>
          <w:bCs/>
          <w:vertAlign w:val="superscript"/>
        </w:rPr>
        <w:t>th</w:t>
      </w:r>
      <w:r w:rsidRPr="00C35481">
        <w:rPr>
          <w:rFonts w:cs="Arial"/>
          <w:bCs/>
        </w:rPr>
        <w:t xml:space="preserve"> Sess, </w:t>
      </w:r>
      <w:r w:rsidRPr="00C35481">
        <w:rPr>
          <w:rFonts w:cs="Arial"/>
        </w:rPr>
        <w:t>UN</w:t>
      </w:r>
      <w:r w:rsidRPr="00C35481">
        <w:rPr>
          <w:rFonts w:cs="Arial"/>
          <w:spacing w:val="-6"/>
        </w:rPr>
        <w:t xml:space="preserve"> </w:t>
      </w:r>
      <w:r w:rsidRPr="00C35481">
        <w:rPr>
          <w:rFonts w:cs="Arial"/>
        </w:rPr>
        <w:t>Doc</w:t>
      </w:r>
      <w:r w:rsidRPr="00C35481">
        <w:rPr>
          <w:rFonts w:cs="Arial"/>
          <w:spacing w:val="-6"/>
        </w:rPr>
        <w:t xml:space="preserve"> </w:t>
      </w:r>
      <w:r w:rsidRPr="00C35481">
        <w:rPr>
          <w:rFonts w:cs="Arial"/>
        </w:rPr>
        <w:t>CCPR/C/90/D/1255/2004 (2007) (‘</w:t>
      </w:r>
      <w:r w:rsidRPr="00C35481">
        <w:rPr>
          <w:rFonts w:cs="Arial"/>
          <w:i/>
        </w:rPr>
        <w:t>Shams &amp; Ors v Australia</w:t>
      </w:r>
      <w:r w:rsidRPr="00C35481">
        <w:rPr>
          <w:rFonts w:cs="Arial"/>
        </w:rPr>
        <w:t>’); UN Human Rights Committee, Communication No 1014/2001, 78</w:t>
      </w:r>
      <w:r w:rsidRPr="00C35481">
        <w:rPr>
          <w:rFonts w:cs="Arial"/>
          <w:vertAlign w:val="superscript"/>
        </w:rPr>
        <w:t>th</w:t>
      </w:r>
      <w:r w:rsidRPr="00C35481">
        <w:rPr>
          <w:rFonts w:cs="Arial"/>
        </w:rPr>
        <w:t xml:space="preserve"> Sess, CCPR/C/78/D/1014/2001 (2003) (‘</w:t>
      </w:r>
      <w:r w:rsidRPr="00C35481">
        <w:rPr>
          <w:rFonts w:cs="Arial"/>
          <w:i/>
        </w:rPr>
        <w:t>Baban v</w:t>
      </w:r>
      <w:r w:rsidRPr="00C35481">
        <w:rPr>
          <w:rFonts w:cs="Arial"/>
          <w:i/>
          <w:spacing w:val="-11"/>
        </w:rPr>
        <w:t xml:space="preserve"> </w:t>
      </w:r>
      <w:r w:rsidRPr="00C35481">
        <w:rPr>
          <w:rFonts w:cs="Arial"/>
          <w:i/>
        </w:rPr>
        <w:t>Australia</w:t>
      </w:r>
      <w:r w:rsidRPr="00C35481">
        <w:rPr>
          <w:rFonts w:cs="Arial"/>
        </w:rPr>
        <w:t>’);</w:t>
      </w:r>
      <w:r w:rsidRPr="00C35481">
        <w:rPr>
          <w:rFonts w:cs="Arial"/>
          <w:i/>
        </w:rPr>
        <w:t xml:space="preserve"> </w:t>
      </w:r>
      <w:r w:rsidRPr="00C35481">
        <w:rPr>
          <w:rFonts w:cs="Arial"/>
        </w:rPr>
        <w:t xml:space="preserve">UN Human Rights Committee, </w:t>
      </w:r>
      <w:r w:rsidRPr="00C35481">
        <w:rPr>
          <w:rFonts w:cs="Arial"/>
          <w:bCs/>
          <w:lang w:val="en"/>
        </w:rPr>
        <w:t>Communication No. 1050/2002, 87</w:t>
      </w:r>
      <w:r w:rsidRPr="00C35481">
        <w:rPr>
          <w:rFonts w:cs="Arial"/>
          <w:bCs/>
          <w:vertAlign w:val="superscript"/>
          <w:lang w:val="en"/>
        </w:rPr>
        <w:t>th</w:t>
      </w:r>
      <w:r w:rsidRPr="00C35481">
        <w:rPr>
          <w:rFonts w:cs="Arial"/>
          <w:bCs/>
          <w:lang w:val="en"/>
        </w:rPr>
        <w:t xml:space="preserve"> Sess,</w:t>
      </w:r>
      <w:r w:rsidRPr="00C35481">
        <w:rPr>
          <w:rFonts w:cs="Arial"/>
          <w:lang w:val="en"/>
        </w:rPr>
        <w:t xml:space="preserve"> </w:t>
      </w:r>
      <w:r w:rsidRPr="00C35481">
        <w:rPr>
          <w:rFonts w:cs="Arial"/>
        </w:rPr>
        <w:t>CCPR/C/87/D/1050/2002 (2006)</w:t>
      </w:r>
      <w:r w:rsidRPr="00C35481">
        <w:rPr>
          <w:rFonts w:cs="Arial"/>
          <w:i/>
        </w:rPr>
        <w:t xml:space="preserve"> </w:t>
      </w:r>
      <w:r w:rsidRPr="00C35481">
        <w:rPr>
          <w:rFonts w:cs="Arial"/>
        </w:rPr>
        <w:t>(‘</w:t>
      </w:r>
      <w:r w:rsidRPr="00C35481">
        <w:rPr>
          <w:rFonts w:cs="Arial"/>
          <w:i/>
        </w:rPr>
        <w:t>D</w:t>
      </w:r>
      <w:r w:rsidRPr="00C35481">
        <w:rPr>
          <w:rFonts w:cs="Arial"/>
          <w:i/>
          <w:spacing w:val="-6"/>
        </w:rPr>
        <w:t xml:space="preserve"> </w:t>
      </w:r>
      <w:r w:rsidRPr="00C35481">
        <w:rPr>
          <w:rFonts w:cs="Arial"/>
          <w:i/>
        </w:rPr>
        <w:t>and E and their two children v</w:t>
      </w:r>
      <w:r w:rsidR="00205AA6">
        <w:rPr>
          <w:rFonts w:cs="Arial"/>
          <w:i/>
        </w:rPr>
        <w:t xml:space="preserve"> </w:t>
      </w:r>
      <w:r w:rsidRPr="00C35481">
        <w:rPr>
          <w:rFonts w:cs="Arial"/>
          <w:i/>
          <w:spacing w:val="-38"/>
        </w:rPr>
        <w:t xml:space="preserve"> </w:t>
      </w:r>
      <w:r w:rsidRPr="00C35481">
        <w:rPr>
          <w:rFonts w:cs="Arial"/>
          <w:i/>
        </w:rPr>
        <w:t>Australia</w:t>
      </w:r>
      <w:r w:rsidRPr="00C35481">
        <w:rPr>
          <w:rFonts w:cs="Arial"/>
        </w:rPr>
        <w:t>’).</w:t>
      </w:r>
    </w:p>
  </w:endnote>
  <w:endnote w:id="9">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r>
      <w:r w:rsidRPr="00C35481">
        <w:rPr>
          <w:rFonts w:cs="Arial"/>
        </w:rPr>
        <w:t xml:space="preserve">UN Human Rights Committee, </w:t>
      </w:r>
      <w:r w:rsidRPr="00C35481">
        <w:rPr>
          <w:rFonts w:cs="Arial"/>
          <w:i/>
        </w:rPr>
        <w:t>General Comment No. 35</w:t>
      </w:r>
      <w:r w:rsidRPr="00C35481">
        <w:rPr>
          <w:rFonts w:cs="Arial"/>
        </w:rPr>
        <w:t xml:space="preserve"> </w:t>
      </w:r>
      <w:r w:rsidRPr="00C35481">
        <w:rPr>
          <w:rFonts w:cs="Arial"/>
          <w:i/>
        </w:rPr>
        <w:t>Article 9 (Liberty and security of person)</w:t>
      </w:r>
      <w:r w:rsidRPr="00C35481">
        <w:rPr>
          <w:rFonts w:cs="Arial"/>
        </w:rPr>
        <w:t>, 112</w:t>
      </w:r>
      <w:r w:rsidRPr="00C35481">
        <w:rPr>
          <w:rFonts w:cs="Arial"/>
          <w:vertAlign w:val="superscript"/>
        </w:rPr>
        <w:t>th</w:t>
      </w:r>
      <w:r w:rsidRPr="00C35481">
        <w:rPr>
          <w:rFonts w:cs="Arial"/>
        </w:rPr>
        <w:t xml:space="preserve"> Sess, UN Doc CCPR/C/GC/35</w:t>
      </w:r>
      <w:r w:rsidRPr="00C35481">
        <w:rPr>
          <w:rFonts w:cs="Arial"/>
          <w:i/>
        </w:rPr>
        <w:t xml:space="preserve"> </w:t>
      </w:r>
      <w:r w:rsidRPr="00C35481">
        <w:rPr>
          <w:rFonts w:cs="Arial"/>
        </w:rPr>
        <w:t xml:space="preserve">(2014) </w:t>
      </w:r>
      <w:r w:rsidRPr="00C35481">
        <w:t>[18].</w:t>
      </w:r>
    </w:p>
  </w:endnote>
  <w:endnote w:id="10">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Pr>
          <w:i/>
        </w:rPr>
        <w:t xml:space="preserve"> </w:t>
      </w:r>
      <w:r>
        <w:rPr>
          <w:i/>
        </w:rPr>
        <w:tab/>
      </w:r>
      <w:r w:rsidRPr="00C35481">
        <w:rPr>
          <w:i/>
        </w:rPr>
        <w:t xml:space="preserve">Migration Act 1958 </w:t>
      </w:r>
      <w:r w:rsidRPr="00C35481">
        <w:t>(Cth) s 5.</w:t>
      </w:r>
    </w:p>
  </w:endnote>
  <w:endnote w:id="11">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tab/>
      </w:r>
      <w:r w:rsidRPr="00C35481">
        <w:rPr>
          <w:i/>
        </w:rPr>
        <w:t>Plaintiff M47 v Director-General of Security</w:t>
      </w:r>
      <w:r w:rsidRPr="00C35481">
        <w:t xml:space="preserve"> (2012) 251 CLR 1.</w:t>
      </w:r>
    </w:p>
  </w:endnote>
  <w:endnote w:id="12">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tab/>
      </w:r>
      <w:r w:rsidRPr="00C35481">
        <w:rPr>
          <w:i/>
        </w:rPr>
        <w:t xml:space="preserve">Migration Act 1958 </w:t>
      </w:r>
      <w:r w:rsidR="001B14EB">
        <w:t>(43) s 36(1B).</w:t>
      </w:r>
    </w:p>
  </w:endnote>
  <w:endnote w:id="13">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tab/>
      </w:r>
      <w:r w:rsidRPr="00C35481">
        <w:t>See the following reports of the Commission: [2012] AusHRC 56 at [48]-[70</w:t>
      </w:r>
      <w:r w:rsidR="001B14EB">
        <w:t>]; [2013] AusHRC 64 at [33]ff.</w:t>
      </w:r>
    </w:p>
  </w:endnote>
  <w:endnote w:id="14">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AHRC Act s 29(2)(a).</w:t>
      </w:r>
    </w:p>
  </w:endnote>
  <w:endnote w:id="15">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001B14EB">
        <w:t xml:space="preserve"> </w:t>
      </w:r>
      <w:r w:rsidR="001B14EB">
        <w:tab/>
        <w:t>AHRC Act s 29(2)(b) and (c).</w:t>
      </w:r>
    </w:p>
  </w:endnote>
  <w:endnote w:id="16">
    <w:p w:rsidR="00F676B5" w:rsidRPr="00C35481" w:rsidRDefault="00F676B5" w:rsidP="00036FEE">
      <w:pPr>
        <w:pStyle w:val="EndnoteText"/>
        <w:tabs>
          <w:tab w:val="left" w:pos="284"/>
        </w:tabs>
        <w:spacing w:after="0"/>
        <w:ind w:left="284" w:hanging="284"/>
      </w:pPr>
      <w:r w:rsidRPr="00C35481">
        <w:rPr>
          <w:vertAlign w:val="superscript"/>
        </w:rPr>
        <w:endnoteRef/>
      </w:r>
      <w:r w:rsidRPr="00C35481">
        <w:t xml:space="preserve"> </w:t>
      </w:r>
      <w:r>
        <w:tab/>
      </w:r>
      <w:r w:rsidRPr="00C35481">
        <w:t>AHRC Act s 29(2)(c).</w:t>
      </w:r>
    </w:p>
  </w:endnote>
  <w:endnote w:id="17">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[2013] FCA 901.</w:t>
      </w:r>
    </w:p>
  </w:endnote>
  <w:endnote w:id="18">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[2003] NSWSC 1212.</w:t>
      </w:r>
    </w:p>
  </w:endnote>
  <w:endnote w:id="19">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t>[2013] FCA 901 [121].</w:t>
      </w:r>
    </w:p>
  </w:endnote>
  <w:endnote w:id="20">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r>
      <w:r w:rsidRPr="00C35481">
        <w:rPr>
          <w:rFonts w:cs="Arial"/>
          <w:i/>
        </w:rPr>
        <w:t>Ruddock v Taylor</w:t>
      </w:r>
      <w:r w:rsidRPr="00C35481">
        <w:rPr>
          <w:rFonts w:cs="Arial"/>
        </w:rPr>
        <w:t xml:space="preserve"> (2003) 58 NSWLR 269.</w:t>
      </w:r>
    </w:p>
  </w:endnote>
  <w:endnote w:id="21">
    <w:p w:rsidR="00F676B5" w:rsidRPr="00C35481" w:rsidRDefault="00F676B5" w:rsidP="00036FEE">
      <w:pPr>
        <w:pStyle w:val="EndnoteText"/>
        <w:tabs>
          <w:tab w:val="left" w:pos="284"/>
        </w:tabs>
        <w:spacing w:after="0"/>
        <w:ind w:left="284" w:hanging="284"/>
        <w:rPr>
          <w:rFonts w:cs="Arial"/>
        </w:rPr>
      </w:pPr>
      <w:r w:rsidRPr="00C35481">
        <w:rPr>
          <w:rStyle w:val="EndnoteReference"/>
          <w:sz w:val="18"/>
          <w:szCs w:val="18"/>
        </w:rPr>
        <w:endnoteRef/>
      </w:r>
      <w:r w:rsidRPr="00C35481">
        <w:rPr>
          <w:i/>
        </w:rPr>
        <w:t xml:space="preserve"> </w:t>
      </w:r>
      <w:r w:rsidRPr="00C35481">
        <w:rPr>
          <w:i/>
        </w:rPr>
        <w:tab/>
      </w:r>
      <w:r w:rsidRPr="00C35481">
        <w:rPr>
          <w:rFonts w:cs="Arial"/>
          <w:i/>
        </w:rPr>
        <w:t>Taylor v Ruddock</w:t>
      </w:r>
      <w:r w:rsidRPr="00C35481">
        <w:rPr>
          <w:rFonts w:cs="Arial"/>
        </w:rPr>
        <w:t xml:space="preserve"> (unreported, 18 December 2002, NSW District Court (Murrell DCJ)).</w:t>
      </w:r>
    </w:p>
  </w:endnote>
  <w:endnote w:id="22">
    <w:p w:rsidR="00F676B5" w:rsidRPr="00C35481" w:rsidRDefault="00F676B5" w:rsidP="00036FEE">
      <w:pPr>
        <w:pStyle w:val="EndnoteText"/>
        <w:tabs>
          <w:tab w:val="left" w:pos="284"/>
        </w:tabs>
        <w:spacing w:after="0"/>
        <w:ind w:left="284" w:hanging="284"/>
      </w:pPr>
      <w:r w:rsidRPr="00C35481">
        <w:rPr>
          <w:rStyle w:val="EndnoteReference"/>
          <w:sz w:val="18"/>
          <w:szCs w:val="18"/>
        </w:rPr>
        <w:endnoteRef/>
      </w:r>
      <w:r w:rsidRPr="00C35481">
        <w:t xml:space="preserve"> </w:t>
      </w:r>
      <w:r w:rsidRPr="00C35481">
        <w:tab/>
      </w:r>
      <w:r w:rsidRPr="00C35481">
        <w:rPr>
          <w:i/>
        </w:rPr>
        <w:t xml:space="preserve">Taylor v Ruddock </w:t>
      </w:r>
      <w:r w:rsidRPr="00C35481">
        <w:t>(unreported, 18 December 2002, NSW District Court (Murrell DCJ)) [140].</w:t>
      </w:r>
    </w:p>
  </w:endnote>
  <w:endnote w:id="23">
    <w:p w:rsidR="00F676B5" w:rsidRPr="00C35481" w:rsidRDefault="00F676B5" w:rsidP="00036FEE">
      <w:pPr>
        <w:pStyle w:val="EndnoteText"/>
        <w:tabs>
          <w:tab w:val="left" w:pos="284"/>
        </w:tabs>
        <w:spacing w:after="0"/>
        <w:ind w:left="284" w:hanging="284"/>
        <w:rPr>
          <w:i/>
        </w:rPr>
      </w:pPr>
      <w:r w:rsidRPr="00C35481">
        <w:rPr>
          <w:rStyle w:val="EndnoteReference"/>
          <w:sz w:val="18"/>
          <w:szCs w:val="18"/>
        </w:rPr>
        <w:endnoteRef/>
      </w:r>
      <w:r w:rsidRPr="00C35481">
        <w:t xml:space="preserve"> </w:t>
      </w:r>
      <w:r>
        <w:tab/>
      </w:r>
      <w:r w:rsidRPr="00C35481">
        <w:rPr>
          <w:i/>
        </w:rPr>
        <w:t xml:space="preserve">Ruddock v Taylor </w:t>
      </w:r>
      <w:r w:rsidRPr="00C35481">
        <w:t>[2003] 58 NSWLR 269, 279.</w:t>
      </w:r>
    </w:p>
  </w:endnote>
  <w:endnote w:id="24">
    <w:p w:rsidR="00F676B5" w:rsidRPr="00E1209D" w:rsidRDefault="00F676B5" w:rsidP="00036FEE">
      <w:pPr>
        <w:pStyle w:val="EndnoteText"/>
        <w:tabs>
          <w:tab w:val="left" w:pos="284"/>
        </w:tabs>
        <w:spacing w:after="0"/>
        <w:ind w:left="284" w:hanging="284"/>
        <w:rPr>
          <w:szCs w:val="18"/>
        </w:rPr>
      </w:pPr>
      <w:r w:rsidRPr="00E1209D">
        <w:rPr>
          <w:rStyle w:val="EndnoteReference"/>
          <w:sz w:val="18"/>
          <w:szCs w:val="18"/>
        </w:rPr>
        <w:endnoteRef/>
      </w:r>
      <w:r w:rsidRPr="00E1209D">
        <w:rPr>
          <w:szCs w:val="18"/>
        </w:rPr>
        <w:t xml:space="preserve"> </w:t>
      </w:r>
      <w:r>
        <w:rPr>
          <w:szCs w:val="18"/>
        </w:rPr>
        <w:tab/>
      </w:r>
      <w:r>
        <w:rPr>
          <w:i/>
          <w:szCs w:val="18"/>
        </w:rPr>
        <w:t xml:space="preserve">Fernando v Commonwealth of Australia (No 5) </w:t>
      </w:r>
      <w:r>
        <w:rPr>
          <w:szCs w:val="18"/>
        </w:rPr>
        <w:t>[2013] FCA 901 [99]</w:t>
      </w:r>
      <w:r w:rsidRPr="00E1209D">
        <w:rPr>
          <w:szCs w:val="18"/>
        </w:rPr>
        <w:t>.</w:t>
      </w:r>
    </w:p>
  </w:endnote>
  <w:endnote w:id="25">
    <w:p w:rsidR="00F676B5" w:rsidRPr="00A31489" w:rsidRDefault="00F676B5" w:rsidP="00036FEE">
      <w:pPr>
        <w:pStyle w:val="EndnoteText"/>
        <w:tabs>
          <w:tab w:val="left" w:pos="284"/>
        </w:tabs>
        <w:spacing w:after="0"/>
        <w:ind w:left="284" w:hanging="284"/>
        <w:rPr>
          <w:szCs w:val="18"/>
        </w:rPr>
      </w:pPr>
      <w:r w:rsidRPr="00A31489">
        <w:rPr>
          <w:rStyle w:val="EndnoteReference"/>
          <w:sz w:val="18"/>
          <w:szCs w:val="18"/>
        </w:rPr>
        <w:endnoteRef/>
      </w:r>
      <w:r w:rsidRPr="00A31489">
        <w:rPr>
          <w:szCs w:val="18"/>
        </w:rPr>
        <w:t xml:space="preserve"> </w:t>
      </w:r>
      <w:r>
        <w:rPr>
          <w:szCs w:val="18"/>
        </w:rPr>
        <w:tab/>
      </w:r>
      <w:r w:rsidRPr="00A31489">
        <w:rPr>
          <w:rFonts w:cs="Arial"/>
          <w:szCs w:val="18"/>
        </w:rPr>
        <w:t xml:space="preserve">The court awarded nominal damages of one dollar for the unlawful detention of Mr Fernando because as a non-citizen, once he committed a serious crime, he was always liable to have his visa cancelled: </w:t>
      </w:r>
      <w:r w:rsidRPr="00A31489">
        <w:rPr>
          <w:rFonts w:cs="Arial"/>
          <w:i/>
          <w:szCs w:val="18"/>
        </w:rPr>
        <w:t>Fernando v Commonwealth of Australia (No 5)</w:t>
      </w:r>
      <w:r w:rsidRPr="00A31489">
        <w:rPr>
          <w:rFonts w:cs="Arial"/>
          <w:szCs w:val="18"/>
        </w:rPr>
        <w:t xml:space="preserve"> [2013] FCA 901 [98]-[99]</w:t>
      </w:r>
      <w:r w:rsidRPr="00A31489">
        <w:rPr>
          <w:szCs w:val="18"/>
        </w:rPr>
        <w:t>.</w:t>
      </w:r>
    </w:p>
  </w:endnote>
  <w:endnote w:id="26">
    <w:p w:rsidR="00F676B5" w:rsidRPr="003D51FA" w:rsidRDefault="00F676B5" w:rsidP="003D51FA">
      <w:pPr>
        <w:pStyle w:val="EndnoteText"/>
        <w:tabs>
          <w:tab w:val="left" w:pos="284"/>
        </w:tabs>
        <w:spacing w:after="0"/>
        <w:ind w:left="284" w:hanging="284"/>
        <w:rPr>
          <w:szCs w:val="18"/>
        </w:rPr>
      </w:pPr>
      <w:r w:rsidRPr="00A31489">
        <w:rPr>
          <w:rStyle w:val="EndnoteReference"/>
          <w:sz w:val="18"/>
          <w:szCs w:val="18"/>
        </w:rPr>
        <w:endnoteRef/>
      </w:r>
      <w:r w:rsidRPr="00A31489">
        <w:rPr>
          <w:szCs w:val="18"/>
        </w:rPr>
        <w:t xml:space="preserve"> </w:t>
      </w:r>
      <w:r w:rsidRPr="00A31489">
        <w:rPr>
          <w:szCs w:val="18"/>
        </w:rPr>
        <w:tab/>
      </w:r>
      <w:r w:rsidRPr="00E57423">
        <w:rPr>
          <w:i/>
          <w:szCs w:val="18"/>
        </w:rPr>
        <w:t>Fernando v Commonwealth of Australia</w:t>
      </w:r>
      <w:r w:rsidR="001B14EB">
        <w:rPr>
          <w:szCs w:val="18"/>
        </w:rPr>
        <w:t xml:space="preserve"> [2014] FCAFC 181 [113].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CC"/>
    <w:family w:val="auto"/>
    <w:notTrueType/>
    <w:pitch w:val="default"/>
    <w:sig w:usb0="00000203" w:usb1="00000000" w:usb2="00000000" w:usb3="00000000" w:csb0="00000005" w:csb1="00000000"/>
  </w:font>
  <w:font w:name="ヒラギノ角ゴ Pro W3">
    <w:charset w:val="00"/>
    <w:family w:val="roman"/>
    <w:pitch w:val="default"/>
  </w:font>
  <w:font w:name="HelveticaNeue">
    <w:altName w:val="Helvetica Neue"/>
    <w:charset w:val="00"/>
    <w:family w:val="auto"/>
    <w:pitch w:val="variable"/>
    <w:sig w:usb0="E50002FF" w:usb1="500079DB" w:usb2="00000010" w:usb3="00000000" w:csb0="00000001" w:csb1="00000000"/>
  </w:font>
  <w:font w:name="HelveticaNeueLTPro-Cn">
    <w:altName w:val="Arial"/>
    <w:panose1 w:val="00000000000000000000"/>
    <w:charset w:val="4D"/>
    <w:family w:val="swiss"/>
    <w:notTrueType/>
    <w:pitch w:val="variable"/>
    <w:sig w:usb0="800000AF" w:usb1="5000205B" w:usb2="00000000" w:usb3="00000000" w:csb0="0000009B" w:csb1="00000000"/>
  </w:font>
  <w:font w:name="HelveticaNeueLTPro-Bd">
    <w:altName w:val="Arial"/>
    <w:panose1 w:val="00000000000000000000"/>
    <w:charset w:val="4D"/>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00" w:rsidRDefault="00405900"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405900" w:rsidRDefault="00405900" w:rsidP="00087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00" w:rsidRPr="00CF72F4" w:rsidRDefault="00405900" w:rsidP="00CF72F4">
    <w:pPr>
      <w:pStyle w:val="Footer"/>
      <w:framePr w:wrap="around" w:vAnchor="text" w:hAnchor="margin" w:xAlign="right" w:y="34"/>
      <w:jc w:val="center"/>
      <w:rPr>
        <w:rStyle w:val="PageNumber"/>
        <w:sz w:val="18"/>
        <w:szCs w:val="18"/>
      </w:rPr>
    </w:pPr>
    <w:r w:rsidRPr="00CF72F4">
      <w:rPr>
        <w:rStyle w:val="PageNumber"/>
        <w:sz w:val="18"/>
        <w:szCs w:val="18"/>
      </w:rPr>
      <w:fldChar w:fldCharType="begin"/>
    </w:r>
    <w:r w:rsidRPr="00CF72F4">
      <w:rPr>
        <w:rStyle w:val="PageNumber"/>
        <w:sz w:val="18"/>
        <w:szCs w:val="18"/>
      </w:rPr>
      <w:instrText xml:space="preserve">PAGE  </w:instrText>
    </w:r>
    <w:r w:rsidRPr="00CF72F4">
      <w:rPr>
        <w:rStyle w:val="PageNumber"/>
        <w:sz w:val="18"/>
        <w:szCs w:val="18"/>
      </w:rPr>
      <w:fldChar w:fldCharType="separate"/>
    </w:r>
    <w:r w:rsidR="00AF070E">
      <w:rPr>
        <w:rStyle w:val="PageNumber"/>
        <w:noProof/>
        <w:sz w:val="18"/>
        <w:szCs w:val="18"/>
      </w:rPr>
      <w:t>1</w:t>
    </w:r>
    <w:r w:rsidRPr="00CF72F4">
      <w:rPr>
        <w:rStyle w:val="PageNumber"/>
        <w:sz w:val="18"/>
        <w:szCs w:val="18"/>
      </w:rPr>
      <w:fldChar w:fldCharType="end"/>
    </w:r>
  </w:p>
  <w:p w:rsidR="00CF72F4" w:rsidRPr="00CF72F4" w:rsidRDefault="00CF72F4" w:rsidP="00CF72F4">
    <w:pPr>
      <w:pStyle w:val="MasterFooter"/>
      <w:rPr>
        <w:rFonts w:ascii="Arial" w:hAnsi="Arial" w:cs="Arial"/>
        <w:sz w:val="18"/>
        <w:szCs w:val="18"/>
      </w:rPr>
    </w:pPr>
    <w:r w:rsidRPr="00CF72F4">
      <w:rPr>
        <w:rStyle w:val="BoldCondensed"/>
        <w:rFonts w:ascii="Arial" w:hAnsi="Arial" w:cs="Arial"/>
        <w:sz w:val="18"/>
        <w:szCs w:val="18"/>
      </w:rPr>
      <w:t xml:space="preserve">DR &amp; DS v </w:t>
    </w:r>
    <w:r w:rsidR="005E367E">
      <w:rPr>
        <w:rStyle w:val="BoldCondensed"/>
        <w:rFonts w:ascii="Arial" w:hAnsi="Arial" w:cs="Arial"/>
        <w:sz w:val="18"/>
        <w:szCs w:val="18"/>
      </w:rPr>
      <w:t xml:space="preserve">The </w:t>
    </w:r>
    <w:r w:rsidRPr="00CF72F4">
      <w:rPr>
        <w:rStyle w:val="BoldCondensed"/>
        <w:rFonts w:ascii="Arial" w:hAnsi="Arial" w:cs="Arial"/>
        <w:sz w:val="18"/>
        <w:szCs w:val="18"/>
      </w:rPr>
      <w:t>Commonwealth (D</w:t>
    </w:r>
    <w:r w:rsidR="005E367E">
      <w:rPr>
        <w:rStyle w:val="BoldCondensed"/>
        <w:rFonts w:ascii="Arial" w:hAnsi="Arial" w:cs="Arial"/>
        <w:sz w:val="18"/>
        <w:szCs w:val="18"/>
      </w:rPr>
      <w:t>epartment of Home Affairs</w:t>
    </w:r>
    <w:r w:rsidRPr="00CF72F4">
      <w:rPr>
        <w:rStyle w:val="BoldCondensed"/>
        <w:rFonts w:ascii="Arial" w:hAnsi="Arial" w:cs="Arial"/>
        <w:sz w:val="18"/>
        <w:szCs w:val="18"/>
      </w:rPr>
      <w:t>)</w:t>
    </w:r>
    <w:r w:rsidRPr="00CF72F4">
      <w:rPr>
        <w:rFonts w:ascii="Arial" w:hAnsi="Arial" w:cs="Arial"/>
        <w:sz w:val="18"/>
        <w:szCs w:val="18"/>
      </w:rPr>
      <w:t xml:space="preserve"> </w:t>
    </w:r>
    <w:r w:rsidRPr="00CF72F4">
      <w:rPr>
        <w:rFonts w:ascii="Arial" w:hAnsi="Arial" w:cs="Arial"/>
        <w:b/>
        <w:bCs/>
        <w:color w:val="4C4C4C"/>
        <w:position w:val="2"/>
        <w:sz w:val="18"/>
        <w:szCs w:val="18"/>
      </w:rPr>
      <w:t>•</w:t>
    </w:r>
    <w:r w:rsidRPr="00CF72F4">
      <w:rPr>
        <w:rFonts w:ascii="Arial" w:hAnsi="Arial" w:cs="Arial"/>
        <w:sz w:val="18"/>
        <w:szCs w:val="18"/>
      </w:rPr>
      <w:t xml:space="preserve"> [2018] AusHRC 120</w:t>
    </w:r>
    <w:r>
      <w:rPr>
        <w:rFonts w:ascii="Arial" w:hAnsi="Arial" w:cs="Arial"/>
        <w:sz w:val="18"/>
        <w:szCs w:val="18"/>
      </w:rPr>
      <w:t xml:space="preserve"> </w:t>
    </w:r>
    <w:r w:rsidRPr="00CF72F4">
      <w:rPr>
        <w:rFonts w:ascii="Arial" w:hAnsi="Arial" w:cs="Arial"/>
        <w:b/>
        <w:bCs/>
        <w:color w:val="4C4C4C"/>
        <w:position w:val="2"/>
        <w:sz w:val="18"/>
        <w:szCs w:val="18"/>
      </w:rPr>
      <w:t>•</w:t>
    </w:r>
    <w:r w:rsidRPr="00CF72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00B" w:rsidRDefault="00AD000B" w:rsidP="00F14C6D">
      <w:r>
        <w:separator/>
      </w:r>
    </w:p>
  </w:footnote>
  <w:footnote w:type="continuationSeparator" w:id="0">
    <w:p w:rsidR="00AD000B" w:rsidRDefault="00AD000B"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104E1E6"/>
    <w:styleLink w:val="1ai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C21C32"/>
    <w:styleLink w:val="1111111"/>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3FEF416"/>
    <w:styleLink w:val="ArticleSection1"/>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6C009348"/>
    <w:lvl w:ilvl="0">
      <w:numFmt w:val="decimal"/>
      <w:pStyle w:val="Dash"/>
      <w:lvlText w:val="*"/>
      <w:lvlJc w:val="left"/>
    </w:lvl>
  </w:abstractNum>
  <w:abstractNum w:abstractNumId="4" w15:restartNumberingAfterBreak="0">
    <w:nsid w:val="00000003"/>
    <w:multiLevelType w:val="multilevel"/>
    <w:tmpl w:val="894EE875"/>
    <w:lvl w:ilvl="0">
      <w:start w:val="1"/>
      <w:numFmt w:val="decimal"/>
      <w:isLgl/>
      <w:lvlText w:val="%1."/>
      <w:lvlJc w:val="left"/>
      <w:pPr>
        <w:tabs>
          <w:tab w:val="num" w:pos="567"/>
        </w:tabs>
        <w:ind w:left="567" w:firstLine="0"/>
      </w:pPr>
      <w:rPr>
        <w:rFonts w:hint="default"/>
        <w:position w:val="0"/>
      </w:rPr>
    </w:lvl>
    <w:lvl w:ilvl="1">
      <w:start w:val="1"/>
      <w:numFmt w:val="decimal"/>
      <w:isLgl/>
      <w:lvlText w:val="%2."/>
      <w:lvlJc w:val="left"/>
      <w:pPr>
        <w:tabs>
          <w:tab w:val="num" w:pos="567"/>
        </w:tabs>
        <w:ind w:left="567"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5" w15:restartNumberingAfterBreak="0">
    <w:nsid w:val="00000004"/>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7" w15:restartNumberingAfterBreak="0">
    <w:nsid w:val="0194305A"/>
    <w:multiLevelType w:val="hybridMultilevel"/>
    <w:tmpl w:val="E15C4C54"/>
    <w:lvl w:ilvl="0" w:tplc="3C726BDA">
      <w:numFmt w:val="bullet"/>
      <w:lvlText w:val="-"/>
      <w:lvlJc w:val="left"/>
      <w:pPr>
        <w:ind w:left="1800" w:hanging="360"/>
      </w:pPr>
      <w:rPr>
        <w:rFonts w:ascii="Arial" w:eastAsia="Times New Roman" w:hAnsi="Arial" w:cs="Aria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902C7"/>
    <w:multiLevelType w:val="hybridMultilevel"/>
    <w:tmpl w:val="277C45F2"/>
    <w:lvl w:ilvl="0" w:tplc="D3D29B8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042851"/>
    <w:multiLevelType w:val="hybridMultilevel"/>
    <w:tmpl w:val="0DC83030"/>
    <w:lvl w:ilvl="0" w:tplc="CD2EFD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41381D"/>
    <w:multiLevelType w:val="hybridMultilevel"/>
    <w:tmpl w:val="A1B2AB12"/>
    <w:lvl w:ilvl="0" w:tplc="1F7C5A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23A77427"/>
    <w:multiLevelType w:val="hybridMultilevel"/>
    <w:tmpl w:val="76C27E04"/>
    <w:lvl w:ilvl="0" w:tplc="FD94D95E">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297817C3"/>
    <w:multiLevelType w:val="multilevel"/>
    <w:tmpl w:val="E462496A"/>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1135"/>
        </w:tabs>
        <w:ind w:left="1135" w:hanging="851"/>
      </w:pPr>
      <w:rPr>
        <w:rFonts w:cs="Times New Roman" w:hint="default"/>
        <w:b/>
        <w:i/>
      </w:rPr>
    </w:lvl>
    <w:lvl w:ilvl="2">
      <w:start w:val="1"/>
      <w:numFmt w:val="lowerLetter"/>
      <w:pStyle w:val="Heading3"/>
      <w:lvlText w:val="(%3)"/>
      <w:lvlJc w:val="left"/>
      <w:pPr>
        <w:tabs>
          <w:tab w:val="num" w:pos="851"/>
        </w:tabs>
        <w:ind w:left="851" w:hanging="851"/>
      </w:pPr>
      <w:rPr>
        <w:rFonts w:ascii="Arial" w:hAnsi="Arial" w:cs="Times New Roman" w:hint="default"/>
        <w:b/>
        <w:i/>
        <w:sz w:val="24"/>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05405AF"/>
    <w:multiLevelType w:val="hybridMultilevel"/>
    <w:tmpl w:val="518E2BA0"/>
    <w:lvl w:ilvl="0" w:tplc="747C384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DF90625"/>
    <w:multiLevelType w:val="hybridMultilevel"/>
    <w:tmpl w:val="772A0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65F8215F"/>
    <w:multiLevelType w:val="hybridMultilevel"/>
    <w:tmpl w:val="107A6A08"/>
    <w:lvl w:ilvl="0" w:tplc="4B08C17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907C20"/>
    <w:multiLevelType w:val="hybridMultilevel"/>
    <w:tmpl w:val="AE2C4262"/>
    <w:lvl w:ilvl="0" w:tplc="1CF6633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4C74663"/>
    <w:multiLevelType w:val="hybridMultilevel"/>
    <w:tmpl w:val="B674F49C"/>
    <w:lvl w:ilvl="0" w:tplc="CACED6FE">
      <w:start w:val="1"/>
      <w:numFmt w:val="decimal"/>
      <w:lvlText w:val="%1."/>
      <w:lvlJc w:val="left"/>
      <w:pPr>
        <w:tabs>
          <w:tab w:val="num" w:pos="720"/>
        </w:tabs>
        <w:ind w:left="720" w:hanging="720"/>
      </w:pPr>
      <w:rPr>
        <w:rFonts w:cs="Times New Roman" w:hint="default"/>
        <w:b w:val="0"/>
        <w:i w:val="0"/>
        <w:sz w:val="24"/>
        <w:szCs w:val="24"/>
      </w:rPr>
    </w:lvl>
    <w:lvl w:ilvl="1" w:tplc="0C090017">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D27D00"/>
    <w:multiLevelType w:val="hybridMultilevel"/>
    <w:tmpl w:val="797E6DBA"/>
    <w:lvl w:ilvl="0" w:tplc="0C090001">
      <w:start w:val="1"/>
      <w:numFmt w:val="bullet"/>
      <w:lvlText w:val=""/>
      <w:lvlJc w:val="left"/>
      <w:pPr>
        <w:ind w:left="1800" w:hanging="360"/>
      </w:pPr>
      <w:rPr>
        <w:rFonts w:ascii="Symbol" w:hAnsi="Symbo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1"/>
  </w:num>
  <w:num w:numId="2">
    <w:abstractNumId w:val="17"/>
  </w:num>
  <w:num w:numId="3">
    <w:abstractNumId w:val="14"/>
  </w:num>
  <w:num w:numId="4">
    <w:abstractNumId w:val="19"/>
  </w:num>
  <w:num w:numId="5">
    <w:abstractNumId w:val="16"/>
  </w:num>
  <w:num w:numId="6">
    <w:abstractNumId w:val="10"/>
  </w:num>
  <w:num w:numId="7">
    <w:abstractNumId w:val="24"/>
  </w:num>
  <w:num w:numId="8">
    <w:abstractNumId w:val="1"/>
  </w:num>
  <w:num w:numId="9">
    <w:abstractNumId w:val="0"/>
  </w:num>
  <w:num w:numId="10">
    <w:abstractNumId w:val="2"/>
  </w:num>
  <w:num w:numId="11">
    <w:abstractNumId w:val="13"/>
  </w:num>
  <w:num w:numId="12">
    <w:abstractNumId w:val="3"/>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23"/>
  </w:num>
  <w:num w:numId="19">
    <w:abstractNumId w:val="18"/>
  </w:num>
  <w:num w:numId="20">
    <w:abstractNumId w:val="9"/>
  </w:num>
  <w:num w:numId="21">
    <w:abstractNumId w:val="4"/>
  </w:num>
  <w:num w:numId="22">
    <w:abstractNumId w:val="5"/>
  </w:num>
  <w:num w:numId="23">
    <w:abstractNumId w:val="7"/>
  </w:num>
  <w:num w:numId="24">
    <w:abstractNumId w:val="25"/>
  </w:num>
  <w:num w:numId="25">
    <w:abstractNumId w:val="15"/>
  </w:num>
  <w:num w:numId="2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79"/>
    <w:rsid w:val="0000013B"/>
    <w:rsid w:val="00000645"/>
    <w:rsid w:val="00000995"/>
    <w:rsid w:val="0000108E"/>
    <w:rsid w:val="000014F4"/>
    <w:rsid w:val="0000153F"/>
    <w:rsid w:val="000017CE"/>
    <w:rsid w:val="00002062"/>
    <w:rsid w:val="0000220C"/>
    <w:rsid w:val="000024F9"/>
    <w:rsid w:val="00002CA2"/>
    <w:rsid w:val="0000304D"/>
    <w:rsid w:val="000030A6"/>
    <w:rsid w:val="00003609"/>
    <w:rsid w:val="00003CAB"/>
    <w:rsid w:val="00003D6C"/>
    <w:rsid w:val="00004560"/>
    <w:rsid w:val="0000460A"/>
    <w:rsid w:val="0000486E"/>
    <w:rsid w:val="00004AE1"/>
    <w:rsid w:val="00004DFA"/>
    <w:rsid w:val="000061E1"/>
    <w:rsid w:val="00006202"/>
    <w:rsid w:val="0000659B"/>
    <w:rsid w:val="000071FD"/>
    <w:rsid w:val="0000779F"/>
    <w:rsid w:val="000078C9"/>
    <w:rsid w:val="00007C94"/>
    <w:rsid w:val="00007D51"/>
    <w:rsid w:val="00007DB9"/>
    <w:rsid w:val="00010041"/>
    <w:rsid w:val="000100E4"/>
    <w:rsid w:val="00010A3D"/>
    <w:rsid w:val="00011601"/>
    <w:rsid w:val="0001212F"/>
    <w:rsid w:val="00012322"/>
    <w:rsid w:val="0001254B"/>
    <w:rsid w:val="0001268D"/>
    <w:rsid w:val="0001293E"/>
    <w:rsid w:val="000129D3"/>
    <w:rsid w:val="00012A00"/>
    <w:rsid w:val="00013272"/>
    <w:rsid w:val="00013FF5"/>
    <w:rsid w:val="00014090"/>
    <w:rsid w:val="00014936"/>
    <w:rsid w:val="00014A69"/>
    <w:rsid w:val="00014E26"/>
    <w:rsid w:val="00014FFF"/>
    <w:rsid w:val="000152AB"/>
    <w:rsid w:val="00015799"/>
    <w:rsid w:val="000158A7"/>
    <w:rsid w:val="00015E3E"/>
    <w:rsid w:val="00015F8D"/>
    <w:rsid w:val="0001614B"/>
    <w:rsid w:val="00016BA2"/>
    <w:rsid w:val="00017101"/>
    <w:rsid w:val="00017519"/>
    <w:rsid w:val="000178CA"/>
    <w:rsid w:val="00017A43"/>
    <w:rsid w:val="00017C98"/>
    <w:rsid w:val="000201C2"/>
    <w:rsid w:val="000201D7"/>
    <w:rsid w:val="000201E9"/>
    <w:rsid w:val="00020435"/>
    <w:rsid w:val="00020907"/>
    <w:rsid w:val="00021134"/>
    <w:rsid w:val="00021286"/>
    <w:rsid w:val="000218F1"/>
    <w:rsid w:val="00021B1B"/>
    <w:rsid w:val="00021F83"/>
    <w:rsid w:val="000223F6"/>
    <w:rsid w:val="00022957"/>
    <w:rsid w:val="00022991"/>
    <w:rsid w:val="00022BD3"/>
    <w:rsid w:val="00022CD1"/>
    <w:rsid w:val="00023241"/>
    <w:rsid w:val="0002376F"/>
    <w:rsid w:val="00023D2C"/>
    <w:rsid w:val="0002406A"/>
    <w:rsid w:val="00024359"/>
    <w:rsid w:val="000243DA"/>
    <w:rsid w:val="000244B8"/>
    <w:rsid w:val="00024FC4"/>
    <w:rsid w:val="00025002"/>
    <w:rsid w:val="00025A7A"/>
    <w:rsid w:val="00025ADF"/>
    <w:rsid w:val="00025E90"/>
    <w:rsid w:val="000261F9"/>
    <w:rsid w:val="0002622F"/>
    <w:rsid w:val="00026375"/>
    <w:rsid w:val="000263C1"/>
    <w:rsid w:val="00026756"/>
    <w:rsid w:val="000269E1"/>
    <w:rsid w:val="00027517"/>
    <w:rsid w:val="0002759A"/>
    <w:rsid w:val="00027A90"/>
    <w:rsid w:val="00027D6D"/>
    <w:rsid w:val="00030386"/>
    <w:rsid w:val="0003038F"/>
    <w:rsid w:val="000305C5"/>
    <w:rsid w:val="0003096F"/>
    <w:rsid w:val="00030A35"/>
    <w:rsid w:val="00030BF2"/>
    <w:rsid w:val="00031403"/>
    <w:rsid w:val="0003176C"/>
    <w:rsid w:val="00032020"/>
    <w:rsid w:val="00032305"/>
    <w:rsid w:val="000323E3"/>
    <w:rsid w:val="00032560"/>
    <w:rsid w:val="00032936"/>
    <w:rsid w:val="00032A8D"/>
    <w:rsid w:val="00033207"/>
    <w:rsid w:val="00033583"/>
    <w:rsid w:val="0003442A"/>
    <w:rsid w:val="00034499"/>
    <w:rsid w:val="00034C6D"/>
    <w:rsid w:val="00034D5F"/>
    <w:rsid w:val="00034DF2"/>
    <w:rsid w:val="00034EA2"/>
    <w:rsid w:val="00035849"/>
    <w:rsid w:val="00035DB6"/>
    <w:rsid w:val="00035F38"/>
    <w:rsid w:val="00035FC9"/>
    <w:rsid w:val="000360E4"/>
    <w:rsid w:val="000364D1"/>
    <w:rsid w:val="00036900"/>
    <w:rsid w:val="00036FEE"/>
    <w:rsid w:val="00037019"/>
    <w:rsid w:val="000370B0"/>
    <w:rsid w:val="0003799F"/>
    <w:rsid w:val="00037BD6"/>
    <w:rsid w:val="000402F3"/>
    <w:rsid w:val="0004095C"/>
    <w:rsid w:val="00040AE0"/>
    <w:rsid w:val="00040DE5"/>
    <w:rsid w:val="00040E3C"/>
    <w:rsid w:val="000411C2"/>
    <w:rsid w:val="000415C5"/>
    <w:rsid w:val="000416C7"/>
    <w:rsid w:val="000417E5"/>
    <w:rsid w:val="00042085"/>
    <w:rsid w:val="00042092"/>
    <w:rsid w:val="0004210D"/>
    <w:rsid w:val="0004397C"/>
    <w:rsid w:val="00043C23"/>
    <w:rsid w:val="00044CA3"/>
    <w:rsid w:val="00044D1A"/>
    <w:rsid w:val="00044DEC"/>
    <w:rsid w:val="00045379"/>
    <w:rsid w:val="000453C6"/>
    <w:rsid w:val="00045BA9"/>
    <w:rsid w:val="00045D72"/>
    <w:rsid w:val="0004638B"/>
    <w:rsid w:val="00046E32"/>
    <w:rsid w:val="00047076"/>
    <w:rsid w:val="000470FB"/>
    <w:rsid w:val="000479A7"/>
    <w:rsid w:val="00047D01"/>
    <w:rsid w:val="00047FD5"/>
    <w:rsid w:val="00050810"/>
    <w:rsid w:val="0005103C"/>
    <w:rsid w:val="000513F5"/>
    <w:rsid w:val="00051CE0"/>
    <w:rsid w:val="0005202A"/>
    <w:rsid w:val="0005222E"/>
    <w:rsid w:val="00052249"/>
    <w:rsid w:val="000523CB"/>
    <w:rsid w:val="000523EF"/>
    <w:rsid w:val="00052697"/>
    <w:rsid w:val="00052A47"/>
    <w:rsid w:val="00053523"/>
    <w:rsid w:val="00054004"/>
    <w:rsid w:val="000540A0"/>
    <w:rsid w:val="0005426C"/>
    <w:rsid w:val="000542C7"/>
    <w:rsid w:val="0005446F"/>
    <w:rsid w:val="000544EE"/>
    <w:rsid w:val="00054E7F"/>
    <w:rsid w:val="00055065"/>
    <w:rsid w:val="00055809"/>
    <w:rsid w:val="00055868"/>
    <w:rsid w:val="00055A9A"/>
    <w:rsid w:val="00055CCA"/>
    <w:rsid w:val="00056436"/>
    <w:rsid w:val="00056C4E"/>
    <w:rsid w:val="000570CC"/>
    <w:rsid w:val="00057668"/>
    <w:rsid w:val="000579B1"/>
    <w:rsid w:val="00057D3C"/>
    <w:rsid w:val="00060086"/>
    <w:rsid w:val="00060991"/>
    <w:rsid w:val="0006132E"/>
    <w:rsid w:val="000618E7"/>
    <w:rsid w:val="000625D0"/>
    <w:rsid w:val="00062E05"/>
    <w:rsid w:val="00063614"/>
    <w:rsid w:val="00063F02"/>
    <w:rsid w:val="00064538"/>
    <w:rsid w:val="000651EE"/>
    <w:rsid w:val="00065F71"/>
    <w:rsid w:val="00066F0A"/>
    <w:rsid w:val="00067265"/>
    <w:rsid w:val="0006754B"/>
    <w:rsid w:val="00067D3A"/>
    <w:rsid w:val="000704FC"/>
    <w:rsid w:val="00070624"/>
    <w:rsid w:val="0007078E"/>
    <w:rsid w:val="00070E05"/>
    <w:rsid w:val="0007148B"/>
    <w:rsid w:val="000718CB"/>
    <w:rsid w:val="00071975"/>
    <w:rsid w:val="00071CC3"/>
    <w:rsid w:val="00071E4E"/>
    <w:rsid w:val="00072183"/>
    <w:rsid w:val="000729A3"/>
    <w:rsid w:val="000729B3"/>
    <w:rsid w:val="00072F5B"/>
    <w:rsid w:val="00073587"/>
    <w:rsid w:val="0007359A"/>
    <w:rsid w:val="000737F8"/>
    <w:rsid w:val="00073EC7"/>
    <w:rsid w:val="000745FB"/>
    <w:rsid w:val="00074881"/>
    <w:rsid w:val="00074CD6"/>
    <w:rsid w:val="00074D0C"/>
    <w:rsid w:val="00075DEA"/>
    <w:rsid w:val="0007603D"/>
    <w:rsid w:val="0007651E"/>
    <w:rsid w:val="00076C71"/>
    <w:rsid w:val="0007732B"/>
    <w:rsid w:val="00077CEE"/>
    <w:rsid w:val="00080D88"/>
    <w:rsid w:val="00080F6B"/>
    <w:rsid w:val="000818C1"/>
    <w:rsid w:val="0008196E"/>
    <w:rsid w:val="000826B5"/>
    <w:rsid w:val="00082A61"/>
    <w:rsid w:val="000830EB"/>
    <w:rsid w:val="00083489"/>
    <w:rsid w:val="0008392C"/>
    <w:rsid w:val="00083E0D"/>
    <w:rsid w:val="00084000"/>
    <w:rsid w:val="0008479D"/>
    <w:rsid w:val="00084A54"/>
    <w:rsid w:val="00085074"/>
    <w:rsid w:val="0008523A"/>
    <w:rsid w:val="00085562"/>
    <w:rsid w:val="0008585D"/>
    <w:rsid w:val="0008595E"/>
    <w:rsid w:val="00086500"/>
    <w:rsid w:val="00086627"/>
    <w:rsid w:val="000867ED"/>
    <w:rsid w:val="000875EB"/>
    <w:rsid w:val="00087AFA"/>
    <w:rsid w:val="00087CAD"/>
    <w:rsid w:val="00087E2D"/>
    <w:rsid w:val="0009028B"/>
    <w:rsid w:val="00090364"/>
    <w:rsid w:val="00090596"/>
    <w:rsid w:val="00091FF7"/>
    <w:rsid w:val="00092762"/>
    <w:rsid w:val="00092809"/>
    <w:rsid w:val="0009352B"/>
    <w:rsid w:val="00093BF2"/>
    <w:rsid w:val="0009426E"/>
    <w:rsid w:val="0009471F"/>
    <w:rsid w:val="00094A51"/>
    <w:rsid w:val="00094C01"/>
    <w:rsid w:val="0009563D"/>
    <w:rsid w:val="000961A8"/>
    <w:rsid w:val="0009623D"/>
    <w:rsid w:val="00096295"/>
    <w:rsid w:val="00096506"/>
    <w:rsid w:val="00096772"/>
    <w:rsid w:val="00096988"/>
    <w:rsid w:val="000969AF"/>
    <w:rsid w:val="00096A3B"/>
    <w:rsid w:val="00096AA9"/>
    <w:rsid w:val="00096DF5"/>
    <w:rsid w:val="00096E8E"/>
    <w:rsid w:val="00097419"/>
    <w:rsid w:val="000976EB"/>
    <w:rsid w:val="00097A56"/>
    <w:rsid w:val="00097AE0"/>
    <w:rsid w:val="000A013E"/>
    <w:rsid w:val="000A05CC"/>
    <w:rsid w:val="000A0820"/>
    <w:rsid w:val="000A09BC"/>
    <w:rsid w:val="000A0DB5"/>
    <w:rsid w:val="000A0E8E"/>
    <w:rsid w:val="000A0F89"/>
    <w:rsid w:val="000A1402"/>
    <w:rsid w:val="000A14F5"/>
    <w:rsid w:val="000A1EAD"/>
    <w:rsid w:val="000A1F43"/>
    <w:rsid w:val="000A2092"/>
    <w:rsid w:val="000A2C78"/>
    <w:rsid w:val="000A371C"/>
    <w:rsid w:val="000A3833"/>
    <w:rsid w:val="000A3947"/>
    <w:rsid w:val="000A3BC5"/>
    <w:rsid w:val="000A3D33"/>
    <w:rsid w:val="000A3DB6"/>
    <w:rsid w:val="000A411F"/>
    <w:rsid w:val="000A42CD"/>
    <w:rsid w:val="000A464E"/>
    <w:rsid w:val="000A4C01"/>
    <w:rsid w:val="000A6A08"/>
    <w:rsid w:val="000A7634"/>
    <w:rsid w:val="000A7748"/>
    <w:rsid w:val="000A7E5F"/>
    <w:rsid w:val="000B0095"/>
    <w:rsid w:val="000B03B0"/>
    <w:rsid w:val="000B06A4"/>
    <w:rsid w:val="000B0A5D"/>
    <w:rsid w:val="000B11EB"/>
    <w:rsid w:val="000B192C"/>
    <w:rsid w:val="000B19D7"/>
    <w:rsid w:val="000B21AB"/>
    <w:rsid w:val="000B2D5E"/>
    <w:rsid w:val="000B362B"/>
    <w:rsid w:val="000B3EAF"/>
    <w:rsid w:val="000B420A"/>
    <w:rsid w:val="000B515B"/>
    <w:rsid w:val="000B529C"/>
    <w:rsid w:val="000B5515"/>
    <w:rsid w:val="000B5C15"/>
    <w:rsid w:val="000B5FE9"/>
    <w:rsid w:val="000B65E5"/>
    <w:rsid w:val="000B6632"/>
    <w:rsid w:val="000B68E8"/>
    <w:rsid w:val="000B6E18"/>
    <w:rsid w:val="000B6EC6"/>
    <w:rsid w:val="000B7141"/>
    <w:rsid w:val="000B73D3"/>
    <w:rsid w:val="000B79D6"/>
    <w:rsid w:val="000B7D26"/>
    <w:rsid w:val="000C04D8"/>
    <w:rsid w:val="000C1022"/>
    <w:rsid w:val="000C105A"/>
    <w:rsid w:val="000C136D"/>
    <w:rsid w:val="000C1CAF"/>
    <w:rsid w:val="000C1DDF"/>
    <w:rsid w:val="000C22CE"/>
    <w:rsid w:val="000C2A26"/>
    <w:rsid w:val="000C2AE7"/>
    <w:rsid w:val="000C47A5"/>
    <w:rsid w:val="000C47CF"/>
    <w:rsid w:val="000C4C9C"/>
    <w:rsid w:val="000C4CAC"/>
    <w:rsid w:val="000C4CE6"/>
    <w:rsid w:val="000C4E39"/>
    <w:rsid w:val="000C5161"/>
    <w:rsid w:val="000C64E9"/>
    <w:rsid w:val="000C6876"/>
    <w:rsid w:val="000C75C5"/>
    <w:rsid w:val="000C7DC5"/>
    <w:rsid w:val="000C7F0D"/>
    <w:rsid w:val="000D0066"/>
    <w:rsid w:val="000D02B1"/>
    <w:rsid w:val="000D02CE"/>
    <w:rsid w:val="000D070F"/>
    <w:rsid w:val="000D1F2C"/>
    <w:rsid w:val="000D1FBD"/>
    <w:rsid w:val="000D26E5"/>
    <w:rsid w:val="000D2A59"/>
    <w:rsid w:val="000D2B58"/>
    <w:rsid w:val="000D2BBC"/>
    <w:rsid w:val="000D2CCE"/>
    <w:rsid w:val="000D33FB"/>
    <w:rsid w:val="000D3467"/>
    <w:rsid w:val="000D3573"/>
    <w:rsid w:val="000D36FC"/>
    <w:rsid w:val="000D3C9A"/>
    <w:rsid w:val="000D404B"/>
    <w:rsid w:val="000D454F"/>
    <w:rsid w:val="000D4BD9"/>
    <w:rsid w:val="000D54FE"/>
    <w:rsid w:val="000D58AC"/>
    <w:rsid w:val="000D596F"/>
    <w:rsid w:val="000D6009"/>
    <w:rsid w:val="000D65DE"/>
    <w:rsid w:val="000D6844"/>
    <w:rsid w:val="000D697B"/>
    <w:rsid w:val="000D72A1"/>
    <w:rsid w:val="000D7538"/>
    <w:rsid w:val="000D75DB"/>
    <w:rsid w:val="000E0208"/>
    <w:rsid w:val="000E056B"/>
    <w:rsid w:val="000E1188"/>
    <w:rsid w:val="000E1214"/>
    <w:rsid w:val="000E187A"/>
    <w:rsid w:val="000E1924"/>
    <w:rsid w:val="000E1A58"/>
    <w:rsid w:val="000E1AAD"/>
    <w:rsid w:val="000E2521"/>
    <w:rsid w:val="000E35F4"/>
    <w:rsid w:val="000E3740"/>
    <w:rsid w:val="000E39F7"/>
    <w:rsid w:val="000E46E0"/>
    <w:rsid w:val="000E4B22"/>
    <w:rsid w:val="000E50B5"/>
    <w:rsid w:val="000E62DD"/>
    <w:rsid w:val="000E64B9"/>
    <w:rsid w:val="000E6BC4"/>
    <w:rsid w:val="000E6CC2"/>
    <w:rsid w:val="000E6FB1"/>
    <w:rsid w:val="000E7B19"/>
    <w:rsid w:val="000F1159"/>
    <w:rsid w:val="000F1EA0"/>
    <w:rsid w:val="000F259B"/>
    <w:rsid w:val="000F30E7"/>
    <w:rsid w:val="000F3550"/>
    <w:rsid w:val="000F3609"/>
    <w:rsid w:val="000F3724"/>
    <w:rsid w:val="000F382F"/>
    <w:rsid w:val="000F414E"/>
    <w:rsid w:val="000F4249"/>
    <w:rsid w:val="000F4F0E"/>
    <w:rsid w:val="000F52B4"/>
    <w:rsid w:val="000F550E"/>
    <w:rsid w:val="000F5A27"/>
    <w:rsid w:val="000F5D00"/>
    <w:rsid w:val="000F64D3"/>
    <w:rsid w:val="000F66E1"/>
    <w:rsid w:val="000F687B"/>
    <w:rsid w:val="000F6A89"/>
    <w:rsid w:val="000F79DF"/>
    <w:rsid w:val="000F7F66"/>
    <w:rsid w:val="000F7F76"/>
    <w:rsid w:val="00100651"/>
    <w:rsid w:val="00100756"/>
    <w:rsid w:val="00100794"/>
    <w:rsid w:val="0010114A"/>
    <w:rsid w:val="001011C8"/>
    <w:rsid w:val="001018AB"/>
    <w:rsid w:val="001018E7"/>
    <w:rsid w:val="001024BC"/>
    <w:rsid w:val="00102EA2"/>
    <w:rsid w:val="00103481"/>
    <w:rsid w:val="00103C48"/>
    <w:rsid w:val="00104351"/>
    <w:rsid w:val="00104891"/>
    <w:rsid w:val="001048F4"/>
    <w:rsid w:val="00104A89"/>
    <w:rsid w:val="00104B8E"/>
    <w:rsid w:val="00104BA4"/>
    <w:rsid w:val="00104E22"/>
    <w:rsid w:val="0010515E"/>
    <w:rsid w:val="0010544D"/>
    <w:rsid w:val="00105A30"/>
    <w:rsid w:val="00105FC4"/>
    <w:rsid w:val="00106777"/>
    <w:rsid w:val="001068F4"/>
    <w:rsid w:val="00106B4D"/>
    <w:rsid w:val="00107065"/>
    <w:rsid w:val="001071BE"/>
    <w:rsid w:val="00107454"/>
    <w:rsid w:val="001101A9"/>
    <w:rsid w:val="001103CD"/>
    <w:rsid w:val="001105EA"/>
    <w:rsid w:val="001108FF"/>
    <w:rsid w:val="00110AEB"/>
    <w:rsid w:val="00110C50"/>
    <w:rsid w:val="0011137E"/>
    <w:rsid w:val="00111650"/>
    <w:rsid w:val="00112106"/>
    <w:rsid w:val="001123A8"/>
    <w:rsid w:val="00112461"/>
    <w:rsid w:val="001127C8"/>
    <w:rsid w:val="001130DC"/>
    <w:rsid w:val="0011315C"/>
    <w:rsid w:val="00113317"/>
    <w:rsid w:val="0011377D"/>
    <w:rsid w:val="00113850"/>
    <w:rsid w:val="00113A4C"/>
    <w:rsid w:val="00113D99"/>
    <w:rsid w:val="00113F37"/>
    <w:rsid w:val="00114092"/>
    <w:rsid w:val="0011413A"/>
    <w:rsid w:val="00114372"/>
    <w:rsid w:val="001147AB"/>
    <w:rsid w:val="0011487D"/>
    <w:rsid w:val="00114DE0"/>
    <w:rsid w:val="00114DEC"/>
    <w:rsid w:val="00115897"/>
    <w:rsid w:val="00115A53"/>
    <w:rsid w:val="00116124"/>
    <w:rsid w:val="00116153"/>
    <w:rsid w:val="001166FA"/>
    <w:rsid w:val="001167E0"/>
    <w:rsid w:val="00116B3C"/>
    <w:rsid w:val="00117769"/>
    <w:rsid w:val="00117C69"/>
    <w:rsid w:val="00117CE1"/>
    <w:rsid w:val="00120077"/>
    <w:rsid w:val="00120565"/>
    <w:rsid w:val="00120F05"/>
    <w:rsid w:val="001214DB"/>
    <w:rsid w:val="00121A5C"/>
    <w:rsid w:val="001222D2"/>
    <w:rsid w:val="0012233F"/>
    <w:rsid w:val="001224D7"/>
    <w:rsid w:val="00122B07"/>
    <w:rsid w:val="00122B54"/>
    <w:rsid w:val="00123219"/>
    <w:rsid w:val="0012337E"/>
    <w:rsid w:val="0012390A"/>
    <w:rsid w:val="001239B6"/>
    <w:rsid w:val="00123F08"/>
    <w:rsid w:val="00123F60"/>
    <w:rsid w:val="001243F0"/>
    <w:rsid w:val="00124EDD"/>
    <w:rsid w:val="0012584C"/>
    <w:rsid w:val="00125D1B"/>
    <w:rsid w:val="0012601C"/>
    <w:rsid w:val="001260C3"/>
    <w:rsid w:val="00126308"/>
    <w:rsid w:val="00126521"/>
    <w:rsid w:val="00126866"/>
    <w:rsid w:val="00126A02"/>
    <w:rsid w:val="001274EE"/>
    <w:rsid w:val="001303B3"/>
    <w:rsid w:val="001303FF"/>
    <w:rsid w:val="00130627"/>
    <w:rsid w:val="0013075D"/>
    <w:rsid w:val="00130DF5"/>
    <w:rsid w:val="00131768"/>
    <w:rsid w:val="00132091"/>
    <w:rsid w:val="001322D4"/>
    <w:rsid w:val="00132462"/>
    <w:rsid w:val="0013249A"/>
    <w:rsid w:val="00132800"/>
    <w:rsid w:val="001336E5"/>
    <w:rsid w:val="0013395C"/>
    <w:rsid w:val="00133A2E"/>
    <w:rsid w:val="00133CD9"/>
    <w:rsid w:val="00133D1D"/>
    <w:rsid w:val="00133D62"/>
    <w:rsid w:val="00134947"/>
    <w:rsid w:val="00134BAF"/>
    <w:rsid w:val="00134CE2"/>
    <w:rsid w:val="001355AD"/>
    <w:rsid w:val="0013585D"/>
    <w:rsid w:val="00135B39"/>
    <w:rsid w:val="00136B0C"/>
    <w:rsid w:val="00136D41"/>
    <w:rsid w:val="00136E8A"/>
    <w:rsid w:val="001373EE"/>
    <w:rsid w:val="00137765"/>
    <w:rsid w:val="00137B1E"/>
    <w:rsid w:val="00137EBB"/>
    <w:rsid w:val="00140077"/>
    <w:rsid w:val="0014061D"/>
    <w:rsid w:val="00140681"/>
    <w:rsid w:val="00140B64"/>
    <w:rsid w:val="00140FD3"/>
    <w:rsid w:val="0014206D"/>
    <w:rsid w:val="00142B9D"/>
    <w:rsid w:val="00143172"/>
    <w:rsid w:val="00143B4E"/>
    <w:rsid w:val="00143D21"/>
    <w:rsid w:val="001442AC"/>
    <w:rsid w:val="00144303"/>
    <w:rsid w:val="0014439B"/>
    <w:rsid w:val="0014472A"/>
    <w:rsid w:val="00144C0D"/>
    <w:rsid w:val="00145A55"/>
    <w:rsid w:val="0014604F"/>
    <w:rsid w:val="001465BA"/>
    <w:rsid w:val="00146771"/>
    <w:rsid w:val="00146A7D"/>
    <w:rsid w:val="00147115"/>
    <w:rsid w:val="00147761"/>
    <w:rsid w:val="00147C8D"/>
    <w:rsid w:val="00150182"/>
    <w:rsid w:val="0015062E"/>
    <w:rsid w:val="00150C7A"/>
    <w:rsid w:val="00150CC0"/>
    <w:rsid w:val="00150EA6"/>
    <w:rsid w:val="00151394"/>
    <w:rsid w:val="001515E7"/>
    <w:rsid w:val="00151A18"/>
    <w:rsid w:val="00151BC9"/>
    <w:rsid w:val="00151DA3"/>
    <w:rsid w:val="001523D8"/>
    <w:rsid w:val="001528FF"/>
    <w:rsid w:val="00152C8B"/>
    <w:rsid w:val="00152C9C"/>
    <w:rsid w:val="00152EF4"/>
    <w:rsid w:val="001531F9"/>
    <w:rsid w:val="001533E4"/>
    <w:rsid w:val="00153507"/>
    <w:rsid w:val="001535F3"/>
    <w:rsid w:val="001539A3"/>
    <w:rsid w:val="0015410E"/>
    <w:rsid w:val="00154114"/>
    <w:rsid w:val="00154510"/>
    <w:rsid w:val="00154885"/>
    <w:rsid w:val="00155880"/>
    <w:rsid w:val="00155902"/>
    <w:rsid w:val="00155ADA"/>
    <w:rsid w:val="00155CF7"/>
    <w:rsid w:val="00155EF4"/>
    <w:rsid w:val="00156059"/>
    <w:rsid w:val="001562AF"/>
    <w:rsid w:val="001566D4"/>
    <w:rsid w:val="0015674C"/>
    <w:rsid w:val="00157067"/>
    <w:rsid w:val="00157220"/>
    <w:rsid w:val="0015737C"/>
    <w:rsid w:val="001574AD"/>
    <w:rsid w:val="00157658"/>
    <w:rsid w:val="0015774C"/>
    <w:rsid w:val="00157A6B"/>
    <w:rsid w:val="00162538"/>
    <w:rsid w:val="001628B2"/>
    <w:rsid w:val="00162A8D"/>
    <w:rsid w:val="001630B7"/>
    <w:rsid w:val="00163113"/>
    <w:rsid w:val="00163C2C"/>
    <w:rsid w:val="00164191"/>
    <w:rsid w:val="00164764"/>
    <w:rsid w:val="001649D9"/>
    <w:rsid w:val="001651CD"/>
    <w:rsid w:val="001659F9"/>
    <w:rsid w:val="00166C0D"/>
    <w:rsid w:val="00166F38"/>
    <w:rsid w:val="00166F9B"/>
    <w:rsid w:val="00167CD8"/>
    <w:rsid w:val="00167D12"/>
    <w:rsid w:val="00170002"/>
    <w:rsid w:val="001703F1"/>
    <w:rsid w:val="00170722"/>
    <w:rsid w:val="00170CAE"/>
    <w:rsid w:val="00170E1D"/>
    <w:rsid w:val="00170F39"/>
    <w:rsid w:val="00170F93"/>
    <w:rsid w:val="0017118A"/>
    <w:rsid w:val="00171875"/>
    <w:rsid w:val="00171D76"/>
    <w:rsid w:val="00171FD4"/>
    <w:rsid w:val="00172773"/>
    <w:rsid w:val="001727C4"/>
    <w:rsid w:val="00172ABA"/>
    <w:rsid w:val="00172DB3"/>
    <w:rsid w:val="00172FCB"/>
    <w:rsid w:val="00173156"/>
    <w:rsid w:val="00173EEB"/>
    <w:rsid w:val="001744A3"/>
    <w:rsid w:val="00174A16"/>
    <w:rsid w:val="00174C4D"/>
    <w:rsid w:val="00175261"/>
    <w:rsid w:val="001756BF"/>
    <w:rsid w:val="00175742"/>
    <w:rsid w:val="00175E12"/>
    <w:rsid w:val="00175E81"/>
    <w:rsid w:val="001763E5"/>
    <w:rsid w:val="0017647E"/>
    <w:rsid w:val="001766CD"/>
    <w:rsid w:val="00176941"/>
    <w:rsid w:val="00176AB0"/>
    <w:rsid w:val="0017792A"/>
    <w:rsid w:val="00180039"/>
    <w:rsid w:val="0018017D"/>
    <w:rsid w:val="001803B6"/>
    <w:rsid w:val="00180A2F"/>
    <w:rsid w:val="00180A40"/>
    <w:rsid w:val="00180AFB"/>
    <w:rsid w:val="001810F7"/>
    <w:rsid w:val="00181134"/>
    <w:rsid w:val="001816EE"/>
    <w:rsid w:val="00181AFE"/>
    <w:rsid w:val="00181B02"/>
    <w:rsid w:val="00181B08"/>
    <w:rsid w:val="001821DE"/>
    <w:rsid w:val="00182DF6"/>
    <w:rsid w:val="00183306"/>
    <w:rsid w:val="00183692"/>
    <w:rsid w:val="00184098"/>
    <w:rsid w:val="001840CE"/>
    <w:rsid w:val="00184CAD"/>
    <w:rsid w:val="001853B9"/>
    <w:rsid w:val="0018599B"/>
    <w:rsid w:val="001867A2"/>
    <w:rsid w:val="00186A2B"/>
    <w:rsid w:val="00186BDE"/>
    <w:rsid w:val="00186E8E"/>
    <w:rsid w:val="0018736F"/>
    <w:rsid w:val="001874AB"/>
    <w:rsid w:val="00187AF6"/>
    <w:rsid w:val="00187BA7"/>
    <w:rsid w:val="0019044C"/>
    <w:rsid w:val="001904E1"/>
    <w:rsid w:val="00190500"/>
    <w:rsid w:val="00190F05"/>
    <w:rsid w:val="0019119F"/>
    <w:rsid w:val="00191339"/>
    <w:rsid w:val="00191512"/>
    <w:rsid w:val="00191EB6"/>
    <w:rsid w:val="00191F22"/>
    <w:rsid w:val="0019215F"/>
    <w:rsid w:val="00192F7A"/>
    <w:rsid w:val="0019303E"/>
    <w:rsid w:val="00193422"/>
    <w:rsid w:val="00193DC4"/>
    <w:rsid w:val="00194325"/>
    <w:rsid w:val="0019492B"/>
    <w:rsid w:val="00194C03"/>
    <w:rsid w:val="00194D26"/>
    <w:rsid w:val="00194EEB"/>
    <w:rsid w:val="00195017"/>
    <w:rsid w:val="00195395"/>
    <w:rsid w:val="0019552F"/>
    <w:rsid w:val="00195AE9"/>
    <w:rsid w:val="00196243"/>
    <w:rsid w:val="00196405"/>
    <w:rsid w:val="00196843"/>
    <w:rsid w:val="00196E12"/>
    <w:rsid w:val="00196FF7"/>
    <w:rsid w:val="0019741A"/>
    <w:rsid w:val="00197724"/>
    <w:rsid w:val="001977D7"/>
    <w:rsid w:val="00197D8E"/>
    <w:rsid w:val="001A037F"/>
    <w:rsid w:val="001A05DE"/>
    <w:rsid w:val="001A05EC"/>
    <w:rsid w:val="001A06EF"/>
    <w:rsid w:val="001A08CE"/>
    <w:rsid w:val="001A0954"/>
    <w:rsid w:val="001A0B69"/>
    <w:rsid w:val="001A0B76"/>
    <w:rsid w:val="001A1787"/>
    <w:rsid w:val="001A1B39"/>
    <w:rsid w:val="001A1BAB"/>
    <w:rsid w:val="001A1FE2"/>
    <w:rsid w:val="001A200B"/>
    <w:rsid w:val="001A20A7"/>
    <w:rsid w:val="001A29F0"/>
    <w:rsid w:val="001A2A8F"/>
    <w:rsid w:val="001A3CE4"/>
    <w:rsid w:val="001A414B"/>
    <w:rsid w:val="001A425D"/>
    <w:rsid w:val="001A4491"/>
    <w:rsid w:val="001A45EA"/>
    <w:rsid w:val="001A4A93"/>
    <w:rsid w:val="001A4DF7"/>
    <w:rsid w:val="001A4E4E"/>
    <w:rsid w:val="001A5890"/>
    <w:rsid w:val="001A5985"/>
    <w:rsid w:val="001A5D46"/>
    <w:rsid w:val="001B0268"/>
    <w:rsid w:val="001B0353"/>
    <w:rsid w:val="001B0444"/>
    <w:rsid w:val="001B0A0F"/>
    <w:rsid w:val="001B10C5"/>
    <w:rsid w:val="001B14EB"/>
    <w:rsid w:val="001B15AC"/>
    <w:rsid w:val="001B1ACD"/>
    <w:rsid w:val="001B1D8C"/>
    <w:rsid w:val="001B2A76"/>
    <w:rsid w:val="001B2A8E"/>
    <w:rsid w:val="001B2DD3"/>
    <w:rsid w:val="001B2E8E"/>
    <w:rsid w:val="001B3885"/>
    <w:rsid w:val="001B397B"/>
    <w:rsid w:val="001B3B40"/>
    <w:rsid w:val="001B3F32"/>
    <w:rsid w:val="001B414F"/>
    <w:rsid w:val="001B4215"/>
    <w:rsid w:val="001B42E9"/>
    <w:rsid w:val="001B42F8"/>
    <w:rsid w:val="001B4D30"/>
    <w:rsid w:val="001B4FC3"/>
    <w:rsid w:val="001B6398"/>
    <w:rsid w:val="001B7487"/>
    <w:rsid w:val="001C0852"/>
    <w:rsid w:val="001C0E24"/>
    <w:rsid w:val="001C0F53"/>
    <w:rsid w:val="001C0F7F"/>
    <w:rsid w:val="001C1099"/>
    <w:rsid w:val="001C10E5"/>
    <w:rsid w:val="001C139C"/>
    <w:rsid w:val="001C148C"/>
    <w:rsid w:val="001C1588"/>
    <w:rsid w:val="001C1692"/>
    <w:rsid w:val="001C169D"/>
    <w:rsid w:val="001C19FB"/>
    <w:rsid w:val="001C1A91"/>
    <w:rsid w:val="001C1B21"/>
    <w:rsid w:val="001C1C26"/>
    <w:rsid w:val="001C27E3"/>
    <w:rsid w:val="001C29DB"/>
    <w:rsid w:val="001C3461"/>
    <w:rsid w:val="001C3EF9"/>
    <w:rsid w:val="001C451B"/>
    <w:rsid w:val="001C47A0"/>
    <w:rsid w:val="001C4B5E"/>
    <w:rsid w:val="001C4E14"/>
    <w:rsid w:val="001C5CCE"/>
    <w:rsid w:val="001C65FA"/>
    <w:rsid w:val="001C67A1"/>
    <w:rsid w:val="001C69FE"/>
    <w:rsid w:val="001C6A35"/>
    <w:rsid w:val="001C72BE"/>
    <w:rsid w:val="001C7524"/>
    <w:rsid w:val="001C7553"/>
    <w:rsid w:val="001C797D"/>
    <w:rsid w:val="001C79BC"/>
    <w:rsid w:val="001D0116"/>
    <w:rsid w:val="001D02CB"/>
    <w:rsid w:val="001D08A5"/>
    <w:rsid w:val="001D0FBA"/>
    <w:rsid w:val="001D147F"/>
    <w:rsid w:val="001D184C"/>
    <w:rsid w:val="001D1C4E"/>
    <w:rsid w:val="001D234B"/>
    <w:rsid w:val="001D2529"/>
    <w:rsid w:val="001D256F"/>
    <w:rsid w:val="001D2901"/>
    <w:rsid w:val="001D29CD"/>
    <w:rsid w:val="001D2C42"/>
    <w:rsid w:val="001D2DF1"/>
    <w:rsid w:val="001D42CD"/>
    <w:rsid w:val="001D43FF"/>
    <w:rsid w:val="001D4B24"/>
    <w:rsid w:val="001D4CAB"/>
    <w:rsid w:val="001D4E31"/>
    <w:rsid w:val="001D4E3C"/>
    <w:rsid w:val="001D56B6"/>
    <w:rsid w:val="001D5E4A"/>
    <w:rsid w:val="001D5F3D"/>
    <w:rsid w:val="001D603F"/>
    <w:rsid w:val="001D6966"/>
    <w:rsid w:val="001D69A8"/>
    <w:rsid w:val="001D6E71"/>
    <w:rsid w:val="001D71B1"/>
    <w:rsid w:val="001D747C"/>
    <w:rsid w:val="001D7DC4"/>
    <w:rsid w:val="001E01A4"/>
    <w:rsid w:val="001E028B"/>
    <w:rsid w:val="001E0522"/>
    <w:rsid w:val="001E0760"/>
    <w:rsid w:val="001E0F4C"/>
    <w:rsid w:val="001E15E3"/>
    <w:rsid w:val="001E17AD"/>
    <w:rsid w:val="001E1874"/>
    <w:rsid w:val="001E18A5"/>
    <w:rsid w:val="001E2396"/>
    <w:rsid w:val="001E30F0"/>
    <w:rsid w:val="001E31A0"/>
    <w:rsid w:val="001E31FB"/>
    <w:rsid w:val="001E33D6"/>
    <w:rsid w:val="001E33EF"/>
    <w:rsid w:val="001E3709"/>
    <w:rsid w:val="001E399C"/>
    <w:rsid w:val="001E3B46"/>
    <w:rsid w:val="001E3F1E"/>
    <w:rsid w:val="001E3F7A"/>
    <w:rsid w:val="001E40A7"/>
    <w:rsid w:val="001E4355"/>
    <w:rsid w:val="001E5295"/>
    <w:rsid w:val="001E5862"/>
    <w:rsid w:val="001E6087"/>
    <w:rsid w:val="001E7019"/>
    <w:rsid w:val="001E71FA"/>
    <w:rsid w:val="001E730A"/>
    <w:rsid w:val="001E740A"/>
    <w:rsid w:val="001F00EE"/>
    <w:rsid w:val="001F081C"/>
    <w:rsid w:val="001F0835"/>
    <w:rsid w:val="001F184A"/>
    <w:rsid w:val="001F223F"/>
    <w:rsid w:val="001F22D6"/>
    <w:rsid w:val="001F2368"/>
    <w:rsid w:val="001F25AF"/>
    <w:rsid w:val="001F26FE"/>
    <w:rsid w:val="001F2BBB"/>
    <w:rsid w:val="001F2E02"/>
    <w:rsid w:val="001F2F8B"/>
    <w:rsid w:val="001F3546"/>
    <w:rsid w:val="001F3672"/>
    <w:rsid w:val="001F3A9F"/>
    <w:rsid w:val="001F4015"/>
    <w:rsid w:val="001F42D7"/>
    <w:rsid w:val="001F4370"/>
    <w:rsid w:val="001F4409"/>
    <w:rsid w:val="001F44AF"/>
    <w:rsid w:val="001F55AE"/>
    <w:rsid w:val="001F685F"/>
    <w:rsid w:val="001F6D38"/>
    <w:rsid w:val="001F6F72"/>
    <w:rsid w:val="001F7E96"/>
    <w:rsid w:val="001F7E9E"/>
    <w:rsid w:val="00200080"/>
    <w:rsid w:val="002007EF"/>
    <w:rsid w:val="00200B07"/>
    <w:rsid w:val="00200CD0"/>
    <w:rsid w:val="00200CD4"/>
    <w:rsid w:val="00201004"/>
    <w:rsid w:val="0020198D"/>
    <w:rsid w:val="0020200C"/>
    <w:rsid w:val="00202434"/>
    <w:rsid w:val="00202443"/>
    <w:rsid w:val="00202946"/>
    <w:rsid w:val="002035FC"/>
    <w:rsid w:val="002039AF"/>
    <w:rsid w:val="00203AF2"/>
    <w:rsid w:val="00204198"/>
    <w:rsid w:val="00204670"/>
    <w:rsid w:val="00204AA8"/>
    <w:rsid w:val="00205641"/>
    <w:rsid w:val="002059B7"/>
    <w:rsid w:val="00205AA6"/>
    <w:rsid w:val="0020638E"/>
    <w:rsid w:val="002064BE"/>
    <w:rsid w:val="00206D0F"/>
    <w:rsid w:val="00206FB9"/>
    <w:rsid w:val="0020759E"/>
    <w:rsid w:val="0020765B"/>
    <w:rsid w:val="002078F8"/>
    <w:rsid w:val="00207F4A"/>
    <w:rsid w:val="00210D9E"/>
    <w:rsid w:val="002111EA"/>
    <w:rsid w:val="00211515"/>
    <w:rsid w:val="002116B0"/>
    <w:rsid w:val="00211A77"/>
    <w:rsid w:val="00211E15"/>
    <w:rsid w:val="00212089"/>
    <w:rsid w:val="0021239A"/>
    <w:rsid w:val="002125B4"/>
    <w:rsid w:val="00212C98"/>
    <w:rsid w:val="0021305A"/>
    <w:rsid w:val="00214561"/>
    <w:rsid w:val="00215454"/>
    <w:rsid w:val="00215EF4"/>
    <w:rsid w:val="0021612F"/>
    <w:rsid w:val="0021668B"/>
    <w:rsid w:val="00216D68"/>
    <w:rsid w:val="00216E3E"/>
    <w:rsid w:val="00216F73"/>
    <w:rsid w:val="002174B2"/>
    <w:rsid w:val="0021762E"/>
    <w:rsid w:val="00217635"/>
    <w:rsid w:val="00217B9F"/>
    <w:rsid w:val="00217FB1"/>
    <w:rsid w:val="002203ED"/>
    <w:rsid w:val="002207A4"/>
    <w:rsid w:val="00220D84"/>
    <w:rsid w:val="00220E40"/>
    <w:rsid w:val="002212D2"/>
    <w:rsid w:val="002220B7"/>
    <w:rsid w:val="002225A0"/>
    <w:rsid w:val="002225D4"/>
    <w:rsid w:val="00222927"/>
    <w:rsid w:val="002235DC"/>
    <w:rsid w:val="00223A37"/>
    <w:rsid w:val="0022441A"/>
    <w:rsid w:val="002247FE"/>
    <w:rsid w:val="00224BD5"/>
    <w:rsid w:val="00224D24"/>
    <w:rsid w:val="002260BD"/>
    <w:rsid w:val="002264F1"/>
    <w:rsid w:val="00226891"/>
    <w:rsid w:val="0022725B"/>
    <w:rsid w:val="002273A0"/>
    <w:rsid w:val="00227940"/>
    <w:rsid w:val="00230A84"/>
    <w:rsid w:val="00230E13"/>
    <w:rsid w:val="00230FF9"/>
    <w:rsid w:val="002314FC"/>
    <w:rsid w:val="0023159E"/>
    <w:rsid w:val="00231ED1"/>
    <w:rsid w:val="00232130"/>
    <w:rsid w:val="002329D4"/>
    <w:rsid w:val="00232D3A"/>
    <w:rsid w:val="00232DAF"/>
    <w:rsid w:val="0023303F"/>
    <w:rsid w:val="002339D8"/>
    <w:rsid w:val="00233A03"/>
    <w:rsid w:val="00233B71"/>
    <w:rsid w:val="00233F3A"/>
    <w:rsid w:val="0023486C"/>
    <w:rsid w:val="00234EA9"/>
    <w:rsid w:val="00235222"/>
    <w:rsid w:val="0023613B"/>
    <w:rsid w:val="00236205"/>
    <w:rsid w:val="00236905"/>
    <w:rsid w:val="00236B29"/>
    <w:rsid w:val="00236BFA"/>
    <w:rsid w:val="00236C57"/>
    <w:rsid w:val="00236FAA"/>
    <w:rsid w:val="002376D6"/>
    <w:rsid w:val="00237737"/>
    <w:rsid w:val="0023784E"/>
    <w:rsid w:val="00237A3B"/>
    <w:rsid w:val="00240391"/>
    <w:rsid w:val="00240DA6"/>
    <w:rsid w:val="002412D7"/>
    <w:rsid w:val="0024171E"/>
    <w:rsid w:val="00241A02"/>
    <w:rsid w:val="00241CA8"/>
    <w:rsid w:val="00241D75"/>
    <w:rsid w:val="00242353"/>
    <w:rsid w:val="00242A2A"/>
    <w:rsid w:val="00242D34"/>
    <w:rsid w:val="0024300C"/>
    <w:rsid w:val="0024389F"/>
    <w:rsid w:val="00243AC8"/>
    <w:rsid w:val="00243C26"/>
    <w:rsid w:val="002444DB"/>
    <w:rsid w:val="00244506"/>
    <w:rsid w:val="00244967"/>
    <w:rsid w:val="00244B76"/>
    <w:rsid w:val="0024525A"/>
    <w:rsid w:val="0024525F"/>
    <w:rsid w:val="0024557E"/>
    <w:rsid w:val="00245918"/>
    <w:rsid w:val="00245A2B"/>
    <w:rsid w:val="00245EED"/>
    <w:rsid w:val="00245FD9"/>
    <w:rsid w:val="0024645F"/>
    <w:rsid w:val="0024674F"/>
    <w:rsid w:val="00247102"/>
    <w:rsid w:val="002473C8"/>
    <w:rsid w:val="002473CE"/>
    <w:rsid w:val="002475D4"/>
    <w:rsid w:val="002477FD"/>
    <w:rsid w:val="0024788C"/>
    <w:rsid w:val="002478A2"/>
    <w:rsid w:val="002478A4"/>
    <w:rsid w:val="002479D6"/>
    <w:rsid w:val="00250212"/>
    <w:rsid w:val="00250467"/>
    <w:rsid w:val="002504B6"/>
    <w:rsid w:val="002505C4"/>
    <w:rsid w:val="0025060B"/>
    <w:rsid w:val="00250787"/>
    <w:rsid w:val="00250BF3"/>
    <w:rsid w:val="00250D88"/>
    <w:rsid w:val="00250D99"/>
    <w:rsid w:val="00251311"/>
    <w:rsid w:val="00251510"/>
    <w:rsid w:val="00251704"/>
    <w:rsid w:val="00251BCA"/>
    <w:rsid w:val="00251C59"/>
    <w:rsid w:val="002520A8"/>
    <w:rsid w:val="002529CA"/>
    <w:rsid w:val="002529F0"/>
    <w:rsid w:val="00252D57"/>
    <w:rsid w:val="002532F5"/>
    <w:rsid w:val="00253D73"/>
    <w:rsid w:val="00253EC8"/>
    <w:rsid w:val="0025566E"/>
    <w:rsid w:val="002562C5"/>
    <w:rsid w:val="002567CF"/>
    <w:rsid w:val="00256AD9"/>
    <w:rsid w:val="00257231"/>
    <w:rsid w:val="00257672"/>
    <w:rsid w:val="00257EE8"/>
    <w:rsid w:val="00257F6D"/>
    <w:rsid w:val="00260267"/>
    <w:rsid w:val="002606DF"/>
    <w:rsid w:val="00261173"/>
    <w:rsid w:val="002615F8"/>
    <w:rsid w:val="002616E0"/>
    <w:rsid w:val="0026192D"/>
    <w:rsid w:val="00261BE7"/>
    <w:rsid w:val="00261C42"/>
    <w:rsid w:val="00261F52"/>
    <w:rsid w:val="00262509"/>
    <w:rsid w:val="00262898"/>
    <w:rsid w:val="00263283"/>
    <w:rsid w:val="0026329E"/>
    <w:rsid w:val="00263720"/>
    <w:rsid w:val="00264105"/>
    <w:rsid w:val="00264153"/>
    <w:rsid w:val="0026418F"/>
    <w:rsid w:val="00264483"/>
    <w:rsid w:val="00264805"/>
    <w:rsid w:val="00264C28"/>
    <w:rsid w:val="002653EE"/>
    <w:rsid w:val="002657C0"/>
    <w:rsid w:val="002658EA"/>
    <w:rsid w:val="0026625B"/>
    <w:rsid w:val="00266681"/>
    <w:rsid w:val="0026686F"/>
    <w:rsid w:val="00266E6B"/>
    <w:rsid w:val="00266FE6"/>
    <w:rsid w:val="002674ED"/>
    <w:rsid w:val="002677ED"/>
    <w:rsid w:val="00267863"/>
    <w:rsid w:val="00267C6B"/>
    <w:rsid w:val="002701C3"/>
    <w:rsid w:val="002701E1"/>
    <w:rsid w:val="002702D9"/>
    <w:rsid w:val="002702E0"/>
    <w:rsid w:val="0027069C"/>
    <w:rsid w:val="00270A43"/>
    <w:rsid w:val="00270EE6"/>
    <w:rsid w:val="0027135E"/>
    <w:rsid w:val="002719C0"/>
    <w:rsid w:val="00271BD5"/>
    <w:rsid w:val="00273287"/>
    <w:rsid w:val="0027392D"/>
    <w:rsid w:val="00274049"/>
    <w:rsid w:val="0027443A"/>
    <w:rsid w:val="0027464E"/>
    <w:rsid w:val="002747C3"/>
    <w:rsid w:val="00274E15"/>
    <w:rsid w:val="00274FDD"/>
    <w:rsid w:val="002751E5"/>
    <w:rsid w:val="00275A54"/>
    <w:rsid w:val="00275F81"/>
    <w:rsid w:val="0027631F"/>
    <w:rsid w:val="00277019"/>
    <w:rsid w:val="002777D4"/>
    <w:rsid w:val="00277973"/>
    <w:rsid w:val="00277D6C"/>
    <w:rsid w:val="0028038E"/>
    <w:rsid w:val="00280503"/>
    <w:rsid w:val="002807C4"/>
    <w:rsid w:val="00281536"/>
    <w:rsid w:val="00281590"/>
    <w:rsid w:val="00282870"/>
    <w:rsid w:val="00283D5C"/>
    <w:rsid w:val="002844F9"/>
    <w:rsid w:val="00284675"/>
    <w:rsid w:val="00284763"/>
    <w:rsid w:val="00284819"/>
    <w:rsid w:val="002852CD"/>
    <w:rsid w:val="0028634B"/>
    <w:rsid w:val="00286538"/>
    <w:rsid w:val="0028663D"/>
    <w:rsid w:val="00286B69"/>
    <w:rsid w:val="00286B7F"/>
    <w:rsid w:val="00286DC5"/>
    <w:rsid w:val="0028745D"/>
    <w:rsid w:val="002903E3"/>
    <w:rsid w:val="002904F8"/>
    <w:rsid w:val="0029084A"/>
    <w:rsid w:val="00290C74"/>
    <w:rsid w:val="00290CFD"/>
    <w:rsid w:val="002910CF"/>
    <w:rsid w:val="00291157"/>
    <w:rsid w:val="002913AF"/>
    <w:rsid w:val="0029172B"/>
    <w:rsid w:val="00291AA8"/>
    <w:rsid w:val="00291C75"/>
    <w:rsid w:val="00291E65"/>
    <w:rsid w:val="00292BE8"/>
    <w:rsid w:val="00292F38"/>
    <w:rsid w:val="002931D9"/>
    <w:rsid w:val="0029320F"/>
    <w:rsid w:val="002932DD"/>
    <w:rsid w:val="0029344C"/>
    <w:rsid w:val="002937A8"/>
    <w:rsid w:val="00293B09"/>
    <w:rsid w:val="00293F94"/>
    <w:rsid w:val="0029433A"/>
    <w:rsid w:val="00294AB3"/>
    <w:rsid w:val="00295090"/>
    <w:rsid w:val="0029529E"/>
    <w:rsid w:val="002955C1"/>
    <w:rsid w:val="002966C5"/>
    <w:rsid w:val="002966E0"/>
    <w:rsid w:val="0029698F"/>
    <w:rsid w:val="00296E65"/>
    <w:rsid w:val="002979AC"/>
    <w:rsid w:val="002979E1"/>
    <w:rsid w:val="00297ADF"/>
    <w:rsid w:val="00297F22"/>
    <w:rsid w:val="002A035B"/>
    <w:rsid w:val="002A0778"/>
    <w:rsid w:val="002A0BD0"/>
    <w:rsid w:val="002A0EF6"/>
    <w:rsid w:val="002A12A3"/>
    <w:rsid w:val="002A18F2"/>
    <w:rsid w:val="002A1A29"/>
    <w:rsid w:val="002A2037"/>
    <w:rsid w:val="002A24FF"/>
    <w:rsid w:val="002A2BAB"/>
    <w:rsid w:val="002A2D2A"/>
    <w:rsid w:val="002A32CD"/>
    <w:rsid w:val="002A377D"/>
    <w:rsid w:val="002A37A7"/>
    <w:rsid w:val="002A3802"/>
    <w:rsid w:val="002A4613"/>
    <w:rsid w:val="002A4CBC"/>
    <w:rsid w:val="002A4FEC"/>
    <w:rsid w:val="002A50BE"/>
    <w:rsid w:val="002A5169"/>
    <w:rsid w:val="002A542B"/>
    <w:rsid w:val="002A54D1"/>
    <w:rsid w:val="002A6137"/>
    <w:rsid w:val="002A6528"/>
    <w:rsid w:val="002A6837"/>
    <w:rsid w:val="002A70A5"/>
    <w:rsid w:val="002A731C"/>
    <w:rsid w:val="002A786A"/>
    <w:rsid w:val="002A7A13"/>
    <w:rsid w:val="002A7AC5"/>
    <w:rsid w:val="002B020E"/>
    <w:rsid w:val="002B05A4"/>
    <w:rsid w:val="002B0DCD"/>
    <w:rsid w:val="002B12A8"/>
    <w:rsid w:val="002B15F4"/>
    <w:rsid w:val="002B1E99"/>
    <w:rsid w:val="002B2004"/>
    <w:rsid w:val="002B2690"/>
    <w:rsid w:val="002B276D"/>
    <w:rsid w:val="002B2C7D"/>
    <w:rsid w:val="002B2CD2"/>
    <w:rsid w:val="002B2FDC"/>
    <w:rsid w:val="002B320C"/>
    <w:rsid w:val="002B34D1"/>
    <w:rsid w:val="002B3774"/>
    <w:rsid w:val="002B3CAC"/>
    <w:rsid w:val="002B3F7C"/>
    <w:rsid w:val="002B4772"/>
    <w:rsid w:val="002B48E4"/>
    <w:rsid w:val="002B507D"/>
    <w:rsid w:val="002B569D"/>
    <w:rsid w:val="002B57B3"/>
    <w:rsid w:val="002B64C0"/>
    <w:rsid w:val="002B6C7F"/>
    <w:rsid w:val="002B716D"/>
    <w:rsid w:val="002B7618"/>
    <w:rsid w:val="002B7759"/>
    <w:rsid w:val="002B7967"/>
    <w:rsid w:val="002B7F25"/>
    <w:rsid w:val="002C0A3E"/>
    <w:rsid w:val="002C0A99"/>
    <w:rsid w:val="002C0F49"/>
    <w:rsid w:val="002C18F1"/>
    <w:rsid w:val="002C1C75"/>
    <w:rsid w:val="002C1DDB"/>
    <w:rsid w:val="002C266B"/>
    <w:rsid w:val="002C27C1"/>
    <w:rsid w:val="002C2ACE"/>
    <w:rsid w:val="002C2BD4"/>
    <w:rsid w:val="002C2ED5"/>
    <w:rsid w:val="002C2FD9"/>
    <w:rsid w:val="002C3119"/>
    <w:rsid w:val="002C3711"/>
    <w:rsid w:val="002C448D"/>
    <w:rsid w:val="002C4DE7"/>
    <w:rsid w:val="002C4E51"/>
    <w:rsid w:val="002C4EBF"/>
    <w:rsid w:val="002C51CF"/>
    <w:rsid w:val="002C52DF"/>
    <w:rsid w:val="002C542A"/>
    <w:rsid w:val="002C6560"/>
    <w:rsid w:val="002C657A"/>
    <w:rsid w:val="002C6739"/>
    <w:rsid w:val="002C696E"/>
    <w:rsid w:val="002C6AD9"/>
    <w:rsid w:val="002C6EEE"/>
    <w:rsid w:val="002C7C9F"/>
    <w:rsid w:val="002C7E77"/>
    <w:rsid w:val="002C7F1C"/>
    <w:rsid w:val="002C7FEA"/>
    <w:rsid w:val="002D030C"/>
    <w:rsid w:val="002D0561"/>
    <w:rsid w:val="002D07AB"/>
    <w:rsid w:val="002D0BA1"/>
    <w:rsid w:val="002D0E97"/>
    <w:rsid w:val="002D132D"/>
    <w:rsid w:val="002D22EB"/>
    <w:rsid w:val="002D29E0"/>
    <w:rsid w:val="002D2B9D"/>
    <w:rsid w:val="002D3A54"/>
    <w:rsid w:val="002D3D52"/>
    <w:rsid w:val="002D3DB7"/>
    <w:rsid w:val="002D4BC8"/>
    <w:rsid w:val="002D5508"/>
    <w:rsid w:val="002D6B31"/>
    <w:rsid w:val="002D78E2"/>
    <w:rsid w:val="002D7B69"/>
    <w:rsid w:val="002E00ED"/>
    <w:rsid w:val="002E04CF"/>
    <w:rsid w:val="002E0B72"/>
    <w:rsid w:val="002E0CAC"/>
    <w:rsid w:val="002E13AB"/>
    <w:rsid w:val="002E1ACD"/>
    <w:rsid w:val="002E1C5A"/>
    <w:rsid w:val="002E1F68"/>
    <w:rsid w:val="002E20EB"/>
    <w:rsid w:val="002E22D8"/>
    <w:rsid w:val="002E2524"/>
    <w:rsid w:val="002E29E8"/>
    <w:rsid w:val="002E356B"/>
    <w:rsid w:val="002E3968"/>
    <w:rsid w:val="002E3CC3"/>
    <w:rsid w:val="002E4241"/>
    <w:rsid w:val="002E43DA"/>
    <w:rsid w:val="002E4BC5"/>
    <w:rsid w:val="002E4D62"/>
    <w:rsid w:val="002E4F0E"/>
    <w:rsid w:val="002E543B"/>
    <w:rsid w:val="002E5B2E"/>
    <w:rsid w:val="002E5F1B"/>
    <w:rsid w:val="002E639F"/>
    <w:rsid w:val="002E6440"/>
    <w:rsid w:val="002E64E6"/>
    <w:rsid w:val="002E6685"/>
    <w:rsid w:val="002E69AF"/>
    <w:rsid w:val="002E6AC4"/>
    <w:rsid w:val="002E6E2C"/>
    <w:rsid w:val="002E6EA1"/>
    <w:rsid w:val="002E730C"/>
    <w:rsid w:val="002E73BA"/>
    <w:rsid w:val="002E79F8"/>
    <w:rsid w:val="002F04C3"/>
    <w:rsid w:val="002F0CF1"/>
    <w:rsid w:val="002F0D0C"/>
    <w:rsid w:val="002F0E08"/>
    <w:rsid w:val="002F1482"/>
    <w:rsid w:val="002F1558"/>
    <w:rsid w:val="002F17A8"/>
    <w:rsid w:val="002F2174"/>
    <w:rsid w:val="002F24D9"/>
    <w:rsid w:val="002F24FF"/>
    <w:rsid w:val="002F2665"/>
    <w:rsid w:val="002F27B9"/>
    <w:rsid w:val="002F2975"/>
    <w:rsid w:val="002F2EEC"/>
    <w:rsid w:val="002F3178"/>
    <w:rsid w:val="002F364E"/>
    <w:rsid w:val="002F3816"/>
    <w:rsid w:val="002F39AA"/>
    <w:rsid w:val="002F4F30"/>
    <w:rsid w:val="002F511E"/>
    <w:rsid w:val="002F5682"/>
    <w:rsid w:val="002F5777"/>
    <w:rsid w:val="002F587E"/>
    <w:rsid w:val="002F58EB"/>
    <w:rsid w:val="002F5B57"/>
    <w:rsid w:val="002F5DD6"/>
    <w:rsid w:val="002F5E99"/>
    <w:rsid w:val="002F6D3F"/>
    <w:rsid w:val="002F6E56"/>
    <w:rsid w:val="002F70F7"/>
    <w:rsid w:val="002F7321"/>
    <w:rsid w:val="002F775E"/>
    <w:rsid w:val="002F7933"/>
    <w:rsid w:val="002F799C"/>
    <w:rsid w:val="002F7A2F"/>
    <w:rsid w:val="002F7DDD"/>
    <w:rsid w:val="0030015C"/>
    <w:rsid w:val="00300614"/>
    <w:rsid w:val="00300990"/>
    <w:rsid w:val="00300C6F"/>
    <w:rsid w:val="00301724"/>
    <w:rsid w:val="0030179B"/>
    <w:rsid w:val="00302688"/>
    <w:rsid w:val="00302B0C"/>
    <w:rsid w:val="00303469"/>
    <w:rsid w:val="0030361A"/>
    <w:rsid w:val="00303CED"/>
    <w:rsid w:val="003040CA"/>
    <w:rsid w:val="00304708"/>
    <w:rsid w:val="00304781"/>
    <w:rsid w:val="003050D4"/>
    <w:rsid w:val="0030514C"/>
    <w:rsid w:val="00305716"/>
    <w:rsid w:val="00305C3B"/>
    <w:rsid w:val="00305DAE"/>
    <w:rsid w:val="00305EEA"/>
    <w:rsid w:val="003062A3"/>
    <w:rsid w:val="00306690"/>
    <w:rsid w:val="0030687C"/>
    <w:rsid w:val="00306C04"/>
    <w:rsid w:val="00306EBC"/>
    <w:rsid w:val="00307723"/>
    <w:rsid w:val="0030784F"/>
    <w:rsid w:val="00307D93"/>
    <w:rsid w:val="00307DED"/>
    <w:rsid w:val="00307E98"/>
    <w:rsid w:val="00310008"/>
    <w:rsid w:val="00310083"/>
    <w:rsid w:val="00310D3C"/>
    <w:rsid w:val="00310E87"/>
    <w:rsid w:val="00310ED4"/>
    <w:rsid w:val="00310FC0"/>
    <w:rsid w:val="003115BA"/>
    <w:rsid w:val="00311D53"/>
    <w:rsid w:val="00312303"/>
    <w:rsid w:val="00312778"/>
    <w:rsid w:val="003128B8"/>
    <w:rsid w:val="00312BAA"/>
    <w:rsid w:val="00312CBF"/>
    <w:rsid w:val="00313606"/>
    <w:rsid w:val="00313708"/>
    <w:rsid w:val="0031380B"/>
    <w:rsid w:val="00313985"/>
    <w:rsid w:val="00313FD8"/>
    <w:rsid w:val="00314091"/>
    <w:rsid w:val="00314488"/>
    <w:rsid w:val="0031492A"/>
    <w:rsid w:val="00314A56"/>
    <w:rsid w:val="0031536A"/>
    <w:rsid w:val="00315D06"/>
    <w:rsid w:val="00315EC5"/>
    <w:rsid w:val="00316254"/>
    <w:rsid w:val="00316504"/>
    <w:rsid w:val="003167D7"/>
    <w:rsid w:val="00316C1A"/>
    <w:rsid w:val="00316CCB"/>
    <w:rsid w:val="00316EC0"/>
    <w:rsid w:val="00317403"/>
    <w:rsid w:val="0031769D"/>
    <w:rsid w:val="00317AF2"/>
    <w:rsid w:val="00320222"/>
    <w:rsid w:val="003203E2"/>
    <w:rsid w:val="00320551"/>
    <w:rsid w:val="00320854"/>
    <w:rsid w:val="00320A68"/>
    <w:rsid w:val="003215DE"/>
    <w:rsid w:val="00321AF0"/>
    <w:rsid w:val="00321E81"/>
    <w:rsid w:val="00321F15"/>
    <w:rsid w:val="00321F43"/>
    <w:rsid w:val="00322B0A"/>
    <w:rsid w:val="00322BC9"/>
    <w:rsid w:val="00322D01"/>
    <w:rsid w:val="00322E52"/>
    <w:rsid w:val="00322FA2"/>
    <w:rsid w:val="003232E2"/>
    <w:rsid w:val="00324062"/>
    <w:rsid w:val="003242A8"/>
    <w:rsid w:val="003246EC"/>
    <w:rsid w:val="00324892"/>
    <w:rsid w:val="00324B51"/>
    <w:rsid w:val="00325A99"/>
    <w:rsid w:val="00326473"/>
    <w:rsid w:val="003266E8"/>
    <w:rsid w:val="003268C2"/>
    <w:rsid w:val="003269EC"/>
    <w:rsid w:val="00326DE2"/>
    <w:rsid w:val="0032717D"/>
    <w:rsid w:val="0032787E"/>
    <w:rsid w:val="00327EC1"/>
    <w:rsid w:val="00327F0A"/>
    <w:rsid w:val="00327FF4"/>
    <w:rsid w:val="003300D4"/>
    <w:rsid w:val="00330280"/>
    <w:rsid w:val="00330581"/>
    <w:rsid w:val="003308F5"/>
    <w:rsid w:val="00330A76"/>
    <w:rsid w:val="003310F8"/>
    <w:rsid w:val="00331970"/>
    <w:rsid w:val="00331CDA"/>
    <w:rsid w:val="00332661"/>
    <w:rsid w:val="00332964"/>
    <w:rsid w:val="00332B14"/>
    <w:rsid w:val="00332FEF"/>
    <w:rsid w:val="003332B6"/>
    <w:rsid w:val="00333B85"/>
    <w:rsid w:val="00333BE0"/>
    <w:rsid w:val="00333C13"/>
    <w:rsid w:val="00333D2B"/>
    <w:rsid w:val="00333D7E"/>
    <w:rsid w:val="00334703"/>
    <w:rsid w:val="00334741"/>
    <w:rsid w:val="00334916"/>
    <w:rsid w:val="003358DB"/>
    <w:rsid w:val="00335A73"/>
    <w:rsid w:val="00335A96"/>
    <w:rsid w:val="003362AA"/>
    <w:rsid w:val="003363A5"/>
    <w:rsid w:val="00336D0F"/>
    <w:rsid w:val="0033750A"/>
    <w:rsid w:val="003400D0"/>
    <w:rsid w:val="003402EA"/>
    <w:rsid w:val="00340618"/>
    <w:rsid w:val="00340CA8"/>
    <w:rsid w:val="0034133D"/>
    <w:rsid w:val="00341709"/>
    <w:rsid w:val="00341AC8"/>
    <w:rsid w:val="00341B40"/>
    <w:rsid w:val="00341CF5"/>
    <w:rsid w:val="00342789"/>
    <w:rsid w:val="003427FD"/>
    <w:rsid w:val="00342D0D"/>
    <w:rsid w:val="00343889"/>
    <w:rsid w:val="00343C66"/>
    <w:rsid w:val="00343D09"/>
    <w:rsid w:val="0034476E"/>
    <w:rsid w:val="00344AAE"/>
    <w:rsid w:val="00345319"/>
    <w:rsid w:val="003459DA"/>
    <w:rsid w:val="00345AFE"/>
    <w:rsid w:val="00345FF4"/>
    <w:rsid w:val="0034627B"/>
    <w:rsid w:val="00346394"/>
    <w:rsid w:val="0034726E"/>
    <w:rsid w:val="003474D1"/>
    <w:rsid w:val="00347699"/>
    <w:rsid w:val="0034772A"/>
    <w:rsid w:val="00347831"/>
    <w:rsid w:val="003478BA"/>
    <w:rsid w:val="00347DFE"/>
    <w:rsid w:val="0035019D"/>
    <w:rsid w:val="003502DD"/>
    <w:rsid w:val="00350F0D"/>
    <w:rsid w:val="0035137F"/>
    <w:rsid w:val="003515A3"/>
    <w:rsid w:val="0035190B"/>
    <w:rsid w:val="003519F7"/>
    <w:rsid w:val="00351A7F"/>
    <w:rsid w:val="00352412"/>
    <w:rsid w:val="003524E7"/>
    <w:rsid w:val="003527E7"/>
    <w:rsid w:val="0035281F"/>
    <w:rsid w:val="00352AC0"/>
    <w:rsid w:val="0035389B"/>
    <w:rsid w:val="00353C71"/>
    <w:rsid w:val="00353CE1"/>
    <w:rsid w:val="00353D45"/>
    <w:rsid w:val="00353D4E"/>
    <w:rsid w:val="00353F00"/>
    <w:rsid w:val="00354335"/>
    <w:rsid w:val="00354B3F"/>
    <w:rsid w:val="00354F40"/>
    <w:rsid w:val="003554ED"/>
    <w:rsid w:val="0035550A"/>
    <w:rsid w:val="00355B86"/>
    <w:rsid w:val="0035749E"/>
    <w:rsid w:val="003574AF"/>
    <w:rsid w:val="0035757C"/>
    <w:rsid w:val="0035785E"/>
    <w:rsid w:val="00357A1B"/>
    <w:rsid w:val="00357B30"/>
    <w:rsid w:val="00357B70"/>
    <w:rsid w:val="00357D66"/>
    <w:rsid w:val="00357E52"/>
    <w:rsid w:val="00360021"/>
    <w:rsid w:val="00360098"/>
    <w:rsid w:val="003602BF"/>
    <w:rsid w:val="003612DF"/>
    <w:rsid w:val="003613D3"/>
    <w:rsid w:val="0036202C"/>
    <w:rsid w:val="003623E0"/>
    <w:rsid w:val="0036281A"/>
    <w:rsid w:val="00362A3B"/>
    <w:rsid w:val="00362C9D"/>
    <w:rsid w:val="00362E0C"/>
    <w:rsid w:val="003631D0"/>
    <w:rsid w:val="00363352"/>
    <w:rsid w:val="003634C1"/>
    <w:rsid w:val="00363927"/>
    <w:rsid w:val="00363A49"/>
    <w:rsid w:val="00363D69"/>
    <w:rsid w:val="0036415D"/>
    <w:rsid w:val="00364989"/>
    <w:rsid w:val="00364CE7"/>
    <w:rsid w:val="00365982"/>
    <w:rsid w:val="00365AF0"/>
    <w:rsid w:val="00365B19"/>
    <w:rsid w:val="00365DC6"/>
    <w:rsid w:val="00365EAB"/>
    <w:rsid w:val="003663E3"/>
    <w:rsid w:val="00366402"/>
    <w:rsid w:val="0036678E"/>
    <w:rsid w:val="0036690B"/>
    <w:rsid w:val="00367089"/>
    <w:rsid w:val="00367C3A"/>
    <w:rsid w:val="00370865"/>
    <w:rsid w:val="00370895"/>
    <w:rsid w:val="00370B00"/>
    <w:rsid w:val="00370B95"/>
    <w:rsid w:val="00370CC1"/>
    <w:rsid w:val="00370F74"/>
    <w:rsid w:val="00371847"/>
    <w:rsid w:val="00372252"/>
    <w:rsid w:val="003728B3"/>
    <w:rsid w:val="00372DEF"/>
    <w:rsid w:val="00373C49"/>
    <w:rsid w:val="00373C77"/>
    <w:rsid w:val="00374633"/>
    <w:rsid w:val="0037473C"/>
    <w:rsid w:val="003753F6"/>
    <w:rsid w:val="003756C5"/>
    <w:rsid w:val="00375FD5"/>
    <w:rsid w:val="003763C2"/>
    <w:rsid w:val="0037654D"/>
    <w:rsid w:val="0037674E"/>
    <w:rsid w:val="0037735B"/>
    <w:rsid w:val="00377658"/>
    <w:rsid w:val="00377C8F"/>
    <w:rsid w:val="003803B5"/>
    <w:rsid w:val="0038067B"/>
    <w:rsid w:val="00380715"/>
    <w:rsid w:val="00380CED"/>
    <w:rsid w:val="003811EF"/>
    <w:rsid w:val="00381510"/>
    <w:rsid w:val="0038190F"/>
    <w:rsid w:val="00381B10"/>
    <w:rsid w:val="00382368"/>
    <w:rsid w:val="003827B7"/>
    <w:rsid w:val="0038327E"/>
    <w:rsid w:val="00383B3D"/>
    <w:rsid w:val="00383F0C"/>
    <w:rsid w:val="003842FB"/>
    <w:rsid w:val="003844CC"/>
    <w:rsid w:val="00384C81"/>
    <w:rsid w:val="003850F5"/>
    <w:rsid w:val="00385493"/>
    <w:rsid w:val="00385569"/>
    <w:rsid w:val="003856E1"/>
    <w:rsid w:val="00385FC7"/>
    <w:rsid w:val="00386023"/>
    <w:rsid w:val="003860A9"/>
    <w:rsid w:val="0038664F"/>
    <w:rsid w:val="003869A6"/>
    <w:rsid w:val="00386B9D"/>
    <w:rsid w:val="003903B6"/>
    <w:rsid w:val="00390690"/>
    <w:rsid w:val="00390777"/>
    <w:rsid w:val="0039091B"/>
    <w:rsid w:val="003914FC"/>
    <w:rsid w:val="003915E8"/>
    <w:rsid w:val="00391A8B"/>
    <w:rsid w:val="00391AF4"/>
    <w:rsid w:val="00391F82"/>
    <w:rsid w:val="003924CD"/>
    <w:rsid w:val="003924F0"/>
    <w:rsid w:val="00392702"/>
    <w:rsid w:val="003927A5"/>
    <w:rsid w:val="00392BAE"/>
    <w:rsid w:val="003931C7"/>
    <w:rsid w:val="00393256"/>
    <w:rsid w:val="00393D54"/>
    <w:rsid w:val="00393D55"/>
    <w:rsid w:val="00393EE0"/>
    <w:rsid w:val="00393F7C"/>
    <w:rsid w:val="00394264"/>
    <w:rsid w:val="00394789"/>
    <w:rsid w:val="00394C8D"/>
    <w:rsid w:val="00394DC3"/>
    <w:rsid w:val="003955AE"/>
    <w:rsid w:val="00395B25"/>
    <w:rsid w:val="00395C83"/>
    <w:rsid w:val="00395F10"/>
    <w:rsid w:val="003963C2"/>
    <w:rsid w:val="003963CC"/>
    <w:rsid w:val="00396654"/>
    <w:rsid w:val="003972AD"/>
    <w:rsid w:val="003978C0"/>
    <w:rsid w:val="00397F67"/>
    <w:rsid w:val="003A04D7"/>
    <w:rsid w:val="003A0C31"/>
    <w:rsid w:val="003A0F7A"/>
    <w:rsid w:val="003A15A9"/>
    <w:rsid w:val="003A1E53"/>
    <w:rsid w:val="003A28A0"/>
    <w:rsid w:val="003A2DBE"/>
    <w:rsid w:val="003A36D2"/>
    <w:rsid w:val="003A3CD4"/>
    <w:rsid w:val="003A460B"/>
    <w:rsid w:val="003A4960"/>
    <w:rsid w:val="003A4BDF"/>
    <w:rsid w:val="003A4C85"/>
    <w:rsid w:val="003A4EB0"/>
    <w:rsid w:val="003A5308"/>
    <w:rsid w:val="003A533F"/>
    <w:rsid w:val="003A55FF"/>
    <w:rsid w:val="003A586A"/>
    <w:rsid w:val="003A5B61"/>
    <w:rsid w:val="003A5BC4"/>
    <w:rsid w:val="003A5E8D"/>
    <w:rsid w:val="003A6056"/>
    <w:rsid w:val="003A662F"/>
    <w:rsid w:val="003A6917"/>
    <w:rsid w:val="003A6B8A"/>
    <w:rsid w:val="003A6F3B"/>
    <w:rsid w:val="003A78BB"/>
    <w:rsid w:val="003A792A"/>
    <w:rsid w:val="003A7ACB"/>
    <w:rsid w:val="003A7B08"/>
    <w:rsid w:val="003B0545"/>
    <w:rsid w:val="003B08C0"/>
    <w:rsid w:val="003B08C9"/>
    <w:rsid w:val="003B11DF"/>
    <w:rsid w:val="003B16DC"/>
    <w:rsid w:val="003B18A7"/>
    <w:rsid w:val="003B1A0A"/>
    <w:rsid w:val="003B1B47"/>
    <w:rsid w:val="003B1B93"/>
    <w:rsid w:val="003B24C9"/>
    <w:rsid w:val="003B25D3"/>
    <w:rsid w:val="003B2CB3"/>
    <w:rsid w:val="003B3B23"/>
    <w:rsid w:val="003B3B69"/>
    <w:rsid w:val="003B3D2E"/>
    <w:rsid w:val="003B4067"/>
    <w:rsid w:val="003B40CF"/>
    <w:rsid w:val="003B442C"/>
    <w:rsid w:val="003B486F"/>
    <w:rsid w:val="003B4EAD"/>
    <w:rsid w:val="003B50D0"/>
    <w:rsid w:val="003B5697"/>
    <w:rsid w:val="003B5DD3"/>
    <w:rsid w:val="003B6048"/>
    <w:rsid w:val="003B7173"/>
    <w:rsid w:val="003B7933"/>
    <w:rsid w:val="003B7C97"/>
    <w:rsid w:val="003C03B1"/>
    <w:rsid w:val="003C0C1C"/>
    <w:rsid w:val="003C0EE0"/>
    <w:rsid w:val="003C282C"/>
    <w:rsid w:val="003C2882"/>
    <w:rsid w:val="003C33DD"/>
    <w:rsid w:val="003C34F1"/>
    <w:rsid w:val="003C3A07"/>
    <w:rsid w:val="003C3BB9"/>
    <w:rsid w:val="003C3F07"/>
    <w:rsid w:val="003C4008"/>
    <w:rsid w:val="003C4AD4"/>
    <w:rsid w:val="003C5304"/>
    <w:rsid w:val="003C5551"/>
    <w:rsid w:val="003C561E"/>
    <w:rsid w:val="003C5676"/>
    <w:rsid w:val="003C5A29"/>
    <w:rsid w:val="003C6384"/>
    <w:rsid w:val="003C68FF"/>
    <w:rsid w:val="003C6938"/>
    <w:rsid w:val="003C6FF4"/>
    <w:rsid w:val="003C7741"/>
    <w:rsid w:val="003D0211"/>
    <w:rsid w:val="003D0AE3"/>
    <w:rsid w:val="003D1544"/>
    <w:rsid w:val="003D1907"/>
    <w:rsid w:val="003D1E76"/>
    <w:rsid w:val="003D1F7C"/>
    <w:rsid w:val="003D1FB6"/>
    <w:rsid w:val="003D2F3C"/>
    <w:rsid w:val="003D30AE"/>
    <w:rsid w:val="003D375C"/>
    <w:rsid w:val="003D3D5B"/>
    <w:rsid w:val="003D4038"/>
    <w:rsid w:val="003D4264"/>
    <w:rsid w:val="003D4A35"/>
    <w:rsid w:val="003D4DCC"/>
    <w:rsid w:val="003D51FA"/>
    <w:rsid w:val="003D5575"/>
    <w:rsid w:val="003D5B1C"/>
    <w:rsid w:val="003D5D7A"/>
    <w:rsid w:val="003D5E0D"/>
    <w:rsid w:val="003D5E82"/>
    <w:rsid w:val="003D60EC"/>
    <w:rsid w:val="003D65AD"/>
    <w:rsid w:val="003D667E"/>
    <w:rsid w:val="003D6783"/>
    <w:rsid w:val="003D6E60"/>
    <w:rsid w:val="003D6FF1"/>
    <w:rsid w:val="003D74A9"/>
    <w:rsid w:val="003D79D8"/>
    <w:rsid w:val="003D7E2C"/>
    <w:rsid w:val="003E0113"/>
    <w:rsid w:val="003E034C"/>
    <w:rsid w:val="003E0732"/>
    <w:rsid w:val="003E08BE"/>
    <w:rsid w:val="003E0AC5"/>
    <w:rsid w:val="003E0B96"/>
    <w:rsid w:val="003E0D36"/>
    <w:rsid w:val="003E18CC"/>
    <w:rsid w:val="003E2AE2"/>
    <w:rsid w:val="003E2C27"/>
    <w:rsid w:val="003E2D01"/>
    <w:rsid w:val="003E2F2F"/>
    <w:rsid w:val="003E32AF"/>
    <w:rsid w:val="003E3D80"/>
    <w:rsid w:val="003E40C7"/>
    <w:rsid w:val="003E463C"/>
    <w:rsid w:val="003E4A95"/>
    <w:rsid w:val="003E5279"/>
    <w:rsid w:val="003E5465"/>
    <w:rsid w:val="003E57E1"/>
    <w:rsid w:val="003E5A09"/>
    <w:rsid w:val="003E5C8E"/>
    <w:rsid w:val="003E5EAB"/>
    <w:rsid w:val="003E5F28"/>
    <w:rsid w:val="003E6648"/>
    <w:rsid w:val="003E6808"/>
    <w:rsid w:val="003E6C4A"/>
    <w:rsid w:val="003E6E37"/>
    <w:rsid w:val="003E72A9"/>
    <w:rsid w:val="003E72B4"/>
    <w:rsid w:val="003E74FC"/>
    <w:rsid w:val="003E76C6"/>
    <w:rsid w:val="003F0044"/>
    <w:rsid w:val="003F0213"/>
    <w:rsid w:val="003F0296"/>
    <w:rsid w:val="003F041A"/>
    <w:rsid w:val="003F05FC"/>
    <w:rsid w:val="003F0CEE"/>
    <w:rsid w:val="003F0F0E"/>
    <w:rsid w:val="003F153B"/>
    <w:rsid w:val="003F16F8"/>
    <w:rsid w:val="003F1739"/>
    <w:rsid w:val="003F1ED1"/>
    <w:rsid w:val="003F2287"/>
    <w:rsid w:val="003F2684"/>
    <w:rsid w:val="003F362F"/>
    <w:rsid w:val="003F3D62"/>
    <w:rsid w:val="003F3D7B"/>
    <w:rsid w:val="003F3ECD"/>
    <w:rsid w:val="003F3FFB"/>
    <w:rsid w:val="003F43C4"/>
    <w:rsid w:val="003F44E1"/>
    <w:rsid w:val="003F465C"/>
    <w:rsid w:val="003F491A"/>
    <w:rsid w:val="003F4D47"/>
    <w:rsid w:val="003F51C1"/>
    <w:rsid w:val="003F526C"/>
    <w:rsid w:val="003F6136"/>
    <w:rsid w:val="003F64D8"/>
    <w:rsid w:val="003F654B"/>
    <w:rsid w:val="003F65FA"/>
    <w:rsid w:val="003F6AFF"/>
    <w:rsid w:val="003F72C2"/>
    <w:rsid w:val="003F734E"/>
    <w:rsid w:val="0040002C"/>
    <w:rsid w:val="004003DD"/>
    <w:rsid w:val="00400426"/>
    <w:rsid w:val="004009A2"/>
    <w:rsid w:val="00400C7E"/>
    <w:rsid w:val="00400F51"/>
    <w:rsid w:val="00401BEB"/>
    <w:rsid w:val="004028DE"/>
    <w:rsid w:val="00402E08"/>
    <w:rsid w:val="004035E8"/>
    <w:rsid w:val="004037DF"/>
    <w:rsid w:val="0040394C"/>
    <w:rsid w:val="00403BAB"/>
    <w:rsid w:val="00403BEA"/>
    <w:rsid w:val="00403FD3"/>
    <w:rsid w:val="004044F6"/>
    <w:rsid w:val="00404570"/>
    <w:rsid w:val="004047D1"/>
    <w:rsid w:val="004051E1"/>
    <w:rsid w:val="00405900"/>
    <w:rsid w:val="00406A38"/>
    <w:rsid w:val="004078EE"/>
    <w:rsid w:val="0041117C"/>
    <w:rsid w:val="00411278"/>
    <w:rsid w:val="00411A9E"/>
    <w:rsid w:val="00412149"/>
    <w:rsid w:val="00412F33"/>
    <w:rsid w:val="00412FE3"/>
    <w:rsid w:val="00413296"/>
    <w:rsid w:val="00413344"/>
    <w:rsid w:val="00414E57"/>
    <w:rsid w:val="00414F9D"/>
    <w:rsid w:val="00415586"/>
    <w:rsid w:val="00415690"/>
    <w:rsid w:val="0041573B"/>
    <w:rsid w:val="00415B6A"/>
    <w:rsid w:val="00415E66"/>
    <w:rsid w:val="00415EB3"/>
    <w:rsid w:val="0041629C"/>
    <w:rsid w:val="004162BC"/>
    <w:rsid w:val="00416740"/>
    <w:rsid w:val="00416930"/>
    <w:rsid w:val="00416EF6"/>
    <w:rsid w:val="00417638"/>
    <w:rsid w:val="004179FB"/>
    <w:rsid w:val="00417A7E"/>
    <w:rsid w:val="00420299"/>
    <w:rsid w:val="004208BA"/>
    <w:rsid w:val="00420B81"/>
    <w:rsid w:val="004215B3"/>
    <w:rsid w:val="00421831"/>
    <w:rsid w:val="00421934"/>
    <w:rsid w:val="00421D3D"/>
    <w:rsid w:val="00422FED"/>
    <w:rsid w:val="0042322A"/>
    <w:rsid w:val="0042332D"/>
    <w:rsid w:val="00423559"/>
    <w:rsid w:val="004235C7"/>
    <w:rsid w:val="00423893"/>
    <w:rsid w:val="0042447B"/>
    <w:rsid w:val="00424B40"/>
    <w:rsid w:val="00424B52"/>
    <w:rsid w:val="004250D2"/>
    <w:rsid w:val="00425388"/>
    <w:rsid w:val="00425393"/>
    <w:rsid w:val="004255D7"/>
    <w:rsid w:val="00425726"/>
    <w:rsid w:val="004257D2"/>
    <w:rsid w:val="004258EF"/>
    <w:rsid w:val="00425A31"/>
    <w:rsid w:val="00425D33"/>
    <w:rsid w:val="00425D58"/>
    <w:rsid w:val="00425E41"/>
    <w:rsid w:val="00425EDD"/>
    <w:rsid w:val="00427EE2"/>
    <w:rsid w:val="00430201"/>
    <w:rsid w:val="00430AAD"/>
    <w:rsid w:val="00430D6B"/>
    <w:rsid w:val="00430F93"/>
    <w:rsid w:val="004327CC"/>
    <w:rsid w:val="00432961"/>
    <w:rsid w:val="00432E25"/>
    <w:rsid w:val="0043367C"/>
    <w:rsid w:val="00433B14"/>
    <w:rsid w:val="00434584"/>
    <w:rsid w:val="00434CA6"/>
    <w:rsid w:val="00434E3D"/>
    <w:rsid w:val="00434EF2"/>
    <w:rsid w:val="00435274"/>
    <w:rsid w:val="00435433"/>
    <w:rsid w:val="00435767"/>
    <w:rsid w:val="00435985"/>
    <w:rsid w:val="00435BFA"/>
    <w:rsid w:val="00435D4F"/>
    <w:rsid w:val="00436177"/>
    <w:rsid w:val="004364E4"/>
    <w:rsid w:val="0043672A"/>
    <w:rsid w:val="004367D0"/>
    <w:rsid w:val="004371BD"/>
    <w:rsid w:val="00437BE3"/>
    <w:rsid w:val="00437D9E"/>
    <w:rsid w:val="00437EFA"/>
    <w:rsid w:val="00441141"/>
    <w:rsid w:val="00441ED8"/>
    <w:rsid w:val="004421E8"/>
    <w:rsid w:val="00442663"/>
    <w:rsid w:val="00442EFF"/>
    <w:rsid w:val="00443699"/>
    <w:rsid w:val="00443D58"/>
    <w:rsid w:val="00444303"/>
    <w:rsid w:val="00445281"/>
    <w:rsid w:val="00446482"/>
    <w:rsid w:val="00446D54"/>
    <w:rsid w:val="00446E0C"/>
    <w:rsid w:val="00447898"/>
    <w:rsid w:val="00447ACE"/>
    <w:rsid w:val="00450458"/>
    <w:rsid w:val="00450505"/>
    <w:rsid w:val="004508EC"/>
    <w:rsid w:val="00450D03"/>
    <w:rsid w:val="00451AF8"/>
    <w:rsid w:val="00451B9C"/>
    <w:rsid w:val="00451E44"/>
    <w:rsid w:val="004529D6"/>
    <w:rsid w:val="00453AF8"/>
    <w:rsid w:val="0045445C"/>
    <w:rsid w:val="0045466A"/>
    <w:rsid w:val="00455C7E"/>
    <w:rsid w:val="004561BE"/>
    <w:rsid w:val="0045630F"/>
    <w:rsid w:val="00456325"/>
    <w:rsid w:val="0045686E"/>
    <w:rsid w:val="00456ECB"/>
    <w:rsid w:val="0045710E"/>
    <w:rsid w:val="0045731D"/>
    <w:rsid w:val="00457464"/>
    <w:rsid w:val="00457E52"/>
    <w:rsid w:val="004603F4"/>
    <w:rsid w:val="00460C17"/>
    <w:rsid w:val="00462312"/>
    <w:rsid w:val="00462D4C"/>
    <w:rsid w:val="00463414"/>
    <w:rsid w:val="004634A8"/>
    <w:rsid w:val="0046360C"/>
    <w:rsid w:val="00463762"/>
    <w:rsid w:val="00463A5B"/>
    <w:rsid w:val="0046412F"/>
    <w:rsid w:val="004643E8"/>
    <w:rsid w:val="0046472A"/>
    <w:rsid w:val="00465183"/>
    <w:rsid w:val="004651DF"/>
    <w:rsid w:val="00465A3B"/>
    <w:rsid w:val="00465CA8"/>
    <w:rsid w:val="00465E7C"/>
    <w:rsid w:val="004664BA"/>
    <w:rsid w:val="004666CA"/>
    <w:rsid w:val="00466B54"/>
    <w:rsid w:val="00467298"/>
    <w:rsid w:val="004710D0"/>
    <w:rsid w:val="004712E9"/>
    <w:rsid w:val="00471CBB"/>
    <w:rsid w:val="0047213F"/>
    <w:rsid w:val="004723E3"/>
    <w:rsid w:val="0047242F"/>
    <w:rsid w:val="004724B0"/>
    <w:rsid w:val="00472B66"/>
    <w:rsid w:val="00472EB0"/>
    <w:rsid w:val="00472F12"/>
    <w:rsid w:val="00472F90"/>
    <w:rsid w:val="00473916"/>
    <w:rsid w:val="00473A7E"/>
    <w:rsid w:val="00473C3A"/>
    <w:rsid w:val="00473DB9"/>
    <w:rsid w:val="00473DEB"/>
    <w:rsid w:val="00473F56"/>
    <w:rsid w:val="00474063"/>
    <w:rsid w:val="004745B6"/>
    <w:rsid w:val="004745D4"/>
    <w:rsid w:val="00474B97"/>
    <w:rsid w:val="00475028"/>
    <w:rsid w:val="00475B66"/>
    <w:rsid w:val="00475E09"/>
    <w:rsid w:val="00476189"/>
    <w:rsid w:val="004769A5"/>
    <w:rsid w:val="00476EDA"/>
    <w:rsid w:val="00476EEA"/>
    <w:rsid w:val="004776A6"/>
    <w:rsid w:val="00477990"/>
    <w:rsid w:val="004800B0"/>
    <w:rsid w:val="004803C2"/>
    <w:rsid w:val="004807B0"/>
    <w:rsid w:val="00480853"/>
    <w:rsid w:val="004809BB"/>
    <w:rsid w:val="0048161F"/>
    <w:rsid w:val="004817E7"/>
    <w:rsid w:val="00482283"/>
    <w:rsid w:val="00482D40"/>
    <w:rsid w:val="00482DD5"/>
    <w:rsid w:val="00483582"/>
    <w:rsid w:val="00484549"/>
    <w:rsid w:val="004848D1"/>
    <w:rsid w:val="00484B61"/>
    <w:rsid w:val="004850FE"/>
    <w:rsid w:val="00485595"/>
    <w:rsid w:val="00485721"/>
    <w:rsid w:val="0048572E"/>
    <w:rsid w:val="00486044"/>
    <w:rsid w:val="00486643"/>
    <w:rsid w:val="004868CC"/>
    <w:rsid w:val="00486E44"/>
    <w:rsid w:val="0048709B"/>
    <w:rsid w:val="0048764D"/>
    <w:rsid w:val="00487975"/>
    <w:rsid w:val="00490476"/>
    <w:rsid w:val="004905B7"/>
    <w:rsid w:val="00490A85"/>
    <w:rsid w:val="00490EA9"/>
    <w:rsid w:val="0049134C"/>
    <w:rsid w:val="0049172B"/>
    <w:rsid w:val="00491887"/>
    <w:rsid w:val="004918C7"/>
    <w:rsid w:val="00491DB0"/>
    <w:rsid w:val="00491EF8"/>
    <w:rsid w:val="004920F6"/>
    <w:rsid w:val="004921F4"/>
    <w:rsid w:val="00492DF6"/>
    <w:rsid w:val="0049367A"/>
    <w:rsid w:val="0049374B"/>
    <w:rsid w:val="004938C9"/>
    <w:rsid w:val="004944F4"/>
    <w:rsid w:val="0049480E"/>
    <w:rsid w:val="00494D4B"/>
    <w:rsid w:val="00494F1A"/>
    <w:rsid w:val="004956FA"/>
    <w:rsid w:val="004959F9"/>
    <w:rsid w:val="00495BD3"/>
    <w:rsid w:val="00496A98"/>
    <w:rsid w:val="00496BCF"/>
    <w:rsid w:val="00496E4A"/>
    <w:rsid w:val="00497469"/>
    <w:rsid w:val="004977FD"/>
    <w:rsid w:val="00497B30"/>
    <w:rsid w:val="00497D05"/>
    <w:rsid w:val="00497D52"/>
    <w:rsid w:val="004A088F"/>
    <w:rsid w:val="004A0AB1"/>
    <w:rsid w:val="004A0E5B"/>
    <w:rsid w:val="004A147F"/>
    <w:rsid w:val="004A1991"/>
    <w:rsid w:val="004A1AEF"/>
    <w:rsid w:val="004A22A3"/>
    <w:rsid w:val="004A22B0"/>
    <w:rsid w:val="004A24E4"/>
    <w:rsid w:val="004A2641"/>
    <w:rsid w:val="004A2B2B"/>
    <w:rsid w:val="004A42E3"/>
    <w:rsid w:val="004A4D4D"/>
    <w:rsid w:val="004A572C"/>
    <w:rsid w:val="004A722D"/>
    <w:rsid w:val="004B06FA"/>
    <w:rsid w:val="004B072F"/>
    <w:rsid w:val="004B0B94"/>
    <w:rsid w:val="004B0CA4"/>
    <w:rsid w:val="004B2699"/>
    <w:rsid w:val="004B2B3D"/>
    <w:rsid w:val="004B2C13"/>
    <w:rsid w:val="004B2CF9"/>
    <w:rsid w:val="004B3053"/>
    <w:rsid w:val="004B3A67"/>
    <w:rsid w:val="004B44FC"/>
    <w:rsid w:val="004B458F"/>
    <w:rsid w:val="004B49E1"/>
    <w:rsid w:val="004B4E89"/>
    <w:rsid w:val="004B5354"/>
    <w:rsid w:val="004B580A"/>
    <w:rsid w:val="004B5E02"/>
    <w:rsid w:val="004B5E6E"/>
    <w:rsid w:val="004B5FD8"/>
    <w:rsid w:val="004B612D"/>
    <w:rsid w:val="004B6453"/>
    <w:rsid w:val="004B6535"/>
    <w:rsid w:val="004B6996"/>
    <w:rsid w:val="004B724D"/>
    <w:rsid w:val="004B72CD"/>
    <w:rsid w:val="004C038F"/>
    <w:rsid w:val="004C0434"/>
    <w:rsid w:val="004C0706"/>
    <w:rsid w:val="004C10F5"/>
    <w:rsid w:val="004C11C2"/>
    <w:rsid w:val="004C1262"/>
    <w:rsid w:val="004C1337"/>
    <w:rsid w:val="004C2191"/>
    <w:rsid w:val="004C24F4"/>
    <w:rsid w:val="004C2E7E"/>
    <w:rsid w:val="004C2ECA"/>
    <w:rsid w:val="004C3264"/>
    <w:rsid w:val="004C374D"/>
    <w:rsid w:val="004C3A99"/>
    <w:rsid w:val="004C3CCA"/>
    <w:rsid w:val="004C465F"/>
    <w:rsid w:val="004C47AD"/>
    <w:rsid w:val="004C4999"/>
    <w:rsid w:val="004C4BCB"/>
    <w:rsid w:val="004C599A"/>
    <w:rsid w:val="004C5E48"/>
    <w:rsid w:val="004C65D7"/>
    <w:rsid w:val="004C67D9"/>
    <w:rsid w:val="004C7624"/>
    <w:rsid w:val="004C7890"/>
    <w:rsid w:val="004D0C6A"/>
    <w:rsid w:val="004D0DA3"/>
    <w:rsid w:val="004D1139"/>
    <w:rsid w:val="004D1231"/>
    <w:rsid w:val="004D252C"/>
    <w:rsid w:val="004D25D5"/>
    <w:rsid w:val="004D2958"/>
    <w:rsid w:val="004D342D"/>
    <w:rsid w:val="004D3561"/>
    <w:rsid w:val="004D3723"/>
    <w:rsid w:val="004D39B9"/>
    <w:rsid w:val="004D39F4"/>
    <w:rsid w:val="004D3FC7"/>
    <w:rsid w:val="004D4317"/>
    <w:rsid w:val="004D482F"/>
    <w:rsid w:val="004D4C62"/>
    <w:rsid w:val="004D5568"/>
    <w:rsid w:val="004D5BF7"/>
    <w:rsid w:val="004D5C14"/>
    <w:rsid w:val="004D61EA"/>
    <w:rsid w:val="004D62BB"/>
    <w:rsid w:val="004D6506"/>
    <w:rsid w:val="004D6DC4"/>
    <w:rsid w:val="004D73A5"/>
    <w:rsid w:val="004D7A74"/>
    <w:rsid w:val="004E0341"/>
    <w:rsid w:val="004E0649"/>
    <w:rsid w:val="004E0ACB"/>
    <w:rsid w:val="004E0B14"/>
    <w:rsid w:val="004E0D0C"/>
    <w:rsid w:val="004E0D35"/>
    <w:rsid w:val="004E1944"/>
    <w:rsid w:val="004E1DBD"/>
    <w:rsid w:val="004E20E6"/>
    <w:rsid w:val="004E217D"/>
    <w:rsid w:val="004E25A0"/>
    <w:rsid w:val="004E27CC"/>
    <w:rsid w:val="004E2891"/>
    <w:rsid w:val="004E2D17"/>
    <w:rsid w:val="004E3117"/>
    <w:rsid w:val="004E37FB"/>
    <w:rsid w:val="004E3D12"/>
    <w:rsid w:val="004E4852"/>
    <w:rsid w:val="004E4A62"/>
    <w:rsid w:val="004E4AB5"/>
    <w:rsid w:val="004E4FA4"/>
    <w:rsid w:val="004E4FB2"/>
    <w:rsid w:val="004E5579"/>
    <w:rsid w:val="004E55AB"/>
    <w:rsid w:val="004E575F"/>
    <w:rsid w:val="004E5FB0"/>
    <w:rsid w:val="004E5FD1"/>
    <w:rsid w:val="004E615F"/>
    <w:rsid w:val="004E641F"/>
    <w:rsid w:val="004E6D6B"/>
    <w:rsid w:val="004E6F42"/>
    <w:rsid w:val="004E7670"/>
    <w:rsid w:val="004E7971"/>
    <w:rsid w:val="004E7B6D"/>
    <w:rsid w:val="004E7D53"/>
    <w:rsid w:val="004E7DDE"/>
    <w:rsid w:val="004E7E8F"/>
    <w:rsid w:val="004F0824"/>
    <w:rsid w:val="004F0845"/>
    <w:rsid w:val="004F08DE"/>
    <w:rsid w:val="004F0AD0"/>
    <w:rsid w:val="004F19D5"/>
    <w:rsid w:val="004F1E6D"/>
    <w:rsid w:val="004F1ED1"/>
    <w:rsid w:val="004F22C0"/>
    <w:rsid w:val="004F3060"/>
    <w:rsid w:val="004F30AA"/>
    <w:rsid w:val="004F30D6"/>
    <w:rsid w:val="004F43B1"/>
    <w:rsid w:val="004F4B2C"/>
    <w:rsid w:val="004F4F8D"/>
    <w:rsid w:val="004F534A"/>
    <w:rsid w:val="004F53EF"/>
    <w:rsid w:val="004F574A"/>
    <w:rsid w:val="004F5D84"/>
    <w:rsid w:val="004F5E7A"/>
    <w:rsid w:val="004F62D7"/>
    <w:rsid w:val="004F65BB"/>
    <w:rsid w:val="004F689C"/>
    <w:rsid w:val="004F6B59"/>
    <w:rsid w:val="004F6C55"/>
    <w:rsid w:val="004F6DC6"/>
    <w:rsid w:val="004F7649"/>
    <w:rsid w:val="004F7ADA"/>
    <w:rsid w:val="004F7B30"/>
    <w:rsid w:val="004F7DB6"/>
    <w:rsid w:val="004F7EE2"/>
    <w:rsid w:val="0050022F"/>
    <w:rsid w:val="005007C8"/>
    <w:rsid w:val="00500ED6"/>
    <w:rsid w:val="00501BE6"/>
    <w:rsid w:val="00501F8D"/>
    <w:rsid w:val="00502781"/>
    <w:rsid w:val="00502844"/>
    <w:rsid w:val="00502BEF"/>
    <w:rsid w:val="005030E3"/>
    <w:rsid w:val="00503E04"/>
    <w:rsid w:val="0050450C"/>
    <w:rsid w:val="00504539"/>
    <w:rsid w:val="005046FA"/>
    <w:rsid w:val="0050499B"/>
    <w:rsid w:val="00504B28"/>
    <w:rsid w:val="0050572F"/>
    <w:rsid w:val="00506F93"/>
    <w:rsid w:val="00507043"/>
    <w:rsid w:val="005074D5"/>
    <w:rsid w:val="00510190"/>
    <w:rsid w:val="005107F3"/>
    <w:rsid w:val="00510A12"/>
    <w:rsid w:val="00511C50"/>
    <w:rsid w:val="00511D0B"/>
    <w:rsid w:val="00511D4A"/>
    <w:rsid w:val="00511DE5"/>
    <w:rsid w:val="00511E10"/>
    <w:rsid w:val="00512807"/>
    <w:rsid w:val="00512976"/>
    <w:rsid w:val="00512D9D"/>
    <w:rsid w:val="005132FD"/>
    <w:rsid w:val="00513540"/>
    <w:rsid w:val="00513A4E"/>
    <w:rsid w:val="00513AC3"/>
    <w:rsid w:val="00514642"/>
    <w:rsid w:val="00514BCA"/>
    <w:rsid w:val="00514FF3"/>
    <w:rsid w:val="0051524B"/>
    <w:rsid w:val="00515329"/>
    <w:rsid w:val="005157BD"/>
    <w:rsid w:val="00515A5F"/>
    <w:rsid w:val="00515A64"/>
    <w:rsid w:val="005167F1"/>
    <w:rsid w:val="00516842"/>
    <w:rsid w:val="00517B33"/>
    <w:rsid w:val="00517CD5"/>
    <w:rsid w:val="00517E0E"/>
    <w:rsid w:val="00517ED0"/>
    <w:rsid w:val="00517F00"/>
    <w:rsid w:val="005202ED"/>
    <w:rsid w:val="00520399"/>
    <w:rsid w:val="005218F6"/>
    <w:rsid w:val="00521A7D"/>
    <w:rsid w:val="00521D31"/>
    <w:rsid w:val="00521D6E"/>
    <w:rsid w:val="00521E9E"/>
    <w:rsid w:val="00522CED"/>
    <w:rsid w:val="00523857"/>
    <w:rsid w:val="00523C43"/>
    <w:rsid w:val="0052427C"/>
    <w:rsid w:val="00524353"/>
    <w:rsid w:val="005243A3"/>
    <w:rsid w:val="00524446"/>
    <w:rsid w:val="0052484B"/>
    <w:rsid w:val="005260A1"/>
    <w:rsid w:val="005260F2"/>
    <w:rsid w:val="0052655E"/>
    <w:rsid w:val="005265C0"/>
    <w:rsid w:val="00526EDA"/>
    <w:rsid w:val="005275D5"/>
    <w:rsid w:val="00527AF2"/>
    <w:rsid w:val="00530E7B"/>
    <w:rsid w:val="005310F0"/>
    <w:rsid w:val="005314DE"/>
    <w:rsid w:val="0053162E"/>
    <w:rsid w:val="00531CCE"/>
    <w:rsid w:val="00531D29"/>
    <w:rsid w:val="00531F27"/>
    <w:rsid w:val="00532115"/>
    <w:rsid w:val="005323F0"/>
    <w:rsid w:val="00532526"/>
    <w:rsid w:val="005329C3"/>
    <w:rsid w:val="005329E2"/>
    <w:rsid w:val="00532DE4"/>
    <w:rsid w:val="00533378"/>
    <w:rsid w:val="005338D0"/>
    <w:rsid w:val="005345DD"/>
    <w:rsid w:val="00534B8C"/>
    <w:rsid w:val="00534C56"/>
    <w:rsid w:val="00534E0B"/>
    <w:rsid w:val="00534FD9"/>
    <w:rsid w:val="0053556E"/>
    <w:rsid w:val="00535AC9"/>
    <w:rsid w:val="00535BD2"/>
    <w:rsid w:val="00535FDB"/>
    <w:rsid w:val="00536BC6"/>
    <w:rsid w:val="00536C51"/>
    <w:rsid w:val="00537571"/>
    <w:rsid w:val="005377C2"/>
    <w:rsid w:val="0054001D"/>
    <w:rsid w:val="0054074D"/>
    <w:rsid w:val="00540B00"/>
    <w:rsid w:val="00540DA5"/>
    <w:rsid w:val="00541257"/>
    <w:rsid w:val="005413BB"/>
    <w:rsid w:val="00541617"/>
    <w:rsid w:val="00542582"/>
    <w:rsid w:val="00543024"/>
    <w:rsid w:val="005439AD"/>
    <w:rsid w:val="00543C47"/>
    <w:rsid w:val="00544447"/>
    <w:rsid w:val="00544D22"/>
    <w:rsid w:val="005458D2"/>
    <w:rsid w:val="00545D82"/>
    <w:rsid w:val="00546638"/>
    <w:rsid w:val="0054689E"/>
    <w:rsid w:val="0054693D"/>
    <w:rsid w:val="005472A8"/>
    <w:rsid w:val="00547CD8"/>
    <w:rsid w:val="00547D80"/>
    <w:rsid w:val="0055073F"/>
    <w:rsid w:val="00550F36"/>
    <w:rsid w:val="005512AF"/>
    <w:rsid w:val="0055178A"/>
    <w:rsid w:val="00551C06"/>
    <w:rsid w:val="00551DAE"/>
    <w:rsid w:val="005528F1"/>
    <w:rsid w:val="00552A95"/>
    <w:rsid w:val="00552BE9"/>
    <w:rsid w:val="00552F25"/>
    <w:rsid w:val="005533B1"/>
    <w:rsid w:val="0055382D"/>
    <w:rsid w:val="00553921"/>
    <w:rsid w:val="00553D10"/>
    <w:rsid w:val="00553FB8"/>
    <w:rsid w:val="005549FE"/>
    <w:rsid w:val="00554C04"/>
    <w:rsid w:val="0055580B"/>
    <w:rsid w:val="00555C5F"/>
    <w:rsid w:val="00555DDA"/>
    <w:rsid w:val="0055607B"/>
    <w:rsid w:val="005565E0"/>
    <w:rsid w:val="005568AD"/>
    <w:rsid w:val="00556B80"/>
    <w:rsid w:val="0055718C"/>
    <w:rsid w:val="005575F7"/>
    <w:rsid w:val="005576D1"/>
    <w:rsid w:val="00557799"/>
    <w:rsid w:val="005578FA"/>
    <w:rsid w:val="0056079D"/>
    <w:rsid w:val="005610C1"/>
    <w:rsid w:val="0056112C"/>
    <w:rsid w:val="005616B9"/>
    <w:rsid w:val="005622AF"/>
    <w:rsid w:val="0056259D"/>
    <w:rsid w:val="00562680"/>
    <w:rsid w:val="00562CFB"/>
    <w:rsid w:val="00562DF0"/>
    <w:rsid w:val="00563058"/>
    <w:rsid w:val="00563304"/>
    <w:rsid w:val="0056351F"/>
    <w:rsid w:val="00563C61"/>
    <w:rsid w:val="00564036"/>
    <w:rsid w:val="005641C3"/>
    <w:rsid w:val="00564A7C"/>
    <w:rsid w:val="00564C2C"/>
    <w:rsid w:val="0056516D"/>
    <w:rsid w:val="005652AB"/>
    <w:rsid w:val="00565D34"/>
    <w:rsid w:val="005661F0"/>
    <w:rsid w:val="005663B4"/>
    <w:rsid w:val="00566B7F"/>
    <w:rsid w:val="00567121"/>
    <w:rsid w:val="00567437"/>
    <w:rsid w:val="00567CFE"/>
    <w:rsid w:val="00570370"/>
    <w:rsid w:val="00570418"/>
    <w:rsid w:val="0057081A"/>
    <w:rsid w:val="00570A72"/>
    <w:rsid w:val="00570E36"/>
    <w:rsid w:val="0057118E"/>
    <w:rsid w:val="005715CF"/>
    <w:rsid w:val="00571A9C"/>
    <w:rsid w:val="00571AF4"/>
    <w:rsid w:val="005728D6"/>
    <w:rsid w:val="005728F8"/>
    <w:rsid w:val="005735C9"/>
    <w:rsid w:val="00573EF0"/>
    <w:rsid w:val="005742EB"/>
    <w:rsid w:val="00574737"/>
    <w:rsid w:val="00575866"/>
    <w:rsid w:val="0057617F"/>
    <w:rsid w:val="00576386"/>
    <w:rsid w:val="005764B1"/>
    <w:rsid w:val="00576A44"/>
    <w:rsid w:val="00576FBC"/>
    <w:rsid w:val="00577536"/>
    <w:rsid w:val="005775AB"/>
    <w:rsid w:val="005776CC"/>
    <w:rsid w:val="00577A0A"/>
    <w:rsid w:val="00577B53"/>
    <w:rsid w:val="00580558"/>
    <w:rsid w:val="00580F2A"/>
    <w:rsid w:val="00581392"/>
    <w:rsid w:val="0058151A"/>
    <w:rsid w:val="005815AF"/>
    <w:rsid w:val="00581E53"/>
    <w:rsid w:val="00582393"/>
    <w:rsid w:val="005823DD"/>
    <w:rsid w:val="00582C37"/>
    <w:rsid w:val="00583811"/>
    <w:rsid w:val="0058405D"/>
    <w:rsid w:val="00584316"/>
    <w:rsid w:val="005845BC"/>
    <w:rsid w:val="0058461F"/>
    <w:rsid w:val="005858D1"/>
    <w:rsid w:val="00585B64"/>
    <w:rsid w:val="00585CD8"/>
    <w:rsid w:val="005865D9"/>
    <w:rsid w:val="0058660A"/>
    <w:rsid w:val="00586B1A"/>
    <w:rsid w:val="00586B2C"/>
    <w:rsid w:val="005872FB"/>
    <w:rsid w:val="00587450"/>
    <w:rsid w:val="00587B42"/>
    <w:rsid w:val="00590246"/>
    <w:rsid w:val="005905FC"/>
    <w:rsid w:val="00591105"/>
    <w:rsid w:val="00591125"/>
    <w:rsid w:val="00591844"/>
    <w:rsid w:val="00591E97"/>
    <w:rsid w:val="0059249F"/>
    <w:rsid w:val="005929EB"/>
    <w:rsid w:val="00593155"/>
    <w:rsid w:val="005934DC"/>
    <w:rsid w:val="00593726"/>
    <w:rsid w:val="00593BDB"/>
    <w:rsid w:val="00593E2B"/>
    <w:rsid w:val="00593E87"/>
    <w:rsid w:val="0059423E"/>
    <w:rsid w:val="0059430A"/>
    <w:rsid w:val="00594E7C"/>
    <w:rsid w:val="00594F09"/>
    <w:rsid w:val="005953C1"/>
    <w:rsid w:val="005954A9"/>
    <w:rsid w:val="0059606C"/>
    <w:rsid w:val="0059655A"/>
    <w:rsid w:val="00596A80"/>
    <w:rsid w:val="00596AF6"/>
    <w:rsid w:val="00597235"/>
    <w:rsid w:val="0059728B"/>
    <w:rsid w:val="00597D17"/>
    <w:rsid w:val="00597D69"/>
    <w:rsid w:val="00597E7C"/>
    <w:rsid w:val="005A01D4"/>
    <w:rsid w:val="005A08D9"/>
    <w:rsid w:val="005A0B5F"/>
    <w:rsid w:val="005A0C9C"/>
    <w:rsid w:val="005A119F"/>
    <w:rsid w:val="005A11E7"/>
    <w:rsid w:val="005A13F3"/>
    <w:rsid w:val="005A1CD7"/>
    <w:rsid w:val="005A257C"/>
    <w:rsid w:val="005A363E"/>
    <w:rsid w:val="005A39E1"/>
    <w:rsid w:val="005A40B5"/>
    <w:rsid w:val="005A40C3"/>
    <w:rsid w:val="005A555F"/>
    <w:rsid w:val="005A577A"/>
    <w:rsid w:val="005A6496"/>
    <w:rsid w:val="005A6DFB"/>
    <w:rsid w:val="005A7674"/>
    <w:rsid w:val="005A7D3D"/>
    <w:rsid w:val="005B0441"/>
    <w:rsid w:val="005B0992"/>
    <w:rsid w:val="005B0EB3"/>
    <w:rsid w:val="005B1419"/>
    <w:rsid w:val="005B1513"/>
    <w:rsid w:val="005B155C"/>
    <w:rsid w:val="005B18A3"/>
    <w:rsid w:val="005B1AC4"/>
    <w:rsid w:val="005B1BA7"/>
    <w:rsid w:val="005B1F75"/>
    <w:rsid w:val="005B1FAA"/>
    <w:rsid w:val="005B20C5"/>
    <w:rsid w:val="005B2AE9"/>
    <w:rsid w:val="005B2B4F"/>
    <w:rsid w:val="005B31F0"/>
    <w:rsid w:val="005B46BE"/>
    <w:rsid w:val="005B48E1"/>
    <w:rsid w:val="005B4FB9"/>
    <w:rsid w:val="005B4FDE"/>
    <w:rsid w:val="005B51E3"/>
    <w:rsid w:val="005B6128"/>
    <w:rsid w:val="005B612D"/>
    <w:rsid w:val="005B76A4"/>
    <w:rsid w:val="005B7E84"/>
    <w:rsid w:val="005C153E"/>
    <w:rsid w:val="005C1654"/>
    <w:rsid w:val="005C1863"/>
    <w:rsid w:val="005C1A8E"/>
    <w:rsid w:val="005C1ACD"/>
    <w:rsid w:val="005C1EDE"/>
    <w:rsid w:val="005C1F65"/>
    <w:rsid w:val="005C25D9"/>
    <w:rsid w:val="005C31FF"/>
    <w:rsid w:val="005C3962"/>
    <w:rsid w:val="005C3B6D"/>
    <w:rsid w:val="005C44C7"/>
    <w:rsid w:val="005C45DD"/>
    <w:rsid w:val="005C4691"/>
    <w:rsid w:val="005C473F"/>
    <w:rsid w:val="005C48D8"/>
    <w:rsid w:val="005C493C"/>
    <w:rsid w:val="005C4A91"/>
    <w:rsid w:val="005C4BB3"/>
    <w:rsid w:val="005C4BDD"/>
    <w:rsid w:val="005C5249"/>
    <w:rsid w:val="005C56F1"/>
    <w:rsid w:val="005C5868"/>
    <w:rsid w:val="005C5961"/>
    <w:rsid w:val="005C5A9F"/>
    <w:rsid w:val="005C5B86"/>
    <w:rsid w:val="005C5EB6"/>
    <w:rsid w:val="005C6187"/>
    <w:rsid w:val="005C61F6"/>
    <w:rsid w:val="005C64BA"/>
    <w:rsid w:val="005C68A5"/>
    <w:rsid w:val="005C6955"/>
    <w:rsid w:val="005C6F6E"/>
    <w:rsid w:val="005C7280"/>
    <w:rsid w:val="005C72BA"/>
    <w:rsid w:val="005C7727"/>
    <w:rsid w:val="005D04F4"/>
    <w:rsid w:val="005D095B"/>
    <w:rsid w:val="005D0962"/>
    <w:rsid w:val="005D0DBD"/>
    <w:rsid w:val="005D106D"/>
    <w:rsid w:val="005D14D1"/>
    <w:rsid w:val="005D16A7"/>
    <w:rsid w:val="005D1926"/>
    <w:rsid w:val="005D1F34"/>
    <w:rsid w:val="005D20D3"/>
    <w:rsid w:val="005D241D"/>
    <w:rsid w:val="005D2634"/>
    <w:rsid w:val="005D26CE"/>
    <w:rsid w:val="005D2F21"/>
    <w:rsid w:val="005D307A"/>
    <w:rsid w:val="005D311B"/>
    <w:rsid w:val="005D312F"/>
    <w:rsid w:val="005D3370"/>
    <w:rsid w:val="005D3391"/>
    <w:rsid w:val="005D3610"/>
    <w:rsid w:val="005D3A86"/>
    <w:rsid w:val="005D3C80"/>
    <w:rsid w:val="005D42E1"/>
    <w:rsid w:val="005D4B87"/>
    <w:rsid w:val="005D4D08"/>
    <w:rsid w:val="005D52DC"/>
    <w:rsid w:val="005D58CD"/>
    <w:rsid w:val="005D5B47"/>
    <w:rsid w:val="005D5B77"/>
    <w:rsid w:val="005D622C"/>
    <w:rsid w:val="005D6265"/>
    <w:rsid w:val="005D6366"/>
    <w:rsid w:val="005D6781"/>
    <w:rsid w:val="005D707B"/>
    <w:rsid w:val="005D71CB"/>
    <w:rsid w:val="005D746E"/>
    <w:rsid w:val="005D74C5"/>
    <w:rsid w:val="005D764C"/>
    <w:rsid w:val="005D77CB"/>
    <w:rsid w:val="005D7F2F"/>
    <w:rsid w:val="005E122B"/>
    <w:rsid w:val="005E136C"/>
    <w:rsid w:val="005E14D0"/>
    <w:rsid w:val="005E17F5"/>
    <w:rsid w:val="005E1911"/>
    <w:rsid w:val="005E1A52"/>
    <w:rsid w:val="005E22A6"/>
    <w:rsid w:val="005E257A"/>
    <w:rsid w:val="005E2C35"/>
    <w:rsid w:val="005E3021"/>
    <w:rsid w:val="005E31DE"/>
    <w:rsid w:val="005E3664"/>
    <w:rsid w:val="005E367E"/>
    <w:rsid w:val="005E414C"/>
    <w:rsid w:val="005E4198"/>
    <w:rsid w:val="005E4F76"/>
    <w:rsid w:val="005E505B"/>
    <w:rsid w:val="005E5329"/>
    <w:rsid w:val="005E69F7"/>
    <w:rsid w:val="005E764E"/>
    <w:rsid w:val="005E79CB"/>
    <w:rsid w:val="005E7A63"/>
    <w:rsid w:val="005E7B8D"/>
    <w:rsid w:val="005F0347"/>
    <w:rsid w:val="005F0B30"/>
    <w:rsid w:val="005F0DF5"/>
    <w:rsid w:val="005F1044"/>
    <w:rsid w:val="005F113B"/>
    <w:rsid w:val="005F1670"/>
    <w:rsid w:val="005F1F44"/>
    <w:rsid w:val="005F1F4F"/>
    <w:rsid w:val="005F2478"/>
    <w:rsid w:val="005F2A99"/>
    <w:rsid w:val="005F2BFD"/>
    <w:rsid w:val="005F2E9C"/>
    <w:rsid w:val="005F31BA"/>
    <w:rsid w:val="005F39B4"/>
    <w:rsid w:val="005F3A45"/>
    <w:rsid w:val="005F3B47"/>
    <w:rsid w:val="005F3D32"/>
    <w:rsid w:val="005F457F"/>
    <w:rsid w:val="005F491F"/>
    <w:rsid w:val="005F4A42"/>
    <w:rsid w:val="005F4EA3"/>
    <w:rsid w:val="005F5F45"/>
    <w:rsid w:val="005F6720"/>
    <w:rsid w:val="005F6D91"/>
    <w:rsid w:val="005F6D9F"/>
    <w:rsid w:val="005F6DFE"/>
    <w:rsid w:val="005F6FD9"/>
    <w:rsid w:val="005F71E2"/>
    <w:rsid w:val="005F72D7"/>
    <w:rsid w:val="005F737A"/>
    <w:rsid w:val="005F74B2"/>
    <w:rsid w:val="005F788B"/>
    <w:rsid w:val="005F78DA"/>
    <w:rsid w:val="005F7D61"/>
    <w:rsid w:val="006001FD"/>
    <w:rsid w:val="00601292"/>
    <w:rsid w:val="00601364"/>
    <w:rsid w:val="006013FD"/>
    <w:rsid w:val="00601ACA"/>
    <w:rsid w:val="00602790"/>
    <w:rsid w:val="00602913"/>
    <w:rsid w:val="00602C33"/>
    <w:rsid w:val="00603125"/>
    <w:rsid w:val="00603B6B"/>
    <w:rsid w:val="00603CAC"/>
    <w:rsid w:val="00604003"/>
    <w:rsid w:val="00604349"/>
    <w:rsid w:val="006045F7"/>
    <w:rsid w:val="00605E0B"/>
    <w:rsid w:val="00606045"/>
    <w:rsid w:val="00606479"/>
    <w:rsid w:val="00606627"/>
    <w:rsid w:val="0060663F"/>
    <w:rsid w:val="0060683C"/>
    <w:rsid w:val="00607147"/>
    <w:rsid w:val="00607577"/>
    <w:rsid w:val="00607975"/>
    <w:rsid w:val="00607AB7"/>
    <w:rsid w:val="00607E33"/>
    <w:rsid w:val="00607E3F"/>
    <w:rsid w:val="0061001F"/>
    <w:rsid w:val="0061051A"/>
    <w:rsid w:val="006117A2"/>
    <w:rsid w:val="00611C63"/>
    <w:rsid w:val="00611CF2"/>
    <w:rsid w:val="00611E48"/>
    <w:rsid w:val="00611E86"/>
    <w:rsid w:val="00611EC6"/>
    <w:rsid w:val="0061216E"/>
    <w:rsid w:val="006122CD"/>
    <w:rsid w:val="0061237F"/>
    <w:rsid w:val="006124C8"/>
    <w:rsid w:val="0061281A"/>
    <w:rsid w:val="00612F50"/>
    <w:rsid w:val="006132C7"/>
    <w:rsid w:val="0061392E"/>
    <w:rsid w:val="00614619"/>
    <w:rsid w:val="00615744"/>
    <w:rsid w:val="00615883"/>
    <w:rsid w:val="006158EC"/>
    <w:rsid w:val="00616158"/>
    <w:rsid w:val="00616F8D"/>
    <w:rsid w:val="00617BDF"/>
    <w:rsid w:val="0062028E"/>
    <w:rsid w:val="00620CEB"/>
    <w:rsid w:val="00621210"/>
    <w:rsid w:val="006219F2"/>
    <w:rsid w:val="00621BDF"/>
    <w:rsid w:val="00621CC5"/>
    <w:rsid w:val="00621E38"/>
    <w:rsid w:val="00622B78"/>
    <w:rsid w:val="00622F1C"/>
    <w:rsid w:val="00623131"/>
    <w:rsid w:val="00623159"/>
    <w:rsid w:val="00623480"/>
    <w:rsid w:val="00623B17"/>
    <w:rsid w:val="00623E60"/>
    <w:rsid w:val="00624CBD"/>
    <w:rsid w:val="00624FD5"/>
    <w:rsid w:val="006250A3"/>
    <w:rsid w:val="00625126"/>
    <w:rsid w:val="00625171"/>
    <w:rsid w:val="0062564C"/>
    <w:rsid w:val="006266CB"/>
    <w:rsid w:val="00626946"/>
    <w:rsid w:val="00626E70"/>
    <w:rsid w:val="00626F81"/>
    <w:rsid w:val="00627224"/>
    <w:rsid w:val="0062723A"/>
    <w:rsid w:val="00627AFA"/>
    <w:rsid w:val="00627E56"/>
    <w:rsid w:val="00627F87"/>
    <w:rsid w:val="006307C0"/>
    <w:rsid w:val="006310F4"/>
    <w:rsid w:val="0063116B"/>
    <w:rsid w:val="00631E8F"/>
    <w:rsid w:val="00631FDA"/>
    <w:rsid w:val="0063201A"/>
    <w:rsid w:val="00632519"/>
    <w:rsid w:val="00632B5D"/>
    <w:rsid w:val="00632D7C"/>
    <w:rsid w:val="00632E10"/>
    <w:rsid w:val="00633516"/>
    <w:rsid w:val="00634454"/>
    <w:rsid w:val="006344EA"/>
    <w:rsid w:val="006345D7"/>
    <w:rsid w:val="00634C9C"/>
    <w:rsid w:val="00634DDD"/>
    <w:rsid w:val="006352B4"/>
    <w:rsid w:val="00635993"/>
    <w:rsid w:val="006359C6"/>
    <w:rsid w:val="00635B62"/>
    <w:rsid w:val="006361F4"/>
    <w:rsid w:val="00636771"/>
    <w:rsid w:val="00636C0B"/>
    <w:rsid w:val="006371BD"/>
    <w:rsid w:val="00637377"/>
    <w:rsid w:val="00637BD1"/>
    <w:rsid w:val="00640244"/>
    <w:rsid w:val="00640492"/>
    <w:rsid w:val="006412D1"/>
    <w:rsid w:val="00641504"/>
    <w:rsid w:val="006415FD"/>
    <w:rsid w:val="00641715"/>
    <w:rsid w:val="00642A6D"/>
    <w:rsid w:val="00642AA1"/>
    <w:rsid w:val="00642C04"/>
    <w:rsid w:val="00642C94"/>
    <w:rsid w:val="00642D40"/>
    <w:rsid w:val="00642DE3"/>
    <w:rsid w:val="0064366E"/>
    <w:rsid w:val="006441A1"/>
    <w:rsid w:val="00644627"/>
    <w:rsid w:val="00644948"/>
    <w:rsid w:val="00644A6D"/>
    <w:rsid w:val="00644DF3"/>
    <w:rsid w:val="00645085"/>
    <w:rsid w:val="006454CB"/>
    <w:rsid w:val="00645B14"/>
    <w:rsid w:val="00645B1A"/>
    <w:rsid w:val="00645F08"/>
    <w:rsid w:val="00645FAB"/>
    <w:rsid w:val="006461E4"/>
    <w:rsid w:val="00646775"/>
    <w:rsid w:val="00646B4D"/>
    <w:rsid w:val="006470EF"/>
    <w:rsid w:val="006472BE"/>
    <w:rsid w:val="0064782E"/>
    <w:rsid w:val="00647EEE"/>
    <w:rsid w:val="00650860"/>
    <w:rsid w:val="00650913"/>
    <w:rsid w:val="00650E3E"/>
    <w:rsid w:val="00650E85"/>
    <w:rsid w:val="00650F1E"/>
    <w:rsid w:val="00651566"/>
    <w:rsid w:val="00651839"/>
    <w:rsid w:val="00653214"/>
    <w:rsid w:val="0065335B"/>
    <w:rsid w:val="00653472"/>
    <w:rsid w:val="006536D9"/>
    <w:rsid w:val="006537A4"/>
    <w:rsid w:val="00653886"/>
    <w:rsid w:val="00653BB2"/>
    <w:rsid w:val="00654079"/>
    <w:rsid w:val="006542A4"/>
    <w:rsid w:val="00654C56"/>
    <w:rsid w:val="006551D3"/>
    <w:rsid w:val="006552CD"/>
    <w:rsid w:val="00655FCA"/>
    <w:rsid w:val="006566B5"/>
    <w:rsid w:val="006568FB"/>
    <w:rsid w:val="00656B73"/>
    <w:rsid w:val="00656B77"/>
    <w:rsid w:val="00656DB1"/>
    <w:rsid w:val="00656FBC"/>
    <w:rsid w:val="00657261"/>
    <w:rsid w:val="006579C6"/>
    <w:rsid w:val="00657B81"/>
    <w:rsid w:val="00657CE7"/>
    <w:rsid w:val="00657E36"/>
    <w:rsid w:val="006607A6"/>
    <w:rsid w:val="0066099A"/>
    <w:rsid w:val="006613D1"/>
    <w:rsid w:val="00661D72"/>
    <w:rsid w:val="00661EB9"/>
    <w:rsid w:val="00662148"/>
    <w:rsid w:val="0066249F"/>
    <w:rsid w:val="0066340C"/>
    <w:rsid w:val="0066394D"/>
    <w:rsid w:val="006639E1"/>
    <w:rsid w:val="006643E5"/>
    <w:rsid w:val="00664889"/>
    <w:rsid w:val="00664BD4"/>
    <w:rsid w:val="0066555D"/>
    <w:rsid w:val="006655FB"/>
    <w:rsid w:val="00665AF7"/>
    <w:rsid w:val="00665B73"/>
    <w:rsid w:val="00665D3E"/>
    <w:rsid w:val="00665F5B"/>
    <w:rsid w:val="006660A5"/>
    <w:rsid w:val="00666292"/>
    <w:rsid w:val="006671BA"/>
    <w:rsid w:val="00667614"/>
    <w:rsid w:val="00667985"/>
    <w:rsid w:val="00667DB1"/>
    <w:rsid w:val="00667EB0"/>
    <w:rsid w:val="006702EF"/>
    <w:rsid w:val="006703C2"/>
    <w:rsid w:val="006706C8"/>
    <w:rsid w:val="00670E83"/>
    <w:rsid w:val="00670F05"/>
    <w:rsid w:val="00671359"/>
    <w:rsid w:val="0067179B"/>
    <w:rsid w:val="0067184C"/>
    <w:rsid w:val="00671B04"/>
    <w:rsid w:val="00671B78"/>
    <w:rsid w:val="00671B8F"/>
    <w:rsid w:val="00671D46"/>
    <w:rsid w:val="0067274B"/>
    <w:rsid w:val="00672C1D"/>
    <w:rsid w:val="00672E09"/>
    <w:rsid w:val="00673F22"/>
    <w:rsid w:val="006746FC"/>
    <w:rsid w:val="006749BD"/>
    <w:rsid w:val="00675EBF"/>
    <w:rsid w:val="006763B1"/>
    <w:rsid w:val="0067673D"/>
    <w:rsid w:val="00676973"/>
    <w:rsid w:val="006769CF"/>
    <w:rsid w:val="00676EB7"/>
    <w:rsid w:val="006777E3"/>
    <w:rsid w:val="00677B8D"/>
    <w:rsid w:val="00680005"/>
    <w:rsid w:val="006801ED"/>
    <w:rsid w:val="00680B22"/>
    <w:rsid w:val="00680BB6"/>
    <w:rsid w:val="00680CF2"/>
    <w:rsid w:val="00680D93"/>
    <w:rsid w:val="00681490"/>
    <w:rsid w:val="006819D0"/>
    <w:rsid w:val="006819FD"/>
    <w:rsid w:val="00681BA5"/>
    <w:rsid w:val="00681DF8"/>
    <w:rsid w:val="006828AF"/>
    <w:rsid w:val="00682918"/>
    <w:rsid w:val="00683060"/>
    <w:rsid w:val="00683CEE"/>
    <w:rsid w:val="00683FEF"/>
    <w:rsid w:val="00684224"/>
    <w:rsid w:val="00684B9C"/>
    <w:rsid w:val="00684BAD"/>
    <w:rsid w:val="00684CE5"/>
    <w:rsid w:val="00685460"/>
    <w:rsid w:val="0068630E"/>
    <w:rsid w:val="00686682"/>
    <w:rsid w:val="00686C00"/>
    <w:rsid w:val="00686CAC"/>
    <w:rsid w:val="00686E56"/>
    <w:rsid w:val="00686FD3"/>
    <w:rsid w:val="0068747F"/>
    <w:rsid w:val="00687922"/>
    <w:rsid w:val="00687E53"/>
    <w:rsid w:val="00690056"/>
    <w:rsid w:val="00690313"/>
    <w:rsid w:val="006903C0"/>
    <w:rsid w:val="00690EDF"/>
    <w:rsid w:val="006915D1"/>
    <w:rsid w:val="006917DA"/>
    <w:rsid w:val="00691ABD"/>
    <w:rsid w:val="00692514"/>
    <w:rsid w:val="00692654"/>
    <w:rsid w:val="0069290A"/>
    <w:rsid w:val="00693191"/>
    <w:rsid w:val="006935F1"/>
    <w:rsid w:val="00693821"/>
    <w:rsid w:val="00693BCC"/>
    <w:rsid w:val="00693C8F"/>
    <w:rsid w:val="00694A54"/>
    <w:rsid w:val="00694B56"/>
    <w:rsid w:val="0069512A"/>
    <w:rsid w:val="0069538A"/>
    <w:rsid w:val="006954C0"/>
    <w:rsid w:val="00695DF1"/>
    <w:rsid w:val="00696390"/>
    <w:rsid w:val="006967A5"/>
    <w:rsid w:val="00696D45"/>
    <w:rsid w:val="00697204"/>
    <w:rsid w:val="006972CE"/>
    <w:rsid w:val="006976E9"/>
    <w:rsid w:val="00697795"/>
    <w:rsid w:val="0069795D"/>
    <w:rsid w:val="006A05A6"/>
    <w:rsid w:val="006A09DE"/>
    <w:rsid w:val="006A110C"/>
    <w:rsid w:val="006A1547"/>
    <w:rsid w:val="006A1905"/>
    <w:rsid w:val="006A1B9E"/>
    <w:rsid w:val="006A2816"/>
    <w:rsid w:val="006A3674"/>
    <w:rsid w:val="006A447D"/>
    <w:rsid w:val="006A4D04"/>
    <w:rsid w:val="006A4F38"/>
    <w:rsid w:val="006A514B"/>
    <w:rsid w:val="006A539A"/>
    <w:rsid w:val="006A59F8"/>
    <w:rsid w:val="006A5BE5"/>
    <w:rsid w:val="006A661D"/>
    <w:rsid w:val="006A6695"/>
    <w:rsid w:val="006A67F8"/>
    <w:rsid w:val="006A6BB3"/>
    <w:rsid w:val="006A70FB"/>
    <w:rsid w:val="006A7D82"/>
    <w:rsid w:val="006B0157"/>
    <w:rsid w:val="006B0192"/>
    <w:rsid w:val="006B13EC"/>
    <w:rsid w:val="006B1C69"/>
    <w:rsid w:val="006B2015"/>
    <w:rsid w:val="006B2110"/>
    <w:rsid w:val="006B2445"/>
    <w:rsid w:val="006B250C"/>
    <w:rsid w:val="006B2E35"/>
    <w:rsid w:val="006B30F0"/>
    <w:rsid w:val="006B3680"/>
    <w:rsid w:val="006B4A2C"/>
    <w:rsid w:val="006B4C0D"/>
    <w:rsid w:val="006B573C"/>
    <w:rsid w:val="006B6B65"/>
    <w:rsid w:val="006B7047"/>
    <w:rsid w:val="006B7482"/>
    <w:rsid w:val="006B7B85"/>
    <w:rsid w:val="006B7C9B"/>
    <w:rsid w:val="006B7F37"/>
    <w:rsid w:val="006B7F98"/>
    <w:rsid w:val="006B7FF4"/>
    <w:rsid w:val="006C065C"/>
    <w:rsid w:val="006C0CE4"/>
    <w:rsid w:val="006C0D44"/>
    <w:rsid w:val="006C0D88"/>
    <w:rsid w:val="006C14D9"/>
    <w:rsid w:val="006C1AF3"/>
    <w:rsid w:val="006C1B57"/>
    <w:rsid w:val="006C21C9"/>
    <w:rsid w:val="006C23E2"/>
    <w:rsid w:val="006C2ADC"/>
    <w:rsid w:val="006C362D"/>
    <w:rsid w:val="006C4404"/>
    <w:rsid w:val="006C4649"/>
    <w:rsid w:val="006C4CCD"/>
    <w:rsid w:val="006C5883"/>
    <w:rsid w:val="006C588E"/>
    <w:rsid w:val="006C5C07"/>
    <w:rsid w:val="006C5EBE"/>
    <w:rsid w:val="006C5F37"/>
    <w:rsid w:val="006C6F9B"/>
    <w:rsid w:val="006C72A9"/>
    <w:rsid w:val="006C737C"/>
    <w:rsid w:val="006C741B"/>
    <w:rsid w:val="006C7718"/>
    <w:rsid w:val="006C77B9"/>
    <w:rsid w:val="006C799A"/>
    <w:rsid w:val="006C7BA0"/>
    <w:rsid w:val="006D0663"/>
    <w:rsid w:val="006D09BF"/>
    <w:rsid w:val="006D0A57"/>
    <w:rsid w:val="006D0D50"/>
    <w:rsid w:val="006D101F"/>
    <w:rsid w:val="006D1488"/>
    <w:rsid w:val="006D2202"/>
    <w:rsid w:val="006D2D17"/>
    <w:rsid w:val="006D2E44"/>
    <w:rsid w:val="006D2F42"/>
    <w:rsid w:val="006D438A"/>
    <w:rsid w:val="006D44E6"/>
    <w:rsid w:val="006D47B5"/>
    <w:rsid w:val="006D4D1C"/>
    <w:rsid w:val="006D50ED"/>
    <w:rsid w:val="006D5165"/>
    <w:rsid w:val="006D5232"/>
    <w:rsid w:val="006D5B45"/>
    <w:rsid w:val="006D5EE5"/>
    <w:rsid w:val="006D6486"/>
    <w:rsid w:val="006D6F59"/>
    <w:rsid w:val="006D7090"/>
    <w:rsid w:val="006D7603"/>
    <w:rsid w:val="006D7B5F"/>
    <w:rsid w:val="006E0678"/>
    <w:rsid w:val="006E06ED"/>
    <w:rsid w:val="006E06F5"/>
    <w:rsid w:val="006E08D7"/>
    <w:rsid w:val="006E111D"/>
    <w:rsid w:val="006E11E4"/>
    <w:rsid w:val="006E196B"/>
    <w:rsid w:val="006E2776"/>
    <w:rsid w:val="006E27FD"/>
    <w:rsid w:val="006E2E2C"/>
    <w:rsid w:val="006E2F96"/>
    <w:rsid w:val="006E317D"/>
    <w:rsid w:val="006E37D2"/>
    <w:rsid w:val="006E3808"/>
    <w:rsid w:val="006E39F5"/>
    <w:rsid w:val="006E3D34"/>
    <w:rsid w:val="006E3F7A"/>
    <w:rsid w:val="006E4DEB"/>
    <w:rsid w:val="006E54F8"/>
    <w:rsid w:val="006E58B9"/>
    <w:rsid w:val="006E5A32"/>
    <w:rsid w:val="006E5A66"/>
    <w:rsid w:val="006E5B63"/>
    <w:rsid w:val="006E5C2B"/>
    <w:rsid w:val="006E5D2E"/>
    <w:rsid w:val="006E6702"/>
    <w:rsid w:val="006E7064"/>
    <w:rsid w:val="006E745B"/>
    <w:rsid w:val="006E7C73"/>
    <w:rsid w:val="006E7EDB"/>
    <w:rsid w:val="006F0085"/>
    <w:rsid w:val="006F0726"/>
    <w:rsid w:val="006F07AE"/>
    <w:rsid w:val="006F0946"/>
    <w:rsid w:val="006F0C77"/>
    <w:rsid w:val="006F0CBC"/>
    <w:rsid w:val="006F0FA6"/>
    <w:rsid w:val="006F104E"/>
    <w:rsid w:val="006F1057"/>
    <w:rsid w:val="006F11BF"/>
    <w:rsid w:val="006F1356"/>
    <w:rsid w:val="006F1B24"/>
    <w:rsid w:val="006F1BD9"/>
    <w:rsid w:val="006F1C78"/>
    <w:rsid w:val="006F1EC6"/>
    <w:rsid w:val="006F2C69"/>
    <w:rsid w:val="006F33F3"/>
    <w:rsid w:val="006F367E"/>
    <w:rsid w:val="006F3B2B"/>
    <w:rsid w:val="006F3BDA"/>
    <w:rsid w:val="006F4402"/>
    <w:rsid w:val="006F4560"/>
    <w:rsid w:val="006F4966"/>
    <w:rsid w:val="006F4AF1"/>
    <w:rsid w:val="006F5391"/>
    <w:rsid w:val="006F5B77"/>
    <w:rsid w:val="006F5DCB"/>
    <w:rsid w:val="006F60D2"/>
    <w:rsid w:val="006F616A"/>
    <w:rsid w:val="006F63A2"/>
    <w:rsid w:val="006F670E"/>
    <w:rsid w:val="006F6DB2"/>
    <w:rsid w:val="006F74D9"/>
    <w:rsid w:val="006F7596"/>
    <w:rsid w:val="00700C30"/>
    <w:rsid w:val="007034BA"/>
    <w:rsid w:val="0070368F"/>
    <w:rsid w:val="00703709"/>
    <w:rsid w:val="007039FC"/>
    <w:rsid w:val="007041DD"/>
    <w:rsid w:val="00704A6B"/>
    <w:rsid w:val="00704B48"/>
    <w:rsid w:val="00704DAA"/>
    <w:rsid w:val="0070514A"/>
    <w:rsid w:val="007065B3"/>
    <w:rsid w:val="00706735"/>
    <w:rsid w:val="00706D54"/>
    <w:rsid w:val="00706EB9"/>
    <w:rsid w:val="00706FAB"/>
    <w:rsid w:val="00707793"/>
    <w:rsid w:val="007079D5"/>
    <w:rsid w:val="007100B0"/>
    <w:rsid w:val="00710118"/>
    <w:rsid w:val="00710393"/>
    <w:rsid w:val="007104E3"/>
    <w:rsid w:val="00711652"/>
    <w:rsid w:val="00711711"/>
    <w:rsid w:val="0071236F"/>
    <w:rsid w:val="0071261A"/>
    <w:rsid w:val="0071286C"/>
    <w:rsid w:val="00712989"/>
    <w:rsid w:val="00712C29"/>
    <w:rsid w:val="00712C2E"/>
    <w:rsid w:val="00713080"/>
    <w:rsid w:val="007132EA"/>
    <w:rsid w:val="007140F1"/>
    <w:rsid w:val="00714227"/>
    <w:rsid w:val="007144BD"/>
    <w:rsid w:val="0071476B"/>
    <w:rsid w:val="0071497D"/>
    <w:rsid w:val="007149B1"/>
    <w:rsid w:val="00714A29"/>
    <w:rsid w:val="00714A52"/>
    <w:rsid w:val="00715184"/>
    <w:rsid w:val="0071555E"/>
    <w:rsid w:val="00716579"/>
    <w:rsid w:val="007169BB"/>
    <w:rsid w:val="00716F43"/>
    <w:rsid w:val="00717241"/>
    <w:rsid w:val="007175D2"/>
    <w:rsid w:val="00720042"/>
    <w:rsid w:val="007200ED"/>
    <w:rsid w:val="007205C2"/>
    <w:rsid w:val="00720C1E"/>
    <w:rsid w:val="00721875"/>
    <w:rsid w:val="007220ED"/>
    <w:rsid w:val="00722111"/>
    <w:rsid w:val="007224DA"/>
    <w:rsid w:val="00722A71"/>
    <w:rsid w:val="00722AFB"/>
    <w:rsid w:val="007231F2"/>
    <w:rsid w:val="00723233"/>
    <w:rsid w:val="00723F36"/>
    <w:rsid w:val="00724185"/>
    <w:rsid w:val="007241DB"/>
    <w:rsid w:val="00724483"/>
    <w:rsid w:val="00724CA5"/>
    <w:rsid w:val="00724DAA"/>
    <w:rsid w:val="00725003"/>
    <w:rsid w:val="007253A1"/>
    <w:rsid w:val="0072559A"/>
    <w:rsid w:val="00725765"/>
    <w:rsid w:val="00725D5E"/>
    <w:rsid w:val="00726BD1"/>
    <w:rsid w:val="00726C84"/>
    <w:rsid w:val="00726D55"/>
    <w:rsid w:val="00726F2F"/>
    <w:rsid w:val="0072715E"/>
    <w:rsid w:val="0072720A"/>
    <w:rsid w:val="00727326"/>
    <w:rsid w:val="007277F1"/>
    <w:rsid w:val="00727860"/>
    <w:rsid w:val="00730021"/>
    <w:rsid w:val="00730056"/>
    <w:rsid w:val="007302C6"/>
    <w:rsid w:val="00730B9D"/>
    <w:rsid w:val="0073114B"/>
    <w:rsid w:val="007319E6"/>
    <w:rsid w:val="00731DFF"/>
    <w:rsid w:val="0073231F"/>
    <w:rsid w:val="007326F0"/>
    <w:rsid w:val="00732947"/>
    <w:rsid w:val="00732B02"/>
    <w:rsid w:val="00732E3C"/>
    <w:rsid w:val="00733316"/>
    <w:rsid w:val="00733ED4"/>
    <w:rsid w:val="0073487C"/>
    <w:rsid w:val="00734A07"/>
    <w:rsid w:val="00734B39"/>
    <w:rsid w:val="00735122"/>
    <w:rsid w:val="00735845"/>
    <w:rsid w:val="0073593B"/>
    <w:rsid w:val="00736CBF"/>
    <w:rsid w:val="007374B7"/>
    <w:rsid w:val="0073798F"/>
    <w:rsid w:val="007400B8"/>
    <w:rsid w:val="0074048D"/>
    <w:rsid w:val="00740AFD"/>
    <w:rsid w:val="00740B7E"/>
    <w:rsid w:val="00740E4D"/>
    <w:rsid w:val="00741591"/>
    <w:rsid w:val="00741B12"/>
    <w:rsid w:val="00741F87"/>
    <w:rsid w:val="0074225D"/>
    <w:rsid w:val="00742469"/>
    <w:rsid w:val="00742C16"/>
    <w:rsid w:val="00742F7C"/>
    <w:rsid w:val="00743187"/>
    <w:rsid w:val="007453BA"/>
    <w:rsid w:val="00745415"/>
    <w:rsid w:val="007456B2"/>
    <w:rsid w:val="00745E2F"/>
    <w:rsid w:val="007462BA"/>
    <w:rsid w:val="00746474"/>
    <w:rsid w:val="00746849"/>
    <w:rsid w:val="00746AE0"/>
    <w:rsid w:val="007470B3"/>
    <w:rsid w:val="0074752A"/>
    <w:rsid w:val="00747549"/>
    <w:rsid w:val="00747997"/>
    <w:rsid w:val="00747EC5"/>
    <w:rsid w:val="007503C6"/>
    <w:rsid w:val="00750E30"/>
    <w:rsid w:val="00751A59"/>
    <w:rsid w:val="00751B0A"/>
    <w:rsid w:val="00751D09"/>
    <w:rsid w:val="00752072"/>
    <w:rsid w:val="0075275D"/>
    <w:rsid w:val="00752C79"/>
    <w:rsid w:val="00752CE7"/>
    <w:rsid w:val="00753810"/>
    <w:rsid w:val="0075395B"/>
    <w:rsid w:val="007548CA"/>
    <w:rsid w:val="00754BDF"/>
    <w:rsid w:val="00754D36"/>
    <w:rsid w:val="00754FB0"/>
    <w:rsid w:val="007554EB"/>
    <w:rsid w:val="007559BA"/>
    <w:rsid w:val="00755A13"/>
    <w:rsid w:val="00755A4A"/>
    <w:rsid w:val="00755C9B"/>
    <w:rsid w:val="007562FB"/>
    <w:rsid w:val="007563B4"/>
    <w:rsid w:val="00756AF8"/>
    <w:rsid w:val="00756F23"/>
    <w:rsid w:val="007572C7"/>
    <w:rsid w:val="007573A7"/>
    <w:rsid w:val="00757B41"/>
    <w:rsid w:val="00757B8D"/>
    <w:rsid w:val="007600C0"/>
    <w:rsid w:val="007609F0"/>
    <w:rsid w:val="007613D5"/>
    <w:rsid w:val="00761F08"/>
    <w:rsid w:val="00761FE4"/>
    <w:rsid w:val="00762115"/>
    <w:rsid w:val="0076229B"/>
    <w:rsid w:val="007622EB"/>
    <w:rsid w:val="0076240E"/>
    <w:rsid w:val="007627F7"/>
    <w:rsid w:val="007629F0"/>
    <w:rsid w:val="00762E3D"/>
    <w:rsid w:val="007635C9"/>
    <w:rsid w:val="00764535"/>
    <w:rsid w:val="00764AAA"/>
    <w:rsid w:val="00764AE5"/>
    <w:rsid w:val="007651CB"/>
    <w:rsid w:val="007658F1"/>
    <w:rsid w:val="00766282"/>
    <w:rsid w:val="00766287"/>
    <w:rsid w:val="00766BDB"/>
    <w:rsid w:val="00767335"/>
    <w:rsid w:val="007707D8"/>
    <w:rsid w:val="0077087C"/>
    <w:rsid w:val="00770DCB"/>
    <w:rsid w:val="00771150"/>
    <w:rsid w:val="007712DA"/>
    <w:rsid w:val="0077140A"/>
    <w:rsid w:val="00771E0F"/>
    <w:rsid w:val="00772132"/>
    <w:rsid w:val="007722F4"/>
    <w:rsid w:val="007735E0"/>
    <w:rsid w:val="00773FD5"/>
    <w:rsid w:val="0077401A"/>
    <w:rsid w:val="007748A0"/>
    <w:rsid w:val="00774E0F"/>
    <w:rsid w:val="00774F91"/>
    <w:rsid w:val="0077541E"/>
    <w:rsid w:val="00775485"/>
    <w:rsid w:val="007757F1"/>
    <w:rsid w:val="00775AC2"/>
    <w:rsid w:val="007765EE"/>
    <w:rsid w:val="0077661E"/>
    <w:rsid w:val="00776CE1"/>
    <w:rsid w:val="00776D1F"/>
    <w:rsid w:val="00777137"/>
    <w:rsid w:val="007771E6"/>
    <w:rsid w:val="0077745C"/>
    <w:rsid w:val="00777CB3"/>
    <w:rsid w:val="00777DF3"/>
    <w:rsid w:val="00780400"/>
    <w:rsid w:val="007804F5"/>
    <w:rsid w:val="00780C29"/>
    <w:rsid w:val="00780FD1"/>
    <w:rsid w:val="007815A5"/>
    <w:rsid w:val="00781D37"/>
    <w:rsid w:val="007820BB"/>
    <w:rsid w:val="007826FA"/>
    <w:rsid w:val="007832D3"/>
    <w:rsid w:val="007833CE"/>
    <w:rsid w:val="007838D9"/>
    <w:rsid w:val="00783FD6"/>
    <w:rsid w:val="007841E1"/>
    <w:rsid w:val="007843E5"/>
    <w:rsid w:val="00784549"/>
    <w:rsid w:val="007845AF"/>
    <w:rsid w:val="00785BD6"/>
    <w:rsid w:val="00785F72"/>
    <w:rsid w:val="0078755C"/>
    <w:rsid w:val="007875DE"/>
    <w:rsid w:val="007879A4"/>
    <w:rsid w:val="00790294"/>
    <w:rsid w:val="00790550"/>
    <w:rsid w:val="00790AAA"/>
    <w:rsid w:val="00791434"/>
    <w:rsid w:val="007916E9"/>
    <w:rsid w:val="00791A98"/>
    <w:rsid w:val="00791CF8"/>
    <w:rsid w:val="00791DD8"/>
    <w:rsid w:val="00791E70"/>
    <w:rsid w:val="00792491"/>
    <w:rsid w:val="007929F8"/>
    <w:rsid w:val="00792AD3"/>
    <w:rsid w:val="00792CF5"/>
    <w:rsid w:val="00793229"/>
    <w:rsid w:val="00793272"/>
    <w:rsid w:val="00793480"/>
    <w:rsid w:val="007936BE"/>
    <w:rsid w:val="007938CE"/>
    <w:rsid w:val="00793921"/>
    <w:rsid w:val="00793B2E"/>
    <w:rsid w:val="00793F23"/>
    <w:rsid w:val="00793FB1"/>
    <w:rsid w:val="007947F3"/>
    <w:rsid w:val="00794ED4"/>
    <w:rsid w:val="00795192"/>
    <w:rsid w:val="00795215"/>
    <w:rsid w:val="007952D7"/>
    <w:rsid w:val="0079579A"/>
    <w:rsid w:val="00795A3F"/>
    <w:rsid w:val="00795E24"/>
    <w:rsid w:val="00795E2F"/>
    <w:rsid w:val="00796241"/>
    <w:rsid w:val="0079629E"/>
    <w:rsid w:val="00796C41"/>
    <w:rsid w:val="007973D8"/>
    <w:rsid w:val="00797740"/>
    <w:rsid w:val="00797910"/>
    <w:rsid w:val="00797FDE"/>
    <w:rsid w:val="007A0088"/>
    <w:rsid w:val="007A016E"/>
    <w:rsid w:val="007A0597"/>
    <w:rsid w:val="007A1105"/>
    <w:rsid w:val="007A1277"/>
    <w:rsid w:val="007A147A"/>
    <w:rsid w:val="007A193C"/>
    <w:rsid w:val="007A1D94"/>
    <w:rsid w:val="007A23D2"/>
    <w:rsid w:val="007A27E5"/>
    <w:rsid w:val="007A2DA2"/>
    <w:rsid w:val="007A2E94"/>
    <w:rsid w:val="007A2F47"/>
    <w:rsid w:val="007A4023"/>
    <w:rsid w:val="007A4066"/>
    <w:rsid w:val="007A46CE"/>
    <w:rsid w:val="007A4B43"/>
    <w:rsid w:val="007A4F29"/>
    <w:rsid w:val="007A52A7"/>
    <w:rsid w:val="007A5667"/>
    <w:rsid w:val="007A5CCC"/>
    <w:rsid w:val="007A5D9A"/>
    <w:rsid w:val="007A6272"/>
    <w:rsid w:val="007A6B01"/>
    <w:rsid w:val="007A7539"/>
    <w:rsid w:val="007A7620"/>
    <w:rsid w:val="007A7C93"/>
    <w:rsid w:val="007A7EB0"/>
    <w:rsid w:val="007B00B0"/>
    <w:rsid w:val="007B0DDD"/>
    <w:rsid w:val="007B1259"/>
    <w:rsid w:val="007B14AA"/>
    <w:rsid w:val="007B1724"/>
    <w:rsid w:val="007B19D1"/>
    <w:rsid w:val="007B19F8"/>
    <w:rsid w:val="007B1A0F"/>
    <w:rsid w:val="007B1B45"/>
    <w:rsid w:val="007B1C35"/>
    <w:rsid w:val="007B2287"/>
    <w:rsid w:val="007B34E0"/>
    <w:rsid w:val="007B3D53"/>
    <w:rsid w:val="007B459C"/>
    <w:rsid w:val="007B48EB"/>
    <w:rsid w:val="007B51DD"/>
    <w:rsid w:val="007B5265"/>
    <w:rsid w:val="007B5BEB"/>
    <w:rsid w:val="007B5C14"/>
    <w:rsid w:val="007B5C30"/>
    <w:rsid w:val="007B608B"/>
    <w:rsid w:val="007B689D"/>
    <w:rsid w:val="007B6C8C"/>
    <w:rsid w:val="007B7011"/>
    <w:rsid w:val="007B79FA"/>
    <w:rsid w:val="007B7B6B"/>
    <w:rsid w:val="007B7B76"/>
    <w:rsid w:val="007B7D41"/>
    <w:rsid w:val="007C0165"/>
    <w:rsid w:val="007C0275"/>
    <w:rsid w:val="007C149D"/>
    <w:rsid w:val="007C1573"/>
    <w:rsid w:val="007C1CD3"/>
    <w:rsid w:val="007C2317"/>
    <w:rsid w:val="007C2C5F"/>
    <w:rsid w:val="007C2F12"/>
    <w:rsid w:val="007C3313"/>
    <w:rsid w:val="007C3807"/>
    <w:rsid w:val="007C403A"/>
    <w:rsid w:val="007C494B"/>
    <w:rsid w:val="007C5179"/>
    <w:rsid w:val="007C51FF"/>
    <w:rsid w:val="007C5269"/>
    <w:rsid w:val="007C5838"/>
    <w:rsid w:val="007C74EF"/>
    <w:rsid w:val="007C783A"/>
    <w:rsid w:val="007C7920"/>
    <w:rsid w:val="007C7DB2"/>
    <w:rsid w:val="007D046B"/>
    <w:rsid w:val="007D0503"/>
    <w:rsid w:val="007D07F8"/>
    <w:rsid w:val="007D0867"/>
    <w:rsid w:val="007D29E5"/>
    <w:rsid w:val="007D3653"/>
    <w:rsid w:val="007D3ABD"/>
    <w:rsid w:val="007D403B"/>
    <w:rsid w:val="007D40BD"/>
    <w:rsid w:val="007D41FE"/>
    <w:rsid w:val="007D4230"/>
    <w:rsid w:val="007D50A6"/>
    <w:rsid w:val="007D6315"/>
    <w:rsid w:val="007D6610"/>
    <w:rsid w:val="007D6818"/>
    <w:rsid w:val="007D73C8"/>
    <w:rsid w:val="007D76F5"/>
    <w:rsid w:val="007D7734"/>
    <w:rsid w:val="007E0567"/>
    <w:rsid w:val="007E1681"/>
    <w:rsid w:val="007E1866"/>
    <w:rsid w:val="007E1A0A"/>
    <w:rsid w:val="007E226C"/>
    <w:rsid w:val="007E22DF"/>
    <w:rsid w:val="007E2340"/>
    <w:rsid w:val="007E25DA"/>
    <w:rsid w:val="007E268F"/>
    <w:rsid w:val="007E28B5"/>
    <w:rsid w:val="007E2A3E"/>
    <w:rsid w:val="007E2D4B"/>
    <w:rsid w:val="007E372A"/>
    <w:rsid w:val="007E3C23"/>
    <w:rsid w:val="007E3D27"/>
    <w:rsid w:val="007E3E39"/>
    <w:rsid w:val="007E3FC7"/>
    <w:rsid w:val="007E4149"/>
    <w:rsid w:val="007E41AC"/>
    <w:rsid w:val="007E41CD"/>
    <w:rsid w:val="007E4D8F"/>
    <w:rsid w:val="007E55A7"/>
    <w:rsid w:val="007E5A95"/>
    <w:rsid w:val="007E6147"/>
    <w:rsid w:val="007E6434"/>
    <w:rsid w:val="007E69CF"/>
    <w:rsid w:val="007E7002"/>
    <w:rsid w:val="007E7767"/>
    <w:rsid w:val="007E77BF"/>
    <w:rsid w:val="007E7F1C"/>
    <w:rsid w:val="007F004D"/>
    <w:rsid w:val="007F0325"/>
    <w:rsid w:val="007F03CF"/>
    <w:rsid w:val="007F081B"/>
    <w:rsid w:val="007F0A8A"/>
    <w:rsid w:val="007F132D"/>
    <w:rsid w:val="007F14A7"/>
    <w:rsid w:val="007F1D06"/>
    <w:rsid w:val="007F1DC3"/>
    <w:rsid w:val="007F3554"/>
    <w:rsid w:val="007F3A27"/>
    <w:rsid w:val="007F4F7A"/>
    <w:rsid w:val="007F5311"/>
    <w:rsid w:val="007F5380"/>
    <w:rsid w:val="007F59E7"/>
    <w:rsid w:val="007F5C9F"/>
    <w:rsid w:val="007F5D05"/>
    <w:rsid w:val="007F62F3"/>
    <w:rsid w:val="007F6E98"/>
    <w:rsid w:val="007F6F8E"/>
    <w:rsid w:val="007F7D75"/>
    <w:rsid w:val="007F7F86"/>
    <w:rsid w:val="008007D5"/>
    <w:rsid w:val="008008B8"/>
    <w:rsid w:val="0080124E"/>
    <w:rsid w:val="008024A2"/>
    <w:rsid w:val="00802A12"/>
    <w:rsid w:val="008032A0"/>
    <w:rsid w:val="008037A0"/>
    <w:rsid w:val="008039FA"/>
    <w:rsid w:val="00803A1C"/>
    <w:rsid w:val="00803A5D"/>
    <w:rsid w:val="00803C60"/>
    <w:rsid w:val="008040F3"/>
    <w:rsid w:val="00804130"/>
    <w:rsid w:val="0080470F"/>
    <w:rsid w:val="00804898"/>
    <w:rsid w:val="00804F5D"/>
    <w:rsid w:val="00805594"/>
    <w:rsid w:val="00805FA6"/>
    <w:rsid w:val="00806BF9"/>
    <w:rsid w:val="00806CDB"/>
    <w:rsid w:val="008077E1"/>
    <w:rsid w:val="00807E4B"/>
    <w:rsid w:val="00810141"/>
    <w:rsid w:val="00810ABF"/>
    <w:rsid w:val="00810C4D"/>
    <w:rsid w:val="00810F24"/>
    <w:rsid w:val="0081101C"/>
    <w:rsid w:val="0081169C"/>
    <w:rsid w:val="00811820"/>
    <w:rsid w:val="00811B52"/>
    <w:rsid w:val="008125EE"/>
    <w:rsid w:val="00812A91"/>
    <w:rsid w:val="00812B77"/>
    <w:rsid w:val="00812BC8"/>
    <w:rsid w:val="00812D4B"/>
    <w:rsid w:val="00813750"/>
    <w:rsid w:val="008137B0"/>
    <w:rsid w:val="00813D6D"/>
    <w:rsid w:val="0081428D"/>
    <w:rsid w:val="008143A4"/>
    <w:rsid w:val="0081470C"/>
    <w:rsid w:val="00814890"/>
    <w:rsid w:val="00815857"/>
    <w:rsid w:val="00815873"/>
    <w:rsid w:val="0081601E"/>
    <w:rsid w:val="0081658E"/>
    <w:rsid w:val="008166C3"/>
    <w:rsid w:val="00816C80"/>
    <w:rsid w:val="00816D0A"/>
    <w:rsid w:val="00817209"/>
    <w:rsid w:val="0081789F"/>
    <w:rsid w:val="008179B9"/>
    <w:rsid w:val="00817F75"/>
    <w:rsid w:val="00820835"/>
    <w:rsid w:val="00820880"/>
    <w:rsid w:val="008210F6"/>
    <w:rsid w:val="008213DB"/>
    <w:rsid w:val="00821BD9"/>
    <w:rsid w:val="008226E9"/>
    <w:rsid w:val="00822E46"/>
    <w:rsid w:val="00822FB4"/>
    <w:rsid w:val="00823637"/>
    <w:rsid w:val="00823DE5"/>
    <w:rsid w:val="00824ACF"/>
    <w:rsid w:val="0082542F"/>
    <w:rsid w:val="008255AE"/>
    <w:rsid w:val="00825CEE"/>
    <w:rsid w:val="008261FC"/>
    <w:rsid w:val="008268A8"/>
    <w:rsid w:val="00826999"/>
    <w:rsid w:val="008269FD"/>
    <w:rsid w:val="00827852"/>
    <w:rsid w:val="00827EA3"/>
    <w:rsid w:val="00827EB5"/>
    <w:rsid w:val="008301F9"/>
    <w:rsid w:val="00830B9B"/>
    <w:rsid w:val="00830D8A"/>
    <w:rsid w:val="00831128"/>
    <w:rsid w:val="0083162F"/>
    <w:rsid w:val="008317B8"/>
    <w:rsid w:val="0083209A"/>
    <w:rsid w:val="00832120"/>
    <w:rsid w:val="00832433"/>
    <w:rsid w:val="0083366C"/>
    <w:rsid w:val="00834142"/>
    <w:rsid w:val="00834B25"/>
    <w:rsid w:val="00835726"/>
    <w:rsid w:val="0083594F"/>
    <w:rsid w:val="00835B1F"/>
    <w:rsid w:val="00835DDB"/>
    <w:rsid w:val="008364BB"/>
    <w:rsid w:val="008364C4"/>
    <w:rsid w:val="00836A9F"/>
    <w:rsid w:val="0083745B"/>
    <w:rsid w:val="00837501"/>
    <w:rsid w:val="00840839"/>
    <w:rsid w:val="008408C3"/>
    <w:rsid w:val="00840D67"/>
    <w:rsid w:val="00840EDD"/>
    <w:rsid w:val="00840EF8"/>
    <w:rsid w:val="00841809"/>
    <w:rsid w:val="00842223"/>
    <w:rsid w:val="00842394"/>
    <w:rsid w:val="00842697"/>
    <w:rsid w:val="0084298C"/>
    <w:rsid w:val="00842B8F"/>
    <w:rsid w:val="008431E4"/>
    <w:rsid w:val="0084337D"/>
    <w:rsid w:val="008433C0"/>
    <w:rsid w:val="0084424E"/>
    <w:rsid w:val="0084459F"/>
    <w:rsid w:val="008449CA"/>
    <w:rsid w:val="00845134"/>
    <w:rsid w:val="008451B4"/>
    <w:rsid w:val="0084521F"/>
    <w:rsid w:val="0084547B"/>
    <w:rsid w:val="00845579"/>
    <w:rsid w:val="00845C3E"/>
    <w:rsid w:val="00845F38"/>
    <w:rsid w:val="00847321"/>
    <w:rsid w:val="008474D7"/>
    <w:rsid w:val="008475E9"/>
    <w:rsid w:val="0084793C"/>
    <w:rsid w:val="00850248"/>
    <w:rsid w:val="008502C0"/>
    <w:rsid w:val="00850510"/>
    <w:rsid w:val="008505E5"/>
    <w:rsid w:val="00850756"/>
    <w:rsid w:val="00851414"/>
    <w:rsid w:val="00851967"/>
    <w:rsid w:val="00851D26"/>
    <w:rsid w:val="008529DB"/>
    <w:rsid w:val="00852B96"/>
    <w:rsid w:val="00853116"/>
    <w:rsid w:val="0085365A"/>
    <w:rsid w:val="0085374D"/>
    <w:rsid w:val="00854244"/>
    <w:rsid w:val="0085458C"/>
    <w:rsid w:val="008549D6"/>
    <w:rsid w:val="00854D0A"/>
    <w:rsid w:val="00854EF0"/>
    <w:rsid w:val="00855C39"/>
    <w:rsid w:val="0085618B"/>
    <w:rsid w:val="008563A3"/>
    <w:rsid w:val="008567A4"/>
    <w:rsid w:val="00856B91"/>
    <w:rsid w:val="00856E7F"/>
    <w:rsid w:val="00857079"/>
    <w:rsid w:val="008571E9"/>
    <w:rsid w:val="00857906"/>
    <w:rsid w:val="008579B1"/>
    <w:rsid w:val="00857B37"/>
    <w:rsid w:val="00857C69"/>
    <w:rsid w:val="0086027A"/>
    <w:rsid w:val="00860317"/>
    <w:rsid w:val="00860634"/>
    <w:rsid w:val="00860EA8"/>
    <w:rsid w:val="008612D6"/>
    <w:rsid w:val="0086146C"/>
    <w:rsid w:val="00861567"/>
    <w:rsid w:val="00861751"/>
    <w:rsid w:val="00861B44"/>
    <w:rsid w:val="00861FA3"/>
    <w:rsid w:val="00861FC2"/>
    <w:rsid w:val="0086208D"/>
    <w:rsid w:val="008622EA"/>
    <w:rsid w:val="00862678"/>
    <w:rsid w:val="008627F6"/>
    <w:rsid w:val="00863856"/>
    <w:rsid w:val="00863BD7"/>
    <w:rsid w:val="00863FBC"/>
    <w:rsid w:val="00864499"/>
    <w:rsid w:val="008646D4"/>
    <w:rsid w:val="00864893"/>
    <w:rsid w:val="00864AB1"/>
    <w:rsid w:val="00865365"/>
    <w:rsid w:val="008678A6"/>
    <w:rsid w:val="00867ED1"/>
    <w:rsid w:val="008706C3"/>
    <w:rsid w:val="00870D1A"/>
    <w:rsid w:val="00871194"/>
    <w:rsid w:val="0087199D"/>
    <w:rsid w:val="00871A02"/>
    <w:rsid w:val="00871F98"/>
    <w:rsid w:val="00872492"/>
    <w:rsid w:val="008724DE"/>
    <w:rsid w:val="008726E4"/>
    <w:rsid w:val="00872B2D"/>
    <w:rsid w:val="00872C31"/>
    <w:rsid w:val="008735D0"/>
    <w:rsid w:val="008735DB"/>
    <w:rsid w:val="00874EAC"/>
    <w:rsid w:val="008751D6"/>
    <w:rsid w:val="008752FC"/>
    <w:rsid w:val="00875DF6"/>
    <w:rsid w:val="00876CB9"/>
    <w:rsid w:val="00877266"/>
    <w:rsid w:val="0087726B"/>
    <w:rsid w:val="008776A1"/>
    <w:rsid w:val="00877E9D"/>
    <w:rsid w:val="00880A5B"/>
    <w:rsid w:val="00880F5C"/>
    <w:rsid w:val="0088120F"/>
    <w:rsid w:val="00881403"/>
    <w:rsid w:val="0088149E"/>
    <w:rsid w:val="008814A5"/>
    <w:rsid w:val="0088165D"/>
    <w:rsid w:val="008820A2"/>
    <w:rsid w:val="00883221"/>
    <w:rsid w:val="0088420D"/>
    <w:rsid w:val="00884716"/>
    <w:rsid w:val="00884CB3"/>
    <w:rsid w:val="00886128"/>
    <w:rsid w:val="00886AEF"/>
    <w:rsid w:val="00887155"/>
    <w:rsid w:val="00887914"/>
    <w:rsid w:val="00887ACE"/>
    <w:rsid w:val="00887ADB"/>
    <w:rsid w:val="00887AED"/>
    <w:rsid w:val="00887B0A"/>
    <w:rsid w:val="008900AB"/>
    <w:rsid w:val="008901E7"/>
    <w:rsid w:val="00890AC2"/>
    <w:rsid w:val="00890CF9"/>
    <w:rsid w:val="00891372"/>
    <w:rsid w:val="00891770"/>
    <w:rsid w:val="00891980"/>
    <w:rsid w:val="00891BCE"/>
    <w:rsid w:val="0089225B"/>
    <w:rsid w:val="008924AE"/>
    <w:rsid w:val="008929F9"/>
    <w:rsid w:val="00892DF8"/>
    <w:rsid w:val="00892FD2"/>
    <w:rsid w:val="0089315C"/>
    <w:rsid w:val="008933B3"/>
    <w:rsid w:val="00893569"/>
    <w:rsid w:val="008935BF"/>
    <w:rsid w:val="00893A77"/>
    <w:rsid w:val="00893B3B"/>
    <w:rsid w:val="00893C9D"/>
    <w:rsid w:val="00893EE2"/>
    <w:rsid w:val="00894107"/>
    <w:rsid w:val="008944E9"/>
    <w:rsid w:val="00894596"/>
    <w:rsid w:val="00894611"/>
    <w:rsid w:val="00894CB2"/>
    <w:rsid w:val="00894F97"/>
    <w:rsid w:val="008950D0"/>
    <w:rsid w:val="008957CE"/>
    <w:rsid w:val="00895AE2"/>
    <w:rsid w:val="00895E8A"/>
    <w:rsid w:val="00896165"/>
    <w:rsid w:val="0089621D"/>
    <w:rsid w:val="00896663"/>
    <w:rsid w:val="008966D5"/>
    <w:rsid w:val="008969E0"/>
    <w:rsid w:val="00896ABB"/>
    <w:rsid w:val="00896C13"/>
    <w:rsid w:val="00896DB2"/>
    <w:rsid w:val="00896FBB"/>
    <w:rsid w:val="0089711B"/>
    <w:rsid w:val="0089743A"/>
    <w:rsid w:val="00897487"/>
    <w:rsid w:val="00897B54"/>
    <w:rsid w:val="008A03E6"/>
    <w:rsid w:val="008A04C3"/>
    <w:rsid w:val="008A08CD"/>
    <w:rsid w:val="008A09D4"/>
    <w:rsid w:val="008A0A34"/>
    <w:rsid w:val="008A11D7"/>
    <w:rsid w:val="008A1717"/>
    <w:rsid w:val="008A1931"/>
    <w:rsid w:val="008A1D75"/>
    <w:rsid w:val="008A2A18"/>
    <w:rsid w:val="008A2AF7"/>
    <w:rsid w:val="008A3D57"/>
    <w:rsid w:val="008A3E2E"/>
    <w:rsid w:val="008A4095"/>
    <w:rsid w:val="008A431A"/>
    <w:rsid w:val="008A4CEB"/>
    <w:rsid w:val="008A4F58"/>
    <w:rsid w:val="008A5612"/>
    <w:rsid w:val="008A576C"/>
    <w:rsid w:val="008A6535"/>
    <w:rsid w:val="008A68C7"/>
    <w:rsid w:val="008A6918"/>
    <w:rsid w:val="008A767B"/>
    <w:rsid w:val="008A79A2"/>
    <w:rsid w:val="008A7AC3"/>
    <w:rsid w:val="008A7D22"/>
    <w:rsid w:val="008A7F3E"/>
    <w:rsid w:val="008B0110"/>
    <w:rsid w:val="008B0792"/>
    <w:rsid w:val="008B0D62"/>
    <w:rsid w:val="008B10BB"/>
    <w:rsid w:val="008B11E4"/>
    <w:rsid w:val="008B1A30"/>
    <w:rsid w:val="008B1D8B"/>
    <w:rsid w:val="008B1DAF"/>
    <w:rsid w:val="008B1EF3"/>
    <w:rsid w:val="008B2410"/>
    <w:rsid w:val="008B281D"/>
    <w:rsid w:val="008B2EA4"/>
    <w:rsid w:val="008B314C"/>
    <w:rsid w:val="008B320D"/>
    <w:rsid w:val="008B3828"/>
    <w:rsid w:val="008B3852"/>
    <w:rsid w:val="008B38D0"/>
    <w:rsid w:val="008B3A98"/>
    <w:rsid w:val="008B4338"/>
    <w:rsid w:val="008B457A"/>
    <w:rsid w:val="008B490B"/>
    <w:rsid w:val="008B51E3"/>
    <w:rsid w:val="008B5E75"/>
    <w:rsid w:val="008B5ED5"/>
    <w:rsid w:val="008B5F82"/>
    <w:rsid w:val="008B63ED"/>
    <w:rsid w:val="008B6464"/>
    <w:rsid w:val="008B6825"/>
    <w:rsid w:val="008B6FE8"/>
    <w:rsid w:val="008B7CC8"/>
    <w:rsid w:val="008C02CD"/>
    <w:rsid w:val="008C03A1"/>
    <w:rsid w:val="008C0664"/>
    <w:rsid w:val="008C13C8"/>
    <w:rsid w:val="008C17A9"/>
    <w:rsid w:val="008C26B1"/>
    <w:rsid w:val="008C26EE"/>
    <w:rsid w:val="008C3658"/>
    <w:rsid w:val="008C3BF7"/>
    <w:rsid w:val="008C40EF"/>
    <w:rsid w:val="008C4143"/>
    <w:rsid w:val="008C4EEC"/>
    <w:rsid w:val="008C4FE3"/>
    <w:rsid w:val="008C542A"/>
    <w:rsid w:val="008C57E7"/>
    <w:rsid w:val="008C5DAA"/>
    <w:rsid w:val="008C635A"/>
    <w:rsid w:val="008C6407"/>
    <w:rsid w:val="008C7558"/>
    <w:rsid w:val="008C7B7A"/>
    <w:rsid w:val="008C7CF4"/>
    <w:rsid w:val="008D1495"/>
    <w:rsid w:val="008D1BC9"/>
    <w:rsid w:val="008D2231"/>
    <w:rsid w:val="008D2263"/>
    <w:rsid w:val="008D22A3"/>
    <w:rsid w:val="008D270B"/>
    <w:rsid w:val="008D2874"/>
    <w:rsid w:val="008D2B2D"/>
    <w:rsid w:val="008D2E73"/>
    <w:rsid w:val="008D2F0E"/>
    <w:rsid w:val="008D3094"/>
    <w:rsid w:val="008D3E2B"/>
    <w:rsid w:val="008D3FC4"/>
    <w:rsid w:val="008D4816"/>
    <w:rsid w:val="008D50C5"/>
    <w:rsid w:val="008D5EBC"/>
    <w:rsid w:val="008D5F38"/>
    <w:rsid w:val="008D6A45"/>
    <w:rsid w:val="008D6D0E"/>
    <w:rsid w:val="008D725A"/>
    <w:rsid w:val="008D788A"/>
    <w:rsid w:val="008D7B76"/>
    <w:rsid w:val="008D7CAC"/>
    <w:rsid w:val="008E0050"/>
    <w:rsid w:val="008E0486"/>
    <w:rsid w:val="008E0D60"/>
    <w:rsid w:val="008E1B94"/>
    <w:rsid w:val="008E2084"/>
    <w:rsid w:val="008E21C4"/>
    <w:rsid w:val="008E2F05"/>
    <w:rsid w:val="008E3469"/>
    <w:rsid w:val="008E37AD"/>
    <w:rsid w:val="008E3D60"/>
    <w:rsid w:val="008E408F"/>
    <w:rsid w:val="008E4194"/>
    <w:rsid w:val="008E4340"/>
    <w:rsid w:val="008E450C"/>
    <w:rsid w:val="008E5089"/>
    <w:rsid w:val="008E5748"/>
    <w:rsid w:val="008E5DF6"/>
    <w:rsid w:val="008E6193"/>
    <w:rsid w:val="008E6D6E"/>
    <w:rsid w:val="008E6E26"/>
    <w:rsid w:val="008E773D"/>
    <w:rsid w:val="008E77F4"/>
    <w:rsid w:val="008E7DCA"/>
    <w:rsid w:val="008F007D"/>
    <w:rsid w:val="008F0149"/>
    <w:rsid w:val="008F078D"/>
    <w:rsid w:val="008F0C48"/>
    <w:rsid w:val="008F0D2B"/>
    <w:rsid w:val="008F22B3"/>
    <w:rsid w:val="008F268D"/>
    <w:rsid w:val="008F283B"/>
    <w:rsid w:val="008F2939"/>
    <w:rsid w:val="008F2B75"/>
    <w:rsid w:val="008F2D95"/>
    <w:rsid w:val="008F3441"/>
    <w:rsid w:val="008F38D9"/>
    <w:rsid w:val="008F3ADB"/>
    <w:rsid w:val="008F3AE6"/>
    <w:rsid w:val="008F3BDD"/>
    <w:rsid w:val="008F3C6B"/>
    <w:rsid w:val="008F3EE0"/>
    <w:rsid w:val="008F3F50"/>
    <w:rsid w:val="008F418C"/>
    <w:rsid w:val="008F440D"/>
    <w:rsid w:val="008F496E"/>
    <w:rsid w:val="008F4E20"/>
    <w:rsid w:val="008F5016"/>
    <w:rsid w:val="008F5CC9"/>
    <w:rsid w:val="008F5D4C"/>
    <w:rsid w:val="008F6423"/>
    <w:rsid w:val="008F67B4"/>
    <w:rsid w:val="008F75E6"/>
    <w:rsid w:val="008F7704"/>
    <w:rsid w:val="008F775D"/>
    <w:rsid w:val="008F786C"/>
    <w:rsid w:val="008F7B8F"/>
    <w:rsid w:val="008F7D34"/>
    <w:rsid w:val="008F7D3B"/>
    <w:rsid w:val="00900A05"/>
    <w:rsid w:val="0090165F"/>
    <w:rsid w:val="00901BE0"/>
    <w:rsid w:val="00901C65"/>
    <w:rsid w:val="00901F5A"/>
    <w:rsid w:val="009021F8"/>
    <w:rsid w:val="0090241F"/>
    <w:rsid w:val="009024F8"/>
    <w:rsid w:val="0090251F"/>
    <w:rsid w:val="00902969"/>
    <w:rsid w:val="009033BA"/>
    <w:rsid w:val="00903D1A"/>
    <w:rsid w:val="00903D4B"/>
    <w:rsid w:val="00904591"/>
    <w:rsid w:val="0090470E"/>
    <w:rsid w:val="00904A12"/>
    <w:rsid w:val="00904A2B"/>
    <w:rsid w:val="00904B0F"/>
    <w:rsid w:val="00905555"/>
    <w:rsid w:val="00905F4D"/>
    <w:rsid w:val="00906631"/>
    <w:rsid w:val="00906A82"/>
    <w:rsid w:val="009070D9"/>
    <w:rsid w:val="009076CA"/>
    <w:rsid w:val="00907999"/>
    <w:rsid w:val="00907ACF"/>
    <w:rsid w:val="00907F82"/>
    <w:rsid w:val="00910812"/>
    <w:rsid w:val="00910AC4"/>
    <w:rsid w:val="00911136"/>
    <w:rsid w:val="00911509"/>
    <w:rsid w:val="0091166E"/>
    <w:rsid w:val="0091177D"/>
    <w:rsid w:val="0091185F"/>
    <w:rsid w:val="00912504"/>
    <w:rsid w:val="0091261D"/>
    <w:rsid w:val="0091336D"/>
    <w:rsid w:val="00913801"/>
    <w:rsid w:val="0091383C"/>
    <w:rsid w:val="00913EBA"/>
    <w:rsid w:val="00913FE3"/>
    <w:rsid w:val="00914F06"/>
    <w:rsid w:val="00915171"/>
    <w:rsid w:val="009152F5"/>
    <w:rsid w:val="0091554B"/>
    <w:rsid w:val="00915DD1"/>
    <w:rsid w:val="00916234"/>
    <w:rsid w:val="009162CF"/>
    <w:rsid w:val="00916887"/>
    <w:rsid w:val="00916CED"/>
    <w:rsid w:val="00917162"/>
    <w:rsid w:val="00917A2D"/>
    <w:rsid w:val="00917A94"/>
    <w:rsid w:val="00920F73"/>
    <w:rsid w:val="0092119F"/>
    <w:rsid w:val="00921406"/>
    <w:rsid w:val="00921465"/>
    <w:rsid w:val="009216B5"/>
    <w:rsid w:val="00921CB7"/>
    <w:rsid w:val="00921D1D"/>
    <w:rsid w:val="00921ECF"/>
    <w:rsid w:val="0092203A"/>
    <w:rsid w:val="009221DB"/>
    <w:rsid w:val="009222BE"/>
    <w:rsid w:val="009224FF"/>
    <w:rsid w:val="00922AFD"/>
    <w:rsid w:val="00922B45"/>
    <w:rsid w:val="00922F9D"/>
    <w:rsid w:val="0092320A"/>
    <w:rsid w:val="00923988"/>
    <w:rsid w:val="00923BC5"/>
    <w:rsid w:val="00923C4F"/>
    <w:rsid w:val="00923D4E"/>
    <w:rsid w:val="009244B5"/>
    <w:rsid w:val="00925070"/>
    <w:rsid w:val="00925158"/>
    <w:rsid w:val="00925332"/>
    <w:rsid w:val="00925B6B"/>
    <w:rsid w:val="00925C00"/>
    <w:rsid w:val="00926445"/>
    <w:rsid w:val="009266FD"/>
    <w:rsid w:val="00926C94"/>
    <w:rsid w:val="00926D54"/>
    <w:rsid w:val="009276BE"/>
    <w:rsid w:val="009278EB"/>
    <w:rsid w:val="00927A66"/>
    <w:rsid w:val="00927B50"/>
    <w:rsid w:val="00927C83"/>
    <w:rsid w:val="00927CC7"/>
    <w:rsid w:val="00930A6D"/>
    <w:rsid w:val="00930C74"/>
    <w:rsid w:val="00930D3D"/>
    <w:rsid w:val="009311FF"/>
    <w:rsid w:val="0093166A"/>
    <w:rsid w:val="0093172C"/>
    <w:rsid w:val="00931CEF"/>
    <w:rsid w:val="00931E02"/>
    <w:rsid w:val="00933274"/>
    <w:rsid w:val="00933434"/>
    <w:rsid w:val="009335A2"/>
    <w:rsid w:val="00933C22"/>
    <w:rsid w:val="00933C46"/>
    <w:rsid w:val="00933F1A"/>
    <w:rsid w:val="00935415"/>
    <w:rsid w:val="00935A73"/>
    <w:rsid w:val="00935C46"/>
    <w:rsid w:val="00935DC0"/>
    <w:rsid w:val="00941CA5"/>
    <w:rsid w:val="00941CD9"/>
    <w:rsid w:val="00941E86"/>
    <w:rsid w:val="00941EE2"/>
    <w:rsid w:val="009428D5"/>
    <w:rsid w:val="009429A6"/>
    <w:rsid w:val="00942A9D"/>
    <w:rsid w:val="00942BB1"/>
    <w:rsid w:val="00942FEB"/>
    <w:rsid w:val="009438BD"/>
    <w:rsid w:val="00943C0D"/>
    <w:rsid w:val="00943DA8"/>
    <w:rsid w:val="00943DD2"/>
    <w:rsid w:val="009442BC"/>
    <w:rsid w:val="00944329"/>
    <w:rsid w:val="00944773"/>
    <w:rsid w:val="00944DDA"/>
    <w:rsid w:val="00944E13"/>
    <w:rsid w:val="0094544F"/>
    <w:rsid w:val="0094546B"/>
    <w:rsid w:val="00945673"/>
    <w:rsid w:val="00945CDA"/>
    <w:rsid w:val="009462EC"/>
    <w:rsid w:val="00946378"/>
    <w:rsid w:val="009472C4"/>
    <w:rsid w:val="009477F2"/>
    <w:rsid w:val="009478A1"/>
    <w:rsid w:val="00947932"/>
    <w:rsid w:val="00950068"/>
    <w:rsid w:val="0095093B"/>
    <w:rsid w:val="00950D5E"/>
    <w:rsid w:val="00950E88"/>
    <w:rsid w:val="00951020"/>
    <w:rsid w:val="0095129A"/>
    <w:rsid w:val="009517DB"/>
    <w:rsid w:val="00951989"/>
    <w:rsid w:val="00951A9A"/>
    <w:rsid w:val="009521FA"/>
    <w:rsid w:val="00952A30"/>
    <w:rsid w:val="0095320D"/>
    <w:rsid w:val="00953D3B"/>
    <w:rsid w:val="00954026"/>
    <w:rsid w:val="00954287"/>
    <w:rsid w:val="009549E9"/>
    <w:rsid w:val="00954C3C"/>
    <w:rsid w:val="0095500B"/>
    <w:rsid w:val="009554E2"/>
    <w:rsid w:val="00955515"/>
    <w:rsid w:val="009556E2"/>
    <w:rsid w:val="009556EE"/>
    <w:rsid w:val="00956F36"/>
    <w:rsid w:val="0095710D"/>
    <w:rsid w:val="009600DA"/>
    <w:rsid w:val="009602DB"/>
    <w:rsid w:val="00960B54"/>
    <w:rsid w:val="00961049"/>
    <w:rsid w:val="00961430"/>
    <w:rsid w:val="00961C48"/>
    <w:rsid w:val="00961FEC"/>
    <w:rsid w:val="00962309"/>
    <w:rsid w:val="00962991"/>
    <w:rsid w:val="00962A18"/>
    <w:rsid w:val="00962D00"/>
    <w:rsid w:val="00962EF3"/>
    <w:rsid w:val="009633A1"/>
    <w:rsid w:val="00963CCA"/>
    <w:rsid w:val="00963E83"/>
    <w:rsid w:val="00963EF4"/>
    <w:rsid w:val="00963FD0"/>
    <w:rsid w:val="0096488D"/>
    <w:rsid w:val="00964C16"/>
    <w:rsid w:val="00965EC8"/>
    <w:rsid w:val="00965EDE"/>
    <w:rsid w:val="00965F16"/>
    <w:rsid w:val="0096609E"/>
    <w:rsid w:val="0096620F"/>
    <w:rsid w:val="00966324"/>
    <w:rsid w:val="00966481"/>
    <w:rsid w:val="009664B1"/>
    <w:rsid w:val="00966C2F"/>
    <w:rsid w:val="0096771D"/>
    <w:rsid w:val="0096793F"/>
    <w:rsid w:val="00967BE3"/>
    <w:rsid w:val="00967ED0"/>
    <w:rsid w:val="00967F47"/>
    <w:rsid w:val="009705E6"/>
    <w:rsid w:val="00970B57"/>
    <w:rsid w:val="00971250"/>
    <w:rsid w:val="00971630"/>
    <w:rsid w:val="00971D18"/>
    <w:rsid w:val="00971EE6"/>
    <w:rsid w:val="00972093"/>
    <w:rsid w:val="009723D0"/>
    <w:rsid w:val="00972891"/>
    <w:rsid w:val="009732AA"/>
    <w:rsid w:val="009734C5"/>
    <w:rsid w:val="00973607"/>
    <w:rsid w:val="00973A82"/>
    <w:rsid w:val="0097441C"/>
    <w:rsid w:val="009744E0"/>
    <w:rsid w:val="00974AE1"/>
    <w:rsid w:val="00975432"/>
    <w:rsid w:val="009755BE"/>
    <w:rsid w:val="00976349"/>
    <w:rsid w:val="00976645"/>
    <w:rsid w:val="00976780"/>
    <w:rsid w:val="0097685F"/>
    <w:rsid w:val="009769A7"/>
    <w:rsid w:val="0097776B"/>
    <w:rsid w:val="00977E6B"/>
    <w:rsid w:val="009802F3"/>
    <w:rsid w:val="00980411"/>
    <w:rsid w:val="00980507"/>
    <w:rsid w:val="0098072E"/>
    <w:rsid w:val="0098091C"/>
    <w:rsid w:val="00981266"/>
    <w:rsid w:val="00981710"/>
    <w:rsid w:val="00981CFE"/>
    <w:rsid w:val="00981DC1"/>
    <w:rsid w:val="0098227D"/>
    <w:rsid w:val="009826DE"/>
    <w:rsid w:val="009829E7"/>
    <w:rsid w:val="00983C60"/>
    <w:rsid w:val="00984074"/>
    <w:rsid w:val="009844F1"/>
    <w:rsid w:val="0098473A"/>
    <w:rsid w:val="009847A2"/>
    <w:rsid w:val="00985127"/>
    <w:rsid w:val="0098533C"/>
    <w:rsid w:val="00985C88"/>
    <w:rsid w:val="00986226"/>
    <w:rsid w:val="00986304"/>
    <w:rsid w:val="00986E65"/>
    <w:rsid w:val="00986E7D"/>
    <w:rsid w:val="0098714E"/>
    <w:rsid w:val="009874C6"/>
    <w:rsid w:val="009900DC"/>
    <w:rsid w:val="009906D5"/>
    <w:rsid w:val="00990B85"/>
    <w:rsid w:val="00990E8B"/>
    <w:rsid w:val="00991538"/>
    <w:rsid w:val="009916ED"/>
    <w:rsid w:val="00991840"/>
    <w:rsid w:val="00991842"/>
    <w:rsid w:val="00991BFB"/>
    <w:rsid w:val="00991E72"/>
    <w:rsid w:val="0099214D"/>
    <w:rsid w:val="009923B7"/>
    <w:rsid w:val="00992550"/>
    <w:rsid w:val="009926F2"/>
    <w:rsid w:val="00992BC3"/>
    <w:rsid w:val="009942CD"/>
    <w:rsid w:val="0099460A"/>
    <w:rsid w:val="00994E30"/>
    <w:rsid w:val="009951E4"/>
    <w:rsid w:val="009955A8"/>
    <w:rsid w:val="009958DA"/>
    <w:rsid w:val="00995BCC"/>
    <w:rsid w:val="0099606E"/>
    <w:rsid w:val="009960CF"/>
    <w:rsid w:val="009961CF"/>
    <w:rsid w:val="00996453"/>
    <w:rsid w:val="009965A4"/>
    <w:rsid w:val="0099667A"/>
    <w:rsid w:val="009971FF"/>
    <w:rsid w:val="009974B3"/>
    <w:rsid w:val="009A0021"/>
    <w:rsid w:val="009A0A05"/>
    <w:rsid w:val="009A10D7"/>
    <w:rsid w:val="009A12DC"/>
    <w:rsid w:val="009A1674"/>
    <w:rsid w:val="009A1990"/>
    <w:rsid w:val="009A1A35"/>
    <w:rsid w:val="009A1C90"/>
    <w:rsid w:val="009A1FE7"/>
    <w:rsid w:val="009A2075"/>
    <w:rsid w:val="009A216D"/>
    <w:rsid w:val="009A238B"/>
    <w:rsid w:val="009A2596"/>
    <w:rsid w:val="009A28E9"/>
    <w:rsid w:val="009A2B22"/>
    <w:rsid w:val="009A31D9"/>
    <w:rsid w:val="009A3D07"/>
    <w:rsid w:val="009A3DD8"/>
    <w:rsid w:val="009A3FF2"/>
    <w:rsid w:val="009A40F1"/>
    <w:rsid w:val="009A4549"/>
    <w:rsid w:val="009A4C9C"/>
    <w:rsid w:val="009A5465"/>
    <w:rsid w:val="009A54F2"/>
    <w:rsid w:val="009A552C"/>
    <w:rsid w:val="009A55D3"/>
    <w:rsid w:val="009A55D4"/>
    <w:rsid w:val="009A5753"/>
    <w:rsid w:val="009A5B9C"/>
    <w:rsid w:val="009A5E87"/>
    <w:rsid w:val="009A6247"/>
    <w:rsid w:val="009A6D53"/>
    <w:rsid w:val="009A7060"/>
    <w:rsid w:val="009A717A"/>
    <w:rsid w:val="009A72CC"/>
    <w:rsid w:val="009A75B5"/>
    <w:rsid w:val="009A7988"/>
    <w:rsid w:val="009B0E53"/>
    <w:rsid w:val="009B1010"/>
    <w:rsid w:val="009B1E77"/>
    <w:rsid w:val="009B2B7E"/>
    <w:rsid w:val="009B2C22"/>
    <w:rsid w:val="009B3416"/>
    <w:rsid w:val="009B344A"/>
    <w:rsid w:val="009B3556"/>
    <w:rsid w:val="009B38CB"/>
    <w:rsid w:val="009B39AE"/>
    <w:rsid w:val="009B3BD3"/>
    <w:rsid w:val="009B3D1D"/>
    <w:rsid w:val="009B3DD6"/>
    <w:rsid w:val="009B3E64"/>
    <w:rsid w:val="009B3F58"/>
    <w:rsid w:val="009B4ECB"/>
    <w:rsid w:val="009B5466"/>
    <w:rsid w:val="009B564C"/>
    <w:rsid w:val="009B5A1A"/>
    <w:rsid w:val="009B5E82"/>
    <w:rsid w:val="009B5F9C"/>
    <w:rsid w:val="009B6010"/>
    <w:rsid w:val="009B6781"/>
    <w:rsid w:val="009B6B27"/>
    <w:rsid w:val="009B6F8E"/>
    <w:rsid w:val="009B789F"/>
    <w:rsid w:val="009B7B42"/>
    <w:rsid w:val="009C05D8"/>
    <w:rsid w:val="009C17E7"/>
    <w:rsid w:val="009C17F5"/>
    <w:rsid w:val="009C18D3"/>
    <w:rsid w:val="009C1DC5"/>
    <w:rsid w:val="009C1FD0"/>
    <w:rsid w:val="009C2182"/>
    <w:rsid w:val="009C2C3B"/>
    <w:rsid w:val="009C2EEB"/>
    <w:rsid w:val="009C3403"/>
    <w:rsid w:val="009C3635"/>
    <w:rsid w:val="009C3953"/>
    <w:rsid w:val="009C3AB2"/>
    <w:rsid w:val="009C3ADC"/>
    <w:rsid w:val="009C417E"/>
    <w:rsid w:val="009C44D0"/>
    <w:rsid w:val="009C4E9C"/>
    <w:rsid w:val="009C5349"/>
    <w:rsid w:val="009C586F"/>
    <w:rsid w:val="009C5CE7"/>
    <w:rsid w:val="009C5FB8"/>
    <w:rsid w:val="009C60AA"/>
    <w:rsid w:val="009C61DE"/>
    <w:rsid w:val="009C66AF"/>
    <w:rsid w:val="009C67F2"/>
    <w:rsid w:val="009C76BA"/>
    <w:rsid w:val="009C7A2E"/>
    <w:rsid w:val="009C7D95"/>
    <w:rsid w:val="009D02AD"/>
    <w:rsid w:val="009D0E98"/>
    <w:rsid w:val="009D10BF"/>
    <w:rsid w:val="009D1974"/>
    <w:rsid w:val="009D1E6E"/>
    <w:rsid w:val="009D2543"/>
    <w:rsid w:val="009D25EA"/>
    <w:rsid w:val="009D268C"/>
    <w:rsid w:val="009D27C5"/>
    <w:rsid w:val="009D2BCD"/>
    <w:rsid w:val="009D2E68"/>
    <w:rsid w:val="009D3076"/>
    <w:rsid w:val="009D3214"/>
    <w:rsid w:val="009D34AF"/>
    <w:rsid w:val="009D3822"/>
    <w:rsid w:val="009D3E58"/>
    <w:rsid w:val="009D3EC2"/>
    <w:rsid w:val="009D44C2"/>
    <w:rsid w:val="009D4BC5"/>
    <w:rsid w:val="009D538C"/>
    <w:rsid w:val="009D5731"/>
    <w:rsid w:val="009D5C6A"/>
    <w:rsid w:val="009D5C70"/>
    <w:rsid w:val="009D6063"/>
    <w:rsid w:val="009D6085"/>
    <w:rsid w:val="009D6C81"/>
    <w:rsid w:val="009D7871"/>
    <w:rsid w:val="009D7E1D"/>
    <w:rsid w:val="009E00C2"/>
    <w:rsid w:val="009E0362"/>
    <w:rsid w:val="009E06FF"/>
    <w:rsid w:val="009E2217"/>
    <w:rsid w:val="009E2378"/>
    <w:rsid w:val="009E2EA2"/>
    <w:rsid w:val="009E324B"/>
    <w:rsid w:val="009E335E"/>
    <w:rsid w:val="009E3C55"/>
    <w:rsid w:val="009E3CCC"/>
    <w:rsid w:val="009E445A"/>
    <w:rsid w:val="009E4464"/>
    <w:rsid w:val="009E468A"/>
    <w:rsid w:val="009E516F"/>
    <w:rsid w:val="009E537B"/>
    <w:rsid w:val="009E5C45"/>
    <w:rsid w:val="009E6243"/>
    <w:rsid w:val="009E64FE"/>
    <w:rsid w:val="009E66D0"/>
    <w:rsid w:val="009E786D"/>
    <w:rsid w:val="009E7C5F"/>
    <w:rsid w:val="009E7E25"/>
    <w:rsid w:val="009E7FC4"/>
    <w:rsid w:val="009F041C"/>
    <w:rsid w:val="009F074E"/>
    <w:rsid w:val="009F0915"/>
    <w:rsid w:val="009F12D1"/>
    <w:rsid w:val="009F1326"/>
    <w:rsid w:val="009F16D7"/>
    <w:rsid w:val="009F24F9"/>
    <w:rsid w:val="009F259D"/>
    <w:rsid w:val="009F2717"/>
    <w:rsid w:val="009F27FF"/>
    <w:rsid w:val="009F2B63"/>
    <w:rsid w:val="009F355D"/>
    <w:rsid w:val="009F39A8"/>
    <w:rsid w:val="009F3E0D"/>
    <w:rsid w:val="009F42E2"/>
    <w:rsid w:val="009F43B2"/>
    <w:rsid w:val="009F45C0"/>
    <w:rsid w:val="009F4FF8"/>
    <w:rsid w:val="009F51D9"/>
    <w:rsid w:val="009F568B"/>
    <w:rsid w:val="009F5775"/>
    <w:rsid w:val="009F60C3"/>
    <w:rsid w:val="009F64C6"/>
    <w:rsid w:val="009F74EE"/>
    <w:rsid w:val="009F7A30"/>
    <w:rsid w:val="009F7AAC"/>
    <w:rsid w:val="009F7C91"/>
    <w:rsid w:val="009F7EA2"/>
    <w:rsid w:val="00A00A36"/>
    <w:rsid w:val="00A00B02"/>
    <w:rsid w:val="00A00C92"/>
    <w:rsid w:val="00A00E24"/>
    <w:rsid w:val="00A00E53"/>
    <w:rsid w:val="00A01055"/>
    <w:rsid w:val="00A01E1D"/>
    <w:rsid w:val="00A02094"/>
    <w:rsid w:val="00A0224A"/>
    <w:rsid w:val="00A025F5"/>
    <w:rsid w:val="00A02BEF"/>
    <w:rsid w:val="00A02C0D"/>
    <w:rsid w:val="00A02D33"/>
    <w:rsid w:val="00A02F56"/>
    <w:rsid w:val="00A02F7D"/>
    <w:rsid w:val="00A02FAC"/>
    <w:rsid w:val="00A03048"/>
    <w:rsid w:val="00A030DC"/>
    <w:rsid w:val="00A03B0B"/>
    <w:rsid w:val="00A03D2A"/>
    <w:rsid w:val="00A0406E"/>
    <w:rsid w:val="00A043C2"/>
    <w:rsid w:val="00A046B5"/>
    <w:rsid w:val="00A04E8E"/>
    <w:rsid w:val="00A05214"/>
    <w:rsid w:val="00A053B5"/>
    <w:rsid w:val="00A054DE"/>
    <w:rsid w:val="00A05510"/>
    <w:rsid w:val="00A05B0E"/>
    <w:rsid w:val="00A05E2F"/>
    <w:rsid w:val="00A061F1"/>
    <w:rsid w:val="00A074DE"/>
    <w:rsid w:val="00A07E55"/>
    <w:rsid w:val="00A07FCA"/>
    <w:rsid w:val="00A1012C"/>
    <w:rsid w:val="00A10424"/>
    <w:rsid w:val="00A10586"/>
    <w:rsid w:val="00A10B09"/>
    <w:rsid w:val="00A10E37"/>
    <w:rsid w:val="00A11463"/>
    <w:rsid w:val="00A1150B"/>
    <w:rsid w:val="00A11660"/>
    <w:rsid w:val="00A12310"/>
    <w:rsid w:val="00A12858"/>
    <w:rsid w:val="00A12C64"/>
    <w:rsid w:val="00A12CDC"/>
    <w:rsid w:val="00A12F51"/>
    <w:rsid w:val="00A13573"/>
    <w:rsid w:val="00A13CF4"/>
    <w:rsid w:val="00A14652"/>
    <w:rsid w:val="00A14BDA"/>
    <w:rsid w:val="00A1598C"/>
    <w:rsid w:val="00A15DC2"/>
    <w:rsid w:val="00A175C4"/>
    <w:rsid w:val="00A17B9C"/>
    <w:rsid w:val="00A17C28"/>
    <w:rsid w:val="00A20477"/>
    <w:rsid w:val="00A20542"/>
    <w:rsid w:val="00A20589"/>
    <w:rsid w:val="00A2070B"/>
    <w:rsid w:val="00A20868"/>
    <w:rsid w:val="00A20C1F"/>
    <w:rsid w:val="00A21135"/>
    <w:rsid w:val="00A21796"/>
    <w:rsid w:val="00A218B5"/>
    <w:rsid w:val="00A22119"/>
    <w:rsid w:val="00A2233A"/>
    <w:rsid w:val="00A22603"/>
    <w:rsid w:val="00A22D6D"/>
    <w:rsid w:val="00A22E7D"/>
    <w:rsid w:val="00A230E7"/>
    <w:rsid w:val="00A23129"/>
    <w:rsid w:val="00A2344C"/>
    <w:rsid w:val="00A23A94"/>
    <w:rsid w:val="00A2438A"/>
    <w:rsid w:val="00A247AA"/>
    <w:rsid w:val="00A24BAD"/>
    <w:rsid w:val="00A25044"/>
    <w:rsid w:val="00A25056"/>
    <w:rsid w:val="00A254E6"/>
    <w:rsid w:val="00A257BF"/>
    <w:rsid w:val="00A259F6"/>
    <w:rsid w:val="00A260E1"/>
    <w:rsid w:val="00A26A62"/>
    <w:rsid w:val="00A26CDA"/>
    <w:rsid w:val="00A26D60"/>
    <w:rsid w:val="00A2704A"/>
    <w:rsid w:val="00A272A7"/>
    <w:rsid w:val="00A273E6"/>
    <w:rsid w:val="00A27AC2"/>
    <w:rsid w:val="00A27DD0"/>
    <w:rsid w:val="00A27E63"/>
    <w:rsid w:val="00A30025"/>
    <w:rsid w:val="00A30B90"/>
    <w:rsid w:val="00A30FF1"/>
    <w:rsid w:val="00A31489"/>
    <w:rsid w:val="00A31A3B"/>
    <w:rsid w:val="00A31D00"/>
    <w:rsid w:val="00A31EE8"/>
    <w:rsid w:val="00A32193"/>
    <w:rsid w:val="00A324FC"/>
    <w:rsid w:val="00A32672"/>
    <w:rsid w:val="00A32DC7"/>
    <w:rsid w:val="00A32E11"/>
    <w:rsid w:val="00A33321"/>
    <w:rsid w:val="00A335F3"/>
    <w:rsid w:val="00A336F6"/>
    <w:rsid w:val="00A343B2"/>
    <w:rsid w:val="00A34719"/>
    <w:rsid w:val="00A34AA6"/>
    <w:rsid w:val="00A34DC2"/>
    <w:rsid w:val="00A34E35"/>
    <w:rsid w:val="00A35028"/>
    <w:rsid w:val="00A354ED"/>
    <w:rsid w:val="00A357B1"/>
    <w:rsid w:val="00A35C5B"/>
    <w:rsid w:val="00A35CB4"/>
    <w:rsid w:val="00A36946"/>
    <w:rsid w:val="00A3695A"/>
    <w:rsid w:val="00A36A23"/>
    <w:rsid w:val="00A37480"/>
    <w:rsid w:val="00A37582"/>
    <w:rsid w:val="00A37BC3"/>
    <w:rsid w:val="00A409FA"/>
    <w:rsid w:val="00A41107"/>
    <w:rsid w:val="00A41163"/>
    <w:rsid w:val="00A412E8"/>
    <w:rsid w:val="00A41312"/>
    <w:rsid w:val="00A41355"/>
    <w:rsid w:val="00A4173C"/>
    <w:rsid w:val="00A421A8"/>
    <w:rsid w:val="00A4261A"/>
    <w:rsid w:val="00A43241"/>
    <w:rsid w:val="00A43544"/>
    <w:rsid w:val="00A435C9"/>
    <w:rsid w:val="00A436C1"/>
    <w:rsid w:val="00A43B92"/>
    <w:rsid w:val="00A43F14"/>
    <w:rsid w:val="00A44720"/>
    <w:rsid w:val="00A4490B"/>
    <w:rsid w:val="00A44F2A"/>
    <w:rsid w:val="00A4510E"/>
    <w:rsid w:val="00A45769"/>
    <w:rsid w:val="00A466A7"/>
    <w:rsid w:val="00A46E6A"/>
    <w:rsid w:val="00A46FEA"/>
    <w:rsid w:val="00A47015"/>
    <w:rsid w:val="00A472FE"/>
    <w:rsid w:val="00A474F8"/>
    <w:rsid w:val="00A4757E"/>
    <w:rsid w:val="00A475BB"/>
    <w:rsid w:val="00A477E9"/>
    <w:rsid w:val="00A47CB3"/>
    <w:rsid w:val="00A502FA"/>
    <w:rsid w:val="00A50805"/>
    <w:rsid w:val="00A509C5"/>
    <w:rsid w:val="00A51F59"/>
    <w:rsid w:val="00A5202F"/>
    <w:rsid w:val="00A52812"/>
    <w:rsid w:val="00A52E3B"/>
    <w:rsid w:val="00A53BF9"/>
    <w:rsid w:val="00A53EE8"/>
    <w:rsid w:val="00A5460E"/>
    <w:rsid w:val="00A54C96"/>
    <w:rsid w:val="00A55741"/>
    <w:rsid w:val="00A55C7E"/>
    <w:rsid w:val="00A55EB5"/>
    <w:rsid w:val="00A56167"/>
    <w:rsid w:val="00A569BE"/>
    <w:rsid w:val="00A56C9A"/>
    <w:rsid w:val="00A56D84"/>
    <w:rsid w:val="00A57264"/>
    <w:rsid w:val="00A6014D"/>
    <w:rsid w:val="00A603E6"/>
    <w:rsid w:val="00A610CB"/>
    <w:rsid w:val="00A615CE"/>
    <w:rsid w:val="00A6179E"/>
    <w:rsid w:val="00A61982"/>
    <w:rsid w:val="00A61B9E"/>
    <w:rsid w:val="00A61DAC"/>
    <w:rsid w:val="00A61DCB"/>
    <w:rsid w:val="00A62E9A"/>
    <w:rsid w:val="00A63698"/>
    <w:rsid w:val="00A63835"/>
    <w:rsid w:val="00A638E1"/>
    <w:rsid w:val="00A64198"/>
    <w:rsid w:val="00A646C0"/>
    <w:rsid w:val="00A64B54"/>
    <w:rsid w:val="00A65425"/>
    <w:rsid w:val="00A65445"/>
    <w:rsid w:val="00A65625"/>
    <w:rsid w:val="00A658AC"/>
    <w:rsid w:val="00A65912"/>
    <w:rsid w:val="00A66430"/>
    <w:rsid w:val="00A6659D"/>
    <w:rsid w:val="00A6670F"/>
    <w:rsid w:val="00A669EE"/>
    <w:rsid w:val="00A66F67"/>
    <w:rsid w:val="00A67055"/>
    <w:rsid w:val="00A675A7"/>
    <w:rsid w:val="00A675FA"/>
    <w:rsid w:val="00A67A8B"/>
    <w:rsid w:val="00A67FF4"/>
    <w:rsid w:val="00A7012E"/>
    <w:rsid w:val="00A7015D"/>
    <w:rsid w:val="00A70631"/>
    <w:rsid w:val="00A70C88"/>
    <w:rsid w:val="00A70EB3"/>
    <w:rsid w:val="00A70FB5"/>
    <w:rsid w:val="00A710A5"/>
    <w:rsid w:val="00A7133A"/>
    <w:rsid w:val="00A717A4"/>
    <w:rsid w:val="00A717D1"/>
    <w:rsid w:val="00A72042"/>
    <w:rsid w:val="00A72CF5"/>
    <w:rsid w:val="00A72F79"/>
    <w:rsid w:val="00A73097"/>
    <w:rsid w:val="00A7419D"/>
    <w:rsid w:val="00A74404"/>
    <w:rsid w:val="00A74607"/>
    <w:rsid w:val="00A7490A"/>
    <w:rsid w:val="00A74B5A"/>
    <w:rsid w:val="00A74D5C"/>
    <w:rsid w:val="00A74D5D"/>
    <w:rsid w:val="00A75252"/>
    <w:rsid w:val="00A75595"/>
    <w:rsid w:val="00A75B10"/>
    <w:rsid w:val="00A76563"/>
    <w:rsid w:val="00A7690A"/>
    <w:rsid w:val="00A77930"/>
    <w:rsid w:val="00A80747"/>
    <w:rsid w:val="00A80928"/>
    <w:rsid w:val="00A811C0"/>
    <w:rsid w:val="00A81420"/>
    <w:rsid w:val="00A8174C"/>
    <w:rsid w:val="00A8176D"/>
    <w:rsid w:val="00A8182D"/>
    <w:rsid w:val="00A81F84"/>
    <w:rsid w:val="00A828FB"/>
    <w:rsid w:val="00A8299B"/>
    <w:rsid w:val="00A830A0"/>
    <w:rsid w:val="00A83258"/>
    <w:rsid w:val="00A83A50"/>
    <w:rsid w:val="00A8408C"/>
    <w:rsid w:val="00A84617"/>
    <w:rsid w:val="00A84A83"/>
    <w:rsid w:val="00A84C81"/>
    <w:rsid w:val="00A84DAC"/>
    <w:rsid w:val="00A85313"/>
    <w:rsid w:val="00A857C0"/>
    <w:rsid w:val="00A86594"/>
    <w:rsid w:val="00A86813"/>
    <w:rsid w:val="00A86A34"/>
    <w:rsid w:val="00A86C32"/>
    <w:rsid w:val="00A86F2D"/>
    <w:rsid w:val="00A8712C"/>
    <w:rsid w:val="00A875E4"/>
    <w:rsid w:val="00A876EB"/>
    <w:rsid w:val="00A87B1C"/>
    <w:rsid w:val="00A903D9"/>
    <w:rsid w:val="00A903E1"/>
    <w:rsid w:val="00A904F5"/>
    <w:rsid w:val="00A90709"/>
    <w:rsid w:val="00A9098F"/>
    <w:rsid w:val="00A90ADB"/>
    <w:rsid w:val="00A911FC"/>
    <w:rsid w:val="00A9134A"/>
    <w:rsid w:val="00A91614"/>
    <w:rsid w:val="00A9174F"/>
    <w:rsid w:val="00A91D0B"/>
    <w:rsid w:val="00A91E47"/>
    <w:rsid w:val="00A92C7E"/>
    <w:rsid w:val="00A930CB"/>
    <w:rsid w:val="00A9394C"/>
    <w:rsid w:val="00A94531"/>
    <w:rsid w:val="00A94A37"/>
    <w:rsid w:val="00A951D9"/>
    <w:rsid w:val="00A9599D"/>
    <w:rsid w:val="00A95A85"/>
    <w:rsid w:val="00A95BFF"/>
    <w:rsid w:val="00A95FE9"/>
    <w:rsid w:val="00A9608D"/>
    <w:rsid w:val="00A960C1"/>
    <w:rsid w:val="00A960C4"/>
    <w:rsid w:val="00A962FC"/>
    <w:rsid w:val="00A96536"/>
    <w:rsid w:val="00A96A66"/>
    <w:rsid w:val="00A96A8F"/>
    <w:rsid w:val="00A96F94"/>
    <w:rsid w:val="00A96F9C"/>
    <w:rsid w:val="00A971A1"/>
    <w:rsid w:val="00A97369"/>
    <w:rsid w:val="00A976ED"/>
    <w:rsid w:val="00A977E6"/>
    <w:rsid w:val="00A97E99"/>
    <w:rsid w:val="00AA015D"/>
    <w:rsid w:val="00AA0179"/>
    <w:rsid w:val="00AA02A2"/>
    <w:rsid w:val="00AA0457"/>
    <w:rsid w:val="00AA056E"/>
    <w:rsid w:val="00AA0FAA"/>
    <w:rsid w:val="00AA1531"/>
    <w:rsid w:val="00AA21AA"/>
    <w:rsid w:val="00AA22F3"/>
    <w:rsid w:val="00AA2392"/>
    <w:rsid w:val="00AA2A26"/>
    <w:rsid w:val="00AA2C29"/>
    <w:rsid w:val="00AA2D4E"/>
    <w:rsid w:val="00AA31E2"/>
    <w:rsid w:val="00AA32B3"/>
    <w:rsid w:val="00AA3673"/>
    <w:rsid w:val="00AA3B94"/>
    <w:rsid w:val="00AA43E2"/>
    <w:rsid w:val="00AA45C6"/>
    <w:rsid w:val="00AA46FD"/>
    <w:rsid w:val="00AA4A1D"/>
    <w:rsid w:val="00AA4ED3"/>
    <w:rsid w:val="00AA5049"/>
    <w:rsid w:val="00AA52F1"/>
    <w:rsid w:val="00AA6458"/>
    <w:rsid w:val="00AA64A9"/>
    <w:rsid w:val="00AA6AEB"/>
    <w:rsid w:val="00AA6D46"/>
    <w:rsid w:val="00AA7BEF"/>
    <w:rsid w:val="00AA7CA2"/>
    <w:rsid w:val="00AA7FA4"/>
    <w:rsid w:val="00AB0B7E"/>
    <w:rsid w:val="00AB0CB4"/>
    <w:rsid w:val="00AB10AC"/>
    <w:rsid w:val="00AB1283"/>
    <w:rsid w:val="00AB1A73"/>
    <w:rsid w:val="00AB218C"/>
    <w:rsid w:val="00AB2491"/>
    <w:rsid w:val="00AB2498"/>
    <w:rsid w:val="00AB2BF2"/>
    <w:rsid w:val="00AB3070"/>
    <w:rsid w:val="00AB3186"/>
    <w:rsid w:val="00AB3C4D"/>
    <w:rsid w:val="00AB410A"/>
    <w:rsid w:val="00AB4931"/>
    <w:rsid w:val="00AB4AED"/>
    <w:rsid w:val="00AB4BF0"/>
    <w:rsid w:val="00AB5583"/>
    <w:rsid w:val="00AB57AE"/>
    <w:rsid w:val="00AB5CB8"/>
    <w:rsid w:val="00AB5FC6"/>
    <w:rsid w:val="00AB604A"/>
    <w:rsid w:val="00AB6B72"/>
    <w:rsid w:val="00AB6D3A"/>
    <w:rsid w:val="00AB6EFC"/>
    <w:rsid w:val="00AB79C3"/>
    <w:rsid w:val="00AB7B33"/>
    <w:rsid w:val="00AB7E67"/>
    <w:rsid w:val="00AC1AFE"/>
    <w:rsid w:val="00AC2466"/>
    <w:rsid w:val="00AC265F"/>
    <w:rsid w:val="00AC27AB"/>
    <w:rsid w:val="00AC2CF0"/>
    <w:rsid w:val="00AC3953"/>
    <w:rsid w:val="00AC4043"/>
    <w:rsid w:val="00AC4198"/>
    <w:rsid w:val="00AC49B1"/>
    <w:rsid w:val="00AC4D58"/>
    <w:rsid w:val="00AC4E72"/>
    <w:rsid w:val="00AC5003"/>
    <w:rsid w:val="00AC51B0"/>
    <w:rsid w:val="00AC5522"/>
    <w:rsid w:val="00AC582C"/>
    <w:rsid w:val="00AC588A"/>
    <w:rsid w:val="00AC5964"/>
    <w:rsid w:val="00AC59A7"/>
    <w:rsid w:val="00AC5B3F"/>
    <w:rsid w:val="00AC5F48"/>
    <w:rsid w:val="00AC6167"/>
    <w:rsid w:val="00AC6A34"/>
    <w:rsid w:val="00AC6E25"/>
    <w:rsid w:val="00AC7348"/>
    <w:rsid w:val="00AC77AD"/>
    <w:rsid w:val="00AC7C79"/>
    <w:rsid w:val="00AD000B"/>
    <w:rsid w:val="00AD215E"/>
    <w:rsid w:val="00AD2E14"/>
    <w:rsid w:val="00AD31DE"/>
    <w:rsid w:val="00AD3A3B"/>
    <w:rsid w:val="00AD3CE9"/>
    <w:rsid w:val="00AD41BA"/>
    <w:rsid w:val="00AD41E3"/>
    <w:rsid w:val="00AD42D7"/>
    <w:rsid w:val="00AD4576"/>
    <w:rsid w:val="00AD459C"/>
    <w:rsid w:val="00AD4F9C"/>
    <w:rsid w:val="00AD503C"/>
    <w:rsid w:val="00AD521C"/>
    <w:rsid w:val="00AD550F"/>
    <w:rsid w:val="00AD5AF2"/>
    <w:rsid w:val="00AD5FC2"/>
    <w:rsid w:val="00AD61D3"/>
    <w:rsid w:val="00AD6644"/>
    <w:rsid w:val="00AD66A4"/>
    <w:rsid w:val="00AD6799"/>
    <w:rsid w:val="00AD6A73"/>
    <w:rsid w:val="00AD70AD"/>
    <w:rsid w:val="00AD7483"/>
    <w:rsid w:val="00AD7812"/>
    <w:rsid w:val="00AD7B95"/>
    <w:rsid w:val="00AD7FE0"/>
    <w:rsid w:val="00AE078E"/>
    <w:rsid w:val="00AE0DDD"/>
    <w:rsid w:val="00AE1010"/>
    <w:rsid w:val="00AE1162"/>
    <w:rsid w:val="00AE16CE"/>
    <w:rsid w:val="00AE1E1A"/>
    <w:rsid w:val="00AE214B"/>
    <w:rsid w:val="00AE2249"/>
    <w:rsid w:val="00AE2573"/>
    <w:rsid w:val="00AE281C"/>
    <w:rsid w:val="00AE29D1"/>
    <w:rsid w:val="00AE2F70"/>
    <w:rsid w:val="00AE3720"/>
    <w:rsid w:val="00AE402D"/>
    <w:rsid w:val="00AE44C8"/>
    <w:rsid w:val="00AE4D83"/>
    <w:rsid w:val="00AE50A1"/>
    <w:rsid w:val="00AE5595"/>
    <w:rsid w:val="00AE55B8"/>
    <w:rsid w:val="00AE573F"/>
    <w:rsid w:val="00AE57B8"/>
    <w:rsid w:val="00AE6CFA"/>
    <w:rsid w:val="00AE76EB"/>
    <w:rsid w:val="00AE7F7B"/>
    <w:rsid w:val="00AF0056"/>
    <w:rsid w:val="00AF00AC"/>
    <w:rsid w:val="00AF070E"/>
    <w:rsid w:val="00AF0AB4"/>
    <w:rsid w:val="00AF12C9"/>
    <w:rsid w:val="00AF1463"/>
    <w:rsid w:val="00AF157E"/>
    <w:rsid w:val="00AF16E1"/>
    <w:rsid w:val="00AF27D4"/>
    <w:rsid w:val="00AF27D6"/>
    <w:rsid w:val="00AF2E2E"/>
    <w:rsid w:val="00AF2E3A"/>
    <w:rsid w:val="00AF30BA"/>
    <w:rsid w:val="00AF3172"/>
    <w:rsid w:val="00AF3DE7"/>
    <w:rsid w:val="00AF3E63"/>
    <w:rsid w:val="00AF46CA"/>
    <w:rsid w:val="00AF499D"/>
    <w:rsid w:val="00AF50FE"/>
    <w:rsid w:val="00AF51DE"/>
    <w:rsid w:val="00AF55DD"/>
    <w:rsid w:val="00AF56D1"/>
    <w:rsid w:val="00AF5B14"/>
    <w:rsid w:val="00AF5CC3"/>
    <w:rsid w:val="00AF62BD"/>
    <w:rsid w:val="00AF6848"/>
    <w:rsid w:val="00AF69D4"/>
    <w:rsid w:val="00AF76A0"/>
    <w:rsid w:val="00AF7A42"/>
    <w:rsid w:val="00AF7D16"/>
    <w:rsid w:val="00AF7D96"/>
    <w:rsid w:val="00AF7EA1"/>
    <w:rsid w:val="00AF7F1B"/>
    <w:rsid w:val="00B0011F"/>
    <w:rsid w:val="00B0063E"/>
    <w:rsid w:val="00B00B10"/>
    <w:rsid w:val="00B00F2C"/>
    <w:rsid w:val="00B01212"/>
    <w:rsid w:val="00B014E3"/>
    <w:rsid w:val="00B01DA9"/>
    <w:rsid w:val="00B0261F"/>
    <w:rsid w:val="00B0278C"/>
    <w:rsid w:val="00B03472"/>
    <w:rsid w:val="00B03735"/>
    <w:rsid w:val="00B04AB3"/>
    <w:rsid w:val="00B04E89"/>
    <w:rsid w:val="00B04F1E"/>
    <w:rsid w:val="00B05119"/>
    <w:rsid w:val="00B051DC"/>
    <w:rsid w:val="00B06168"/>
    <w:rsid w:val="00B064D0"/>
    <w:rsid w:val="00B0686C"/>
    <w:rsid w:val="00B06C93"/>
    <w:rsid w:val="00B06D5F"/>
    <w:rsid w:val="00B0721A"/>
    <w:rsid w:val="00B074A5"/>
    <w:rsid w:val="00B07811"/>
    <w:rsid w:val="00B104D5"/>
    <w:rsid w:val="00B10610"/>
    <w:rsid w:val="00B109A9"/>
    <w:rsid w:val="00B10D03"/>
    <w:rsid w:val="00B10F4D"/>
    <w:rsid w:val="00B10F73"/>
    <w:rsid w:val="00B1149F"/>
    <w:rsid w:val="00B1154A"/>
    <w:rsid w:val="00B12367"/>
    <w:rsid w:val="00B125B3"/>
    <w:rsid w:val="00B127CD"/>
    <w:rsid w:val="00B1280C"/>
    <w:rsid w:val="00B128A0"/>
    <w:rsid w:val="00B12D10"/>
    <w:rsid w:val="00B12E2F"/>
    <w:rsid w:val="00B13067"/>
    <w:rsid w:val="00B131F7"/>
    <w:rsid w:val="00B13672"/>
    <w:rsid w:val="00B138CD"/>
    <w:rsid w:val="00B13C38"/>
    <w:rsid w:val="00B13CC6"/>
    <w:rsid w:val="00B13CF0"/>
    <w:rsid w:val="00B140E1"/>
    <w:rsid w:val="00B14431"/>
    <w:rsid w:val="00B14485"/>
    <w:rsid w:val="00B16B67"/>
    <w:rsid w:val="00B16BB9"/>
    <w:rsid w:val="00B16E42"/>
    <w:rsid w:val="00B17EF4"/>
    <w:rsid w:val="00B207E5"/>
    <w:rsid w:val="00B21481"/>
    <w:rsid w:val="00B22697"/>
    <w:rsid w:val="00B22EDF"/>
    <w:rsid w:val="00B235CF"/>
    <w:rsid w:val="00B235D4"/>
    <w:rsid w:val="00B23BDB"/>
    <w:rsid w:val="00B23F05"/>
    <w:rsid w:val="00B240A6"/>
    <w:rsid w:val="00B24235"/>
    <w:rsid w:val="00B246D2"/>
    <w:rsid w:val="00B24816"/>
    <w:rsid w:val="00B24BF3"/>
    <w:rsid w:val="00B25695"/>
    <w:rsid w:val="00B2581A"/>
    <w:rsid w:val="00B2581B"/>
    <w:rsid w:val="00B25BFC"/>
    <w:rsid w:val="00B25D0D"/>
    <w:rsid w:val="00B25E2A"/>
    <w:rsid w:val="00B260C2"/>
    <w:rsid w:val="00B2613A"/>
    <w:rsid w:val="00B26683"/>
    <w:rsid w:val="00B26868"/>
    <w:rsid w:val="00B26B4A"/>
    <w:rsid w:val="00B26E1B"/>
    <w:rsid w:val="00B2741C"/>
    <w:rsid w:val="00B27710"/>
    <w:rsid w:val="00B277E0"/>
    <w:rsid w:val="00B30514"/>
    <w:rsid w:val="00B30E88"/>
    <w:rsid w:val="00B31099"/>
    <w:rsid w:val="00B3111D"/>
    <w:rsid w:val="00B314CA"/>
    <w:rsid w:val="00B31BD6"/>
    <w:rsid w:val="00B31C55"/>
    <w:rsid w:val="00B31D2F"/>
    <w:rsid w:val="00B31FCB"/>
    <w:rsid w:val="00B323E1"/>
    <w:rsid w:val="00B326BC"/>
    <w:rsid w:val="00B3410D"/>
    <w:rsid w:val="00B34311"/>
    <w:rsid w:val="00B3492C"/>
    <w:rsid w:val="00B34D5C"/>
    <w:rsid w:val="00B35207"/>
    <w:rsid w:val="00B35395"/>
    <w:rsid w:val="00B356E2"/>
    <w:rsid w:val="00B358E5"/>
    <w:rsid w:val="00B35EC0"/>
    <w:rsid w:val="00B361CC"/>
    <w:rsid w:val="00B36D72"/>
    <w:rsid w:val="00B37088"/>
    <w:rsid w:val="00B40392"/>
    <w:rsid w:val="00B40AE4"/>
    <w:rsid w:val="00B4102A"/>
    <w:rsid w:val="00B41335"/>
    <w:rsid w:val="00B4139B"/>
    <w:rsid w:val="00B41FB2"/>
    <w:rsid w:val="00B41FE0"/>
    <w:rsid w:val="00B42290"/>
    <w:rsid w:val="00B4248B"/>
    <w:rsid w:val="00B42A77"/>
    <w:rsid w:val="00B42BB7"/>
    <w:rsid w:val="00B43962"/>
    <w:rsid w:val="00B44BF7"/>
    <w:rsid w:val="00B452A6"/>
    <w:rsid w:val="00B45695"/>
    <w:rsid w:val="00B45EB1"/>
    <w:rsid w:val="00B45F1E"/>
    <w:rsid w:val="00B46173"/>
    <w:rsid w:val="00B468E4"/>
    <w:rsid w:val="00B46C77"/>
    <w:rsid w:val="00B474A2"/>
    <w:rsid w:val="00B474D4"/>
    <w:rsid w:val="00B474F4"/>
    <w:rsid w:val="00B47B2C"/>
    <w:rsid w:val="00B50679"/>
    <w:rsid w:val="00B50947"/>
    <w:rsid w:val="00B50ECD"/>
    <w:rsid w:val="00B51444"/>
    <w:rsid w:val="00B51979"/>
    <w:rsid w:val="00B51A44"/>
    <w:rsid w:val="00B5211C"/>
    <w:rsid w:val="00B52640"/>
    <w:rsid w:val="00B52701"/>
    <w:rsid w:val="00B529A6"/>
    <w:rsid w:val="00B52E2D"/>
    <w:rsid w:val="00B539B2"/>
    <w:rsid w:val="00B53CBF"/>
    <w:rsid w:val="00B53E2D"/>
    <w:rsid w:val="00B54040"/>
    <w:rsid w:val="00B54231"/>
    <w:rsid w:val="00B5454A"/>
    <w:rsid w:val="00B54841"/>
    <w:rsid w:val="00B54974"/>
    <w:rsid w:val="00B54AC2"/>
    <w:rsid w:val="00B54C20"/>
    <w:rsid w:val="00B54CD8"/>
    <w:rsid w:val="00B56ADC"/>
    <w:rsid w:val="00B5787A"/>
    <w:rsid w:val="00B57A08"/>
    <w:rsid w:val="00B60B61"/>
    <w:rsid w:val="00B6177A"/>
    <w:rsid w:val="00B61A48"/>
    <w:rsid w:val="00B61D47"/>
    <w:rsid w:val="00B61F00"/>
    <w:rsid w:val="00B61F88"/>
    <w:rsid w:val="00B62076"/>
    <w:rsid w:val="00B620DC"/>
    <w:rsid w:val="00B628A2"/>
    <w:rsid w:val="00B62F90"/>
    <w:rsid w:val="00B6360D"/>
    <w:rsid w:val="00B64526"/>
    <w:rsid w:val="00B64770"/>
    <w:rsid w:val="00B64B17"/>
    <w:rsid w:val="00B64CC3"/>
    <w:rsid w:val="00B65264"/>
    <w:rsid w:val="00B653C9"/>
    <w:rsid w:val="00B65593"/>
    <w:rsid w:val="00B656CB"/>
    <w:rsid w:val="00B65B86"/>
    <w:rsid w:val="00B65C02"/>
    <w:rsid w:val="00B66463"/>
    <w:rsid w:val="00B6688E"/>
    <w:rsid w:val="00B66A5C"/>
    <w:rsid w:val="00B66B3B"/>
    <w:rsid w:val="00B672C7"/>
    <w:rsid w:val="00B67B14"/>
    <w:rsid w:val="00B7014D"/>
    <w:rsid w:val="00B70484"/>
    <w:rsid w:val="00B70F8C"/>
    <w:rsid w:val="00B7118A"/>
    <w:rsid w:val="00B713F0"/>
    <w:rsid w:val="00B719E0"/>
    <w:rsid w:val="00B719EE"/>
    <w:rsid w:val="00B71AF6"/>
    <w:rsid w:val="00B71CF7"/>
    <w:rsid w:val="00B72302"/>
    <w:rsid w:val="00B72938"/>
    <w:rsid w:val="00B72ED0"/>
    <w:rsid w:val="00B7340C"/>
    <w:rsid w:val="00B73620"/>
    <w:rsid w:val="00B73D71"/>
    <w:rsid w:val="00B7403A"/>
    <w:rsid w:val="00B74455"/>
    <w:rsid w:val="00B7491A"/>
    <w:rsid w:val="00B749FA"/>
    <w:rsid w:val="00B74CE0"/>
    <w:rsid w:val="00B7516E"/>
    <w:rsid w:val="00B75196"/>
    <w:rsid w:val="00B7588A"/>
    <w:rsid w:val="00B75B50"/>
    <w:rsid w:val="00B76653"/>
    <w:rsid w:val="00B77278"/>
    <w:rsid w:val="00B77359"/>
    <w:rsid w:val="00B7773B"/>
    <w:rsid w:val="00B77873"/>
    <w:rsid w:val="00B77AAE"/>
    <w:rsid w:val="00B77D7B"/>
    <w:rsid w:val="00B800B5"/>
    <w:rsid w:val="00B8122B"/>
    <w:rsid w:val="00B81244"/>
    <w:rsid w:val="00B8160B"/>
    <w:rsid w:val="00B81FB2"/>
    <w:rsid w:val="00B8277D"/>
    <w:rsid w:val="00B83A87"/>
    <w:rsid w:val="00B83C20"/>
    <w:rsid w:val="00B83CE5"/>
    <w:rsid w:val="00B84918"/>
    <w:rsid w:val="00B849C6"/>
    <w:rsid w:val="00B85BA7"/>
    <w:rsid w:val="00B86027"/>
    <w:rsid w:val="00B8614A"/>
    <w:rsid w:val="00B86626"/>
    <w:rsid w:val="00B866A1"/>
    <w:rsid w:val="00B8698D"/>
    <w:rsid w:val="00B86C8E"/>
    <w:rsid w:val="00B86E18"/>
    <w:rsid w:val="00B87251"/>
    <w:rsid w:val="00B87404"/>
    <w:rsid w:val="00B900C8"/>
    <w:rsid w:val="00B903DD"/>
    <w:rsid w:val="00B904DB"/>
    <w:rsid w:val="00B9075B"/>
    <w:rsid w:val="00B90DA9"/>
    <w:rsid w:val="00B91216"/>
    <w:rsid w:val="00B91222"/>
    <w:rsid w:val="00B91438"/>
    <w:rsid w:val="00B91478"/>
    <w:rsid w:val="00B92069"/>
    <w:rsid w:val="00B922B6"/>
    <w:rsid w:val="00B92554"/>
    <w:rsid w:val="00B927B3"/>
    <w:rsid w:val="00B92A14"/>
    <w:rsid w:val="00B92A3B"/>
    <w:rsid w:val="00B92BC5"/>
    <w:rsid w:val="00B9314D"/>
    <w:rsid w:val="00B93429"/>
    <w:rsid w:val="00B93A00"/>
    <w:rsid w:val="00B9414D"/>
    <w:rsid w:val="00B9422D"/>
    <w:rsid w:val="00B9479D"/>
    <w:rsid w:val="00B94D1E"/>
    <w:rsid w:val="00B94E93"/>
    <w:rsid w:val="00B94EE5"/>
    <w:rsid w:val="00B953D2"/>
    <w:rsid w:val="00B96589"/>
    <w:rsid w:val="00B965CC"/>
    <w:rsid w:val="00B967DD"/>
    <w:rsid w:val="00B96B9F"/>
    <w:rsid w:val="00B96D30"/>
    <w:rsid w:val="00B96F3C"/>
    <w:rsid w:val="00B96F40"/>
    <w:rsid w:val="00B97CFF"/>
    <w:rsid w:val="00B97E37"/>
    <w:rsid w:val="00BA04C0"/>
    <w:rsid w:val="00BA05AA"/>
    <w:rsid w:val="00BA0906"/>
    <w:rsid w:val="00BA0F8A"/>
    <w:rsid w:val="00BA2030"/>
    <w:rsid w:val="00BA262D"/>
    <w:rsid w:val="00BA26C4"/>
    <w:rsid w:val="00BA2AF2"/>
    <w:rsid w:val="00BA33F5"/>
    <w:rsid w:val="00BA41DF"/>
    <w:rsid w:val="00BA42BB"/>
    <w:rsid w:val="00BA456C"/>
    <w:rsid w:val="00BA480C"/>
    <w:rsid w:val="00BA4A44"/>
    <w:rsid w:val="00BA6B63"/>
    <w:rsid w:val="00BA6CC6"/>
    <w:rsid w:val="00BA7799"/>
    <w:rsid w:val="00BA7826"/>
    <w:rsid w:val="00BA7910"/>
    <w:rsid w:val="00BA79A9"/>
    <w:rsid w:val="00BB00E9"/>
    <w:rsid w:val="00BB026D"/>
    <w:rsid w:val="00BB0546"/>
    <w:rsid w:val="00BB0720"/>
    <w:rsid w:val="00BB07D5"/>
    <w:rsid w:val="00BB0DE8"/>
    <w:rsid w:val="00BB1A51"/>
    <w:rsid w:val="00BB1BAB"/>
    <w:rsid w:val="00BB1F80"/>
    <w:rsid w:val="00BB276F"/>
    <w:rsid w:val="00BB2D12"/>
    <w:rsid w:val="00BB35EE"/>
    <w:rsid w:val="00BB3878"/>
    <w:rsid w:val="00BB40D7"/>
    <w:rsid w:val="00BB4407"/>
    <w:rsid w:val="00BB4455"/>
    <w:rsid w:val="00BB4722"/>
    <w:rsid w:val="00BB4F04"/>
    <w:rsid w:val="00BB51D7"/>
    <w:rsid w:val="00BB592C"/>
    <w:rsid w:val="00BB5E81"/>
    <w:rsid w:val="00BB61BC"/>
    <w:rsid w:val="00BB74FC"/>
    <w:rsid w:val="00BB76DE"/>
    <w:rsid w:val="00BB792C"/>
    <w:rsid w:val="00BB7B79"/>
    <w:rsid w:val="00BB7E05"/>
    <w:rsid w:val="00BC0147"/>
    <w:rsid w:val="00BC038C"/>
    <w:rsid w:val="00BC07DF"/>
    <w:rsid w:val="00BC1531"/>
    <w:rsid w:val="00BC18A9"/>
    <w:rsid w:val="00BC2221"/>
    <w:rsid w:val="00BC2378"/>
    <w:rsid w:val="00BC249F"/>
    <w:rsid w:val="00BC2A01"/>
    <w:rsid w:val="00BC313B"/>
    <w:rsid w:val="00BC3577"/>
    <w:rsid w:val="00BC4197"/>
    <w:rsid w:val="00BC44D8"/>
    <w:rsid w:val="00BC4ADE"/>
    <w:rsid w:val="00BC4C32"/>
    <w:rsid w:val="00BC4F20"/>
    <w:rsid w:val="00BC4F9B"/>
    <w:rsid w:val="00BC69EF"/>
    <w:rsid w:val="00BC7291"/>
    <w:rsid w:val="00BC79EB"/>
    <w:rsid w:val="00BD051F"/>
    <w:rsid w:val="00BD0DC4"/>
    <w:rsid w:val="00BD0E85"/>
    <w:rsid w:val="00BD10D1"/>
    <w:rsid w:val="00BD1370"/>
    <w:rsid w:val="00BD14E4"/>
    <w:rsid w:val="00BD28FD"/>
    <w:rsid w:val="00BD2B86"/>
    <w:rsid w:val="00BD33F7"/>
    <w:rsid w:val="00BD342E"/>
    <w:rsid w:val="00BD38E0"/>
    <w:rsid w:val="00BD3B0B"/>
    <w:rsid w:val="00BD3B2B"/>
    <w:rsid w:val="00BD44BF"/>
    <w:rsid w:val="00BD469A"/>
    <w:rsid w:val="00BD4D32"/>
    <w:rsid w:val="00BD53A8"/>
    <w:rsid w:val="00BD5A79"/>
    <w:rsid w:val="00BD5AA3"/>
    <w:rsid w:val="00BD68CB"/>
    <w:rsid w:val="00BD6D29"/>
    <w:rsid w:val="00BD7826"/>
    <w:rsid w:val="00BD78E6"/>
    <w:rsid w:val="00BE0BB3"/>
    <w:rsid w:val="00BE0CA4"/>
    <w:rsid w:val="00BE0E5F"/>
    <w:rsid w:val="00BE18DA"/>
    <w:rsid w:val="00BE1D8B"/>
    <w:rsid w:val="00BE2007"/>
    <w:rsid w:val="00BE2103"/>
    <w:rsid w:val="00BE2A12"/>
    <w:rsid w:val="00BE2B90"/>
    <w:rsid w:val="00BE2BC6"/>
    <w:rsid w:val="00BE35DD"/>
    <w:rsid w:val="00BE36C1"/>
    <w:rsid w:val="00BE39B6"/>
    <w:rsid w:val="00BE3BE3"/>
    <w:rsid w:val="00BE3E83"/>
    <w:rsid w:val="00BE3FAA"/>
    <w:rsid w:val="00BE448F"/>
    <w:rsid w:val="00BE51DC"/>
    <w:rsid w:val="00BE53F0"/>
    <w:rsid w:val="00BE5513"/>
    <w:rsid w:val="00BE683A"/>
    <w:rsid w:val="00BE6D63"/>
    <w:rsid w:val="00BE6ED5"/>
    <w:rsid w:val="00BE6F4A"/>
    <w:rsid w:val="00BE7106"/>
    <w:rsid w:val="00BE7131"/>
    <w:rsid w:val="00BE74E3"/>
    <w:rsid w:val="00BE75AC"/>
    <w:rsid w:val="00BE770A"/>
    <w:rsid w:val="00BE775B"/>
    <w:rsid w:val="00BF0807"/>
    <w:rsid w:val="00BF0D80"/>
    <w:rsid w:val="00BF0E89"/>
    <w:rsid w:val="00BF1696"/>
    <w:rsid w:val="00BF18AA"/>
    <w:rsid w:val="00BF1EDE"/>
    <w:rsid w:val="00BF3A3F"/>
    <w:rsid w:val="00BF3CDC"/>
    <w:rsid w:val="00BF3E64"/>
    <w:rsid w:val="00BF46D5"/>
    <w:rsid w:val="00BF48D9"/>
    <w:rsid w:val="00BF4916"/>
    <w:rsid w:val="00BF4AA4"/>
    <w:rsid w:val="00BF4BF1"/>
    <w:rsid w:val="00BF5D90"/>
    <w:rsid w:val="00BF6E80"/>
    <w:rsid w:val="00BF753A"/>
    <w:rsid w:val="00C0013F"/>
    <w:rsid w:val="00C0166F"/>
    <w:rsid w:val="00C01679"/>
    <w:rsid w:val="00C01A36"/>
    <w:rsid w:val="00C01E8E"/>
    <w:rsid w:val="00C02604"/>
    <w:rsid w:val="00C029F9"/>
    <w:rsid w:val="00C02E0B"/>
    <w:rsid w:val="00C02F54"/>
    <w:rsid w:val="00C02F7C"/>
    <w:rsid w:val="00C03448"/>
    <w:rsid w:val="00C03548"/>
    <w:rsid w:val="00C03EC5"/>
    <w:rsid w:val="00C040F1"/>
    <w:rsid w:val="00C04171"/>
    <w:rsid w:val="00C04507"/>
    <w:rsid w:val="00C046E3"/>
    <w:rsid w:val="00C04B29"/>
    <w:rsid w:val="00C04BE9"/>
    <w:rsid w:val="00C053F2"/>
    <w:rsid w:val="00C05A2A"/>
    <w:rsid w:val="00C05EB7"/>
    <w:rsid w:val="00C05EE2"/>
    <w:rsid w:val="00C062FF"/>
    <w:rsid w:val="00C06325"/>
    <w:rsid w:val="00C06A17"/>
    <w:rsid w:val="00C06E35"/>
    <w:rsid w:val="00C06ED4"/>
    <w:rsid w:val="00C0727D"/>
    <w:rsid w:val="00C07699"/>
    <w:rsid w:val="00C076F2"/>
    <w:rsid w:val="00C077F3"/>
    <w:rsid w:val="00C078F4"/>
    <w:rsid w:val="00C07A5B"/>
    <w:rsid w:val="00C07BB8"/>
    <w:rsid w:val="00C108AD"/>
    <w:rsid w:val="00C10B4E"/>
    <w:rsid w:val="00C10F5B"/>
    <w:rsid w:val="00C111E5"/>
    <w:rsid w:val="00C1130D"/>
    <w:rsid w:val="00C1218D"/>
    <w:rsid w:val="00C1294F"/>
    <w:rsid w:val="00C13085"/>
    <w:rsid w:val="00C13951"/>
    <w:rsid w:val="00C1439D"/>
    <w:rsid w:val="00C14525"/>
    <w:rsid w:val="00C148CC"/>
    <w:rsid w:val="00C14B46"/>
    <w:rsid w:val="00C14C9A"/>
    <w:rsid w:val="00C15E94"/>
    <w:rsid w:val="00C16386"/>
    <w:rsid w:val="00C16799"/>
    <w:rsid w:val="00C16A20"/>
    <w:rsid w:val="00C172A5"/>
    <w:rsid w:val="00C17B78"/>
    <w:rsid w:val="00C2002F"/>
    <w:rsid w:val="00C204E5"/>
    <w:rsid w:val="00C20794"/>
    <w:rsid w:val="00C20A0D"/>
    <w:rsid w:val="00C20A65"/>
    <w:rsid w:val="00C2130D"/>
    <w:rsid w:val="00C21315"/>
    <w:rsid w:val="00C220C8"/>
    <w:rsid w:val="00C221CE"/>
    <w:rsid w:val="00C22214"/>
    <w:rsid w:val="00C2224C"/>
    <w:rsid w:val="00C23254"/>
    <w:rsid w:val="00C23410"/>
    <w:rsid w:val="00C23601"/>
    <w:rsid w:val="00C236BA"/>
    <w:rsid w:val="00C23937"/>
    <w:rsid w:val="00C23B52"/>
    <w:rsid w:val="00C23CA3"/>
    <w:rsid w:val="00C23EDC"/>
    <w:rsid w:val="00C247EB"/>
    <w:rsid w:val="00C2529C"/>
    <w:rsid w:val="00C2556D"/>
    <w:rsid w:val="00C255A9"/>
    <w:rsid w:val="00C25B45"/>
    <w:rsid w:val="00C25B59"/>
    <w:rsid w:val="00C25BDA"/>
    <w:rsid w:val="00C26189"/>
    <w:rsid w:val="00C266B7"/>
    <w:rsid w:val="00C26A60"/>
    <w:rsid w:val="00C26F26"/>
    <w:rsid w:val="00C273F9"/>
    <w:rsid w:val="00C27C28"/>
    <w:rsid w:val="00C303DE"/>
    <w:rsid w:val="00C30AFE"/>
    <w:rsid w:val="00C30CE1"/>
    <w:rsid w:val="00C3141F"/>
    <w:rsid w:val="00C31EC4"/>
    <w:rsid w:val="00C31ED9"/>
    <w:rsid w:val="00C3209E"/>
    <w:rsid w:val="00C32400"/>
    <w:rsid w:val="00C3265F"/>
    <w:rsid w:val="00C3295C"/>
    <w:rsid w:val="00C32CE0"/>
    <w:rsid w:val="00C33064"/>
    <w:rsid w:val="00C33188"/>
    <w:rsid w:val="00C33466"/>
    <w:rsid w:val="00C34224"/>
    <w:rsid w:val="00C34698"/>
    <w:rsid w:val="00C34B93"/>
    <w:rsid w:val="00C34C72"/>
    <w:rsid w:val="00C34CBA"/>
    <w:rsid w:val="00C34FB7"/>
    <w:rsid w:val="00C35094"/>
    <w:rsid w:val="00C35481"/>
    <w:rsid w:val="00C35A54"/>
    <w:rsid w:val="00C35A56"/>
    <w:rsid w:val="00C367B8"/>
    <w:rsid w:val="00C376CF"/>
    <w:rsid w:val="00C379F4"/>
    <w:rsid w:val="00C40091"/>
    <w:rsid w:val="00C40230"/>
    <w:rsid w:val="00C40383"/>
    <w:rsid w:val="00C40492"/>
    <w:rsid w:val="00C40685"/>
    <w:rsid w:val="00C40796"/>
    <w:rsid w:val="00C41039"/>
    <w:rsid w:val="00C410AB"/>
    <w:rsid w:val="00C413FC"/>
    <w:rsid w:val="00C4151C"/>
    <w:rsid w:val="00C416A9"/>
    <w:rsid w:val="00C428D3"/>
    <w:rsid w:val="00C42E22"/>
    <w:rsid w:val="00C43171"/>
    <w:rsid w:val="00C43B42"/>
    <w:rsid w:val="00C44278"/>
    <w:rsid w:val="00C442EC"/>
    <w:rsid w:val="00C443E3"/>
    <w:rsid w:val="00C44407"/>
    <w:rsid w:val="00C444E2"/>
    <w:rsid w:val="00C4482C"/>
    <w:rsid w:val="00C44BDE"/>
    <w:rsid w:val="00C45B45"/>
    <w:rsid w:val="00C45DEE"/>
    <w:rsid w:val="00C46000"/>
    <w:rsid w:val="00C46119"/>
    <w:rsid w:val="00C46728"/>
    <w:rsid w:val="00C46B70"/>
    <w:rsid w:val="00C46F2D"/>
    <w:rsid w:val="00C47034"/>
    <w:rsid w:val="00C47A0A"/>
    <w:rsid w:val="00C50E3B"/>
    <w:rsid w:val="00C512E1"/>
    <w:rsid w:val="00C514E1"/>
    <w:rsid w:val="00C515FC"/>
    <w:rsid w:val="00C51C22"/>
    <w:rsid w:val="00C5204F"/>
    <w:rsid w:val="00C5209F"/>
    <w:rsid w:val="00C525F3"/>
    <w:rsid w:val="00C52624"/>
    <w:rsid w:val="00C526E4"/>
    <w:rsid w:val="00C52FC4"/>
    <w:rsid w:val="00C53103"/>
    <w:rsid w:val="00C5343C"/>
    <w:rsid w:val="00C53971"/>
    <w:rsid w:val="00C53B7A"/>
    <w:rsid w:val="00C53C2A"/>
    <w:rsid w:val="00C541C6"/>
    <w:rsid w:val="00C542A9"/>
    <w:rsid w:val="00C54B13"/>
    <w:rsid w:val="00C54C4B"/>
    <w:rsid w:val="00C54FB1"/>
    <w:rsid w:val="00C550C2"/>
    <w:rsid w:val="00C5548E"/>
    <w:rsid w:val="00C557AC"/>
    <w:rsid w:val="00C55806"/>
    <w:rsid w:val="00C55B2E"/>
    <w:rsid w:val="00C56078"/>
    <w:rsid w:val="00C566D8"/>
    <w:rsid w:val="00C56785"/>
    <w:rsid w:val="00C56F53"/>
    <w:rsid w:val="00C570F7"/>
    <w:rsid w:val="00C57777"/>
    <w:rsid w:val="00C57C30"/>
    <w:rsid w:val="00C60005"/>
    <w:rsid w:val="00C600BE"/>
    <w:rsid w:val="00C6021C"/>
    <w:rsid w:val="00C606F9"/>
    <w:rsid w:val="00C60F6D"/>
    <w:rsid w:val="00C6286F"/>
    <w:rsid w:val="00C6329C"/>
    <w:rsid w:val="00C637A4"/>
    <w:rsid w:val="00C63ADE"/>
    <w:rsid w:val="00C63B80"/>
    <w:rsid w:val="00C63BD5"/>
    <w:rsid w:val="00C64124"/>
    <w:rsid w:val="00C645FC"/>
    <w:rsid w:val="00C64BB2"/>
    <w:rsid w:val="00C64E8E"/>
    <w:rsid w:val="00C65327"/>
    <w:rsid w:val="00C655EF"/>
    <w:rsid w:val="00C656B5"/>
    <w:rsid w:val="00C65D1D"/>
    <w:rsid w:val="00C66045"/>
    <w:rsid w:val="00C661A0"/>
    <w:rsid w:val="00C667AF"/>
    <w:rsid w:val="00C67994"/>
    <w:rsid w:val="00C70221"/>
    <w:rsid w:val="00C7043C"/>
    <w:rsid w:val="00C70D6C"/>
    <w:rsid w:val="00C71171"/>
    <w:rsid w:val="00C713BF"/>
    <w:rsid w:val="00C713CA"/>
    <w:rsid w:val="00C717AB"/>
    <w:rsid w:val="00C71DB5"/>
    <w:rsid w:val="00C72302"/>
    <w:rsid w:val="00C72413"/>
    <w:rsid w:val="00C725F5"/>
    <w:rsid w:val="00C729C8"/>
    <w:rsid w:val="00C72AD8"/>
    <w:rsid w:val="00C743E8"/>
    <w:rsid w:val="00C7471F"/>
    <w:rsid w:val="00C74A42"/>
    <w:rsid w:val="00C7517B"/>
    <w:rsid w:val="00C7518E"/>
    <w:rsid w:val="00C751C9"/>
    <w:rsid w:val="00C7524E"/>
    <w:rsid w:val="00C761D2"/>
    <w:rsid w:val="00C76689"/>
    <w:rsid w:val="00C767E8"/>
    <w:rsid w:val="00C768E2"/>
    <w:rsid w:val="00C76D01"/>
    <w:rsid w:val="00C76E24"/>
    <w:rsid w:val="00C77202"/>
    <w:rsid w:val="00C77CAA"/>
    <w:rsid w:val="00C77DAC"/>
    <w:rsid w:val="00C80A5F"/>
    <w:rsid w:val="00C80CB2"/>
    <w:rsid w:val="00C80F9F"/>
    <w:rsid w:val="00C81180"/>
    <w:rsid w:val="00C815F5"/>
    <w:rsid w:val="00C81A7A"/>
    <w:rsid w:val="00C82601"/>
    <w:rsid w:val="00C82B18"/>
    <w:rsid w:val="00C82CE1"/>
    <w:rsid w:val="00C836D5"/>
    <w:rsid w:val="00C837DB"/>
    <w:rsid w:val="00C8425C"/>
    <w:rsid w:val="00C84754"/>
    <w:rsid w:val="00C84797"/>
    <w:rsid w:val="00C85C97"/>
    <w:rsid w:val="00C86195"/>
    <w:rsid w:val="00C8661A"/>
    <w:rsid w:val="00C86707"/>
    <w:rsid w:val="00C86A6C"/>
    <w:rsid w:val="00C86FF0"/>
    <w:rsid w:val="00C87449"/>
    <w:rsid w:val="00C87969"/>
    <w:rsid w:val="00C87D81"/>
    <w:rsid w:val="00C87FAA"/>
    <w:rsid w:val="00C90439"/>
    <w:rsid w:val="00C909B6"/>
    <w:rsid w:val="00C90DD1"/>
    <w:rsid w:val="00C90F62"/>
    <w:rsid w:val="00C9106F"/>
    <w:rsid w:val="00C9120F"/>
    <w:rsid w:val="00C916DD"/>
    <w:rsid w:val="00C917A6"/>
    <w:rsid w:val="00C91911"/>
    <w:rsid w:val="00C92A87"/>
    <w:rsid w:val="00C9359D"/>
    <w:rsid w:val="00C95301"/>
    <w:rsid w:val="00C9588A"/>
    <w:rsid w:val="00C95A3C"/>
    <w:rsid w:val="00C95B1C"/>
    <w:rsid w:val="00C95D20"/>
    <w:rsid w:val="00C95EF0"/>
    <w:rsid w:val="00C96590"/>
    <w:rsid w:val="00C969FC"/>
    <w:rsid w:val="00C96F93"/>
    <w:rsid w:val="00C972B4"/>
    <w:rsid w:val="00C97409"/>
    <w:rsid w:val="00C975F1"/>
    <w:rsid w:val="00C97787"/>
    <w:rsid w:val="00C9786D"/>
    <w:rsid w:val="00CA03EB"/>
    <w:rsid w:val="00CA08D3"/>
    <w:rsid w:val="00CA0AE2"/>
    <w:rsid w:val="00CA0D78"/>
    <w:rsid w:val="00CA15F2"/>
    <w:rsid w:val="00CA20CE"/>
    <w:rsid w:val="00CA265D"/>
    <w:rsid w:val="00CA289B"/>
    <w:rsid w:val="00CA2B51"/>
    <w:rsid w:val="00CA3890"/>
    <w:rsid w:val="00CA3993"/>
    <w:rsid w:val="00CA3B01"/>
    <w:rsid w:val="00CA3CDF"/>
    <w:rsid w:val="00CA40FC"/>
    <w:rsid w:val="00CA4434"/>
    <w:rsid w:val="00CA4841"/>
    <w:rsid w:val="00CA4859"/>
    <w:rsid w:val="00CA532B"/>
    <w:rsid w:val="00CA5366"/>
    <w:rsid w:val="00CA5D38"/>
    <w:rsid w:val="00CA63BC"/>
    <w:rsid w:val="00CA6571"/>
    <w:rsid w:val="00CA7B9C"/>
    <w:rsid w:val="00CA7F9A"/>
    <w:rsid w:val="00CB023C"/>
    <w:rsid w:val="00CB0744"/>
    <w:rsid w:val="00CB0C29"/>
    <w:rsid w:val="00CB0C81"/>
    <w:rsid w:val="00CB19D2"/>
    <w:rsid w:val="00CB1E3D"/>
    <w:rsid w:val="00CB2497"/>
    <w:rsid w:val="00CB2570"/>
    <w:rsid w:val="00CB27A8"/>
    <w:rsid w:val="00CB3D3E"/>
    <w:rsid w:val="00CB3FBB"/>
    <w:rsid w:val="00CB4B4C"/>
    <w:rsid w:val="00CB4C61"/>
    <w:rsid w:val="00CB4EF3"/>
    <w:rsid w:val="00CB4F0D"/>
    <w:rsid w:val="00CB5C0D"/>
    <w:rsid w:val="00CB5DA4"/>
    <w:rsid w:val="00CB6092"/>
    <w:rsid w:val="00CB6136"/>
    <w:rsid w:val="00CB694E"/>
    <w:rsid w:val="00CB6CBD"/>
    <w:rsid w:val="00CB6F76"/>
    <w:rsid w:val="00CB78E1"/>
    <w:rsid w:val="00CB7A5C"/>
    <w:rsid w:val="00CB7B49"/>
    <w:rsid w:val="00CB7DC7"/>
    <w:rsid w:val="00CB7F5B"/>
    <w:rsid w:val="00CC02E4"/>
    <w:rsid w:val="00CC03EA"/>
    <w:rsid w:val="00CC0D2B"/>
    <w:rsid w:val="00CC0D74"/>
    <w:rsid w:val="00CC1433"/>
    <w:rsid w:val="00CC195C"/>
    <w:rsid w:val="00CC1A85"/>
    <w:rsid w:val="00CC2049"/>
    <w:rsid w:val="00CC2286"/>
    <w:rsid w:val="00CC2356"/>
    <w:rsid w:val="00CC25BE"/>
    <w:rsid w:val="00CC2654"/>
    <w:rsid w:val="00CC378A"/>
    <w:rsid w:val="00CC5235"/>
    <w:rsid w:val="00CC5324"/>
    <w:rsid w:val="00CC5410"/>
    <w:rsid w:val="00CC5642"/>
    <w:rsid w:val="00CC5BB8"/>
    <w:rsid w:val="00CC5E39"/>
    <w:rsid w:val="00CC6657"/>
    <w:rsid w:val="00CC69A9"/>
    <w:rsid w:val="00CC6C01"/>
    <w:rsid w:val="00CC70CC"/>
    <w:rsid w:val="00CC728C"/>
    <w:rsid w:val="00CC7717"/>
    <w:rsid w:val="00CC7D03"/>
    <w:rsid w:val="00CD0568"/>
    <w:rsid w:val="00CD1040"/>
    <w:rsid w:val="00CD1CD4"/>
    <w:rsid w:val="00CD206F"/>
    <w:rsid w:val="00CD272D"/>
    <w:rsid w:val="00CD291B"/>
    <w:rsid w:val="00CD30C5"/>
    <w:rsid w:val="00CD332F"/>
    <w:rsid w:val="00CD3810"/>
    <w:rsid w:val="00CD3FE6"/>
    <w:rsid w:val="00CD4291"/>
    <w:rsid w:val="00CD43E9"/>
    <w:rsid w:val="00CD4510"/>
    <w:rsid w:val="00CD465F"/>
    <w:rsid w:val="00CD50C3"/>
    <w:rsid w:val="00CD5A52"/>
    <w:rsid w:val="00CD6228"/>
    <w:rsid w:val="00CD7040"/>
    <w:rsid w:val="00CD79FC"/>
    <w:rsid w:val="00CD7EA9"/>
    <w:rsid w:val="00CD7F80"/>
    <w:rsid w:val="00CE010B"/>
    <w:rsid w:val="00CE0656"/>
    <w:rsid w:val="00CE086B"/>
    <w:rsid w:val="00CE1074"/>
    <w:rsid w:val="00CE15EE"/>
    <w:rsid w:val="00CE169E"/>
    <w:rsid w:val="00CE196C"/>
    <w:rsid w:val="00CE1C25"/>
    <w:rsid w:val="00CE1C4C"/>
    <w:rsid w:val="00CE1F1A"/>
    <w:rsid w:val="00CE2365"/>
    <w:rsid w:val="00CE25B2"/>
    <w:rsid w:val="00CE25DF"/>
    <w:rsid w:val="00CE2A94"/>
    <w:rsid w:val="00CE3268"/>
    <w:rsid w:val="00CE3A76"/>
    <w:rsid w:val="00CE3E83"/>
    <w:rsid w:val="00CE411F"/>
    <w:rsid w:val="00CE47D2"/>
    <w:rsid w:val="00CE4F91"/>
    <w:rsid w:val="00CE5269"/>
    <w:rsid w:val="00CE5939"/>
    <w:rsid w:val="00CE5E9A"/>
    <w:rsid w:val="00CE6005"/>
    <w:rsid w:val="00CE668C"/>
    <w:rsid w:val="00CE689A"/>
    <w:rsid w:val="00CE7133"/>
    <w:rsid w:val="00CE7182"/>
    <w:rsid w:val="00CE772A"/>
    <w:rsid w:val="00CE786D"/>
    <w:rsid w:val="00CE7EA4"/>
    <w:rsid w:val="00CF008F"/>
    <w:rsid w:val="00CF0BCA"/>
    <w:rsid w:val="00CF0D34"/>
    <w:rsid w:val="00CF0D35"/>
    <w:rsid w:val="00CF14A5"/>
    <w:rsid w:val="00CF14C4"/>
    <w:rsid w:val="00CF151A"/>
    <w:rsid w:val="00CF1D06"/>
    <w:rsid w:val="00CF27D9"/>
    <w:rsid w:val="00CF29C8"/>
    <w:rsid w:val="00CF2C1B"/>
    <w:rsid w:val="00CF336D"/>
    <w:rsid w:val="00CF34FC"/>
    <w:rsid w:val="00CF3C46"/>
    <w:rsid w:val="00CF3CF0"/>
    <w:rsid w:val="00CF3DE8"/>
    <w:rsid w:val="00CF4F7B"/>
    <w:rsid w:val="00CF67DC"/>
    <w:rsid w:val="00CF6B7F"/>
    <w:rsid w:val="00CF6C50"/>
    <w:rsid w:val="00CF704B"/>
    <w:rsid w:val="00CF72F4"/>
    <w:rsid w:val="00CF7352"/>
    <w:rsid w:val="00CF74FC"/>
    <w:rsid w:val="00CF755F"/>
    <w:rsid w:val="00CF76E3"/>
    <w:rsid w:val="00CF7D02"/>
    <w:rsid w:val="00D003A1"/>
    <w:rsid w:val="00D00541"/>
    <w:rsid w:val="00D0060E"/>
    <w:rsid w:val="00D0076F"/>
    <w:rsid w:val="00D00856"/>
    <w:rsid w:val="00D00A3B"/>
    <w:rsid w:val="00D01E34"/>
    <w:rsid w:val="00D01E51"/>
    <w:rsid w:val="00D02026"/>
    <w:rsid w:val="00D02458"/>
    <w:rsid w:val="00D024E7"/>
    <w:rsid w:val="00D02751"/>
    <w:rsid w:val="00D02B9F"/>
    <w:rsid w:val="00D02E66"/>
    <w:rsid w:val="00D0321B"/>
    <w:rsid w:val="00D033E3"/>
    <w:rsid w:val="00D03811"/>
    <w:rsid w:val="00D039B0"/>
    <w:rsid w:val="00D040E9"/>
    <w:rsid w:val="00D0422F"/>
    <w:rsid w:val="00D04337"/>
    <w:rsid w:val="00D04961"/>
    <w:rsid w:val="00D04BE1"/>
    <w:rsid w:val="00D05098"/>
    <w:rsid w:val="00D0520E"/>
    <w:rsid w:val="00D05625"/>
    <w:rsid w:val="00D06C9B"/>
    <w:rsid w:val="00D06CDB"/>
    <w:rsid w:val="00D0702E"/>
    <w:rsid w:val="00D071A9"/>
    <w:rsid w:val="00D07BAC"/>
    <w:rsid w:val="00D07F27"/>
    <w:rsid w:val="00D10549"/>
    <w:rsid w:val="00D10A16"/>
    <w:rsid w:val="00D10EE5"/>
    <w:rsid w:val="00D10F84"/>
    <w:rsid w:val="00D1196A"/>
    <w:rsid w:val="00D11A78"/>
    <w:rsid w:val="00D11AA8"/>
    <w:rsid w:val="00D11EA8"/>
    <w:rsid w:val="00D12F92"/>
    <w:rsid w:val="00D1345F"/>
    <w:rsid w:val="00D13C85"/>
    <w:rsid w:val="00D13CC1"/>
    <w:rsid w:val="00D143F9"/>
    <w:rsid w:val="00D14747"/>
    <w:rsid w:val="00D14ACD"/>
    <w:rsid w:val="00D15286"/>
    <w:rsid w:val="00D15916"/>
    <w:rsid w:val="00D16BA2"/>
    <w:rsid w:val="00D1758C"/>
    <w:rsid w:val="00D179AF"/>
    <w:rsid w:val="00D20582"/>
    <w:rsid w:val="00D21CDA"/>
    <w:rsid w:val="00D22308"/>
    <w:rsid w:val="00D22937"/>
    <w:rsid w:val="00D229F5"/>
    <w:rsid w:val="00D22B2A"/>
    <w:rsid w:val="00D23C57"/>
    <w:rsid w:val="00D24131"/>
    <w:rsid w:val="00D2422F"/>
    <w:rsid w:val="00D24DDB"/>
    <w:rsid w:val="00D255F8"/>
    <w:rsid w:val="00D25670"/>
    <w:rsid w:val="00D25C25"/>
    <w:rsid w:val="00D26B54"/>
    <w:rsid w:val="00D27073"/>
    <w:rsid w:val="00D27AE0"/>
    <w:rsid w:val="00D27AEB"/>
    <w:rsid w:val="00D27DD6"/>
    <w:rsid w:val="00D27F76"/>
    <w:rsid w:val="00D309F6"/>
    <w:rsid w:val="00D30CD7"/>
    <w:rsid w:val="00D30F7E"/>
    <w:rsid w:val="00D315BA"/>
    <w:rsid w:val="00D31BB3"/>
    <w:rsid w:val="00D32205"/>
    <w:rsid w:val="00D3220E"/>
    <w:rsid w:val="00D32DFA"/>
    <w:rsid w:val="00D3312E"/>
    <w:rsid w:val="00D3364E"/>
    <w:rsid w:val="00D33D10"/>
    <w:rsid w:val="00D34820"/>
    <w:rsid w:val="00D34DFE"/>
    <w:rsid w:val="00D3536A"/>
    <w:rsid w:val="00D35380"/>
    <w:rsid w:val="00D353E1"/>
    <w:rsid w:val="00D360AD"/>
    <w:rsid w:val="00D366F9"/>
    <w:rsid w:val="00D36D24"/>
    <w:rsid w:val="00D36D90"/>
    <w:rsid w:val="00D372AF"/>
    <w:rsid w:val="00D373E1"/>
    <w:rsid w:val="00D3750B"/>
    <w:rsid w:val="00D37938"/>
    <w:rsid w:val="00D3796A"/>
    <w:rsid w:val="00D37EFA"/>
    <w:rsid w:val="00D4025B"/>
    <w:rsid w:val="00D408E2"/>
    <w:rsid w:val="00D409DF"/>
    <w:rsid w:val="00D40C25"/>
    <w:rsid w:val="00D41C55"/>
    <w:rsid w:val="00D420FB"/>
    <w:rsid w:val="00D4228E"/>
    <w:rsid w:val="00D42F53"/>
    <w:rsid w:val="00D42F60"/>
    <w:rsid w:val="00D445D8"/>
    <w:rsid w:val="00D447E5"/>
    <w:rsid w:val="00D44C12"/>
    <w:rsid w:val="00D44D32"/>
    <w:rsid w:val="00D453B4"/>
    <w:rsid w:val="00D453BD"/>
    <w:rsid w:val="00D4615B"/>
    <w:rsid w:val="00D4638C"/>
    <w:rsid w:val="00D46B44"/>
    <w:rsid w:val="00D46D1A"/>
    <w:rsid w:val="00D46DE7"/>
    <w:rsid w:val="00D475F5"/>
    <w:rsid w:val="00D479A2"/>
    <w:rsid w:val="00D47DB7"/>
    <w:rsid w:val="00D50792"/>
    <w:rsid w:val="00D5104B"/>
    <w:rsid w:val="00D515AA"/>
    <w:rsid w:val="00D51744"/>
    <w:rsid w:val="00D517A4"/>
    <w:rsid w:val="00D51A24"/>
    <w:rsid w:val="00D51C98"/>
    <w:rsid w:val="00D51D60"/>
    <w:rsid w:val="00D52269"/>
    <w:rsid w:val="00D523F1"/>
    <w:rsid w:val="00D52A0B"/>
    <w:rsid w:val="00D52A36"/>
    <w:rsid w:val="00D53584"/>
    <w:rsid w:val="00D53B52"/>
    <w:rsid w:val="00D53D2D"/>
    <w:rsid w:val="00D54154"/>
    <w:rsid w:val="00D548F8"/>
    <w:rsid w:val="00D54AB4"/>
    <w:rsid w:val="00D553AF"/>
    <w:rsid w:val="00D5588C"/>
    <w:rsid w:val="00D569DA"/>
    <w:rsid w:val="00D56CFF"/>
    <w:rsid w:val="00D573FC"/>
    <w:rsid w:val="00D601EB"/>
    <w:rsid w:val="00D60394"/>
    <w:rsid w:val="00D607F2"/>
    <w:rsid w:val="00D60A68"/>
    <w:rsid w:val="00D611BD"/>
    <w:rsid w:val="00D6168F"/>
    <w:rsid w:val="00D61815"/>
    <w:rsid w:val="00D61D3B"/>
    <w:rsid w:val="00D61D74"/>
    <w:rsid w:val="00D62651"/>
    <w:rsid w:val="00D6269F"/>
    <w:rsid w:val="00D62C64"/>
    <w:rsid w:val="00D62FC8"/>
    <w:rsid w:val="00D63074"/>
    <w:rsid w:val="00D631E1"/>
    <w:rsid w:val="00D63DB6"/>
    <w:rsid w:val="00D63F98"/>
    <w:rsid w:val="00D640C3"/>
    <w:rsid w:val="00D64856"/>
    <w:rsid w:val="00D64A67"/>
    <w:rsid w:val="00D64F4D"/>
    <w:rsid w:val="00D64F86"/>
    <w:rsid w:val="00D652A5"/>
    <w:rsid w:val="00D65404"/>
    <w:rsid w:val="00D655B3"/>
    <w:rsid w:val="00D65BE0"/>
    <w:rsid w:val="00D65C76"/>
    <w:rsid w:val="00D67200"/>
    <w:rsid w:val="00D6741E"/>
    <w:rsid w:val="00D674C8"/>
    <w:rsid w:val="00D701CD"/>
    <w:rsid w:val="00D701FC"/>
    <w:rsid w:val="00D70915"/>
    <w:rsid w:val="00D70EE3"/>
    <w:rsid w:val="00D70F7E"/>
    <w:rsid w:val="00D71428"/>
    <w:rsid w:val="00D7163B"/>
    <w:rsid w:val="00D716F7"/>
    <w:rsid w:val="00D72259"/>
    <w:rsid w:val="00D72437"/>
    <w:rsid w:val="00D7315F"/>
    <w:rsid w:val="00D733D1"/>
    <w:rsid w:val="00D733E9"/>
    <w:rsid w:val="00D73590"/>
    <w:rsid w:val="00D73A99"/>
    <w:rsid w:val="00D73E35"/>
    <w:rsid w:val="00D74382"/>
    <w:rsid w:val="00D74399"/>
    <w:rsid w:val="00D74606"/>
    <w:rsid w:val="00D74A4D"/>
    <w:rsid w:val="00D74C4D"/>
    <w:rsid w:val="00D75B0C"/>
    <w:rsid w:val="00D75E14"/>
    <w:rsid w:val="00D762B4"/>
    <w:rsid w:val="00D765E6"/>
    <w:rsid w:val="00D7693B"/>
    <w:rsid w:val="00D776A1"/>
    <w:rsid w:val="00D77B24"/>
    <w:rsid w:val="00D77E56"/>
    <w:rsid w:val="00D802B2"/>
    <w:rsid w:val="00D80831"/>
    <w:rsid w:val="00D80847"/>
    <w:rsid w:val="00D8103A"/>
    <w:rsid w:val="00D811CE"/>
    <w:rsid w:val="00D813C1"/>
    <w:rsid w:val="00D81BD3"/>
    <w:rsid w:val="00D81C8A"/>
    <w:rsid w:val="00D81CEA"/>
    <w:rsid w:val="00D8205C"/>
    <w:rsid w:val="00D8249C"/>
    <w:rsid w:val="00D8321E"/>
    <w:rsid w:val="00D84350"/>
    <w:rsid w:val="00D844EF"/>
    <w:rsid w:val="00D84965"/>
    <w:rsid w:val="00D84BF7"/>
    <w:rsid w:val="00D84E26"/>
    <w:rsid w:val="00D84EA0"/>
    <w:rsid w:val="00D84F3E"/>
    <w:rsid w:val="00D851A7"/>
    <w:rsid w:val="00D855B3"/>
    <w:rsid w:val="00D85959"/>
    <w:rsid w:val="00D85BB6"/>
    <w:rsid w:val="00D86014"/>
    <w:rsid w:val="00D86671"/>
    <w:rsid w:val="00D871A8"/>
    <w:rsid w:val="00D87762"/>
    <w:rsid w:val="00D87946"/>
    <w:rsid w:val="00D87BC0"/>
    <w:rsid w:val="00D87D6A"/>
    <w:rsid w:val="00D904EA"/>
    <w:rsid w:val="00D90815"/>
    <w:rsid w:val="00D90C30"/>
    <w:rsid w:val="00D91271"/>
    <w:rsid w:val="00D9240E"/>
    <w:rsid w:val="00D924A5"/>
    <w:rsid w:val="00D92A1A"/>
    <w:rsid w:val="00D92CA9"/>
    <w:rsid w:val="00D93059"/>
    <w:rsid w:val="00D932F6"/>
    <w:rsid w:val="00D93531"/>
    <w:rsid w:val="00D938FD"/>
    <w:rsid w:val="00D93CBE"/>
    <w:rsid w:val="00D9410F"/>
    <w:rsid w:val="00D9413B"/>
    <w:rsid w:val="00D95039"/>
    <w:rsid w:val="00D95507"/>
    <w:rsid w:val="00D95532"/>
    <w:rsid w:val="00D9596F"/>
    <w:rsid w:val="00D95B34"/>
    <w:rsid w:val="00D96AA7"/>
    <w:rsid w:val="00D96F87"/>
    <w:rsid w:val="00D9754F"/>
    <w:rsid w:val="00D97793"/>
    <w:rsid w:val="00DA0340"/>
    <w:rsid w:val="00DA0571"/>
    <w:rsid w:val="00DA063D"/>
    <w:rsid w:val="00DA0F0C"/>
    <w:rsid w:val="00DA1476"/>
    <w:rsid w:val="00DA15C4"/>
    <w:rsid w:val="00DA1835"/>
    <w:rsid w:val="00DA1849"/>
    <w:rsid w:val="00DA1864"/>
    <w:rsid w:val="00DA1C5A"/>
    <w:rsid w:val="00DA2169"/>
    <w:rsid w:val="00DA2252"/>
    <w:rsid w:val="00DA25F7"/>
    <w:rsid w:val="00DA2683"/>
    <w:rsid w:val="00DA2B9C"/>
    <w:rsid w:val="00DA2EB4"/>
    <w:rsid w:val="00DA2F73"/>
    <w:rsid w:val="00DA351A"/>
    <w:rsid w:val="00DA36B9"/>
    <w:rsid w:val="00DA36D3"/>
    <w:rsid w:val="00DA3C1B"/>
    <w:rsid w:val="00DA42E8"/>
    <w:rsid w:val="00DA469D"/>
    <w:rsid w:val="00DA4A53"/>
    <w:rsid w:val="00DA5031"/>
    <w:rsid w:val="00DA5ADC"/>
    <w:rsid w:val="00DA5D46"/>
    <w:rsid w:val="00DA7BEB"/>
    <w:rsid w:val="00DB07FD"/>
    <w:rsid w:val="00DB095D"/>
    <w:rsid w:val="00DB09DA"/>
    <w:rsid w:val="00DB0C19"/>
    <w:rsid w:val="00DB0DE2"/>
    <w:rsid w:val="00DB114A"/>
    <w:rsid w:val="00DB1392"/>
    <w:rsid w:val="00DB14E7"/>
    <w:rsid w:val="00DB17B7"/>
    <w:rsid w:val="00DB17C5"/>
    <w:rsid w:val="00DB1D00"/>
    <w:rsid w:val="00DB1D26"/>
    <w:rsid w:val="00DB2C2B"/>
    <w:rsid w:val="00DB2CEA"/>
    <w:rsid w:val="00DB3458"/>
    <w:rsid w:val="00DB37A0"/>
    <w:rsid w:val="00DB3BD9"/>
    <w:rsid w:val="00DB44F6"/>
    <w:rsid w:val="00DB4689"/>
    <w:rsid w:val="00DB4A10"/>
    <w:rsid w:val="00DB4CD9"/>
    <w:rsid w:val="00DB5076"/>
    <w:rsid w:val="00DB50EB"/>
    <w:rsid w:val="00DB54B1"/>
    <w:rsid w:val="00DB581C"/>
    <w:rsid w:val="00DB5848"/>
    <w:rsid w:val="00DB5A53"/>
    <w:rsid w:val="00DB6030"/>
    <w:rsid w:val="00DB660D"/>
    <w:rsid w:val="00DB6E42"/>
    <w:rsid w:val="00DB71BC"/>
    <w:rsid w:val="00DB72CC"/>
    <w:rsid w:val="00DB748D"/>
    <w:rsid w:val="00DB7801"/>
    <w:rsid w:val="00DC0019"/>
    <w:rsid w:val="00DC05B9"/>
    <w:rsid w:val="00DC08FA"/>
    <w:rsid w:val="00DC0964"/>
    <w:rsid w:val="00DC1781"/>
    <w:rsid w:val="00DC193F"/>
    <w:rsid w:val="00DC1A83"/>
    <w:rsid w:val="00DC1B92"/>
    <w:rsid w:val="00DC1CE6"/>
    <w:rsid w:val="00DC1DB7"/>
    <w:rsid w:val="00DC21D9"/>
    <w:rsid w:val="00DC2321"/>
    <w:rsid w:val="00DC23F0"/>
    <w:rsid w:val="00DC2617"/>
    <w:rsid w:val="00DC2893"/>
    <w:rsid w:val="00DC2AEA"/>
    <w:rsid w:val="00DC34CE"/>
    <w:rsid w:val="00DC36D5"/>
    <w:rsid w:val="00DC3990"/>
    <w:rsid w:val="00DC3C4F"/>
    <w:rsid w:val="00DC41CF"/>
    <w:rsid w:val="00DC41D9"/>
    <w:rsid w:val="00DC462F"/>
    <w:rsid w:val="00DC4DBE"/>
    <w:rsid w:val="00DC577F"/>
    <w:rsid w:val="00DC6583"/>
    <w:rsid w:val="00DC66E0"/>
    <w:rsid w:val="00DC675F"/>
    <w:rsid w:val="00DC71A7"/>
    <w:rsid w:val="00DC7486"/>
    <w:rsid w:val="00DC782F"/>
    <w:rsid w:val="00DC796E"/>
    <w:rsid w:val="00DC7AD1"/>
    <w:rsid w:val="00DD02F3"/>
    <w:rsid w:val="00DD0453"/>
    <w:rsid w:val="00DD071D"/>
    <w:rsid w:val="00DD0B14"/>
    <w:rsid w:val="00DD0E39"/>
    <w:rsid w:val="00DD156F"/>
    <w:rsid w:val="00DD1805"/>
    <w:rsid w:val="00DD1D64"/>
    <w:rsid w:val="00DD225D"/>
    <w:rsid w:val="00DD27B1"/>
    <w:rsid w:val="00DD2B4E"/>
    <w:rsid w:val="00DD37FF"/>
    <w:rsid w:val="00DD4C87"/>
    <w:rsid w:val="00DD577A"/>
    <w:rsid w:val="00DD5D07"/>
    <w:rsid w:val="00DD5EF3"/>
    <w:rsid w:val="00DD6016"/>
    <w:rsid w:val="00DD6618"/>
    <w:rsid w:val="00DD6D4E"/>
    <w:rsid w:val="00DD6FB8"/>
    <w:rsid w:val="00DD752D"/>
    <w:rsid w:val="00DD7BAA"/>
    <w:rsid w:val="00DD7DF4"/>
    <w:rsid w:val="00DE01BB"/>
    <w:rsid w:val="00DE074C"/>
    <w:rsid w:val="00DE1776"/>
    <w:rsid w:val="00DE1881"/>
    <w:rsid w:val="00DE1A27"/>
    <w:rsid w:val="00DE1E17"/>
    <w:rsid w:val="00DE2556"/>
    <w:rsid w:val="00DE2677"/>
    <w:rsid w:val="00DE27C4"/>
    <w:rsid w:val="00DE2F25"/>
    <w:rsid w:val="00DE2FC0"/>
    <w:rsid w:val="00DE3092"/>
    <w:rsid w:val="00DE346F"/>
    <w:rsid w:val="00DE3605"/>
    <w:rsid w:val="00DE3751"/>
    <w:rsid w:val="00DE3D9A"/>
    <w:rsid w:val="00DE3F9C"/>
    <w:rsid w:val="00DE4217"/>
    <w:rsid w:val="00DE47F9"/>
    <w:rsid w:val="00DE5F24"/>
    <w:rsid w:val="00DE697D"/>
    <w:rsid w:val="00DE6AD5"/>
    <w:rsid w:val="00DE6FCC"/>
    <w:rsid w:val="00DE74E9"/>
    <w:rsid w:val="00DE7676"/>
    <w:rsid w:val="00DE7BBE"/>
    <w:rsid w:val="00DF09AD"/>
    <w:rsid w:val="00DF0CAC"/>
    <w:rsid w:val="00DF164A"/>
    <w:rsid w:val="00DF172B"/>
    <w:rsid w:val="00DF264B"/>
    <w:rsid w:val="00DF2AD6"/>
    <w:rsid w:val="00DF2FF6"/>
    <w:rsid w:val="00DF3654"/>
    <w:rsid w:val="00DF36CD"/>
    <w:rsid w:val="00DF376F"/>
    <w:rsid w:val="00DF39F8"/>
    <w:rsid w:val="00DF4149"/>
    <w:rsid w:val="00DF4318"/>
    <w:rsid w:val="00DF4ABF"/>
    <w:rsid w:val="00DF5254"/>
    <w:rsid w:val="00DF53B7"/>
    <w:rsid w:val="00DF54AF"/>
    <w:rsid w:val="00DF597A"/>
    <w:rsid w:val="00DF5DA7"/>
    <w:rsid w:val="00DF5FA4"/>
    <w:rsid w:val="00DF6150"/>
    <w:rsid w:val="00DF632A"/>
    <w:rsid w:val="00DF63F3"/>
    <w:rsid w:val="00DF6731"/>
    <w:rsid w:val="00DF6971"/>
    <w:rsid w:val="00DF6B45"/>
    <w:rsid w:val="00DF6CCE"/>
    <w:rsid w:val="00DF7111"/>
    <w:rsid w:val="00DF74D7"/>
    <w:rsid w:val="00DF767C"/>
    <w:rsid w:val="00DF7A5D"/>
    <w:rsid w:val="00DF7EAC"/>
    <w:rsid w:val="00E00015"/>
    <w:rsid w:val="00E00059"/>
    <w:rsid w:val="00E000CC"/>
    <w:rsid w:val="00E00279"/>
    <w:rsid w:val="00E003E7"/>
    <w:rsid w:val="00E0047C"/>
    <w:rsid w:val="00E006C0"/>
    <w:rsid w:val="00E00C93"/>
    <w:rsid w:val="00E02653"/>
    <w:rsid w:val="00E02AEE"/>
    <w:rsid w:val="00E02B6B"/>
    <w:rsid w:val="00E0373D"/>
    <w:rsid w:val="00E03F42"/>
    <w:rsid w:val="00E045A5"/>
    <w:rsid w:val="00E0473E"/>
    <w:rsid w:val="00E04EE4"/>
    <w:rsid w:val="00E0525D"/>
    <w:rsid w:val="00E0568D"/>
    <w:rsid w:val="00E05ACF"/>
    <w:rsid w:val="00E060B4"/>
    <w:rsid w:val="00E06120"/>
    <w:rsid w:val="00E0640C"/>
    <w:rsid w:val="00E06668"/>
    <w:rsid w:val="00E06709"/>
    <w:rsid w:val="00E06C35"/>
    <w:rsid w:val="00E06CF5"/>
    <w:rsid w:val="00E07810"/>
    <w:rsid w:val="00E07FDF"/>
    <w:rsid w:val="00E1068B"/>
    <w:rsid w:val="00E107E9"/>
    <w:rsid w:val="00E10878"/>
    <w:rsid w:val="00E10977"/>
    <w:rsid w:val="00E11A74"/>
    <w:rsid w:val="00E1209D"/>
    <w:rsid w:val="00E127C5"/>
    <w:rsid w:val="00E133B3"/>
    <w:rsid w:val="00E139AF"/>
    <w:rsid w:val="00E146B4"/>
    <w:rsid w:val="00E14C4C"/>
    <w:rsid w:val="00E14CA2"/>
    <w:rsid w:val="00E1502A"/>
    <w:rsid w:val="00E15676"/>
    <w:rsid w:val="00E1616D"/>
    <w:rsid w:val="00E169C5"/>
    <w:rsid w:val="00E173F3"/>
    <w:rsid w:val="00E17598"/>
    <w:rsid w:val="00E201C7"/>
    <w:rsid w:val="00E206EA"/>
    <w:rsid w:val="00E20759"/>
    <w:rsid w:val="00E20812"/>
    <w:rsid w:val="00E20A1F"/>
    <w:rsid w:val="00E20A93"/>
    <w:rsid w:val="00E20CCC"/>
    <w:rsid w:val="00E212D3"/>
    <w:rsid w:val="00E21724"/>
    <w:rsid w:val="00E222E7"/>
    <w:rsid w:val="00E233D3"/>
    <w:rsid w:val="00E234D8"/>
    <w:rsid w:val="00E23603"/>
    <w:rsid w:val="00E236A2"/>
    <w:rsid w:val="00E23722"/>
    <w:rsid w:val="00E23C31"/>
    <w:rsid w:val="00E243E8"/>
    <w:rsid w:val="00E24FA3"/>
    <w:rsid w:val="00E25165"/>
    <w:rsid w:val="00E254D6"/>
    <w:rsid w:val="00E258C3"/>
    <w:rsid w:val="00E258D3"/>
    <w:rsid w:val="00E25ADB"/>
    <w:rsid w:val="00E25E67"/>
    <w:rsid w:val="00E25EF1"/>
    <w:rsid w:val="00E2691F"/>
    <w:rsid w:val="00E26A92"/>
    <w:rsid w:val="00E26FB6"/>
    <w:rsid w:val="00E279E1"/>
    <w:rsid w:val="00E27DB9"/>
    <w:rsid w:val="00E27F1D"/>
    <w:rsid w:val="00E301BB"/>
    <w:rsid w:val="00E3020A"/>
    <w:rsid w:val="00E30494"/>
    <w:rsid w:val="00E30537"/>
    <w:rsid w:val="00E30F1C"/>
    <w:rsid w:val="00E31386"/>
    <w:rsid w:val="00E31F8C"/>
    <w:rsid w:val="00E3225E"/>
    <w:rsid w:val="00E322E6"/>
    <w:rsid w:val="00E323D1"/>
    <w:rsid w:val="00E325D6"/>
    <w:rsid w:val="00E326B1"/>
    <w:rsid w:val="00E32825"/>
    <w:rsid w:val="00E328CD"/>
    <w:rsid w:val="00E32ADC"/>
    <w:rsid w:val="00E32F57"/>
    <w:rsid w:val="00E33123"/>
    <w:rsid w:val="00E33622"/>
    <w:rsid w:val="00E33F03"/>
    <w:rsid w:val="00E3415A"/>
    <w:rsid w:val="00E353CC"/>
    <w:rsid w:val="00E357A5"/>
    <w:rsid w:val="00E35829"/>
    <w:rsid w:val="00E35E00"/>
    <w:rsid w:val="00E3604D"/>
    <w:rsid w:val="00E36171"/>
    <w:rsid w:val="00E36185"/>
    <w:rsid w:val="00E361D2"/>
    <w:rsid w:val="00E36468"/>
    <w:rsid w:val="00E371FC"/>
    <w:rsid w:val="00E37469"/>
    <w:rsid w:val="00E376E0"/>
    <w:rsid w:val="00E37E4A"/>
    <w:rsid w:val="00E4038F"/>
    <w:rsid w:val="00E404B5"/>
    <w:rsid w:val="00E40AA7"/>
    <w:rsid w:val="00E40DFD"/>
    <w:rsid w:val="00E40F94"/>
    <w:rsid w:val="00E40F9F"/>
    <w:rsid w:val="00E41051"/>
    <w:rsid w:val="00E413F7"/>
    <w:rsid w:val="00E4198F"/>
    <w:rsid w:val="00E41A1B"/>
    <w:rsid w:val="00E422C1"/>
    <w:rsid w:val="00E42351"/>
    <w:rsid w:val="00E42705"/>
    <w:rsid w:val="00E4343A"/>
    <w:rsid w:val="00E436C2"/>
    <w:rsid w:val="00E43813"/>
    <w:rsid w:val="00E43F4A"/>
    <w:rsid w:val="00E43F92"/>
    <w:rsid w:val="00E4412C"/>
    <w:rsid w:val="00E44223"/>
    <w:rsid w:val="00E4537B"/>
    <w:rsid w:val="00E4579C"/>
    <w:rsid w:val="00E45948"/>
    <w:rsid w:val="00E45954"/>
    <w:rsid w:val="00E45B41"/>
    <w:rsid w:val="00E45D6D"/>
    <w:rsid w:val="00E46B34"/>
    <w:rsid w:val="00E46F4B"/>
    <w:rsid w:val="00E46F92"/>
    <w:rsid w:val="00E500E0"/>
    <w:rsid w:val="00E508FF"/>
    <w:rsid w:val="00E50ADF"/>
    <w:rsid w:val="00E518B6"/>
    <w:rsid w:val="00E51F75"/>
    <w:rsid w:val="00E51F76"/>
    <w:rsid w:val="00E522C4"/>
    <w:rsid w:val="00E52CE1"/>
    <w:rsid w:val="00E52DD7"/>
    <w:rsid w:val="00E52E57"/>
    <w:rsid w:val="00E53177"/>
    <w:rsid w:val="00E53265"/>
    <w:rsid w:val="00E532C4"/>
    <w:rsid w:val="00E5349D"/>
    <w:rsid w:val="00E535AD"/>
    <w:rsid w:val="00E53868"/>
    <w:rsid w:val="00E53B92"/>
    <w:rsid w:val="00E54439"/>
    <w:rsid w:val="00E54943"/>
    <w:rsid w:val="00E554AB"/>
    <w:rsid w:val="00E5559F"/>
    <w:rsid w:val="00E555CE"/>
    <w:rsid w:val="00E55664"/>
    <w:rsid w:val="00E568A2"/>
    <w:rsid w:val="00E570BE"/>
    <w:rsid w:val="00E57131"/>
    <w:rsid w:val="00E57423"/>
    <w:rsid w:val="00E57705"/>
    <w:rsid w:val="00E57D83"/>
    <w:rsid w:val="00E60116"/>
    <w:rsid w:val="00E601B8"/>
    <w:rsid w:val="00E60916"/>
    <w:rsid w:val="00E6099E"/>
    <w:rsid w:val="00E609BC"/>
    <w:rsid w:val="00E60D57"/>
    <w:rsid w:val="00E60F20"/>
    <w:rsid w:val="00E618A9"/>
    <w:rsid w:val="00E61CA3"/>
    <w:rsid w:val="00E620C3"/>
    <w:rsid w:val="00E623C4"/>
    <w:rsid w:val="00E629B0"/>
    <w:rsid w:val="00E62C81"/>
    <w:rsid w:val="00E635AC"/>
    <w:rsid w:val="00E63802"/>
    <w:rsid w:val="00E63875"/>
    <w:rsid w:val="00E63A23"/>
    <w:rsid w:val="00E6418C"/>
    <w:rsid w:val="00E64688"/>
    <w:rsid w:val="00E647AB"/>
    <w:rsid w:val="00E653B0"/>
    <w:rsid w:val="00E65BD2"/>
    <w:rsid w:val="00E6689A"/>
    <w:rsid w:val="00E66949"/>
    <w:rsid w:val="00E6737B"/>
    <w:rsid w:val="00E6752F"/>
    <w:rsid w:val="00E676F5"/>
    <w:rsid w:val="00E67AE7"/>
    <w:rsid w:val="00E70015"/>
    <w:rsid w:val="00E701E8"/>
    <w:rsid w:val="00E70BF3"/>
    <w:rsid w:val="00E70DAB"/>
    <w:rsid w:val="00E70FEF"/>
    <w:rsid w:val="00E713A1"/>
    <w:rsid w:val="00E719AB"/>
    <w:rsid w:val="00E719DD"/>
    <w:rsid w:val="00E71C65"/>
    <w:rsid w:val="00E725B2"/>
    <w:rsid w:val="00E72695"/>
    <w:rsid w:val="00E728FA"/>
    <w:rsid w:val="00E72BD1"/>
    <w:rsid w:val="00E72EB2"/>
    <w:rsid w:val="00E7302B"/>
    <w:rsid w:val="00E730EA"/>
    <w:rsid w:val="00E740A5"/>
    <w:rsid w:val="00E740D1"/>
    <w:rsid w:val="00E745CA"/>
    <w:rsid w:val="00E7464B"/>
    <w:rsid w:val="00E75070"/>
    <w:rsid w:val="00E752FE"/>
    <w:rsid w:val="00E75444"/>
    <w:rsid w:val="00E754B6"/>
    <w:rsid w:val="00E75821"/>
    <w:rsid w:val="00E75B5F"/>
    <w:rsid w:val="00E75D90"/>
    <w:rsid w:val="00E75ED1"/>
    <w:rsid w:val="00E75F89"/>
    <w:rsid w:val="00E75FF5"/>
    <w:rsid w:val="00E76AF3"/>
    <w:rsid w:val="00E76DF7"/>
    <w:rsid w:val="00E76F54"/>
    <w:rsid w:val="00E77E44"/>
    <w:rsid w:val="00E80418"/>
    <w:rsid w:val="00E80A0C"/>
    <w:rsid w:val="00E80A3D"/>
    <w:rsid w:val="00E81170"/>
    <w:rsid w:val="00E811BD"/>
    <w:rsid w:val="00E814D5"/>
    <w:rsid w:val="00E8197C"/>
    <w:rsid w:val="00E81983"/>
    <w:rsid w:val="00E81CB0"/>
    <w:rsid w:val="00E82277"/>
    <w:rsid w:val="00E82557"/>
    <w:rsid w:val="00E826AD"/>
    <w:rsid w:val="00E830A8"/>
    <w:rsid w:val="00E835AF"/>
    <w:rsid w:val="00E83609"/>
    <w:rsid w:val="00E8385E"/>
    <w:rsid w:val="00E83D00"/>
    <w:rsid w:val="00E84964"/>
    <w:rsid w:val="00E84C91"/>
    <w:rsid w:val="00E84DA8"/>
    <w:rsid w:val="00E856CC"/>
    <w:rsid w:val="00E8574C"/>
    <w:rsid w:val="00E85775"/>
    <w:rsid w:val="00E859E5"/>
    <w:rsid w:val="00E85D23"/>
    <w:rsid w:val="00E862F3"/>
    <w:rsid w:val="00E86B81"/>
    <w:rsid w:val="00E871BB"/>
    <w:rsid w:val="00E877F6"/>
    <w:rsid w:val="00E87AE8"/>
    <w:rsid w:val="00E87D67"/>
    <w:rsid w:val="00E87F60"/>
    <w:rsid w:val="00E908FF"/>
    <w:rsid w:val="00E90EBF"/>
    <w:rsid w:val="00E9137B"/>
    <w:rsid w:val="00E9181D"/>
    <w:rsid w:val="00E91AA8"/>
    <w:rsid w:val="00E91CA5"/>
    <w:rsid w:val="00E92241"/>
    <w:rsid w:val="00E9228E"/>
    <w:rsid w:val="00E9252B"/>
    <w:rsid w:val="00E92ED4"/>
    <w:rsid w:val="00E940D7"/>
    <w:rsid w:val="00E941DE"/>
    <w:rsid w:val="00E94305"/>
    <w:rsid w:val="00E9431E"/>
    <w:rsid w:val="00E951E3"/>
    <w:rsid w:val="00E95409"/>
    <w:rsid w:val="00E955A8"/>
    <w:rsid w:val="00E95D00"/>
    <w:rsid w:val="00E95D79"/>
    <w:rsid w:val="00E96181"/>
    <w:rsid w:val="00E9622E"/>
    <w:rsid w:val="00E964CB"/>
    <w:rsid w:val="00E965FA"/>
    <w:rsid w:val="00E96623"/>
    <w:rsid w:val="00E967A9"/>
    <w:rsid w:val="00E96EB3"/>
    <w:rsid w:val="00E9726B"/>
    <w:rsid w:val="00E972C2"/>
    <w:rsid w:val="00E973DA"/>
    <w:rsid w:val="00E9774D"/>
    <w:rsid w:val="00E978EA"/>
    <w:rsid w:val="00E97B41"/>
    <w:rsid w:val="00E97EF8"/>
    <w:rsid w:val="00EA0241"/>
    <w:rsid w:val="00EA02AC"/>
    <w:rsid w:val="00EA054F"/>
    <w:rsid w:val="00EA08B8"/>
    <w:rsid w:val="00EA0A5F"/>
    <w:rsid w:val="00EA0B26"/>
    <w:rsid w:val="00EA0ED6"/>
    <w:rsid w:val="00EA1228"/>
    <w:rsid w:val="00EA15C5"/>
    <w:rsid w:val="00EA1C19"/>
    <w:rsid w:val="00EA244E"/>
    <w:rsid w:val="00EA2C48"/>
    <w:rsid w:val="00EA2ED7"/>
    <w:rsid w:val="00EA2FC7"/>
    <w:rsid w:val="00EA3536"/>
    <w:rsid w:val="00EA3757"/>
    <w:rsid w:val="00EA3D37"/>
    <w:rsid w:val="00EA4299"/>
    <w:rsid w:val="00EA4489"/>
    <w:rsid w:val="00EA4560"/>
    <w:rsid w:val="00EA47E6"/>
    <w:rsid w:val="00EA4ADA"/>
    <w:rsid w:val="00EA4D5A"/>
    <w:rsid w:val="00EA4EC8"/>
    <w:rsid w:val="00EA55D8"/>
    <w:rsid w:val="00EA7010"/>
    <w:rsid w:val="00EA7079"/>
    <w:rsid w:val="00EA75C2"/>
    <w:rsid w:val="00EB02B1"/>
    <w:rsid w:val="00EB03AC"/>
    <w:rsid w:val="00EB0B55"/>
    <w:rsid w:val="00EB1020"/>
    <w:rsid w:val="00EB1396"/>
    <w:rsid w:val="00EB1684"/>
    <w:rsid w:val="00EB1FE9"/>
    <w:rsid w:val="00EB265A"/>
    <w:rsid w:val="00EB27C5"/>
    <w:rsid w:val="00EB2D29"/>
    <w:rsid w:val="00EB2DC6"/>
    <w:rsid w:val="00EB33F1"/>
    <w:rsid w:val="00EB341E"/>
    <w:rsid w:val="00EB34D8"/>
    <w:rsid w:val="00EB3AF9"/>
    <w:rsid w:val="00EB3B74"/>
    <w:rsid w:val="00EB3FA1"/>
    <w:rsid w:val="00EB48B8"/>
    <w:rsid w:val="00EB4F65"/>
    <w:rsid w:val="00EB4F8A"/>
    <w:rsid w:val="00EB4F8E"/>
    <w:rsid w:val="00EB4FE5"/>
    <w:rsid w:val="00EB5140"/>
    <w:rsid w:val="00EB5289"/>
    <w:rsid w:val="00EB539F"/>
    <w:rsid w:val="00EB5880"/>
    <w:rsid w:val="00EB5BC8"/>
    <w:rsid w:val="00EB5DF3"/>
    <w:rsid w:val="00EB61D0"/>
    <w:rsid w:val="00EB6261"/>
    <w:rsid w:val="00EB63DE"/>
    <w:rsid w:val="00EB63EA"/>
    <w:rsid w:val="00EB64EB"/>
    <w:rsid w:val="00EB654C"/>
    <w:rsid w:val="00EB68E2"/>
    <w:rsid w:val="00EB6D8C"/>
    <w:rsid w:val="00EB6DB1"/>
    <w:rsid w:val="00EB79A4"/>
    <w:rsid w:val="00EB7A83"/>
    <w:rsid w:val="00EB7EA3"/>
    <w:rsid w:val="00EC030A"/>
    <w:rsid w:val="00EC0340"/>
    <w:rsid w:val="00EC03BC"/>
    <w:rsid w:val="00EC0424"/>
    <w:rsid w:val="00EC04CC"/>
    <w:rsid w:val="00EC09FE"/>
    <w:rsid w:val="00EC0B42"/>
    <w:rsid w:val="00EC10F8"/>
    <w:rsid w:val="00EC1508"/>
    <w:rsid w:val="00EC2BDB"/>
    <w:rsid w:val="00EC33FC"/>
    <w:rsid w:val="00EC351A"/>
    <w:rsid w:val="00EC353B"/>
    <w:rsid w:val="00EC4A06"/>
    <w:rsid w:val="00EC4E7C"/>
    <w:rsid w:val="00EC53DA"/>
    <w:rsid w:val="00EC54D5"/>
    <w:rsid w:val="00EC55C3"/>
    <w:rsid w:val="00EC55D0"/>
    <w:rsid w:val="00EC575B"/>
    <w:rsid w:val="00EC5761"/>
    <w:rsid w:val="00EC585C"/>
    <w:rsid w:val="00EC5D42"/>
    <w:rsid w:val="00EC63F9"/>
    <w:rsid w:val="00EC7B44"/>
    <w:rsid w:val="00ED0C1C"/>
    <w:rsid w:val="00ED168A"/>
    <w:rsid w:val="00ED1760"/>
    <w:rsid w:val="00ED18FF"/>
    <w:rsid w:val="00ED2184"/>
    <w:rsid w:val="00ED2819"/>
    <w:rsid w:val="00ED29F9"/>
    <w:rsid w:val="00ED2CC3"/>
    <w:rsid w:val="00ED3114"/>
    <w:rsid w:val="00ED40BB"/>
    <w:rsid w:val="00ED4187"/>
    <w:rsid w:val="00ED5399"/>
    <w:rsid w:val="00ED567D"/>
    <w:rsid w:val="00ED58C9"/>
    <w:rsid w:val="00ED6838"/>
    <w:rsid w:val="00ED6A82"/>
    <w:rsid w:val="00ED6C4F"/>
    <w:rsid w:val="00ED6F91"/>
    <w:rsid w:val="00ED70CF"/>
    <w:rsid w:val="00ED758E"/>
    <w:rsid w:val="00ED77EF"/>
    <w:rsid w:val="00ED7B01"/>
    <w:rsid w:val="00ED7E1C"/>
    <w:rsid w:val="00EE02BB"/>
    <w:rsid w:val="00EE02E2"/>
    <w:rsid w:val="00EE02EA"/>
    <w:rsid w:val="00EE0442"/>
    <w:rsid w:val="00EE09B7"/>
    <w:rsid w:val="00EE0DA3"/>
    <w:rsid w:val="00EE0DEC"/>
    <w:rsid w:val="00EE1513"/>
    <w:rsid w:val="00EE174E"/>
    <w:rsid w:val="00EE1EFF"/>
    <w:rsid w:val="00EE21DC"/>
    <w:rsid w:val="00EE27C9"/>
    <w:rsid w:val="00EE2941"/>
    <w:rsid w:val="00EE29E7"/>
    <w:rsid w:val="00EE3437"/>
    <w:rsid w:val="00EE3C5D"/>
    <w:rsid w:val="00EE3F24"/>
    <w:rsid w:val="00EE44D7"/>
    <w:rsid w:val="00EE44F9"/>
    <w:rsid w:val="00EE4575"/>
    <w:rsid w:val="00EE53D3"/>
    <w:rsid w:val="00EE5F30"/>
    <w:rsid w:val="00EE664F"/>
    <w:rsid w:val="00EE6DE7"/>
    <w:rsid w:val="00EE6F17"/>
    <w:rsid w:val="00EE7223"/>
    <w:rsid w:val="00EE7268"/>
    <w:rsid w:val="00EE72B4"/>
    <w:rsid w:val="00EE749D"/>
    <w:rsid w:val="00EE75CB"/>
    <w:rsid w:val="00EE7AB3"/>
    <w:rsid w:val="00EE7D13"/>
    <w:rsid w:val="00EE7EFD"/>
    <w:rsid w:val="00EF0286"/>
    <w:rsid w:val="00EF041F"/>
    <w:rsid w:val="00EF067F"/>
    <w:rsid w:val="00EF0686"/>
    <w:rsid w:val="00EF174C"/>
    <w:rsid w:val="00EF2187"/>
    <w:rsid w:val="00EF21C9"/>
    <w:rsid w:val="00EF27B0"/>
    <w:rsid w:val="00EF360E"/>
    <w:rsid w:val="00EF3ECA"/>
    <w:rsid w:val="00EF42F3"/>
    <w:rsid w:val="00EF47A2"/>
    <w:rsid w:val="00EF4FC3"/>
    <w:rsid w:val="00EF55BF"/>
    <w:rsid w:val="00EF5B21"/>
    <w:rsid w:val="00EF6B22"/>
    <w:rsid w:val="00EF72DE"/>
    <w:rsid w:val="00EF75D5"/>
    <w:rsid w:val="00EF76AC"/>
    <w:rsid w:val="00EF7FA2"/>
    <w:rsid w:val="00F004C2"/>
    <w:rsid w:val="00F00535"/>
    <w:rsid w:val="00F0094C"/>
    <w:rsid w:val="00F00C24"/>
    <w:rsid w:val="00F00CFF"/>
    <w:rsid w:val="00F01205"/>
    <w:rsid w:val="00F012AB"/>
    <w:rsid w:val="00F01382"/>
    <w:rsid w:val="00F01EA2"/>
    <w:rsid w:val="00F02BE1"/>
    <w:rsid w:val="00F02C16"/>
    <w:rsid w:val="00F03ACD"/>
    <w:rsid w:val="00F047DD"/>
    <w:rsid w:val="00F0484A"/>
    <w:rsid w:val="00F053AF"/>
    <w:rsid w:val="00F05C6A"/>
    <w:rsid w:val="00F05E87"/>
    <w:rsid w:val="00F06069"/>
    <w:rsid w:val="00F06860"/>
    <w:rsid w:val="00F06E66"/>
    <w:rsid w:val="00F06F08"/>
    <w:rsid w:val="00F06F3C"/>
    <w:rsid w:val="00F077BB"/>
    <w:rsid w:val="00F07FC9"/>
    <w:rsid w:val="00F10490"/>
    <w:rsid w:val="00F11F8C"/>
    <w:rsid w:val="00F12309"/>
    <w:rsid w:val="00F1232E"/>
    <w:rsid w:val="00F12831"/>
    <w:rsid w:val="00F1289B"/>
    <w:rsid w:val="00F12999"/>
    <w:rsid w:val="00F12AF0"/>
    <w:rsid w:val="00F12B33"/>
    <w:rsid w:val="00F135A8"/>
    <w:rsid w:val="00F135BC"/>
    <w:rsid w:val="00F13EE1"/>
    <w:rsid w:val="00F14173"/>
    <w:rsid w:val="00F14188"/>
    <w:rsid w:val="00F14756"/>
    <w:rsid w:val="00F14C6D"/>
    <w:rsid w:val="00F14D4C"/>
    <w:rsid w:val="00F14EA4"/>
    <w:rsid w:val="00F14F86"/>
    <w:rsid w:val="00F158F7"/>
    <w:rsid w:val="00F15910"/>
    <w:rsid w:val="00F15AB3"/>
    <w:rsid w:val="00F16196"/>
    <w:rsid w:val="00F1664B"/>
    <w:rsid w:val="00F1666A"/>
    <w:rsid w:val="00F167C5"/>
    <w:rsid w:val="00F16863"/>
    <w:rsid w:val="00F16F87"/>
    <w:rsid w:val="00F17365"/>
    <w:rsid w:val="00F17380"/>
    <w:rsid w:val="00F17C0C"/>
    <w:rsid w:val="00F17E4F"/>
    <w:rsid w:val="00F17EFE"/>
    <w:rsid w:val="00F2009D"/>
    <w:rsid w:val="00F20569"/>
    <w:rsid w:val="00F205D5"/>
    <w:rsid w:val="00F20B5E"/>
    <w:rsid w:val="00F20D3D"/>
    <w:rsid w:val="00F21C83"/>
    <w:rsid w:val="00F21F90"/>
    <w:rsid w:val="00F22335"/>
    <w:rsid w:val="00F23025"/>
    <w:rsid w:val="00F2349C"/>
    <w:rsid w:val="00F238DA"/>
    <w:rsid w:val="00F2395D"/>
    <w:rsid w:val="00F23E11"/>
    <w:rsid w:val="00F23ED9"/>
    <w:rsid w:val="00F2423B"/>
    <w:rsid w:val="00F24317"/>
    <w:rsid w:val="00F24829"/>
    <w:rsid w:val="00F24BC7"/>
    <w:rsid w:val="00F25878"/>
    <w:rsid w:val="00F25908"/>
    <w:rsid w:val="00F25BFE"/>
    <w:rsid w:val="00F26F3E"/>
    <w:rsid w:val="00F27437"/>
    <w:rsid w:val="00F27C55"/>
    <w:rsid w:val="00F303E8"/>
    <w:rsid w:val="00F3073F"/>
    <w:rsid w:val="00F3100E"/>
    <w:rsid w:val="00F31150"/>
    <w:rsid w:val="00F31C7A"/>
    <w:rsid w:val="00F31E7C"/>
    <w:rsid w:val="00F3207A"/>
    <w:rsid w:val="00F32318"/>
    <w:rsid w:val="00F323DE"/>
    <w:rsid w:val="00F3248A"/>
    <w:rsid w:val="00F33285"/>
    <w:rsid w:val="00F338F0"/>
    <w:rsid w:val="00F33C18"/>
    <w:rsid w:val="00F34112"/>
    <w:rsid w:val="00F34463"/>
    <w:rsid w:val="00F348B2"/>
    <w:rsid w:val="00F35048"/>
    <w:rsid w:val="00F35990"/>
    <w:rsid w:val="00F359F6"/>
    <w:rsid w:val="00F35EFE"/>
    <w:rsid w:val="00F360F5"/>
    <w:rsid w:val="00F36193"/>
    <w:rsid w:val="00F36540"/>
    <w:rsid w:val="00F36888"/>
    <w:rsid w:val="00F36B18"/>
    <w:rsid w:val="00F3726C"/>
    <w:rsid w:val="00F373B0"/>
    <w:rsid w:val="00F402A1"/>
    <w:rsid w:val="00F40B4D"/>
    <w:rsid w:val="00F41182"/>
    <w:rsid w:val="00F411D2"/>
    <w:rsid w:val="00F41388"/>
    <w:rsid w:val="00F413C0"/>
    <w:rsid w:val="00F4147B"/>
    <w:rsid w:val="00F41593"/>
    <w:rsid w:val="00F41752"/>
    <w:rsid w:val="00F41AEC"/>
    <w:rsid w:val="00F41E67"/>
    <w:rsid w:val="00F42420"/>
    <w:rsid w:val="00F4258E"/>
    <w:rsid w:val="00F425E3"/>
    <w:rsid w:val="00F42F27"/>
    <w:rsid w:val="00F43D80"/>
    <w:rsid w:val="00F43DCA"/>
    <w:rsid w:val="00F43E74"/>
    <w:rsid w:val="00F4420C"/>
    <w:rsid w:val="00F4479B"/>
    <w:rsid w:val="00F44AB9"/>
    <w:rsid w:val="00F44F6F"/>
    <w:rsid w:val="00F45079"/>
    <w:rsid w:val="00F456C7"/>
    <w:rsid w:val="00F465BA"/>
    <w:rsid w:val="00F46F7C"/>
    <w:rsid w:val="00F471E7"/>
    <w:rsid w:val="00F47F7D"/>
    <w:rsid w:val="00F47FA4"/>
    <w:rsid w:val="00F5012E"/>
    <w:rsid w:val="00F506AF"/>
    <w:rsid w:val="00F51A04"/>
    <w:rsid w:val="00F51CF8"/>
    <w:rsid w:val="00F52642"/>
    <w:rsid w:val="00F52A37"/>
    <w:rsid w:val="00F52A8B"/>
    <w:rsid w:val="00F5388B"/>
    <w:rsid w:val="00F54158"/>
    <w:rsid w:val="00F54CBA"/>
    <w:rsid w:val="00F54E9F"/>
    <w:rsid w:val="00F54FA6"/>
    <w:rsid w:val="00F5578B"/>
    <w:rsid w:val="00F5599D"/>
    <w:rsid w:val="00F55BDD"/>
    <w:rsid w:val="00F55C63"/>
    <w:rsid w:val="00F5624A"/>
    <w:rsid w:val="00F565AB"/>
    <w:rsid w:val="00F57A0D"/>
    <w:rsid w:val="00F57EED"/>
    <w:rsid w:val="00F607EC"/>
    <w:rsid w:val="00F60FA1"/>
    <w:rsid w:val="00F61A8F"/>
    <w:rsid w:val="00F61DFA"/>
    <w:rsid w:val="00F62903"/>
    <w:rsid w:val="00F62961"/>
    <w:rsid w:val="00F62BC2"/>
    <w:rsid w:val="00F62E15"/>
    <w:rsid w:val="00F62FA2"/>
    <w:rsid w:val="00F6322C"/>
    <w:rsid w:val="00F632F8"/>
    <w:rsid w:val="00F636BE"/>
    <w:rsid w:val="00F636DC"/>
    <w:rsid w:val="00F65149"/>
    <w:rsid w:val="00F652B0"/>
    <w:rsid w:val="00F65793"/>
    <w:rsid w:val="00F65A51"/>
    <w:rsid w:val="00F66722"/>
    <w:rsid w:val="00F6688F"/>
    <w:rsid w:val="00F66A80"/>
    <w:rsid w:val="00F66AF8"/>
    <w:rsid w:val="00F67558"/>
    <w:rsid w:val="00F676B5"/>
    <w:rsid w:val="00F677D5"/>
    <w:rsid w:val="00F67BD0"/>
    <w:rsid w:val="00F70295"/>
    <w:rsid w:val="00F704C5"/>
    <w:rsid w:val="00F70DB9"/>
    <w:rsid w:val="00F71259"/>
    <w:rsid w:val="00F71A6E"/>
    <w:rsid w:val="00F71B05"/>
    <w:rsid w:val="00F727DF"/>
    <w:rsid w:val="00F72D0C"/>
    <w:rsid w:val="00F72D79"/>
    <w:rsid w:val="00F730AA"/>
    <w:rsid w:val="00F7311E"/>
    <w:rsid w:val="00F731F8"/>
    <w:rsid w:val="00F74423"/>
    <w:rsid w:val="00F74620"/>
    <w:rsid w:val="00F74804"/>
    <w:rsid w:val="00F75372"/>
    <w:rsid w:val="00F75530"/>
    <w:rsid w:val="00F75FCD"/>
    <w:rsid w:val="00F7629A"/>
    <w:rsid w:val="00F76494"/>
    <w:rsid w:val="00F76663"/>
    <w:rsid w:val="00F76B3D"/>
    <w:rsid w:val="00F7704E"/>
    <w:rsid w:val="00F77276"/>
    <w:rsid w:val="00F77657"/>
    <w:rsid w:val="00F776CF"/>
    <w:rsid w:val="00F77F0E"/>
    <w:rsid w:val="00F77FB6"/>
    <w:rsid w:val="00F8014E"/>
    <w:rsid w:val="00F803C4"/>
    <w:rsid w:val="00F80775"/>
    <w:rsid w:val="00F80BA9"/>
    <w:rsid w:val="00F80EA1"/>
    <w:rsid w:val="00F81447"/>
    <w:rsid w:val="00F81499"/>
    <w:rsid w:val="00F81CC0"/>
    <w:rsid w:val="00F82101"/>
    <w:rsid w:val="00F82A8C"/>
    <w:rsid w:val="00F8363C"/>
    <w:rsid w:val="00F83967"/>
    <w:rsid w:val="00F844BD"/>
    <w:rsid w:val="00F84B53"/>
    <w:rsid w:val="00F856DC"/>
    <w:rsid w:val="00F85C2D"/>
    <w:rsid w:val="00F861C0"/>
    <w:rsid w:val="00F863A0"/>
    <w:rsid w:val="00F8655F"/>
    <w:rsid w:val="00F86568"/>
    <w:rsid w:val="00F86857"/>
    <w:rsid w:val="00F87B77"/>
    <w:rsid w:val="00F87B87"/>
    <w:rsid w:val="00F902DC"/>
    <w:rsid w:val="00F90352"/>
    <w:rsid w:val="00F9078E"/>
    <w:rsid w:val="00F90837"/>
    <w:rsid w:val="00F90937"/>
    <w:rsid w:val="00F90F3B"/>
    <w:rsid w:val="00F91616"/>
    <w:rsid w:val="00F91923"/>
    <w:rsid w:val="00F931E4"/>
    <w:rsid w:val="00F933EF"/>
    <w:rsid w:val="00F945B1"/>
    <w:rsid w:val="00F94853"/>
    <w:rsid w:val="00F957EA"/>
    <w:rsid w:val="00F95982"/>
    <w:rsid w:val="00F95A4E"/>
    <w:rsid w:val="00F95C23"/>
    <w:rsid w:val="00F9628F"/>
    <w:rsid w:val="00F9694D"/>
    <w:rsid w:val="00F96A93"/>
    <w:rsid w:val="00F97342"/>
    <w:rsid w:val="00F976CF"/>
    <w:rsid w:val="00F97BEF"/>
    <w:rsid w:val="00F97CC7"/>
    <w:rsid w:val="00FA0CB8"/>
    <w:rsid w:val="00FA0DBB"/>
    <w:rsid w:val="00FA120A"/>
    <w:rsid w:val="00FA2109"/>
    <w:rsid w:val="00FA2679"/>
    <w:rsid w:val="00FA2D76"/>
    <w:rsid w:val="00FA3026"/>
    <w:rsid w:val="00FA389D"/>
    <w:rsid w:val="00FA3A25"/>
    <w:rsid w:val="00FA3F28"/>
    <w:rsid w:val="00FA3F6B"/>
    <w:rsid w:val="00FA48EA"/>
    <w:rsid w:val="00FA57CA"/>
    <w:rsid w:val="00FA5C20"/>
    <w:rsid w:val="00FA5E0E"/>
    <w:rsid w:val="00FA6030"/>
    <w:rsid w:val="00FA62A5"/>
    <w:rsid w:val="00FA65AF"/>
    <w:rsid w:val="00FA6B28"/>
    <w:rsid w:val="00FA6BEA"/>
    <w:rsid w:val="00FA7874"/>
    <w:rsid w:val="00FA7952"/>
    <w:rsid w:val="00FA7BB5"/>
    <w:rsid w:val="00FA7C3B"/>
    <w:rsid w:val="00FA7F2D"/>
    <w:rsid w:val="00FB18F7"/>
    <w:rsid w:val="00FB23B0"/>
    <w:rsid w:val="00FB2A70"/>
    <w:rsid w:val="00FB2BD2"/>
    <w:rsid w:val="00FB30E5"/>
    <w:rsid w:val="00FB3388"/>
    <w:rsid w:val="00FB34DE"/>
    <w:rsid w:val="00FB3815"/>
    <w:rsid w:val="00FB3AF8"/>
    <w:rsid w:val="00FB3EFE"/>
    <w:rsid w:val="00FB3FA1"/>
    <w:rsid w:val="00FB415C"/>
    <w:rsid w:val="00FB41EB"/>
    <w:rsid w:val="00FB42AA"/>
    <w:rsid w:val="00FB42FE"/>
    <w:rsid w:val="00FB53AD"/>
    <w:rsid w:val="00FB54D5"/>
    <w:rsid w:val="00FB56FA"/>
    <w:rsid w:val="00FB5D3D"/>
    <w:rsid w:val="00FB5DF3"/>
    <w:rsid w:val="00FB6308"/>
    <w:rsid w:val="00FB6B96"/>
    <w:rsid w:val="00FB6CD1"/>
    <w:rsid w:val="00FB7106"/>
    <w:rsid w:val="00FB71C4"/>
    <w:rsid w:val="00FB73DF"/>
    <w:rsid w:val="00FB7944"/>
    <w:rsid w:val="00FB7CA2"/>
    <w:rsid w:val="00FB7D21"/>
    <w:rsid w:val="00FC000F"/>
    <w:rsid w:val="00FC00B7"/>
    <w:rsid w:val="00FC0330"/>
    <w:rsid w:val="00FC053E"/>
    <w:rsid w:val="00FC0936"/>
    <w:rsid w:val="00FC163A"/>
    <w:rsid w:val="00FC172E"/>
    <w:rsid w:val="00FC29FC"/>
    <w:rsid w:val="00FC33B1"/>
    <w:rsid w:val="00FC353E"/>
    <w:rsid w:val="00FC3CA9"/>
    <w:rsid w:val="00FC3FCE"/>
    <w:rsid w:val="00FC4A73"/>
    <w:rsid w:val="00FC4ACF"/>
    <w:rsid w:val="00FC4AD6"/>
    <w:rsid w:val="00FC558B"/>
    <w:rsid w:val="00FC582E"/>
    <w:rsid w:val="00FD07FB"/>
    <w:rsid w:val="00FD0B4C"/>
    <w:rsid w:val="00FD0EFD"/>
    <w:rsid w:val="00FD131D"/>
    <w:rsid w:val="00FD179D"/>
    <w:rsid w:val="00FD1A26"/>
    <w:rsid w:val="00FD1B43"/>
    <w:rsid w:val="00FD1B66"/>
    <w:rsid w:val="00FD29DC"/>
    <w:rsid w:val="00FD2F5E"/>
    <w:rsid w:val="00FD30B4"/>
    <w:rsid w:val="00FD3939"/>
    <w:rsid w:val="00FD39A2"/>
    <w:rsid w:val="00FD3E68"/>
    <w:rsid w:val="00FD4130"/>
    <w:rsid w:val="00FD4354"/>
    <w:rsid w:val="00FD4597"/>
    <w:rsid w:val="00FD490D"/>
    <w:rsid w:val="00FD49C8"/>
    <w:rsid w:val="00FD4A4F"/>
    <w:rsid w:val="00FD5250"/>
    <w:rsid w:val="00FD54D5"/>
    <w:rsid w:val="00FD5829"/>
    <w:rsid w:val="00FD5EE9"/>
    <w:rsid w:val="00FD6010"/>
    <w:rsid w:val="00FD655E"/>
    <w:rsid w:val="00FD6AAD"/>
    <w:rsid w:val="00FD6AC9"/>
    <w:rsid w:val="00FD7229"/>
    <w:rsid w:val="00FD7383"/>
    <w:rsid w:val="00FD754C"/>
    <w:rsid w:val="00FD7894"/>
    <w:rsid w:val="00FD7B85"/>
    <w:rsid w:val="00FE031E"/>
    <w:rsid w:val="00FE078B"/>
    <w:rsid w:val="00FE0CF3"/>
    <w:rsid w:val="00FE0E20"/>
    <w:rsid w:val="00FE0FA5"/>
    <w:rsid w:val="00FE1609"/>
    <w:rsid w:val="00FE1C2F"/>
    <w:rsid w:val="00FE1FA3"/>
    <w:rsid w:val="00FE2C6E"/>
    <w:rsid w:val="00FE3B7B"/>
    <w:rsid w:val="00FE3F8C"/>
    <w:rsid w:val="00FE40A6"/>
    <w:rsid w:val="00FE4578"/>
    <w:rsid w:val="00FE4A1C"/>
    <w:rsid w:val="00FE4A66"/>
    <w:rsid w:val="00FE4E22"/>
    <w:rsid w:val="00FE5479"/>
    <w:rsid w:val="00FE5652"/>
    <w:rsid w:val="00FE660F"/>
    <w:rsid w:val="00FE741F"/>
    <w:rsid w:val="00FE7987"/>
    <w:rsid w:val="00FE7B2A"/>
    <w:rsid w:val="00FE7DAF"/>
    <w:rsid w:val="00FF00B4"/>
    <w:rsid w:val="00FF0724"/>
    <w:rsid w:val="00FF0B14"/>
    <w:rsid w:val="00FF140B"/>
    <w:rsid w:val="00FF14A2"/>
    <w:rsid w:val="00FF1565"/>
    <w:rsid w:val="00FF18BD"/>
    <w:rsid w:val="00FF20FE"/>
    <w:rsid w:val="00FF2427"/>
    <w:rsid w:val="00FF2A74"/>
    <w:rsid w:val="00FF2BA5"/>
    <w:rsid w:val="00FF2E0C"/>
    <w:rsid w:val="00FF3500"/>
    <w:rsid w:val="00FF3646"/>
    <w:rsid w:val="00FF3A0F"/>
    <w:rsid w:val="00FF3C5D"/>
    <w:rsid w:val="00FF3E5B"/>
    <w:rsid w:val="00FF5013"/>
    <w:rsid w:val="00FF606F"/>
    <w:rsid w:val="00FF6366"/>
    <w:rsid w:val="00FF6747"/>
    <w:rsid w:val="00FF7308"/>
    <w:rsid w:val="00FF75B5"/>
    <w:rsid w:val="00FF76FF"/>
    <w:rsid w:val="00FF7726"/>
    <w:rsid w:val="00FF7794"/>
    <w:rsid w:val="00FF7884"/>
    <w:rsid w:val="00FF7990"/>
    <w:rsid w:val="00FF7C4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4AD06-5DD1-45D7-AAFA-654BAC1C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99"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B5"/>
    <w:pPr>
      <w:keepLines/>
      <w:spacing w:after="200" w:line="288" w:lineRule="auto"/>
    </w:pPr>
    <w:rPr>
      <w:rFonts w:ascii="Arial" w:hAnsi="Arial"/>
      <w:spacing w:val="-5"/>
      <w:sz w:val="24"/>
      <w:szCs w:val="20"/>
      <w:lang w:eastAsia="en-US"/>
    </w:rPr>
  </w:style>
  <w:style w:type="paragraph" w:styleId="Heading1">
    <w:name w:val="heading 1"/>
    <w:basedOn w:val="Normal"/>
    <w:next w:val="Normal"/>
    <w:link w:val="Heading1Char"/>
    <w:qFormat/>
    <w:rsid w:val="003D51FA"/>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315D06"/>
    <w:pPr>
      <w:numPr>
        <w:ilvl w:val="1"/>
      </w:numPr>
      <w:ind w:left="720" w:hanging="720"/>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C27C28"/>
    <w:rPr>
      <w:rFonts w:ascii="Tahoma" w:hAnsi="Tahoma" w:cs="Tahoma"/>
      <w:sz w:val="16"/>
      <w:szCs w:val="16"/>
    </w:rPr>
  </w:style>
  <w:style w:type="character" w:customStyle="1" w:styleId="BalloonTextChar">
    <w:name w:val="Balloon Text Char"/>
    <w:basedOn w:val="DefaultParagraphFont"/>
    <w:uiPriority w:val="99"/>
    <w:semiHidden/>
    <w:rsid w:val="004030C3"/>
    <w:rPr>
      <w:rFonts w:ascii="Lucida Grande" w:hAnsi="Lucida Grande"/>
      <w:sz w:val="18"/>
      <w:szCs w:val="18"/>
    </w:rPr>
  </w:style>
  <w:style w:type="character" w:customStyle="1" w:styleId="BalloonTextChar0">
    <w:name w:val="Balloon Text Char"/>
    <w:basedOn w:val="DefaultParagraphFont"/>
    <w:uiPriority w:val="99"/>
    <w:semiHidden/>
    <w:rsid w:val="00205EE2"/>
    <w:rPr>
      <w:rFonts w:ascii="Lucida Grande" w:hAnsi="Lucida Grande"/>
      <w:sz w:val="18"/>
      <w:szCs w:val="18"/>
    </w:rPr>
  </w:style>
  <w:style w:type="character" w:customStyle="1" w:styleId="Heading1Char">
    <w:name w:val="Heading 1 Char"/>
    <w:basedOn w:val="DefaultParagraphFont"/>
    <w:link w:val="Heading1"/>
    <w:locked/>
    <w:rsid w:val="003D51FA"/>
    <w:rPr>
      <w:rFonts w:ascii="Arial" w:hAnsi="Arial"/>
      <w:b/>
      <w:bCs/>
      <w:spacing w:val="-5"/>
      <w:sz w:val="28"/>
      <w:szCs w:val="28"/>
      <w:lang w:eastAsia="en-US"/>
    </w:rPr>
  </w:style>
  <w:style w:type="character" w:customStyle="1" w:styleId="Heading2Char">
    <w:name w:val="Heading 2 Char"/>
    <w:basedOn w:val="DefaultParagraphFont"/>
    <w:link w:val="Heading2"/>
    <w:locked/>
    <w:rsid w:val="00315D06"/>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AC27AB"/>
    <w:rPr>
      <w:rFonts w:ascii="Arial" w:hAnsi="Arial"/>
      <w:bCs/>
      <w:i/>
      <w:spacing w:val="-5"/>
      <w:sz w:val="24"/>
      <w:szCs w:val="26"/>
      <w:lang w:eastAsia="en-US"/>
    </w:rPr>
  </w:style>
  <w:style w:type="character" w:customStyle="1" w:styleId="Heading4Char">
    <w:name w:val="Heading 4 Char"/>
    <w:basedOn w:val="DefaultParagraphFont"/>
    <w:link w:val="Heading4"/>
    <w:locked/>
    <w:rsid w:val="00AC27AB"/>
    <w:rPr>
      <w:rFonts w:ascii="Arial" w:hAnsi="Arial"/>
      <w:iCs/>
      <w:spacing w:val="-5"/>
      <w:sz w:val="24"/>
      <w:szCs w:val="26"/>
      <w:lang w:eastAsia="en-US"/>
    </w:rPr>
  </w:style>
  <w:style w:type="character" w:customStyle="1" w:styleId="Heading5Char">
    <w:name w:val="Heading 5 Char"/>
    <w:basedOn w:val="DefaultParagraphFont"/>
    <w:link w:val="Heading5"/>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locked/>
    <w:rsid w:val="00F14C6D"/>
    <w:rPr>
      <w:rFonts w:ascii="Cambria" w:hAnsi="Cambria" w:cs="Times New Roman"/>
      <w:i/>
      <w:iCs/>
      <w:color w:val="404040"/>
      <w:lang w:val="en-AU" w:eastAsia="en-AU" w:bidi="ar-SA"/>
    </w:rPr>
  </w:style>
  <w:style w:type="character" w:styleId="Strong">
    <w:name w:val="Strong"/>
    <w:basedOn w:val="DefaultParagraphFont"/>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semiHidden/>
    <w:locked/>
    <w:rsid w:val="0090165F"/>
    <w:pPr>
      <w:spacing w:after="120"/>
      <w:ind w:left="1132"/>
    </w:pPr>
  </w:style>
  <w:style w:type="paragraph" w:styleId="TOC1">
    <w:name w:val="toc 1"/>
    <w:basedOn w:val="Normal"/>
    <w:next w:val="Normal"/>
    <w:autoRedefine/>
    <w:uiPriority w:val="39"/>
    <w:qFormat/>
    <w:locked/>
    <w:rsid w:val="00315D06"/>
    <w:pPr>
      <w:tabs>
        <w:tab w:val="right" w:leader="dot" w:pos="9060"/>
      </w:tabs>
      <w:ind w:left="720" w:hanging="720"/>
    </w:pPr>
    <w:rPr>
      <w:b/>
    </w:rPr>
  </w:style>
  <w:style w:type="paragraph" w:styleId="TOC2">
    <w:name w:val="toc 2"/>
    <w:basedOn w:val="Normal"/>
    <w:next w:val="Normal"/>
    <w:autoRedefine/>
    <w:uiPriority w:val="39"/>
    <w:qFormat/>
    <w:locked/>
    <w:rsid w:val="00315D06"/>
    <w:pPr>
      <w:ind w:left="1440"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rsid w:val="00CC5235"/>
    <w:rPr>
      <w:sz w:val="18"/>
    </w:rPr>
  </w:style>
  <w:style w:type="character" w:customStyle="1" w:styleId="EndnoteTextChar">
    <w:name w:val="Endnote Text Char"/>
    <w:basedOn w:val="DefaultParagraphFont"/>
    <w:link w:val="EndnoteText"/>
    <w:locked/>
    <w:rsid w:val="00CC5235"/>
    <w:rPr>
      <w:rFonts w:ascii="Arial" w:hAnsi="Arial"/>
      <w:spacing w:val="-5"/>
      <w:sz w:val="18"/>
      <w:szCs w:val="20"/>
      <w:lang w:eastAsia="en-US"/>
    </w:rPr>
  </w:style>
  <w:style w:type="character" w:styleId="EndnoteReference">
    <w:name w:val="endnote reference"/>
    <w:basedOn w:val="DefaultParagraphFont"/>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locked/>
    <w:rsid w:val="00DE2F25"/>
    <w:rPr>
      <w:rFonts w:ascii="Arial" w:hAnsi="Arial" w:cs="Times New Roman"/>
      <w:spacing w:val="-5"/>
      <w:sz w:val="20"/>
      <w:szCs w:val="20"/>
      <w:lang w:eastAsia="en-US"/>
    </w:rPr>
  </w:style>
  <w:style w:type="paragraph" w:styleId="BodyText2">
    <w:name w:val="Body Text 2"/>
    <w:basedOn w:val="Normal"/>
    <w:link w:val="BodyText2Char"/>
    <w:semiHidden/>
    <w:locked/>
    <w:rsid w:val="00E45954"/>
    <w:pPr>
      <w:spacing w:after="120" w:line="480" w:lineRule="auto"/>
    </w:pPr>
  </w:style>
  <w:style w:type="character" w:customStyle="1" w:styleId="BodyText2Char">
    <w:name w:val="Body Text 2 Char"/>
    <w:basedOn w:val="DefaultParagraphFont"/>
    <w:link w:val="BodyText2"/>
    <w:semiHidden/>
    <w:locked/>
    <w:rsid w:val="00DE2F25"/>
    <w:rPr>
      <w:rFonts w:ascii="Arial" w:hAnsi="Arial" w:cs="Times New Roman"/>
      <w:spacing w:val="-5"/>
      <w:sz w:val="20"/>
      <w:szCs w:val="20"/>
      <w:lang w:eastAsia="en-US"/>
    </w:rPr>
  </w:style>
  <w:style w:type="paragraph" w:styleId="BodyText3">
    <w:name w:val="Body Text 3"/>
    <w:basedOn w:val="Normal"/>
    <w:link w:val="BodyText3Char"/>
    <w:semiHidden/>
    <w:locked/>
    <w:rsid w:val="00E45954"/>
    <w:pPr>
      <w:spacing w:after="120"/>
    </w:pPr>
    <w:rPr>
      <w:sz w:val="16"/>
      <w:szCs w:val="16"/>
    </w:rPr>
  </w:style>
  <w:style w:type="character" w:customStyle="1" w:styleId="BodyText3Char">
    <w:name w:val="Body Text 3 Char"/>
    <w:basedOn w:val="DefaultParagraphFont"/>
    <w:link w:val="BodyText3"/>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semiHidden/>
    <w:locked/>
    <w:rsid w:val="00E45954"/>
    <w:pPr>
      <w:ind w:firstLine="210"/>
    </w:pPr>
  </w:style>
  <w:style w:type="character" w:customStyle="1" w:styleId="BodyTextFirstIndentChar">
    <w:name w:val="Body Text First Indent Char"/>
    <w:basedOn w:val="BodyTextChar"/>
    <w:link w:val="BodyTextFirstIndent"/>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semiHidden/>
    <w:locked/>
    <w:rsid w:val="00E45954"/>
    <w:pPr>
      <w:spacing w:after="120"/>
      <w:ind w:left="283"/>
    </w:pPr>
  </w:style>
  <w:style w:type="character" w:customStyle="1" w:styleId="BodyTextIndentChar">
    <w:name w:val="Body Text Indent Char"/>
    <w:basedOn w:val="DefaultParagraphFont"/>
    <w:link w:val="BodyTextIndent"/>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semiHidden/>
    <w:locked/>
    <w:rsid w:val="00E45954"/>
    <w:pPr>
      <w:ind w:firstLine="210"/>
    </w:pPr>
  </w:style>
  <w:style w:type="character" w:customStyle="1" w:styleId="BodyTextFirstIndent2Char">
    <w:name w:val="Body Text First Indent 2 Char"/>
    <w:basedOn w:val="BodyTextIndentChar"/>
    <w:link w:val="BodyTextFirstIndent2"/>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semiHidden/>
    <w:locked/>
    <w:rsid w:val="00E45954"/>
    <w:pPr>
      <w:spacing w:after="120" w:line="480" w:lineRule="auto"/>
      <w:ind w:left="283"/>
    </w:pPr>
  </w:style>
  <w:style w:type="character" w:customStyle="1" w:styleId="BodyTextIndent2Char">
    <w:name w:val="Body Text Indent 2 Char"/>
    <w:basedOn w:val="DefaultParagraphFont"/>
    <w:link w:val="BodyTextIndent2"/>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semiHidden/>
    <w:locked/>
    <w:rsid w:val="00DE2F25"/>
    <w:rPr>
      <w:rFonts w:ascii="Arial" w:hAnsi="Arial" w:cs="Times New Roman"/>
      <w:spacing w:val="-5"/>
      <w:sz w:val="16"/>
      <w:szCs w:val="16"/>
      <w:lang w:eastAsia="en-US"/>
    </w:rPr>
  </w:style>
  <w:style w:type="paragraph" w:styleId="Closing">
    <w:name w:val="Closing"/>
    <w:basedOn w:val="Normal"/>
    <w:link w:val="ClosingChar"/>
    <w:semiHidden/>
    <w:locked/>
    <w:rsid w:val="00E45954"/>
    <w:pPr>
      <w:ind w:left="4252"/>
    </w:pPr>
  </w:style>
  <w:style w:type="character" w:customStyle="1" w:styleId="ClosingChar">
    <w:name w:val="Closing Char"/>
    <w:basedOn w:val="DefaultParagraphFont"/>
    <w:link w:val="Closing"/>
    <w:semiHidden/>
    <w:locked/>
    <w:rsid w:val="00DE2F25"/>
    <w:rPr>
      <w:rFonts w:ascii="Arial" w:hAnsi="Arial" w:cs="Times New Roman"/>
      <w:spacing w:val="-5"/>
      <w:sz w:val="20"/>
      <w:szCs w:val="20"/>
      <w:lang w:eastAsia="en-US"/>
    </w:rPr>
  </w:style>
  <w:style w:type="paragraph" w:styleId="Date">
    <w:name w:val="Date"/>
    <w:basedOn w:val="Normal"/>
    <w:next w:val="Normal"/>
    <w:link w:val="DateChar"/>
    <w:semiHidden/>
    <w:locked/>
    <w:rsid w:val="00E45954"/>
  </w:style>
  <w:style w:type="character" w:customStyle="1" w:styleId="DateChar">
    <w:name w:val="Date Char"/>
    <w:basedOn w:val="DefaultParagraphFont"/>
    <w:link w:val="Date"/>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semiHidden/>
    <w:locked/>
    <w:rsid w:val="00E45954"/>
  </w:style>
  <w:style w:type="character" w:customStyle="1" w:styleId="E-mailSignatureChar">
    <w:name w:val="E-mail Signature Char"/>
    <w:basedOn w:val="DefaultParagraphFont"/>
    <w:link w:val="E-mailSignature"/>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semiHidden/>
    <w:locked/>
    <w:rsid w:val="00E45954"/>
    <w:rPr>
      <w:rFonts w:cs="Times New Roman"/>
    </w:rPr>
  </w:style>
  <w:style w:type="paragraph" w:styleId="HTMLAddress">
    <w:name w:val="HTML Address"/>
    <w:basedOn w:val="Normal"/>
    <w:link w:val="HTMLAddressChar"/>
    <w:semiHidden/>
    <w:locked/>
    <w:rsid w:val="00E45954"/>
    <w:rPr>
      <w:i/>
      <w:iCs/>
    </w:rPr>
  </w:style>
  <w:style w:type="character" w:customStyle="1" w:styleId="HTMLAddressChar">
    <w:name w:val="HTML Address Char"/>
    <w:basedOn w:val="DefaultParagraphFont"/>
    <w:link w:val="HTMLAddress"/>
    <w:semiHidden/>
    <w:locked/>
    <w:rsid w:val="00DE2F25"/>
    <w:rPr>
      <w:rFonts w:ascii="Arial" w:hAnsi="Arial" w:cs="Times New Roman"/>
      <w:i/>
      <w:iCs/>
      <w:spacing w:val="-5"/>
      <w:sz w:val="20"/>
      <w:szCs w:val="20"/>
      <w:lang w:eastAsia="en-US"/>
    </w:rPr>
  </w:style>
  <w:style w:type="character" w:styleId="HTMLCite">
    <w:name w:val="HTML Cite"/>
    <w:basedOn w:val="DefaultParagraphFont"/>
    <w:semiHidden/>
    <w:locked/>
    <w:rsid w:val="00E45954"/>
    <w:rPr>
      <w:rFonts w:cs="Times New Roman"/>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rFonts w:cs="Times New Roman"/>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rFonts w:cs="Times New Roman"/>
      <w:i/>
      <w:iCs/>
    </w:rPr>
  </w:style>
  <w:style w:type="character" w:styleId="LineNumber">
    <w:name w:val="line number"/>
    <w:basedOn w:val="DefaultParagraphFont"/>
    <w:semiHidden/>
    <w:locked/>
    <w:rsid w:val="00E45954"/>
    <w:rPr>
      <w:rFonts w:cs="Times New Roman"/>
    </w:rPr>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2">
    <w:name w:val="List Bullet 2"/>
    <w:basedOn w:val="Normal"/>
    <w:semiHidden/>
    <w:locked/>
    <w:rsid w:val="00E45954"/>
    <w:pPr>
      <w:tabs>
        <w:tab w:val="num" w:pos="643"/>
      </w:tabs>
      <w:ind w:left="643" w:hanging="360"/>
    </w:pPr>
  </w:style>
  <w:style w:type="paragraph" w:styleId="ListBullet3">
    <w:name w:val="List Bullet 3"/>
    <w:basedOn w:val="Normal"/>
    <w:semiHidden/>
    <w:locked/>
    <w:rsid w:val="00E45954"/>
    <w:pPr>
      <w:tabs>
        <w:tab w:val="num" w:pos="926"/>
      </w:tabs>
      <w:ind w:left="926" w:hanging="360"/>
    </w:pPr>
  </w:style>
  <w:style w:type="paragraph" w:styleId="ListBullet4">
    <w:name w:val="List Bullet 4"/>
    <w:basedOn w:val="Normal"/>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tabs>
        <w:tab w:val="num" w:pos="360"/>
      </w:tabs>
      <w:ind w:left="360" w:hanging="360"/>
    </w:pPr>
  </w:style>
  <w:style w:type="paragraph" w:styleId="ListNumber2">
    <w:name w:val="List Number 2"/>
    <w:basedOn w:val="Normal"/>
    <w:semiHidden/>
    <w:locked/>
    <w:rsid w:val="00E45954"/>
    <w:pPr>
      <w:tabs>
        <w:tab w:val="num" w:pos="643"/>
      </w:tabs>
      <w:ind w:left="643" w:hanging="360"/>
    </w:pPr>
  </w:style>
  <w:style w:type="paragraph" w:styleId="ListNumber3">
    <w:name w:val="List Number 3"/>
    <w:basedOn w:val="Normal"/>
    <w:semiHidden/>
    <w:locked/>
    <w:rsid w:val="00E45954"/>
    <w:pPr>
      <w:tabs>
        <w:tab w:val="num" w:pos="926"/>
      </w:tabs>
      <w:ind w:left="926" w:hanging="360"/>
    </w:pPr>
  </w:style>
  <w:style w:type="paragraph" w:styleId="ListNumber4">
    <w:name w:val="List Number 4"/>
    <w:basedOn w:val="Normal"/>
    <w:semiHidden/>
    <w:locked/>
    <w:rsid w:val="00E45954"/>
    <w:pPr>
      <w:tabs>
        <w:tab w:val="num" w:pos="1209"/>
      </w:tabs>
      <w:ind w:left="1209" w:hanging="360"/>
    </w:pPr>
  </w:style>
  <w:style w:type="paragraph" w:styleId="ListNumber5">
    <w:name w:val="List Number 5"/>
    <w:basedOn w:val="Normal"/>
    <w:semiHidden/>
    <w:locked/>
    <w:rsid w:val="00E45954"/>
    <w:pPr>
      <w:tabs>
        <w:tab w:val="num" w:pos="1492"/>
      </w:tabs>
      <w:ind w:left="1492" w:hanging="360"/>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semiHidden/>
    <w:locked/>
    <w:rsid w:val="00E45954"/>
    <w:rPr>
      <w:rFonts w:ascii="Courier New" w:hAnsi="Courier New" w:cs="Courier New"/>
    </w:rPr>
  </w:style>
  <w:style w:type="character" w:customStyle="1" w:styleId="PlainTextChar">
    <w:name w:val="Plain Text Char"/>
    <w:basedOn w:val="DefaultParagraphFont"/>
    <w:link w:val="PlainText"/>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semiHidden/>
    <w:locked/>
    <w:rsid w:val="00E45954"/>
  </w:style>
  <w:style w:type="character" w:customStyle="1" w:styleId="SalutationChar">
    <w:name w:val="Salutation Char"/>
    <w:basedOn w:val="DefaultParagraphFont"/>
    <w:link w:val="Salutation"/>
    <w:semiHidden/>
    <w:locked/>
    <w:rsid w:val="00DE2F25"/>
    <w:rPr>
      <w:rFonts w:ascii="Arial" w:hAnsi="Arial" w:cs="Times New Roman"/>
      <w:spacing w:val="-5"/>
      <w:sz w:val="20"/>
      <w:szCs w:val="20"/>
      <w:lang w:eastAsia="en-US"/>
    </w:rPr>
  </w:style>
  <w:style w:type="paragraph" w:styleId="Signature">
    <w:name w:val="Signature"/>
    <w:basedOn w:val="Normal"/>
    <w:link w:val="SignatureChar"/>
    <w:semiHidden/>
    <w:locked/>
    <w:rsid w:val="00E45954"/>
    <w:pPr>
      <w:ind w:left="4252"/>
    </w:pPr>
  </w:style>
  <w:style w:type="character" w:customStyle="1" w:styleId="SignatureChar">
    <w:name w:val="Signature Char"/>
    <w:basedOn w:val="DefaultParagraphFont"/>
    <w:link w:val="Signature"/>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E45954"/>
    <w:pPr>
      <w:spacing w:after="60"/>
      <w:jc w:val="center"/>
      <w:outlineLvl w:val="1"/>
    </w:pPr>
    <w:rPr>
      <w:rFonts w:cs="Arial"/>
    </w:rPr>
  </w:style>
  <w:style w:type="character" w:customStyle="1" w:styleId="SubtitleChar">
    <w:name w:val="Subtitle Char"/>
    <w:basedOn w:val="DefaultParagraphFont"/>
    <w:link w:val="Subtitle"/>
    <w:locked/>
    <w:rsid w:val="00DE2F25"/>
    <w:rPr>
      <w:rFonts w:ascii="Cambria" w:hAnsi="Cambria" w:cs="Times New Roman"/>
      <w:spacing w:val="-5"/>
      <w:sz w:val="24"/>
      <w:szCs w:val="24"/>
      <w:lang w:eastAsia="en-US"/>
    </w:rPr>
  </w:style>
  <w:style w:type="table" w:styleId="Table3Deffects1">
    <w:name w:val="Table 3D effects 1"/>
    <w:basedOn w:val="TableNormal"/>
    <w:semiHidden/>
    <w:locked/>
    <w:rsid w:val="00E45954"/>
    <w:pPr>
      <w:spacing w:after="24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E45954"/>
    <w:pPr>
      <w:spacing w:after="24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E45954"/>
    <w:pPr>
      <w:spacing w:after="240"/>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semiHidden/>
    <w:locked/>
    <w:rsid w:val="00E45954"/>
    <w:rPr>
      <w:rFonts w:cs="Times New Roman"/>
      <w:color w:val="800080"/>
      <w:u w:val="single"/>
    </w:rPr>
  </w:style>
  <w:style w:type="paragraph" w:styleId="ListBullet">
    <w:name w:val="List Bullet"/>
    <w:basedOn w:val="Normal"/>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locked/>
    <w:rsid w:val="00C27C28"/>
    <w:rPr>
      <w:rFonts w:cs="Times New Roman"/>
      <w:sz w:val="16"/>
      <w:szCs w:val="16"/>
    </w:rPr>
  </w:style>
  <w:style w:type="paragraph" w:styleId="CommentText">
    <w:name w:val="annotation text"/>
    <w:basedOn w:val="Normal"/>
    <w:link w:val="CommentTextChar"/>
    <w:uiPriority w:val="99"/>
    <w:locked/>
    <w:rsid w:val="00C27C28"/>
  </w:style>
  <w:style w:type="character" w:customStyle="1" w:styleId="CommentTextChar">
    <w:name w:val="Comment Text Char"/>
    <w:basedOn w:val="DefaultParagraphFont"/>
    <w:link w:val="CommentText"/>
    <w:uiPriority w:val="99"/>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locked/>
    <w:rsid w:val="00C27C28"/>
    <w:rPr>
      <w:b/>
      <w:bCs/>
    </w:rPr>
  </w:style>
  <w:style w:type="character" w:customStyle="1" w:styleId="CommentSubjectChar">
    <w:name w:val="Comment Subject Char"/>
    <w:basedOn w:val="CommentTextChar"/>
    <w:link w:val="CommentSubject"/>
    <w:locked/>
    <w:rsid w:val="00DE2F25"/>
    <w:rPr>
      <w:rFonts w:ascii="Arial" w:hAnsi="Arial" w:cs="Times New Roman"/>
      <w:b/>
      <w:bCs/>
      <w:spacing w:val="-5"/>
      <w:sz w:val="20"/>
      <w:szCs w:val="20"/>
      <w:lang w:eastAsia="en-US"/>
    </w:rPr>
  </w:style>
  <w:style w:type="character" w:customStyle="1" w:styleId="BalloonTextChar1">
    <w:name w:val="Balloon Text Char1"/>
    <w:basedOn w:val="DefaultParagraphFont"/>
    <w:link w:val="BalloonText"/>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qFormat/>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1"/>
    <w:qFormat/>
    <w:rsid w:val="00896ABB"/>
    <w:pPr>
      <w:snapToGrid w:val="0"/>
      <w:ind w:left="720"/>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oList"/>
    <w:uiPriority w:val="99"/>
    <w:semiHidden/>
    <w:unhideWhenUsed/>
    <w:rsid w:val="00C56785"/>
  </w:style>
  <w:style w:type="paragraph" w:customStyle="1" w:styleId="Bullet">
    <w:name w:val="Bullet"/>
    <w:basedOn w:val="Normal"/>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
    <w:rsid w:val="00C56785"/>
    <w:pPr>
      <w:spacing w:after="240" w:line="360" w:lineRule="exact"/>
      <w:ind w:left="1440"/>
      <w:jc w:val="both"/>
    </w:pPr>
    <w:rPr>
      <w:color w:val="000000"/>
      <w:spacing w:val="0"/>
    </w:rPr>
  </w:style>
  <w:style w:type="paragraph" w:customStyle="1" w:styleId="BasicParagraph">
    <w:name w:val="[Basic Paragraph]"/>
    <w:basedOn w:val="Normal"/>
    <w:rsid w:val="00C56785"/>
    <w:pPr>
      <w:widowControl w:val="0"/>
      <w:autoSpaceDE w:val="0"/>
      <w:autoSpaceDN w:val="0"/>
      <w:adjustRightInd w:val="0"/>
      <w:textAlignment w:val="center"/>
    </w:pPr>
    <w:rPr>
      <w:rFonts w:ascii="Times-Roman" w:hAnsi="Times-Roman" w:cs="Times-Roman"/>
      <w:color w:val="000000"/>
      <w:spacing w:val="0"/>
      <w:szCs w:val="24"/>
      <w:lang w:val="en-US" w:bidi="en-US"/>
    </w:rPr>
  </w:style>
  <w:style w:type="table" w:customStyle="1" w:styleId="TableGrid10">
    <w:name w:val="Table Grid1"/>
    <w:basedOn w:val="TableNormal"/>
    <w:next w:val="TableGrid"/>
    <w:rsid w:val="00C56785"/>
    <w:pPr>
      <w:spacing w:line="360" w:lineRule="exac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C56785"/>
    <w:pPr>
      <w:keepNext/>
      <w:spacing w:after="0"/>
      <w:jc w:val="both"/>
    </w:pPr>
    <w:rPr>
      <w:rFonts w:cs="ArialMT"/>
      <w:color w:val="000000"/>
      <w:spacing w:val="0"/>
      <w:szCs w:val="24"/>
      <w:lang w:val="en-US" w:bidi="en-US"/>
    </w:rPr>
  </w:style>
  <w:style w:type="paragraph" w:customStyle="1" w:styleId="Addressee">
    <w:name w:val="Addressee"/>
    <w:basedOn w:val="BodyText"/>
    <w:rsid w:val="00C56785"/>
    <w:pPr>
      <w:spacing w:before="227" w:after="340"/>
      <w:jc w:val="both"/>
    </w:pPr>
    <w:rPr>
      <w:rFonts w:cs="ArialMT"/>
      <w:color w:val="000000"/>
      <w:spacing w:val="0"/>
      <w:szCs w:val="24"/>
      <w:lang w:val="en-US" w:bidi="en-US"/>
    </w:rPr>
  </w:style>
  <w:style w:type="paragraph" w:customStyle="1" w:styleId="Titleofletter">
    <w:name w:val="Title of letter"/>
    <w:basedOn w:val="BodyText"/>
    <w:rsid w:val="00C56785"/>
    <w:pPr>
      <w:jc w:val="both"/>
    </w:pPr>
    <w:rPr>
      <w:rFonts w:cs="ArialMT"/>
      <w:b/>
      <w:color w:val="000000"/>
      <w:spacing w:val="0"/>
      <w:szCs w:val="24"/>
      <w:lang w:val="en-US" w:bidi="en-US"/>
    </w:rPr>
  </w:style>
  <w:style w:type="paragraph" w:customStyle="1" w:styleId="YoursSincerley">
    <w:name w:val="Yours Sincerley"/>
    <w:basedOn w:val="BodyText"/>
    <w:rsid w:val="00C56785"/>
    <w:pPr>
      <w:keepNext/>
      <w:spacing w:after="901"/>
      <w:jc w:val="both"/>
    </w:pPr>
    <w:rPr>
      <w:rFonts w:cs="ArialMT"/>
      <w:color w:val="000000"/>
      <w:spacing w:val="0"/>
      <w:szCs w:val="24"/>
      <w:lang w:val="en-US" w:bidi="en-US"/>
    </w:rPr>
  </w:style>
  <w:style w:type="paragraph" w:customStyle="1" w:styleId="HeaderFooter">
    <w:name w:val="Header &amp; Footer"/>
    <w:basedOn w:val="Normal"/>
    <w:rsid w:val="00C56785"/>
    <w:pPr>
      <w:spacing w:line="200" w:lineRule="exact"/>
      <w:jc w:val="both"/>
    </w:pPr>
    <w:rPr>
      <w:rFonts w:cs="ArialMT"/>
      <w:color w:val="000000"/>
      <w:spacing w:val="0"/>
      <w:sz w:val="16"/>
      <w:szCs w:val="24"/>
    </w:rPr>
  </w:style>
  <w:style w:type="paragraph" w:customStyle="1" w:styleId="LogoType">
    <w:name w:val="Logo Type"/>
    <w:basedOn w:val="Header"/>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BodyText"/>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oList"/>
    <w:next w:val="111111"/>
    <w:rsid w:val="00C56785"/>
    <w:pPr>
      <w:numPr>
        <w:numId w:val="8"/>
      </w:numPr>
    </w:pPr>
  </w:style>
  <w:style w:type="numbering" w:customStyle="1" w:styleId="1ai1">
    <w:name w:val="1 / a / i1"/>
    <w:basedOn w:val="NoList"/>
    <w:next w:val="1ai"/>
    <w:semiHidden/>
    <w:rsid w:val="00C56785"/>
    <w:pPr>
      <w:numPr>
        <w:numId w:val="9"/>
      </w:numPr>
    </w:pPr>
  </w:style>
  <w:style w:type="numbering" w:customStyle="1" w:styleId="ArticleSection1">
    <w:name w:val="Article / Section1"/>
    <w:basedOn w:val="NoList"/>
    <w:next w:val="ArticleSection"/>
    <w:semiHidden/>
    <w:rsid w:val="00C56785"/>
    <w:pPr>
      <w:numPr>
        <w:numId w:val="10"/>
      </w:numPr>
    </w:pPr>
  </w:style>
  <w:style w:type="paragraph" w:customStyle="1" w:styleId="Reply">
    <w:name w:val="Reply"/>
    <w:basedOn w:val="Normal"/>
    <w:semiHidden/>
    <w:rsid w:val="00C56785"/>
    <w:pPr>
      <w:spacing w:before="240" w:after="120" w:line="280" w:lineRule="exact"/>
    </w:pPr>
    <w:rPr>
      <w:color w:val="000000"/>
      <w:spacing w:val="0"/>
    </w:rPr>
  </w:style>
  <w:style w:type="paragraph" w:customStyle="1" w:styleId="ActHead5">
    <w:name w:val="ActHead 5"/>
    <w:aliases w:val="s"/>
    <w:basedOn w:val="Normal"/>
    <w:next w:val="Normal"/>
    <w:rsid w:val="00C56785"/>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DefaultParagraphFont"/>
    <w:rsid w:val="00C56785"/>
    <w:rPr>
      <w:rFonts w:cs="Times New Roman"/>
    </w:rPr>
  </w:style>
  <w:style w:type="paragraph" w:styleId="Quote">
    <w:name w:val="Quote"/>
    <w:basedOn w:val="Normal"/>
    <w:link w:val="QuoteChar"/>
    <w:qFormat/>
    <w:rsid w:val="00C56785"/>
    <w:pPr>
      <w:spacing w:before="240" w:after="240"/>
      <w:ind w:left="1440"/>
    </w:pPr>
    <w:rPr>
      <w:spacing w:val="0"/>
      <w:sz w:val="22"/>
      <w:szCs w:val="22"/>
      <w:lang w:eastAsia="en-AU"/>
    </w:rPr>
  </w:style>
  <w:style w:type="character" w:customStyle="1" w:styleId="QuoteChar">
    <w:name w:val="Quote Char"/>
    <w:basedOn w:val="DefaultParagraphFont"/>
    <w:link w:val="Quote"/>
    <w:rsid w:val="00C56785"/>
    <w:rPr>
      <w:rFonts w:ascii="Arial" w:hAnsi="Arial"/>
    </w:rPr>
  </w:style>
  <w:style w:type="paragraph" w:customStyle="1" w:styleId="r2">
    <w:name w:val="r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
    <w:uiPriority w:val="99"/>
    <w:rsid w:val="00742C16"/>
    <w:pPr>
      <w:widowControl w:val="0"/>
      <w:numPr>
        <w:numId w:val="13"/>
      </w:numPr>
      <w:suppressAutoHyphens/>
      <w:autoSpaceDE w:val="0"/>
      <w:autoSpaceDN w:val="0"/>
      <w:adjustRightInd w:val="0"/>
      <w:spacing w:after="113"/>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BF753A"/>
    <w:pPr>
      <w:keepLines/>
      <w:tabs>
        <w:tab w:val="left" w:pos="567"/>
      </w:tabs>
      <w:spacing w:after="200" w:line="288" w:lineRule="auto"/>
    </w:pPr>
    <w:rPr>
      <w:rFonts w:ascii="Arial" w:eastAsia="ヒラギノ角ゴ Pro W3" w:hAnsi="Arial"/>
      <w:color w:val="000000"/>
      <w:sz w:val="24"/>
      <w:szCs w:val="20"/>
      <w:lang w:val="en-US"/>
    </w:rPr>
  </w:style>
  <w:style w:type="numbering" w:customStyle="1" w:styleId="NumberedList">
    <w:name w:val="Numbered List"/>
    <w:rsid w:val="00BF753A"/>
  </w:style>
  <w:style w:type="paragraph" w:customStyle="1" w:styleId="EndnoteText1">
    <w:name w:val="Endnote Text1"/>
    <w:rsid w:val="00BF753A"/>
    <w:pPr>
      <w:keepLines/>
      <w:ind w:left="397" w:hanging="397"/>
    </w:pPr>
    <w:rPr>
      <w:rFonts w:ascii="Arial" w:eastAsia="ヒラギノ角ゴ Pro W3" w:hAnsi="Arial"/>
      <w:color w:val="000000"/>
      <w:sz w:val="20"/>
      <w:szCs w:val="20"/>
      <w:lang w:val="en-US"/>
    </w:rPr>
  </w:style>
  <w:style w:type="paragraph" w:customStyle="1" w:styleId="Quote20mm">
    <w:name w:val="Quote (20mm)"/>
    <w:rsid w:val="00BF753A"/>
    <w:pPr>
      <w:keepLines/>
      <w:spacing w:after="200" w:line="288" w:lineRule="auto"/>
      <w:ind w:left="1134"/>
    </w:pPr>
    <w:rPr>
      <w:rFonts w:ascii="Arial" w:eastAsia="ヒラギノ角ゴ Pro W3" w:hAnsi="Arial"/>
      <w:color w:val="000000"/>
      <w:szCs w:val="20"/>
      <w:lang w:val="en-US"/>
    </w:rPr>
  </w:style>
  <w:style w:type="paragraph" w:styleId="TOC7">
    <w:name w:val="toc 7"/>
    <w:basedOn w:val="Normal"/>
    <w:next w:val="Normal"/>
    <w:autoRedefine/>
    <w:uiPriority w:val="39"/>
    <w:semiHidden/>
    <w:unhideWhenUsed/>
    <w:locked/>
    <w:rsid w:val="005C5249"/>
    <w:pPr>
      <w:spacing w:after="100"/>
      <w:ind w:left="1440"/>
    </w:pPr>
  </w:style>
  <w:style w:type="paragraph" w:customStyle="1" w:styleId="CopyrightText">
    <w:name w:val="Copyright Text"/>
    <w:basedOn w:val="Normal"/>
    <w:uiPriority w:val="99"/>
    <w:rsid w:val="000D4BD9"/>
    <w:pPr>
      <w:tabs>
        <w:tab w:val="left" w:pos="567"/>
      </w:tabs>
      <w:suppressAutoHyphens/>
      <w:autoSpaceDE w:val="0"/>
      <w:autoSpaceDN w:val="0"/>
      <w:adjustRightInd w:val="0"/>
      <w:spacing w:after="57"/>
      <w:textAlignment w:val="center"/>
    </w:pPr>
    <w:rPr>
      <w:rFonts w:ascii="HelveticaNeueLTPro-Cn" w:hAnsi="HelveticaNeueLTPro-Cn" w:cs="HelveticaNeueLTPro-Cn"/>
      <w:color w:val="000000"/>
      <w:spacing w:val="0"/>
      <w:sz w:val="16"/>
      <w:szCs w:val="16"/>
      <w:u w:color="000000"/>
      <w:lang w:eastAsia="en-AU"/>
    </w:rPr>
  </w:style>
  <w:style w:type="character" w:customStyle="1" w:styleId="Bold">
    <w:name w:val="Bold"/>
    <w:uiPriority w:val="99"/>
    <w:rsid w:val="000D4BD9"/>
    <w:rPr>
      <w:rFonts w:ascii="HelveticaNeueLTPro-Bd" w:hAnsi="HelveticaNeueLTPro-Bd" w:cs="HelveticaNeueLTPro-Bd"/>
      <w:b/>
      <w:bCs/>
    </w:rPr>
  </w:style>
  <w:style w:type="paragraph" w:customStyle="1" w:styleId="MasterFooter">
    <w:name w:val="Master Footer"/>
    <w:basedOn w:val="Normal"/>
    <w:uiPriority w:val="99"/>
    <w:rsid w:val="00CF72F4"/>
    <w:pPr>
      <w:keepLines w:val="0"/>
      <w:suppressAutoHyphens/>
      <w:autoSpaceDE w:val="0"/>
      <w:autoSpaceDN w:val="0"/>
      <w:adjustRightInd w:val="0"/>
      <w:spacing w:after="0" w:line="150" w:lineRule="atLeast"/>
      <w:jc w:val="right"/>
      <w:textAlignment w:val="center"/>
    </w:pPr>
    <w:rPr>
      <w:rFonts w:ascii="HelveticaNeueLTPro-Cn" w:hAnsi="HelveticaNeueLTPro-Cn" w:cs="HelveticaNeueLTPro-Cn"/>
      <w:color w:val="000000"/>
      <w:spacing w:val="0"/>
      <w:sz w:val="15"/>
      <w:szCs w:val="15"/>
      <w:lang w:eastAsia="en-AU"/>
    </w:rPr>
  </w:style>
  <w:style w:type="character" w:customStyle="1" w:styleId="BoldCondensed">
    <w:name w:val="Bold Condensed"/>
    <w:uiPriority w:val="99"/>
    <w:rsid w:val="00CF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982">
      <w:bodyDiv w:val="1"/>
      <w:marLeft w:val="0"/>
      <w:marRight w:val="0"/>
      <w:marTop w:val="0"/>
      <w:marBottom w:val="0"/>
      <w:divBdr>
        <w:top w:val="none" w:sz="0" w:space="0" w:color="auto"/>
        <w:left w:val="none" w:sz="0" w:space="0" w:color="auto"/>
        <w:bottom w:val="none" w:sz="0" w:space="0" w:color="auto"/>
        <w:right w:val="none" w:sz="0" w:space="0" w:color="auto"/>
      </w:divBdr>
    </w:div>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109857092">
      <w:bodyDiv w:val="1"/>
      <w:marLeft w:val="0"/>
      <w:marRight w:val="0"/>
      <w:marTop w:val="0"/>
      <w:marBottom w:val="0"/>
      <w:divBdr>
        <w:top w:val="none" w:sz="0" w:space="0" w:color="auto"/>
        <w:left w:val="none" w:sz="0" w:space="0" w:color="auto"/>
        <w:bottom w:val="none" w:sz="0" w:space="0" w:color="auto"/>
        <w:right w:val="none" w:sz="0" w:space="0" w:color="auto"/>
      </w:divBdr>
    </w:div>
    <w:div w:id="181168298">
      <w:bodyDiv w:val="1"/>
      <w:marLeft w:val="0"/>
      <w:marRight w:val="0"/>
      <w:marTop w:val="0"/>
      <w:marBottom w:val="0"/>
      <w:divBdr>
        <w:top w:val="none" w:sz="0" w:space="0" w:color="auto"/>
        <w:left w:val="none" w:sz="0" w:space="0" w:color="auto"/>
        <w:bottom w:val="none" w:sz="0" w:space="0" w:color="auto"/>
        <w:right w:val="none" w:sz="0" w:space="0" w:color="auto"/>
      </w:divBdr>
    </w:div>
    <w:div w:id="229118158">
      <w:bodyDiv w:val="1"/>
      <w:marLeft w:val="0"/>
      <w:marRight w:val="0"/>
      <w:marTop w:val="0"/>
      <w:marBottom w:val="0"/>
      <w:divBdr>
        <w:top w:val="none" w:sz="0" w:space="0" w:color="auto"/>
        <w:left w:val="none" w:sz="0" w:space="0" w:color="auto"/>
        <w:bottom w:val="none" w:sz="0" w:space="0" w:color="auto"/>
        <w:right w:val="none" w:sz="0" w:space="0" w:color="auto"/>
      </w:divBdr>
      <w:divsChild>
        <w:div w:id="334579564">
          <w:marLeft w:val="0"/>
          <w:marRight w:val="0"/>
          <w:marTop w:val="0"/>
          <w:marBottom w:val="0"/>
          <w:divBdr>
            <w:top w:val="none" w:sz="0" w:space="0" w:color="auto"/>
            <w:left w:val="none" w:sz="0" w:space="0" w:color="auto"/>
            <w:bottom w:val="none" w:sz="0" w:space="0" w:color="auto"/>
            <w:right w:val="none" w:sz="0" w:space="0" w:color="auto"/>
          </w:divBdr>
          <w:divsChild>
            <w:div w:id="1133597759">
              <w:marLeft w:val="0"/>
              <w:marRight w:val="0"/>
              <w:marTop w:val="0"/>
              <w:marBottom w:val="0"/>
              <w:divBdr>
                <w:top w:val="none" w:sz="0" w:space="0" w:color="auto"/>
                <w:left w:val="none" w:sz="0" w:space="0" w:color="auto"/>
                <w:bottom w:val="none" w:sz="0" w:space="0" w:color="auto"/>
                <w:right w:val="none" w:sz="0" w:space="0" w:color="auto"/>
              </w:divBdr>
              <w:divsChild>
                <w:div w:id="1208108889">
                  <w:marLeft w:val="0"/>
                  <w:marRight w:val="0"/>
                  <w:marTop w:val="0"/>
                  <w:marBottom w:val="0"/>
                  <w:divBdr>
                    <w:top w:val="none" w:sz="0" w:space="0" w:color="auto"/>
                    <w:left w:val="none" w:sz="0" w:space="0" w:color="auto"/>
                    <w:bottom w:val="none" w:sz="0" w:space="0" w:color="auto"/>
                    <w:right w:val="none" w:sz="0" w:space="0" w:color="auto"/>
                  </w:divBdr>
                  <w:divsChild>
                    <w:div w:id="2124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117">
      <w:bodyDiv w:val="1"/>
      <w:marLeft w:val="0"/>
      <w:marRight w:val="0"/>
      <w:marTop w:val="0"/>
      <w:marBottom w:val="0"/>
      <w:divBdr>
        <w:top w:val="none" w:sz="0" w:space="0" w:color="auto"/>
        <w:left w:val="none" w:sz="0" w:space="0" w:color="auto"/>
        <w:bottom w:val="none" w:sz="0" w:space="0" w:color="auto"/>
        <w:right w:val="none" w:sz="0" w:space="0" w:color="auto"/>
      </w:divBdr>
    </w:div>
    <w:div w:id="672612088">
      <w:bodyDiv w:val="1"/>
      <w:marLeft w:val="0"/>
      <w:marRight w:val="0"/>
      <w:marTop w:val="0"/>
      <w:marBottom w:val="0"/>
      <w:divBdr>
        <w:top w:val="none" w:sz="0" w:space="0" w:color="auto"/>
        <w:left w:val="none" w:sz="0" w:space="0" w:color="auto"/>
        <w:bottom w:val="none" w:sz="0" w:space="0" w:color="auto"/>
        <w:right w:val="none" w:sz="0" w:space="0" w:color="auto"/>
      </w:divBdr>
      <w:divsChild>
        <w:div w:id="904216609">
          <w:marLeft w:val="0"/>
          <w:marRight w:val="0"/>
          <w:marTop w:val="0"/>
          <w:marBottom w:val="0"/>
          <w:divBdr>
            <w:top w:val="none" w:sz="0" w:space="0" w:color="auto"/>
            <w:left w:val="none" w:sz="0" w:space="0" w:color="auto"/>
            <w:bottom w:val="none" w:sz="0" w:space="0" w:color="auto"/>
            <w:right w:val="none" w:sz="0" w:space="0" w:color="auto"/>
          </w:divBdr>
          <w:divsChild>
            <w:div w:id="1356612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6704787">
      <w:bodyDiv w:val="1"/>
      <w:marLeft w:val="0"/>
      <w:marRight w:val="0"/>
      <w:marTop w:val="0"/>
      <w:marBottom w:val="0"/>
      <w:divBdr>
        <w:top w:val="none" w:sz="0" w:space="0" w:color="auto"/>
        <w:left w:val="none" w:sz="0" w:space="0" w:color="auto"/>
        <w:bottom w:val="none" w:sz="0" w:space="0" w:color="auto"/>
        <w:right w:val="none" w:sz="0" w:space="0" w:color="auto"/>
      </w:divBdr>
      <w:divsChild>
        <w:div w:id="1125193884">
          <w:marLeft w:val="0"/>
          <w:marRight w:val="0"/>
          <w:marTop w:val="0"/>
          <w:marBottom w:val="0"/>
          <w:divBdr>
            <w:top w:val="none" w:sz="0" w:space="0" w:color="auto"/>
            <w:left w:val="none" w:sz="0" w:space="0" w:color="auto"/>
            <w:bottom w:val="none" w:sz="0" w:space="0" w:color="auto"/>
            <w:right w:val="none" w:sz="0" w:space="0" w:color="auto"/>
          </w:divBdr>
          <w:divsChild>
            <w:div w:id="7571687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0221085">
      <w:bodyDiv w:val="1"/>
      <w:marLeft w:val="0"/>
      <w:marRight w:val="0"/>
      <w:marTop w:val="0"/>
      <w:marBottom w:val="0"/>
      <w:divBdr>
        <w:top w:val="none" w:sz="0" w:space="0" w:color="auto"/>
        <w:left w:val="none" w:sz="0" w:space="0" w:color="auto"/>
        <w:bottom w:val="none" w:sz="0" w:space="0" w:color="auto"/>
        <w:right w:val="none" w:sz="0" w:space="0" w:color="auto"/>
      </w:divBdr>
      <w:divsChild>
        <w:div w:id="2012219804">
          <w:marLeft w:val="0"/>
          <w:marRight w:val="0"/>
          <w:marTop w:val="0"/>
          <w:marBottom w:val="0"/>
          <w:divBdr>
            <w:top w:val="none" w:sz="0" w:space="0" w:color="auto"/>
            <w:left w:val="none" w:sz="0" w:space="0" w:color="auto"/>
            <w:bottom w:val="none" w:sz="0" w:space="0" w:color="auto"/>
            <w:right w:val="none" w:sz="0" w:space="0" w:color="auto"/>
          </w:divBdr>
          <w:divsChild>
            <w:div w:id="7915522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425028766">
      <w:bodyDiv w:val="1"/>
      <w:marLeft w:val="0"/>
      <w:marRight w:val="0"/>
      <w:marTop w:val="0"/>
      <w:marBottom w:val="0"/>
      <w:divBdr>
        <w:top w:val="none" w:sz="0" w:space="0" w:color="auto"/>
        <w:left w:val="none" w:sz="0" w:space="0" w:color="auto"/>
        <w:bottom w:val="none" w:sz="0" w:space="0" w:color="auto"/>
        <w:right w:val="none" w:sz="0" w:space="0" w:color="auto"/>
      </w:divBdr>
    </w:div>
    <w:div w:id="1473332584">
      <w:bodyDiv w:val="1"/>
      <w:marLeft w:val="0"/>
      <w:marRight w:val="0"/>
      <w:marTop w:val="0"/>
      <w:marBottom w:val="0"/>
      <w:divBdr>
        <w:top w:val="none" w:sz="0" w:space="0" w:color="auto"/>
        <w:left w:val="none" w:sz="0" w:space="0" w:color="auto"/>
        <w:bottom w:val="none" w:sz="0" w:space="0" w:color="auto"/>
        <w:right w:val="none" w:sz="0" w:space="0" w:color="auto"/>
      </w:divBdr>
    </w:div>
    <w:div w:id="1528058162">
      <w:bodyDiv w:val="1"/>
      <w:marLeft w:val="0"/>
      <w:marRight w:val="0"/>
      <w:marTop w:val="0"/>
      <w:marBottom w:val="0"/>
      <w:divBdr>
        <w:top w:val="none" w:sz="0" w:space="0" w:color="auto"/>
        <w:left w:val="none" w:sz="0" w:space="0" w:color="auto"/>
        <w:bottom w:val="none" w:sz="0" w:space="0" w:color="auto"/>
        <w:right w:val="none" w:sz="0" w:space="0" w:color="auto"/>
      </w:divBdr>
      <w:divsChild>
        <w:div w:id="785466262">
          <w:marLeft w:val="0"/>
          <w:marRight w:val="0"/>
          <w:marTop w:val="0"/>
          <w:marBottom w:val="0"/>
          <w:divBdr>
            <w:top w:val="none" w:sz="0" w:space="0" w:color="auto"/>
            <w:left w:val="none" w:sz="0" w:space="0" w:color="auto"/>
            <w:bottom w:val="none" w:sz="0" w:space="0" w:color="auto"/>
            <w:right w:val="none" w:sz="0" w:space="0" w:color="auto"/>
          </w:divBdr>
          <w:divsChild>
            <w:div w:id="1346205312">
              <w:marLeft w:val="0"/>
              <w:marRight w:val="0"/>
              <w:marTop w:val="0"/>
              <w:marBottom w:val="450"/>
              <w:divBdr>
                <w:top w:val="none" w:sz="0" w:space="0" w:color="auto"/>
                <w:left w:val="single" w:sz="6" w:space="0" w:color="BCBEC0"/>
                <w:bottom w:val="single" w:sz="6" w:space="0" w:color="BCBEC0"/>
                <w:right w:val="single" w:sz="6" w:space="0" w:color="BCBEC0"/>
              </w:divBdr>
              <w:divsChild>
                <w:div w:id="1916933954">
                  <w:marLeft w:val="0"/>
                  <w:marRight w:val="0"/>
                  <w:marTop w:val="0"/>
                  <w:marBottom w:val="0"/>
                  <w:divBdr>
                    <w:top w:val="none" w:sz="0" w:space="0" w:color="auto"/>
                    <w:left w:val="none" w:sz="0" w:space="0" w:color="auto"/>
                    <w:bottom w:val="none" w:sz="0" w:space="0" w:color="auto"/>
                    <w:right w:val="none" w:sz="0" w:space="0" w:color="auto"/>
                  </w:divBdr>
                  <w:divsChild>
                    <w:div w:id="411512551">
                      <w:marLeft w:val="0"/>
                      <w:marRight w:val="0"/>
                      <w:marTop w:val="0"/>
                      <w:marBottom w:val="0"/>
                      <w:divBdr>
                        <w:top w:val="none" w:sz="0" w:space="0" w:color="auto"/>
                        <w:left w:val="none" w:sz="0" w:space="0" w:color="auto"/>
                        <w:bottom w:val="none" w:sz="0" w:space="0" w:color="auto"/>
                        <w:right w:val="none" w:sz="0" w:space="0" w:color="auto"/>
                      </w:divBdr>
                      <w:divsChild>
                        <w:div w:id="251597299">
                          <w:marLeft w:val="0"/>
                          <w:marRight w:val="0"/>
                          <w:marTop w:val="0"/>
                          <w:marBottom w:val="0"/>
                          <w:divBdr>
                            <w:top w:val="none" w:sz="0" w:space="0" w:color="auto"/>
                            <w:left w:val="none" w:sz="0" w:space="0" w:color="auto"/>
                            <w:bottom w:val="none" w:sz="0" w:space="0" w:color="auto"/>
                            <w:right w:val="none" w:sz="0" w:space="0" w:color="auto"/>
                          </w:divBdr>
                          <w:divsChild>
                            <w:div w:id="741579">
                              <w:marLeft w:val="0"/>
                              <w:marRight w:val="0"/>
                              <w:marTop w:val="0"/>
                              <w:marBottom w:val="0"/>
                              <w:divBdr>
                                <w:top w:val="none" w:sz="0" w:space="0" w:color="auto"/>
                                <w:left w:val="none" w:sz="0" w:space="0" w:color="auto"/>
                                <w:bottom w:val="none" w:sz="0" w:space="0" w:color="auto"/>
                                <w:right w:val="none" w:sz="0" w:space="0" w:color="auto"/>
                              </w:divBdr>
                              <w:divsChild>
                                <w:div w:id="1481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3001">
      <w:bodyDiv w:val="1"/>
      <w:marLeft w:val="0"/>
      <w:marRight w:val="0"/>
      <w:marTop w:val="0"/>
      <w:marBottom w:val="0"/>
      <w:divBdr>
        <w:top w:val="none" w:sz="0" w:space="0" w:color="auto"/>
        <w:left w:val="none" w:sz="0" w:space="0" w:color="auto"/>
        <w:bottom w:val="none" w:sz="0" w:space="0" w:color="auto"/>
        <w:right w:val="none" w:sz="0" w:space="0" w:color="auto"/>
      </w:divBdr>
      <w:divsChild>
        <w:div w:id="1703287559">
          <w:marLeft w:val="0"/>
          <w:marRight w:val="0"/>
          <w:marTop w:val="0"/>
          <w:marBottom w:val="0"/>
          <w:divBdr>
            <w:top w:val="none" w:sz="0" w:space="0" w:color="auto"/>
            <w:left w:val="none" w:sz="0" w:space="0" w:color="auto"/>
            <w:bottom w:val="none" w:sz="0" w:space="0" w:color="auto"/>
            <w:right w:val="none" w:sz="0" w:space="0" w:color="auto"/>
          </w:divBdr>
          <w:divsChild>
            <w:div w:id="1397320651">
              <w:marLeft w:val="0"/>
              <w:marRight w:val="0"/>
              <w:marTop w:val="0"/>
              <w:marBottom w:val="450"/>
              <w:divBdr>
                <w:top w:val="none" w:sz="0" w:space="0" w:color="auto"/>
                <w:left w:val="single" w:sz="6" w:space="0" w:color="BCBEC0"/>
                <w:bottom w:val="single" w:sz="6" w:space="0" w:color="BCBEC0"/>
                <w:right w:val="single" w:sz="6" w:space="0" w:color="BCBEC0"/>
              </w:divBdr>
              <w:divsChild>
                <w:div w:id="781143414">
                  <w:marLeft w:val="0"/>
                  <w:marRight w:val="0"/>
                  <w:marTop w:val="0"/>
                  <w:marBottom w:val="0"/>
                  <w:divBdr>
                    <w:top w:val="none" w:sz="0" w:space="0" w:color="auto"/>
                    <w:left w:val="none" w:sz="0" w:space="0" w:color="auto"/>
                    <w:bottom w:val="none" w:sz="0" w:space="0" w:color="auto"/>
                    <w:right w:val="none" w:sz="0" w:space="0" w:color="auto"/>
                  </w:divBdr>
                  <w:divsChild>
                    <w:div w:id="1338582323">
                      <w:marLeft w:val="0"/>
                      <w:marRight w:val="0"/>
                      <w:marTop w:val="0"/>
                      <w:marBottom w:val="0"/>
                      <w:divBdr>
                        <w:top w:val="none" w:sz="0" w:space="0" w:color="auto"/>
                        <w:left w:val="none" w:sz="0" w:space="0" w:color="auto"/>
                        <w:bottom w:val="none" w:sz="0" w:space="0" w:color="auto"/>
                        <w:right w:val="none" w:sz="0" w:space="0" w:color="auto"/>
                      </w:divBdr>
                      <w:divsChild>
                        <w:div w:id="2083025179">
                          <w:marLeft w:val="0"/>
                          <w:marRight w:val="0"/>
                          <w:marTop w:val="0"/>
                          <w:marBottom w:val="0"/>
                          <w:divBdr>
                            <w:top w:val="none" w:sz="0" w:space="0" w:color="auto"/>
                            <w:left w:val="none" w:sz="0" w:space="0" w:color="auto"/>
                            <w:bottom w:val="none" w:sz="0" w:space="0" w:color="auto"/>
                            <w:right w:val="none" w:sz="0" w:space="0" w:color="auto"/>
                          </w:divBdr>
                          <w:divsChild>
                            <w:div w:id="840658491">
                              <w:marLeft w:val="0"/>
                              <w:marRight w:val="0"/>
                              <w:marTop w:val="0"/>
                              <w:marBottom w:val="0"/>
                              <w:divBdr>
                                <w:top w:val="none" w:sz="0" w:space="0" w:color="auto"/>
                                <w:left w:val="none" w:sz="0" w:space="0" w:color="auto"/>
                                <w:bottom w:val="none" w:sz="0" w:space="0" w:color="auto"/>
                                <w:right w:val="none" w:sz="0" w:space="0" w:color="auto"/>
                              </w:divBdr>
                              <w:divsChild>
                                <w:div w:id="16736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751139">
      <w:bodyDiv w:val="1"/>
      <w:marLeft w:val="0"/>
      <w:marRight w:val="0"/>
      <w:marTop w:val="0"/>
      <w:marBottom w:val="0"/>
      <w:divBdr>
        <w:top w:val="none" w:sz="0" w:space="0" w:color="auto"/>
        <w:left w:val="none" w:sz="0" w:space="0" w:color="auto"/>
        <w:bottom w:val="none" w:sz="0" w:space="0" w:color="auto"/>
        <w:right w:val="none" w:sz="0" w:space="0" w:color="auto"/>
      </w:divBdr>
    </w:div>
    <w:div w:id="2013795798">
      <w:bodyDiv w:val="1"/>
      <w:marLeft w:val="0"/>
      <w:marRight w:val="0"/>
      <w:marTop w:val="0"/>
      <w:marBottom w:val="0"/>
      <w:divBdr>
        <w:top w:val="none" w:sz="0" w:space="0" w:color="auto"/>
        <w:left w:val="none" w:sz="0" w:space="0" w:color="auto"/>
        <w:bottom w:val="none" w:sz="0" w:space="0" w:color="auto"/>
        <w:right w:val="none" w:sz="0" w:space="0" w:color="auto"/>
      </w:divBdr>
    </w:div>
    <w:div w:id="20546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F424-0EA6-464A-9F17-A3C35697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7055</Words>
  <Characters>40218</Characters>
  <Application>Microsoft Office Word</Application>
  <DocSecurity>0</DocSecurity>
  <Lines>335</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Australian Human Rights Commission</Company>
  <LinksUpToDate>false</LinksUpToDate>
  <CharactersWithSpaces>47179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Julie O'Brien</dc:creator>
  <cp:lastModifiedBy>Leon Wild</cp:lastModifiedBy>
  <cp:revision>47</cp:revision>
  <cp:lastPrinted>2018-06-21T01:16:00Z</cp:lastPrinted>
  <dcterms:created xsi:type="dcterms:W3CDTF">2018-03-22T05:47:00Z</dcterms:created>
  <dcterms:modified xsi:type="dcterms:W3CDTF">2018-06-21T01:16:00Z</dcterms:modified>
</cp:coreProperties>
</file>