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00F0" w14:textId="77777777" w:rsidR="00651527" w:rsidRDefault="00651527">
      <w:bookmarkStart w:id="0" w:name="_GoBack"/>
      <w:bookmarkEnd w:id="0"/>
    </w:p>
    <w:p w14:paraId="0A81F84B" w14:textId="77777777" w:rsidR="000E3DC1" w:rsidRDefault="000E3DC1"/>
    <w:p w14:paraId="371F0786" w14:textId="77777777" w:rsidR="000E3DC1" w:rsidRDefault="000E3DC1"/>
    <w:p w14:paraId="3C7074F3" w14:textId="77777777" w:rsidR="000E3DC1" w:rsidRDefault="000E3DC1"/>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504EEBF8" w14:textId="0B73A11F" w:rsidR="000E3DC1" w:rsidRPr="00095F05" w:rsidRDefault="00095F05" w:rsidP="00095F05">
      <w:pPr>
        <w:pStyle w:val="InternalTitleBold"/>
        <w:rPr>
          <w:rFonts w:ascii="Arial" w:hAnsi="Arial" w:cs="Arial"/>
          <w:color w:val="808080" w:themeColor="background1" w:themeShade="80"/>
          <w:sz w:val="44"/>
          <w:szCs w:val="44"/>
          <w:rtl/>
        </w:rPr>
      </w:pPr>
      <w:r w:rsidRPr="00095F05">
        <w:rPr>
          <w:rFonts w:ascii="Arial" w:hAnsi="Arial" w:cs="Arial"/>
          <w:color w:val="808080" w:themeColor="background1" w:themeShade="80"/>
          <w:sz w:val="44"/>
          <w:szCs w:val="44"/>
        </w:rPr>
        <w:t>Swamy v Percival</w:t>
      </w:r>
    </w:p>
    <w:p w14:paraId="014021E7" w14:textId="1A8CDAA1" w:rsidR="00095F05" w:rsidRPr="00095F05" w:rsidRDefault="00095F05" w:rsidP="00095F05">
      <w:pPr>
        <w:pStyle w:val="InternalTitleBold"/>
        <w:rPr>
          <w:rFonts w:ascii="Arial" w:hAnsi="Arial" w:cs="Arial"/>
          <w:b w:val="0"/>
          <w:bCs w:val="0"/>
          <w:color w:val="808080" w:themeColor="background1" w:themeShade="80"/>
          <w:sz w:val="44"/>
          <w:szCs w:val="44"/>
        </w:rPr>
      </w:pPr>
      <w:r w:rsidRPr="00095F05">
        <w:rPr>
          <w:rFonts w:ascii="Arial" w:hAnsi="Arial" w:cs="Arial"/>
          <w:b w:val="0"/>
          <w:bCs w:val="0"/>
          <w:color w:val="808080" w:themeColor="background1" w:themeShade="80"/>
          <w:sz w:val="44"/>
          <w:szCs w:val="44"/>
        </w:rPr>
        <w:t>Repo</w:t>
      </w:r>
      <w:r w:rsidR="008B72A9">
        <w:rPr>
          <w:rFonts w:ascii="Arial" w:hAnsi="Arial" w:cs="Arial"/>
          <w:b w:val="0"/>
          <w:bCs w:val="0"/>
          <w:color w:val="808080" w:themeColor="background1" w:themeShade="80"/>
          <w:sz w:val="44"/>
          <w:szCs w:val="44"/>
        </w:rPr>
        <w:t>rt into unlawful discrimination</w:t>
      </w:r>
      <w:r>
        <w:rPr>
          <w:rFonts w:ascii="Arial" w:hAnsi="Arial" w:cs="Arial"/>
          <w:b w:val="0"/>
          <w:bCs w:val="0"/>
          <w:color w:val="808080" w:themeColor="background1" w:themeShade="80"/>
          <w:sz w:val="44"/>
          <w:szCs w:val="44"/>
        </w:rPr>
        <w:br/>
      </w:r>
      <w:r w:rsidRPr="00095F05">
        <w:rPr>
          <w:rFonts w:ascii="Arial" w:hAnsi="Arial" w:cs="Arial"/>
          <w:b w:val="0"/>
          <w:bCs w:val="0"/>
          <w:color w:val="808080" w:themeColor="background1" w:themeShade="80"/>
          <w:sz w:val="44"/>
          <w:szCs w:val="44"/>
        </w:rPr>
        <w:t>in employment based on religion</w:t>
      </w:r>
    </w:p>
    <w:p w14:paraId="6CC0679A" w14:textId="77777777" w:rsidR="00095F05" w:rsidRPr="00095F05" w:rsidRDefault="00095F05" w:rsidP="00095F05">
      <w:pPr>
        <w:pStyle w:val="NoParagraphStyle"/>
        <w:keepNext/>
        <w:tabs>
          <w:tab w:val="left" w:pos="567"/>
        </w:tabs>
        <w:suppressAutoHyphens/>
        <w:spacing w:after="283"/>
        <w:rPr>
          <w:rFonts w:ascii="Arial" w:hAnsi="Arial" w:cs="Arial"/>
          <w:color w:val="808080" w:themeColor="background1" w:themeShade="80"/>
          <w:sz w:val="44"/>
          <w:szCs w:val="44"/>
          <w:lang w:val="en-AU"/>
        </w:rPr>
      </w:pPr>
      <w:r w:rsidRPr="00095F05">
        <w:rPr>
          <w:rFonts w:ascii="Arial" w:hAnsi="Arial" w:cs="Arial"/>
          <w:color w:val="808080" w:themeColor="background1" w:themeShade="80"/>
          <w:sz w:val="44"/>
          <w:szCs w:val="44"/>
          <w:lang w:val="en-AU"/>
        </w:rPr>
        <w:t>[2013] AusHRC 66</w:t>
      </w:r>
    </w:p>
    <w:p w14:paraId="07C22FFF" w14:textId="77777777"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2013</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3ECCAAC0" w14:textId="77777777" w:rsidR="000E3DC1" w:rsidRDefault="000E3DC1" w:rsidP="000E3DC1"/>
    <w:p w14:paraId="4CBF4D82" w14:textId="77777777" w:rsidR="000E3DC1" w:rsidRDefault="000E3DC1" w:rsidP="000E3DC1"/>
    <w:p w14:paraId="620D522F" w14:textId="77777777" w:rsidR="000E3DC1" w:rsidRDefault="000E3DC1" w:rsidP="000E3DC1"/>
    <w:p w14:paraId="3416CCBC" w14:textId="77777777" w:rsidR="000E3DC1" w:rsidRDefault="000E3DC1" w:rsidP="000E3DC1"/>
    <w:p w14:paraId="69B92535" w14:textId="77777777" w:rsidR="000E3DC1" w:rsidRDefault="000E3DC1" w:rsidP="000E3DC1"/>
    <w:p w14:paraId="7ED54515" w14:textId="77777777" w:rsidR="000E3DC1" w:rsidRDefault="000E3DC1" w:rsidP="000E3DC1"/>
    <w:p w14:paraId="56C826DF" w14:textId="77777777" w:rsidR="000E3DC1" w:rsidRDefault="000E3DC1" w:rsidP="000E3DC1"/>
    <w:p w14:paraId="578816BF" w14:textId="77777777" w:rsidR="000E3DC1" w:rsidRDefault="000E3DC1" w:rsidP="000E3DC1"/>
    <w:p w14:paraId="56D88883" w14:textId="525C17FC" w:rsidR="00F20955" w:rsidRPr="00F20955" w:rsidRDefault="00F20955" w:rsidP="00F20955">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w:t>
      </w:r>
      <w:r w:rsidR="003D089C">
        <w:rPr>
          <w:rFonts w:cs="Arial"/>
          <w:b/>
          <w:bCs/>
          <w:color w:val="000000"/>
          <w:sz w:val="20"/>
          <w:szCs w:val="20"/>
          <w:u w:color="000000"/>
          <w:lang w:val="en-AU" w:eastAsia="en-AU"/>
        </w:rPr>
        <w:t>ian Human Rights Commission 2013</w:t>
      </w:r>
      <w:r w:rsidRPr="00F20955">
        <w:rPr>
          <w:rFonts w:cs="Arial"/>
          <w:b/>
          <w:bCs/>
          <w:color w:val="000000"/>
          <w:sz w:val="20"/>
          <w:szCs w:val="20"/>
          <w:u w:color="000000"/>
          <w:lang w:val="en-AU" w:eastAsia="en-AU"/>
        </w:rPr>
        <w:t>.</w:t>
      </w:r>
    </w:p>
    <w:p w14:paraId="4BF9FBA1" w14:textId="20BD8AD0" w:rsidR="00F20955" w:rsidRPr="00F20955" w:rsidRDefault="00EF7502" w:rsidP="00F20955">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22831712" wp14:editId="3BC5147A">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0373ADC" w14:textId="77777777" w:rsidR="00F20955" w:rsidRPr="00F20955" w:rsidRDefault="00F20955" w:rsidP="00F20955">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71D9EEEC" w14:textId="77777777" w:rsidR="00F20955" w:rsidRPr="00F20955"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50AFCE3E" w14:textId="77777777" w:rsidR="00F20955" w:rsidRPr="00F20955"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0387F9C4" w14:textId="1E26CEB1" w:rsidR="00F20955" w:rsidRPr="00F20955"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00EA571C" w:rsidRPr="00EA571C">
          <w:rPr>
            <w:rStyle w:val="Hyperlink"/>
            <w:rFonts w:cs="Arial"/>
            <w:b/>
            <w:sz w:val="20"/>
            <w:szCs w:val="20"/>
            <w:u w:color="000000"/>
            <w:lang w:val="en-AU" w:eastAsia="en-AU"/>
          </w:rPr>
          <w:t>http://creativecommons.org/licences/by/3.0/au</w:t>
        </w:r>
      </w:hyperlink>
      <w:r w:rsidR="008F7C83">
        <w:rPr>
          <w:rFonts w:cs="Arial"/>
          <w:color w:val="000000"/>
          <w:sz w:val="20"/>
          <w:szCs w:val="20"/>
          <w:u w:color="000000"/>
          <w:lang w:val="en-AU" w:eastAsia="en-AU"/>
        </w:rPr>
        <w:t>.</w:t>
      </w:r>
    </w:p>
    <w:p w14:paraId="1285947F" w14:textId="77777777" w:rsidR="00F20955" w:rsidRPr="00F20955" w:rsidRDefault="00F20955" w:rsidP="00F20955">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352C64AC" w14:textId="77777777" w:rsidR="00F20955" w:rsidRPr="00F20955" w:rsidRDefault="00F20955" w:rsidP="00F20955">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31EF1DB" w14:textId="271AD807" w:rsidR="00F20955" w:rsidRPr="00F20955"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00EA571C"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55310A17" w14:textId="77777777" w:rsidR="00F20955" w:rsidRPr="00F20955" w:rsidRDefault="00F20955" w:rsidP="00F20955">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666D0E3" w14:textId="51FD797A" w:rsidR="00B07DEB"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00EA571C"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sidR="00EA571C">
          <w:rPr>
            <w:rStyle w:val="Hyperlink"/>
            <w:rFonts w:cs="Arial"/>
            <w:b/>
            <w:sz w:val="20"/>
            <w:szCs w:val="20"/>
            <w:u w:color="000000"/>
            <w:lang w:val="en-AU" w:eastAsia="en-AU"/>
          </w:rPr>
          <w:t>communications@humanrights.gov.au</w:t>
        </w:r>
      </w:hyperlink>
      <w:r w:rsidR="008F7C83">
        <w:rPr>
          <w:rFonts w:cs="Arial"/>
          <w:color w:val="000000"/>
          <w:sz w:val="20"/>
          <w:szCs w:val="20"/>
          <w:u w:color="000000"/>
          <w:lang w:val="en-AU" w:eastAsia="en-AU"/>
        </w:rPr>
        <w:t>.</w:t>
      </w:r>
    </w:p>
    <w:p w14:paraId="555D02A7" w14:textId="01684ACB" w:rsidR="00F20955" w:rsidRPr="00F20955" w:rsidRDefault="00F20955" w:rsidP="00F20955">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56CA6C9E" w14:textId="4F4BD44D" w:rsidR="000E3DC1" w:rsidRPr="00F20955" w:rsidRDefault="00F20955" w:rsidP="00F20955">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2EB5CCFB" w14:textId="77777777" w:rsidR="000E3DC1" w:rsidRDefault="000E3DC1">
      <w:pPr>
        <w:spacing w:after="0" w:line="240" w:lineRule="auto"/>
        <w:rPr>
          <w:rFonts w:cs="Arial"/>
          <w:sz w:val="20"/>
          <w:szCs w:val="16"/>
          <w:u w:color="000000"/>
          <w:lang w:val="en-AU" w:eastAsia="en-AU"/>
        </w:rPr>
      </w:pPr>
      <w:r>
        <w:rPr>
          <w:rFonts w:cs="Arial"/>
          <w:lang w:val="en-AU"/>
        </w:rPr>
        <w:br w:type="page"/>
      </w:r>
    </w:p>
    <w:p w14:paraId="0F857C06" w14:textId="77777777" w:rsidR="000E3DC1" w:rsidRDefault="000E3DC1" w:rsidP="000E3DC1">
      <w:pPr>
        <w:pStyle w:val="Heading8"/>
        <w:rPr>
          <w:lang w:val="en-AU"/>
        </w:rPr>
      </w:pPr>
      <w:r>
        <w:rPr>
          <w:lang w:val="en-AU"/>
        </w:rPr>
        <w:lastRenderedPageBreak/>
        <w:t>Contents</w:t>
      </w:r>
    </w:p>
    <w:p w14:paraId="0EF3A68F" w14:textId="77777777" w:rsidR="000E3DC1" w:rsidRDefault="000E3DC1" w:rsidP="000E3DC1">
      <w:pPr>
        <w:pStyle w:val="CopyrightText"/>
        <w:rPr>
          <w:rFonts w:cs="Arial"/>
          <w:lang w:val="en-AU"/>
        </w:rPr>
      </w:pPr>
    </w:p>
    <w:p w14:paraId="3384C0A0" w14:textId="77777777" w:rsidR="00BB0E8F" w:rsidRDefault="004C31E4">
      <w:pPr>
        <w:pStyle w:val="TOC1"/>
        <w:tabs>
          <w:tab w:val="left" w:pos="373"/>
        </w:tabs>
        <w:rPr>
          <w:rFonts w:asciiTheme="minorHAnsi" w:hAnsiTheme="minorHAnsi" w:cstheme="minorBidi"/>
          <w:noProof/>
          <w:lang w:eastAsia="ja-JP"/>
        </w:rPr>
      </w:pPr>
      <w:r w:rsidRPr="004D06B7">
        <w:fldChar w:fldCharType="begin"/>
      </w:r>
      <w:r w:rsidRPr="004D06B7">
        <w:instrText xml:space="preserve"> TOC \o "1-1" \t "Heading 2,1,Heading 3,1" </w:instrText>
      </w:r>
      <w:r w:rsidRPr="004D06B7">
        <w:fldChar w:fldCharType="separate"/>
      </w:r>
      <w:r w:rsidR="00BB0E8F" w:rsidRPr="00BA510F">
        <w:rPr>
          <w:noProof/>
          <w:lang w:val="en-AU" w:eastAsia="en-AU"/>
        </w:rPr>
        <w:t>1</w:t>
      </w:r>
      <w:r w:rsidR="00BB0E8F">
        <w:rPr>
          <w:rFonts w:asciiTheme="minorHAnsi" w:hAnsiTheme="minorHAnsi" w:cstheme="minorBidi"/>
          <w:noProof/>
          <w:lang w:eastAsia="ja-JP"/>
        </w:rPr>
        <w:tab/>
      </w:r>
      <w:r w:rsidR="00BB0E8F" w:rsidRPr="00BA510F">
        <w:rPr>
          <w:noProof/>
          <w:lang w:val="en-AU" w:eastAsia="en-AU"/>
        </w:rPr>
        <w:t>Introduction to this inquiry</w:t>
      </w:r>
      <w:r w:rsidR="00BB0E8F">
        <w:rPr>
          <w:noProof/>
        </w:rPr>
        <w:tab/>
      </w:r>
      <w:r w:rsidR="00BB0E8F">
        <w:rPr>
          <w:noProof/>
        </w:rPr>
        <w:fldChar w:fldCharType="begin"/>
      </w:r>
      <w:r w:rsidR="00BB0E8F">
        <w:rPr>
          <w:noProof/>
        </w:rPr>
        <w:instrText xml:space="preserve"> PAGEREF _Toc255207265 \h </w:instrText>
      </w:r>
      <w:r w:rsidR="00BB0E8F">
        <w:rPr>
          <w:noProof/>
        </w:rPr>
      </w:r>
      <w:r w:rsidR="00BB0E8F">
        <w:rPr>
          <w:noProof/>
        </w:rPr>
        <w:fldChar w:fldCharType="separate"/>
      </w:r>
      <w:r w:rsidR="00BB0E8F">
        <w:rPr>
          <w:noProof/>
        </w:rPr>
        <w:t>5</w:t>
      </w:r>
      <w:r w:rsidR="00BB0E8F">
        <w:rPr>
          <w:noProof/>
        </w:rPr>
        <w:fldChar w:fldCharType="end"/>
      </w:r>
    </w:p>
    <w:p w14:paraId="06DE7BB1" w14:textId="77777777" w:rsidR="00BB0E8F" w:rsidRDefault="00BB0E8F">
      <w:pPr>
        <w:pStyle w:val="TOC1"/>
        <w:tabs>
          <w:tab w:val="left" w:pos="373"/>
        </w:tabs>
        <w:rPr>
          <w:rFonts w:asciiTheme="minorHAnsi" w:hAnsiTheme="minorHAnsi" w:cstheme="minorBidi"/>
          <w:noProof/>
          <w:lang w:eastAsia="ja-JP"/>
        </w:rPr>
      </w:pPr>
      <w:r w:rsidRPr="00BA510F">
        <w:rPr>
          <w:noProof/>
          <w:lang w:val="en-AU" w:eastAsia="en-AU"/>
        </w:rPr>
        <w:t>2</w:t>
      </w:r>
      <w:r>
        <w:rPr>
          <w:rFonts w:asciiTheme="minorHAnsi" w:hAnsiTheme="minorHAnsi" w:cstheme="minorBidi"/>
          <w:noProof/>
          <w:lang w:eastAsia="ja-JP"/>
        </w:rPr>
        <w:tab/>
      </w:r>
      <w:r w:rsidRPr="00BA510F">
        <w:rPr>
          <w:noProof/>
          <w:lang w:val="en-AU" w:eastAsia="en-AU"/>
        </w:rPr>
        <w:t>Circumstances giving rise to the complaint</w:t>
      </w:r>
      <w:r>
        <w:rPr>
          <w:noProof/>
        </w:rPr>
        <w:tab/>
      </w:r>
      <w:r>
        <w:rPr>
          <w:noProof/>
        </w:rPr>
        <w:fldChar w:fldCharType="begin"/>
      </w:r>
      <w:r>
        <w:rPr>
          <w:noProof/>
        </w:rPr>
        <w:instrText xml:space="preserve"> PAGEREF _Toc255207266 \h </w:instrText>
      </w:r>
      <w:r>
        <w:rPr>
          <w:noProof/>
        </w:rPr>
      </w:r>
      <w:r>
        <w:rPr>
          <w:noProof/>
        </w:rPr>
        <w:fldChar w:fldCharType="separate"/>
      </w:r>
      <w:r>
        <w:rPr>
          <w:noProof/>
        </w:rPr>
        <w:t>5</w:t>
      </w:r>
      <w:r>
        <w:rPr>
          <w:noProof/>
        </w:rPr>
        <w:fldChar w:fldCharType="end"/>
      </w:r>
    </w:p>
    <w:p w14:paraId="203BE64E" w14:textId="77777777" w:rsidR="00BB0E8F" w:rsidRDefault="00BB0E8F">
      <w:pPr>
        <w:pStyle w:val="TOC1"/>
        <w:tabs>
          <w:tab w:val="left" w:pos="574"/>
        </w:tabs>
        <w:rPr>
          <w:rFonts w:asciiTheme="minorHAnsi" w:hAnsiTheme="minorHAnsi" w:cstheme="minorBidi"/>
          <w:noProof/>
          <w:lang w:eastAsia="ja-JP"/>
        </w:rPr>
      </w:pPr>
      <w:r>
        <w:rPr>
          <w:noProof/>
          <w:lang w:eastAsia="en-AU"/>
        </w:rPr>
        <w:t>2.1</w:t>
      </w:r>
      <w:r>
        <w:rPr>
          <w:rFonts w:asciiTheme="minorHAnsi" w:hAnsiTheme="minorHAnsi" w:cstheme="minorBidi"/>
          <w:noProof/>
          <w:lang w:eastAsia="ja-JP"/>
        </w:rPr>
        <w:tab/>
      </w:r>
      <w:r>
        <w:rPr>
          <w:noProof/>
          <w:lang w:eastAsia="en-AU"/>
        </w:rPr>
        <w:t>Complaint by Mr Swamy</w:t>
      </w:r>
      <w:r>
        <w:rPr>
          <w:noProof/>
        </w:rPr>
        <w:tab/>
      </w:r>
      <w:r>
        <w:rPr>
          <w:noProof/>
        </w:rPr>
        <w:fldChar w:fldCharType="begin"/>
      </w:r>
      <w:r>
        <w:rPr>
          <w:noProof/>
        </w:rPr>
        <w:instrText xml:space="preserve"> PAGEREF _Toc255207267 \h </w:instrText>
      </w:r>
      <w:r>
        <w:rPr>
          <w:noProof/>
        </w:rPr>
      </w:r>
      <w:r>
        <w:rPr>
          <w:noProof/>
        </w:rPr>
        <w:fldChar w:fldCharType="separate"/>
      </w:r>
      <w:r>
        <w:rPr>
          <w:noProof/>
        </w:rPr>
        <w:t>5</w:t>
      </w:r>
      <w:r>
        <w:rPr>
          <w:noProof/>
        </w:rPr>
        <w:fldChar w:fldCharType="end"/>
      </w:r>
    </w:p>
    <w:p w14:paraId="34FF103C" w14:textId="77777777" w:rsidR="00BB0E8F" w:rsidRDefault="00BB0E8F">
      <w:pPr>
        <w:pStyle w:val="TOC1"/>
        <w:tabs>
          <w:tab w:val="left" w:pos="574"/>
        </w:tabs>
        <w:rPr>
          <w:rFonts w:asciiTheme="minorHAnsi" w:hAnsiTheme="minorHAnsi" w:cstheme="minorBidi"/>
          <w:noProof/>
          <w:lang w:eastAsia="ja-JP"/>
        </w:rPr>
      </w:pPr>
      <w:r>
        <w:rPr>
          <w:noProof/>
          <w:lang w:eastAsia="en-AU"/>
        </w:rPr>
        <w:t>2.2</w:t>
      </w:r>
      <w:r>
        <w:rPr>
          <w:rFonts w:asciiTheme="minorHAnsi" w:hAnsiTheme="minorHAnsi" w:cstheme="minorBidi"/>
          <w:noProof/>
          <w:lang w:eastAsia="ja-JP"/>
        </w:rPr>
        <w:tab/>
      </w:r>
      <w:r>
        <w:rPr>
          <w:noProof/>
          <w:lang w:eastAsia="en-AU"/>
        </w:rPr>
        <w:t>Submissions by respondents</w:t>
      </w:r>
      <w:r>
        <w:rPr>
          <w:noProof/>
        </w:rPr>
        <w:tab/>
      </w:r>
      <w:r>
        <w:rPr>
          <w:noProof/>
        </w:rPr>
        <w:fldChar w:fldCharType="begin"/>
      </w:r>
      <w:r>
        <w:rPr>
          <w:noProof/>
        </w:rPr>
        <w:instrText xml:space="preserve"> PAGEREF _Toc255207268 \h </w:instrText>
      </w:r>
      <w:r>
        <w:rPr>
          <w:noProof/>
        </w:rPr>
      </w:r>
      <w:r>
        <w:rPr>
          <w:noProof/>
        </w:rPr>
        <w:fldChar w:fldCharType="separate"/>
      </w:r>
      <w:r>
        <w:rPr>
          <w:noProof/>
        </w:rPr>
        <w:t>7</w:t>
      </w:r>
      <w:r>
        <w:rPr>
          <w:noProof/>
        </w:rPr>
        <w:fldChar w:fldCharType="end"/>
      </w:r>
    </w:p>
    <w:p w14:paraId="381E95BB" w14:textId="77777777" w:rsidR="00BB0E8F" w:rsidRDefault="00BB0E8F">
      <w:pPr>
        <w:pStyle w:val="TOC1"/>
        <w:tabs>
          <w:tab w:val="left" w:pos="574"/>
        </w:tabs>
        <w:rPr>
          <w:rFonts w:asciiTheme="minorHAnsi" w:hAnsiTheme="minorHAnsi" w:cstheme="minorBidi"/>
          <w:noProof/>
          <w:lang w:eastAsia="ja-JP"/>
        </w:rPr>
      </w:pPr>
      <w:r>
        <w:rPr>
          <w:noProof/>
          <w:lang w:eastAsia="en-AU"/>
        </w:rPr>
        <w:t>2.3</w:t>
      </w:r>
      <w:r>
        <w:rPr>
          <w:rFonts w:asciiTheme="minorHAnsi" w:hAnsiTheme="minorHAnsi" w:cstheme="minorBidi"/>
          <w:noProof/>
          <w:lang w:eastAsia="ja-JP"/>
        </w:rPr>
        <w:tab/>
      </w:r>
      <w:r>
        <w:rPr>
          <w:noProof/>
          <w:lang w:eastAsia="en-AU"/>
        </w:rPr>
        <w:t>Fair Work Australia proceedings</w:t>
      </w:r>
      <w:r>
        <w:rPr>
          <w:noProof/>
        </w:rPr>
        <w:tab/>
      </w:r>
      <w:r>
        <w:rPr>
          <w:noProof/>
        </w:rPr>
        <w:fldChar w:fldCharType="begin"/>
      </w:r>
      <w:r>
        <w:rPr>
          <w:noProof/>
        </w:rPr>
        <w:instrText xml:space="preserve"> PAGEREF _Toc255207269 \h </w:instrText>
      </w:r>
      <w:r>
        <w:rPr>
          <w:noProof/>
        </w:rPr>
      </w:r>
      <w:r>
        <w:rPr>
          <w:noProof/>
        </w:rPr>
        <w:fldChar w:fldCharType="separate"/>
      </w:r>
      <w:r>
        <w:rPr>
          <w:noProof/>
        </w:rPr>
        <w:t>8</w:t>
      </w:r>
      <w:r>
        <w:rPr>
          <w:noProof/>
        </w:rPr>
        <w:fldChar w:fldCharType="end"/>
      </w:r>
    </w:p>
    <w:p w14:paraId="0862E8CD" w14:textId="77777777" w:rsidR="00BB0E8F" w:rsidRDefault="00BB0E8F">
      <w:pPr>
        <w:pStyle w:val="TOC1"/>
        <w:tabs>
          <w:tab w:val="left" w:pos="373"/>
        </w:tabs>
        <w:rPr>
          <w:rFonts w:asciiTheme="minorHAnsi" w:hAnsiTheme="minorHAnsi" w:cstheme="minorBidi"/>
          <w:noProof/>
          <w:lang w:eastAsia="ja-JP"/>
        </w:rPr>
      </w:pPr>
      <w:r w:rsidRPr="00BA510F">
        <w:rPr>
          <w:noProof/>
          <w:lang w:val="en-AU" w:eastAsia="en-AU"/>
        </w:rPr>
        <w:t>3</w:t>
      </w:r>
      <w:r>
        <w:rPr>
          <w:rFonts w:asciiTheme="minorHAnsi" w:hAnsiTheme="minorHAnsi" w:cstheme="minorBidi"/>
          <w:noProof/>
          <w:lang w:eastAsia="ja-JP"/>
        </w:rPr>
        <w:tab/>
      </w:r>
      <w:r w:rsidRPr="00BA510F">
        <w:rPr>
          <w:noProof/>
          <w:lang w:val="en-AU" w:eastAsia="en-AU"/>
        </w:rPr>
        <w:t>Relevant legal framework</w:t>
      </w:r>
      <w:r>
        <w:rPr>
          <w:noProof/>
        </w:rPr>
        <w:tab/>
      </w:r>
      <w:r>
        <w:rPr>
          <w:noProof/>
        </w:rPr>
        <w:fldChar w:fldCharType="begin"/>
      </w:r>
      <w:r>
        <w:rPr>
          <w:noProof/>
        </w:rPr>
        <w:instrText xml:space="preserve"> PAGEREF _Toc255207270 \h </w:instrText>
      </w:r>
      <w:r>
        <w:rPr>
          <w:noProof/>
        </w:rPr>
      </w:r>
      <w:r>
        <w:rPr>
          <w:noProof/>
        </w:rPr>
        <w:fldChar w:fldCharType="separate"/>
      </w:r>
      <w:r>
        <w:rPr>
          <w:noProof/>
        </w:rPr>
        <w:t>9</w:t>
      </w:r>
      <w:r>
        <w:rPr>
          <w:noProof/>
        </w:rPr>
        <w:fldChar w:fldCharType="end"/>
      </w:r>
    </w:p>
    <w:p w14:paraId="5589A6FC" w14:textId="77777777" w:rsidR="00BB0E8F" w:rsidRDefault="00BB0E8F">
      <w:pPr>
        <w:pStyle w:val="TOC1"/>
        <w:tabs>
          <w:tab w:val="left" w:pos="373"/>
        </w:tabs>
        <w:rPr>
          <w:rFonts w:asciiTheme="minorHAnsi" w:hAnsiTheme="minorHAnsi" w:cstheme="minorBidi"/>
          <w:noProof/>
          <w:lang w:eastAsia="ja-JP"/>
        </w:rPr>
      </w:pPr>
      <w:r w:rsidRPr="00BA510F">
        <w:rPr>
          <w:noProof/>
          <w:lang w:val="en-AU" w:eastAsia="en-AU"/>
        </w:rPr>
        <w:t>4</w:t>
      </w:r>
      <w:r>
        <w:rPr>
          <w:rFonts w:asciiTheme="minorHAnsi" w:hAnsiTheme="minorHAnsi" w:cstheme="minorBidi"/>
          <w:noProof/>
          <w:lang w:eastAsia="ja-JP"/>
        </w:rPr>
        <w:tab/>
      </w:r>
      <w:r w:rsidRPr="00BA510F">
        <w:rPr>
          <w:noProof/>
          <w:lang w:val="en-AU" w:eastAsia="en-AU"/>
        </w:rPr>
        <w:t>Consideration and findings</w:t>
      </w:r>
      <w:r>
        <w:rPr>
          <w:noProof/>
        </w:rPr>
        <w:tab/>
      </w:r>
      <w:r>
        <w:rPr>
          <w:noProof/>
        </w:rPr>
        <w:fldChar w:fldCharType="begin"/>
      </w:r>
      <w:r>
        <w:rPr>
          <w:noProof/>
        </w:rPr>
        <w:instrText xml:space="preserve"> PAGEREF _Toc255207271 \h </w:instrText>
      </w:r>
      <w:r>
        <w:rPr>
          <w:noProof/>
        </w:rPr>
      </w:r>
      <w:r>
        <w:rPr>
          <w:noProof/>
        </w:rPr>
        <w:fldChar w:fldCharType="separate"/>
      </w:r>
      <w:r>
        <w:rPr>
          <w:noProof/>
        </w:rPr>
        <w:t>10</w:t>
      </w:r>
      <w:r>
        <w:rPr>
          <w:noProof/>
        </w:rPr>
        <w:fldChar w:fldCharType="end"/>
      </w:r>
    </w:p>
    <w:p w14:paraId="1CD7F953" w14:textId="77777777" w:rsidR="00BB0E8F" w:rsidRDefault="00BB0E8F">
      <w:pPr>
        <w:pStyle w:val="TOC1"/>
        <w:tabs>
          <w:tab w:val="left" w:pos="373"/>
        </w:tabs>
        <w:rPr>
          <w:rFonts w:asciiTheme="minorHAnsi" w:hAnsiTheme="minorHAnsi" w:cstheme="minorBidi"/>
          <w:noProof/>
          <w:lang w:eastAsia="ja-JP"/>
        </w:rPr>
      </w:pPr>
      <w:r w:rsidRPr="00BA510F">
        <w:rPr>
          <w:noProof/>
          <w:lang w:val="en-AU" w:eastAsia="en-AU"/>
        </w:rPr>
        <w:t>5</w:t>
      </w:r>
      <w:r>
        <w:rPr>
          <w:rFonts w:asciiTheme="minorHAnsi" w:hAnsiTheme="minorHAnsi" w:cstheme="minorBidi"/>
          <w:noProof/>
          <w:lang w:eastAsia="ja-JP"/>
        </w:rPr>
        <w:tab/>
      </w:r>
      <w:r w:rsidRPr="00BA510F">
        <w:rPr>
          <w:noProof/>
          <w:lang w:val="en-AU" w:eastAsia="en-AU"/>
        </w:rPr>
        <w:t>Recommendations</w:t>
      </w:r>
      <w:r>
        <w:rPr>
          <w:noProof/>
        </w:rPr>
        <w:tab/>
      </w:r>
      <w:r>
        <w:rPr>
          <w:noProof/>
        </w:rPr>
        <w:fldChar w:fldCharType="begin"/>
      </w:r>
      <w:r>
        <w:rPr>
          <w:noProof/>
        </w:rPr>
        <w:instrText xml:space="preserve"> PAGEREF _Toc255207272 \h </w:instrText>
      </w:r>
      <w:r>
        <w:rPr>
          <w:noProof/>
        </w:rPr>
      </w:r>
      <w:r>
        <w:rPr>
          <w:noProof/>
        </w:rPr>
        <w:fldChar w:fldCharType="separate"/>
      </w:r>
      <w:r>
        <w:rPr>
          <w:noProof/>
        </w:rPr>
        <w:t>10</w:t>
      </w:r>
      <w:r>
        <w:rPr>
          <w:noProof/>
        </w:rPr>
        <w:fldChar w:fldCharType="end"/>
      </w:r>
    </w:p>
    <w:p w14:paraId="2484AE96" w14:textId="77777777" w:rsidR="00BB0E8F" w:rsidRDefault="00BB0E8F">
      <w:pPr>
        <w:pStyle w:val="TOC1"/>
        <w:tabs>
          <w:tab w:val="left" w:pos="373"/>
        </w:tabs>
        <w:rPr>
          <w:rFonts w:asciiTheme="minorHAnsi" w:hAnsiTheme="minorHAnsi" w:cstheme="minorBidi"/>
          <w:noProof/>
          <w:lang w:eastAsia="ja-JP"/>
        </w:rPr>
      </w:pPr>
      <w:r>
        <w:rPr>
          <w:noProof/>
        </w:rPr>
        <w:t>6</w:t>
      </w:r>
      <w:r>
        <w:rPr>
          <w:rFonts w:asciiTheme="minorHAnsi" w:hAnsiTheme="minorHAnsi" w:cstheme="minorBidi"/>
          <w:noProof/>
          <w:lang w:eastAsia="ja-JP"/>
        </w:rPr>
        <w:tab/>
      </w:r>
      <w:r>
        <w:rPr>
          <w:noProof/>
        </w:rPr>
        <w:t>Responses to my conclusions and</w:t>
      </w:r>
      <w:r w:rsidRPr="00BA510F">
        <w:rPr>
          <w:rFonts w:ascii="HelveticaCYPlain" w:hAnsi="HelveticaCYPlain" w:cs="HelveticaCYPlain"/>
          <w:noProof/>
          <w:color w:val="4C4C4C"/>
          <w:lang w:val="en-AU" w:eastAsia="en-AU"/>
        </w:rPr>
        <w:t xml:space="preserve"> </w:t>
      </w:r>
      <w:r>
        <w:rPr>
          <w:noProof/>
        </w:rPr>
        <w:t>recommendations</w:t>
      </w:r>
      <w:r>
        <w:rPr>
          <w:noProof/>
        </w:rPr>
        <w:tab/>
      </w:r>
      <w:r>
        <w:rPr>
          <w:noProof/>
        </w:rPr>
        <w:fldChar w:fldCharType="begin"/>
      </w:r>
      <w:r>
        <w:rPr>
          <w:noProof/>
        </w:rPr>
        <w:instrText xml:space="preserve"> PAGEREF _Toc255207273 \h </w:instrText>
      </w:r>
      <w:r>
        <w:rPr>
          <w:noProof/>
        </w:rPr>
      </w:r>
      <w:r>
        <w:rPr>
          <w:noProof/>
        </w:rPr>
        <w:fldChar w:fldCharType="separate"/>
      </w:r>
      <w:r>
        <w:rPr>
          <w:noProof/>
        </w:rPr>
        <w:t>12</w:t>
      </w:r>
      <w:r>
        <w:rPr>
          <w:noProof/>
        </w:rPr>
        <w:fldChar w:fldCharType="end"/>
      </w:r>
    </w:p>
    <w:p w14:paraId="34496E27" w14:textId="40C91E3F" w:rsidR="000E3DC1" w:rsidRPr="004D06B7" w:rsidRDefault="004C31E4" w:rsidP="004D06B7">
      <w:r w:rsidRPr="004D06B7">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lastRenderedPageBreak/>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35B42043" w14:textId="77777777" w:rsidR="00095F05" w:rsidRPr="00095F05" w:rsidRDefault="00095F05" w:rsidP="00095F05">
      <w:pPr>
        <w:widowControl w:val="0"/>
        <w:tabs>
          <w:tab w:val="left" w:pos="567"/>
        </w:tabs>
        <w:suppressAutoHyphens/>
        <w:autoSpaceDE w:val="0"/>
        <w:autoSpaceDN w:val="0"/>
        <w:adjustRightInd w:val="0"/>
        <w:spacing w:after="227"/>
        <w:textAlignment w:val="center"/>
        <w:rPr>
          <w:rFonts w:cs="Arial"/>
          <w:color w:val="000000"/>
          <w:lang w:val="en-US" w:eastAsia="en-AU"/>
        </w:rPr>
      </w:pPr>
      <w:r w:rsidRPr="00095F05">
        <w:rPr>
          <w:rFonts w:cs="Arial"/>
          <w:color w:val="000000"/>
          <w:lang w:val="en-US" w:eastAsia="en-AU"/>
        </w:rPr>
        <w:t>21 October 2013</w:t>
      </w:r>
    </w:p>
    <w:p w14:paraId="5A4674AB" w14:textId="6FEE8365" w:rsidR="00095F05" w:rsidRPr="00095F05" w:rsidRDefault="00806453" w:rsidP="00095F05">
      <w:pPr>
        <w:widowControl w:val="0"/>
        <w:tabs>
          <w:tab w:val="left" w:pos="567"/>
        </w:tabs>
        <w:suppressAutoHyphens/>
        <w:autoSpaceDE w:val="0"/>
        <w:autoSpaceDN w:val="0"/>
        <w:adjustRightInd w:val="0"/>
        <w:spacing w:after="227"/>
        <w:textAlignment w:val="center"/>
        <w:rPr>
          <w:rFonts w:cs="Arial"/>
          <w:color w:val="000000"/>
          <w:lang w:val="en-US" w:eastAsia="en-AU"/>
        </w:rPr>
      </w:pPr>
      <w:r w:rsidRPr="00806453">
        <w:rPr>
          <w:rFonts w:cs="Arial"/>
          <w:color w:val="000000"/>
          <w:lang w:val="en-US" w:eastAsia="en-AU"/>
        </w:rPr>
        <w:t>Senator the Hon. George Brandis QC</w:t>
      </w:r>
      <w:r w:rsidR="00095F05" w:rsidRPr="00095F05">
        <w:rPr>
          <w:rFonts w:cs="Arial"/>
          <w:color w:val="000000"/>
          <w:lang w:val="en-US" w:eastAsia="en-AU"/>
        </w:rPr>
        <w:br/>
        <w:t>Attorney-General</w:t>
      </w:r>
      <w:r w:rsidR="00095F05" w:rsidRPr="00095F05">
        <w:rPr>
          <w:rFonts w:cs="Arial"/>
          <w:color w:val="000000"/>
          <w:lang w:val="en-US" w:eastAsia="en-AU"/>
        </w:rPr>
        <w:br/>
        <w:t>Parliament House</w:t>
      </w:r>
      <w:r w:rsidR="00095F05" w:rsidRPr="00095F05">
        <w:rPr>
          <w:rFonts w:cs="Arial"/>
          <w:color w:val="000000"/>
          <w:lang w:val="en-US" w:eastAsia="en-AU"/>
        </w:rPr>
        <w:br/>
        <w:t>Canberra ACT 2600</w:t>
      </w:r>
    </w:p>
    <w:p w14:paraId="5BF6A527" w14:textId="77777777" w:rsidR="00095F05" w:rsidRPr="00095F05" w:rsidRDefault="00095F05" w:rsidP="00095F05">
      <w:pPr>
        <w:widowControl w:val="0"/>
        <w:tabs>
          <w:tab w:val="left" w:pos="567"/>
        </w:tabs>
        <w:suppressAutoHyphens/>
        <w:autoSpaceDE w:val="0"/>
        <w:autoSpaceDN w:val="0"/>
        <w:adjustRightInd w:val="0"/>
        <w:spacing w:after="170"/>
        <w:textAlignment w:val="center"/>
        <w:rPr>
          <w:rFonts w:cs="Arial"/>
          <w:color w:val="000000"/>
          <w:lang w:val="en-US" w:eastAsia="en-AU"/>
        </w:rPr>
      </w:pPr>
      <w:r w:rsidRPr="00095F05">
        <w:rPr>
          <w:rFonts w:cs="Arial"/>
          <w:color w:val="000000"/>
          <w:lang w:val="en-US" w:eastAsia="en-AU"/>
        </w:rPr>
        <w:t>Dear Attorney</w:t>
      </w:r>
    </w:p>
    <w:p w14:paraId="202AABA0" w14:textId="19B02DE4" w:rsidR="00095F05" w:rsidRPr="00095F05" w:rsidRDefault="00095F05" w:rsidP="00095F05">
      <w:pPr>
        <w:widowControl w:val="0"/>
        <w:tabs>
          <w:tab w:val="left" w:pos="567"/>
        </w:tabs>
        <w:suppressAutoHyphens/>
        <w:autoSpaceDE w:val="0"/>
        <w:autoSpaceDN w:val="0"/>
        <w:adjustRightInd w:val="0"/>
        <w:spacing w:after="227"/>
        <w:textAlignment w:val="center"/>
        <w:rPr>
          <w:rFonts w:cs="Arial"/>
          <w:color w:val="000000"/>
          <w:lang w:val="en-US" w:eastAsia="en-AU"/>
        </w:rPr>
      </w:pPr>
      <w:r w:rsidRPr="00095F05">
        <w:rPr>
          <w:rFonts w:cs="Arial"/>
          <w:color w:val="000000"/>
          <w:lang w:val="en-US" w:eastAsia="en-AU"/>
        </w:rPr>
        <w:t xml:space="preserve">I have completed my report pursuant to s 31(b) of the </w:t>
      </w:r>
      <w:r>
        <w:rPr>
          <w:rFonts w:cs="Arial"/>
          <w:i/>
          <w:iCs/>
          <w:color w:val="000000"/>
          <w:lang w:val="en-US" w:eastAsia="en-AU"/>
        </w:rPr>
        <w:t xml:space="preserve">Australian Human Rights Commission Act </w:t>
      </w:r>
      <w:r w:rsidRPr="00095F05">
        <w:rPr>
          <w:rFonts w:cs="Arial"/>
          <w:i/>
          <w:iCs/>
          <w:color w:val="000000"/>
          <w:lang w:val="en-US" w:eastAsia="en-AU"/>
        </w:rPr>
        <w:t>1986</w:t>
      </w:r>
      <w:r w:rsidRPr="00095F05">
        <w:rPr>
          <w:rFonts w:cs="Arial"/>
          <w:color w:val="000000"/>
          <w:lang w:val="en-US" w:eastAsia="en-AU"/>
        </w:rPr>
        <w:t xml:space="preserve"> (Cth) into the complaint made by Mr Ganesh Swamy against Mr Brad Percival and Australian Refined Alloys Pty Ltd (ARA).</w:t>
      </w:r>
    </w:p>
    <w:p w14:paraId="2006E687" w14:textId="77777777" w:rsidR="00095F05" w:rsidRPr="00095F05"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I have found that Mr Percival’s harassment of Mr Swamy constituted discrimination in employment on the basis of religion.</w:t>
      </w:r>
    </w:p>
    <w:p w14:paraId="43C694DF" w14:textId="77777777" w:rsidR="00095F05" w:rsidRPr="00095F05"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The Commission sought a response from Mr Percival and ARA to this report on several occasions. No response was received on behalf of either Mr Percival or ARA.</w:t>
      </w:r>
    </w:p>
    <w:p w14:paraId="344A01F5" w14:textId="77777777" w:rsidR="00095F05" w:rsidRPr="00095F05" w:rsidRDefault="00095F05" w:rsidP="00095F05">
      <w:pPr>
        <w:widowControl w:val="0"/>
        <w:tabs>
          <w:tab w:val="left" w:pos="567"/>
        </w:tabs>
        <w:suppressAutoHyphens/>
        <w:autoSpaceDE w:val="0"/>
        <w:autoSpaceDN w:val="0"/>
        <w:adjustRightInd w:val="0"/>
        <w:textAlignment w:val="center"/>
        <w:rPr>
          <w:rFonts w:cs="Arial"/>
          <w:color w:val="000000"/>
          <w:lang w:val="en-US" w:eastAsia="en-AU"/>
        </w:rPr>
      </w:pPr>
      <w:r w:rsidRPr="00095F05">
        <w:rPr>
          <w:rFonts w:cs="Arial"/>
          <w:color w:val="000000"/>
          <w:lang w:val="en-US" w:eastAsia="en-AU"/>
        </w:rPr>
        <w:t>Please find enclosed a copy of my report.</w:t>
      </w:r>
    </w:p>
    <w:p w14:paraId="4263B56D" w14:textId="77777777" w:rsidR="00095F05" w:rsidRPr="00095F05" w:rsidRDefault="00095F05" w:rsidP="00095F05">
      <w:pPr>
        <w:widowControl w:val="0"/>
        <w:tabs>
          <w:tab w:val="left" w:pos="567"/>
        </w:tabs>
        <w:suppressAutoHyphens/>
        <w:autoSpaceDE w:val="0"/>
        <w:autoSpaceDN w:val="0"/>
        <w:adjustRightInd w:val="0"/>
        <w:spacing w:after="800"/>
        <w:textAlignment w:val="center"/>
        <w:rPr>
          <w:rFonts w:cs="Arial"/>
          <w:color w:val="000000"/>
          <w:lang w:val="en-US" w:eastAsia="en-AU"/>
        </w:rPr>
      </w:pPr>
      <w:r w:rsidRPr="00095F05">
        <w:rPr>
          <w:rFonts w:cs="Arial"/>
          <w:color w:val="000000"/>
          <w:lang w:val="en-US" w:eastAsia="en-AU"/>
        </w:rPr>
        <w:t>Yours sincerely</w:t>
      </w:r>
    </w:p>
    <w:p w14:paraId="55E2A621" w14:textId="2DAC3518" w:rsidR="000E3DC1" w:rsidRPr="00095F05"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095F05">
        <w:rPr>
          <w:rFonts w:cs="Arial"/>
          <w:b/>
          <w:bCs/>
          <w:color w:val="000000"/>
          <w:lang w:val="en-US" w:eastAsia="en-AU"/>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77777777"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www.humanrights.gov.au</w:t>
      </w:r>
    </w:p>
    <w:p w14:paraId="6BCF08CC" w14:textId="1FB84029" w:rsidR="00C95492" w:rsidRPr="00C95492" w:rsidRDefault="000E3DC1" w:rsidP="00C95492">
      <w:pPr>
        <w:pStyle w:val="BodyText"/>
        <w:spacing w:after="227"/>
      </w:pPr>
      <w:r>
        <w:rPr>
          <w:rFonts w:cs="Arial"/>
          <w:lang w:val="en-AU"/>
        </w:rPr>
        <w:br w:type="page"/>
      </w:r>
    </w:p>
    <w:p w14:paraId="00916F3A" w14:textId="77777777" w:rsidR="00C95492" w:rsidRPr="00C95492" w:rsidRDefault="00C95492" w:rsidP="00C95492">
      <w:pPr>
        <w:pStyle w:val="Heading1"/>
        <w:rPr>
          <w:lang w:val="en-AU" w:eastAsia="en-AU"/>
        </w:rPr>
      </w:pPr>
      <w:bookmarkStart w:id="1" w:name="_Toc255207265"/>
      <w:r w:rsidRPr="00C95492">
        <w:rPr>
          <w:lang w:val="en-AU" w:eastAsia="en-AU"/>
        </w:rPr>
        <w:lastRenderedPageBreak/>
        <w:t>Introduction to this inquiry</w:t>
      </w:r>
      <w:bookmarkEnd w:id="1"/>
    </w:p>
    <w:p w14:paraId="6664B3F3" w14:textId="77777777" w:rsidR="00C95492" w:rsidRPr="00C95492" w:rsidRDefault="00C95492" w:rsidP="00C95492">
      <w:pPr>
        <w:pStyle w:val="ListParagraph"/>
        <w:rPr>
          <w:lang w:val="en-US" w:eastAsia="en-AU"/>
        </w:rPr>
      </w:pPr>
      <w:r w:rsidRPr="00C95492">
        <w:rPr>
          <w:lang w:val="en-US" w:eastAsia="en-AU"/>
        </w:rPr>
        <w:t>This is a report setting out the findings of the Australian Human Rights Commission following an inquiry into a complaint by Mr Ganesh Swamy against Mr Brad Percival and Australian Refined Alloys Pty Ltd (ARA) alleging discrimination in employment on the basis of religion. At the time of the complaint, Mr Percival was Mr Swamy’s supervisor at ARA.</w:t>
      </w:r>
    </w:p>
    <w:p w14:paraId="40584DBE" w14:textId="64A50CDC" w:rsidR="00C95492" w:rsidRPr="00C95492" w:rsidRDefault="00C95492" w:rsidP="00C95492">
      <w:pPr>
        <w:pStyle w:val="ListParagraph"/>
        <w:rPr>
          <w:rFonts w:ascii="HelveticaNeue-Italic" w:hAnsi="HelveticaNeue-Italic" w:cs="HelveticaNeue-Italic"/>
          <w:i/>
          <w:iCs/>
          <w:lang w:val="en-US" w:eastAsia="en-AU"/>
        </w:rPr>
      </w:pPr>
      <w:r w:rsidRPr="00C95492">
        <w:rPr>
          <w:lang w:val="en-US" w:eastAsia="en-AU"/>
        </w:rPr>
        <w:t xml:space="preserve">This inquiry has been undertaken pursuant to s 31(b) of the </w:t>
      </w:r>
      <w:r>
        <w:rPr>
          <w:rFonts w:ascii="HelveticaNeue-Italic" w:hAnsi="HelveticaNeue-Italic" w:cs="HelveticaNeue-Italic"/>
          <w:i/>
          <w:iCs/>
          <w:lang w:val="en-US" w:eastAsia="en-AU"/>
        </w:rPr>
        <w:t xml:space="preserve">Australian </w:t>
      </w:r>
      <w:r w:rsidRPr="00C95492">
        <w:rPr>
          <w:rFonts w:ascii="HelveticaNeue-Italic" w:hAnsi="HelveticaNeue-Italic" w:cs="HelveticaNeue-Italic"/>
          <w:i/>
          <w:iCs/>
          <w:lang w:val="en-US" w:eastAsia="en-AU"/>
        </w:rPr>
        <w:t>Human</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Rights</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Commission</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Act</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1986</w:t>
      </w:r>
      <w:r>
        <w:rPr>
          <w:rFonts w:ascii="HelveticaNeue-Italic" w:hAnsi="HelveticaNeue-Italic" w:cs="HelveticaNeue-Italic"/>
          <w:i/>
          <w:iCs/>
          <w:lang w:val="en-US" w:eastAsia="en-AU"/>
        </w:rPr>
        <w:t xml:space="preserve"> </w:t>
      </w:r>
      <w:r w:rsidRPr="00C95492">
        <w:rPr>
          <w:lang w:val="en-US" w:eastAsia="en-AU"/>
        </w:rPr>
        <w:t>(Cth) (AHRC Act)</w:t>
      </w:r>
      <w:r w:rsidRPr="00C95492">
        <w:rPr>
          <w:rFonts w:ascii="HelveticaNeue-Italic" w:hAnsi="HelveticaNeue-Italic" w:cs="HelveticaNeue-Italic"/>
          <w:i/>
          <w:iCs/>
          <w:lang w:val="en-US" w:eastAsia="en-AU"/>
        </w:rPr>
        <w:t>.</w:t>
      </w:r>
    </w:p>
    <w:p w14:paraId="16AB3683" w14:textId="77777777" w:rsidR="00C95492" w:rsidRPr="00C95492" w:rsidRDefault="00C95492" w:rsidP="00C95492">
      <w:pPr>
        <w:pStyle w:val="ListParagraph"/>
        <w:rPr>
          <w:lang w:val="en-US" w:eastAsia="en-AU"/>
        </w:rPr>
      </w:pPr>
      <w:r w:rsidRPr="00C95492">
        <w:rPr>
          <w:lang w:val="en-US" w:eastAsia="en-AU"/>
        </w:rPr>
        <w:t>As a result of the inquiry, the Commission finds that the conduct engaged in by Mr Percival amounted to discrimination in employment on the basis of religion. During the course of the inquiry, the Commission previously found that ARA had not engaged in discrimination in employment on the basis of religion. This report deals only with the complaint against Mr Percival.</w:t>
      </w:r>
    </w:p>
    <w:p w14:paraId="4156F3D1" w14:textId="23A7E5B0" w:rsidR="00C95492" w:rsidRPr="00C95492" w:rsidRDefault="00C95492" w:rsidP="00C95492">
      <w:pPr>
        <w:pStyle w:val="ListParagraph"/>
        <w:rPr>
          <w:lang w:val="en-US" w:eastAsia="en-AU"/>
        </w:rPr>
      </w:pPr>
      <w:r w:rsidRPr="00C95492">
        <w:rPr>
          <w:lang w:val="en-US" w:eastAsia="en-AU"/>
        </w:rPr>
        <w:t xml:space="preserve">The matters giving rise to this complaint have been canvassed in proceedings brought by Mr Swamy against ARA in Fair Work Australia alleging unfair dismissal under s 394 of the </w:t>
      </w:r>
      <w:r w:rsidRPr="00C95492">
        <w:rPr>
          <w:rFonts w:ascii="HelveticaNeue-Italic" w:hAnsi="HelveticaNeue-Italic" w:cs="HelveticaNeue-Italic"/>
          <w:i/>
          <w:iCs/>
          <w:lang w:val="en-US" w:eastAsia="en-AU"/>
        </w:rPr>
        <w:t>Fair</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Work</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Act</w:t>
      </w:r>
      <w:r>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2009</w:t>
      </w:r>
      <w:r w:rsidRPr="00C95492">
        <w:rPr>
          <w:lang w:val="en-US" w:eastAsia="en-AU"/>
        </w:rPr>
        <w:t xml:space="preserve"> (Cth). The Commission has been provided with a copy of the decision of Senior Deputy President Hamberger and a transcript of those proceedings.</w:t>
      </w:r>
    </w:p>
    <w:p w14:paraId="3FD4638E" w14:textId="77777777" w:rsidR="00C95492" w:rsidRPr="00C95492" w:rsidRDefault="00C95492" w:rsidP="00C95492">
      <w:pPr>
        <w:pStyle w:val="ListParagraph"/>
        <w:rPr>
          <w:lang w:val="en-US" w:eastAsia="en-AU"/>
        </w:rPr>
      </w:pPr>
      <w:r w:rsidRPr="00C95492">
        <w:rPr>
          <w:lang w:val="en-US" w:eastAsia="en-AU"/>
        </w:rPr>
        <w:t>Mr Swamy and ARA participated in a conciliation conference facilitated by the Commission but the matter was ultimately unable to be settled by conciliation.</w:t>
      </w:r>
    </w:p>
    <w:p w14:paraId="51FC1521" w14:textId="77777777" w:rsidR="00C95492" w:rsidRPr="00C95492" w:rsidRDefault="00C95492" w:rsidP="0037390D">
      <w:pPr>
        <w:pStyle w:val="Heading1"/>
        <w:rPr>
          <w:lang w:val="en-AU" w:eastAsia="en-AU"/>
        </w:rPr>
      </w:pPr>
      <w:bookmarkStart w:id="2" w:name="_Toc255207266"/>
      <w:r w:rsidRPr="00C95492">
        <w:rPr>
          <w:lang w:val="en-AU" w:eastAsia="en-AU"/>
        </w:rPr>
        <w:t>Circumstances giving rise to the complaint</w:t>
      </w:r>
      <w:bookmarkEnd w:id="2"/>
    </w:p>
    <w:p w14:paraId="4EC364F6" w14:textId="7B2361A2" w:rsidR="00C95492" w:rsidRPr="00C95492" w:rsidRDefault="00C95492" w:rsidP="00C95492">
      <w:pPr>
        <w:pStyle w:val="Heading2"/>
        <w:rPr>
          <w:lang w:eastAsia="en-AU"/>
        </w:rPr>
      </w:pPr>
      <w:bookmarkStart w:id="3" w:name="_Toc255207267"/>
      <w:r w:rsidRPr="00C95492">
        <w:rPr>
          <w:lang w:eastAsia="en-AU"/>
        </w:rPr>
        <w:t>Complaint by Mr Swamy</w:t>
      </w:r>
      <w:bookmarkEnd w:id="3"/>
    </w:p>
    <w:p w14:paraId="39050044" w14:textId="77777777" w:rsidR="00C95492" w:rsidRPr="00C95492" w:rsidRDefault="00C95492" w:rsidP="00C95492">
      <w:pPr>
        <w:pStyle w:val="ListParagraph"/>
        <w:rPr>
          <w:lang w:val="en-US" w:eastAsia="en-AU"/>
        </w:rPr>
      </w:pPr>
      <w:r w:rsidRPr="00C95492">
        <w:rPr>
          <w:lang w:val="en-US" w:eastAsia="en-AU"/>
        </w:rPr>
        <w:t>Mr Swamy is a Hindu. He was employed by ARA at its lead smelter in Alexandria in Sydney from 1 June 2009 until 1 June 2011.</w:t>
      </w:r>
    </w:p>
    <w:p w14:paraId="0FE814D0" w14:textId="77777777" w:rsidR="00C95492" w:rsidRPr="00C95492" w:rsidRDefault="00C95492" w:rsidP="00C95492">
      <w:pPr>
        <w:pStyle w:val="ListParagraph"/>
        <w:rPr>
          <w:lang w:val="en-US" w:eastAsia="en-AU"/>
        </w:rPr>
      </w:pPr>
      <w:r w:rsidRPr="00C95492">
        <w:rPr>
          <w:lang w:val="en-US" w:eastAsia="en-AU"/>
        </w:rPr>
        <w:t>On 17 April 2012, Mr Swamy made a complaint in writing to the Commission alleging that he had been subjected to discrimination in employment because of his religious beliefs.</w:t>
      </w:r>
    </w:p>
    <w:p w14:paraId="55731673" w14:textId="77777777" w:rsidR="00C95492" w:rsidRPr="00C95492" w:rsidRDefault="00C95492" w:rsidP="00C95492">
      <w:pPr>
        <w:pStyle w:val="ListParagraph"/>
        <w:rPr>
          <w:lang w:val="en-US" w:eastAsia="en-AU"/>
        </w:rPr>
      </w:pPr>
      <w:r w:rsidRPr="00C95492">
        <w:rPr>
          <w:lang w:val="en-US" w:eastAsia="en-AU"/>
        </w:rPr>
        <w:t>Mr Swamy said that between January and May 2011, he was harassed by his then team leader Mr Percival because of his religious beliefs. Several instances were described by Mr Swamy. In his written complaint he said:</w:t>
      </w:r>
    </w:p>
    <w:p w14:paraId="3B311E08" w14:textId="77777777" w:rsidR="00C95492" w:rsidRPr="00C95492" w:rsidRDefault="00C95492" w:rsidP="00C95492">
      <w:pPr>
        <w:pStyle w:val="Quote"/>
        <w:rPr>
          <w:lang w:val="en-GB" w:eastAsia="en-AU"/>
        </w:rPr>
      </w:pPr>
      <w:r w:rsidRPr="00C95492">
        <w:rPr>
          <w:lang w:val="en-GB" w:eastAsia="en-AU"/>
        </w:rPr>
        <w:lastRenderedPageBreak/>
        <w:t>I was harassed by my former team leader Brad Percival because of my religious beliefs. One day he called me inside the control room and said my hair is too big and I should cut it. I told him I did not cut my hair for religious reasons. Then he said: ‘Shave it off’. Again, I told him I can’t do this for my religious reasons. He said: ‘What the fuck [is] this religion you have?’. He said: ‘I have no religion’. Mr Percival questioned the medallion I wear with the image of god. He also questioned the screen saver on my mobile phone. I told him these were the images of my god. He replied: ‘You have religion everywhere’.</w:t>
      </w:r>
    </w:p>
    <w:p w14:paraId="6659F418" w14:textId="77777777" w:rsidR="00C95492" w:rsidRPr="00C95492" w:rsidRDefault="00C95492" w:rsidP="00C95492">
      <w:pPr>
        <w:pStyle w:val="Quote"/>
        <w:rPr>
          <w:lang w:val="en-GB" w:eastAsia="en-AU"/>
        </w:rPr>
      </w:pPr>
      <w:r w:rsidRPr="00C95492">
        <w:rPr>
          <w:lang w:val="en-GB" w:eastAsia="en-AU"/>
        </w:rPr>
        <w:t>On my prayer day I am strict to vegetarian. In front of my former work mates Mr Percival asked me what I was eating. I told him: ‘Cheese sandwich’. He yelled: ‘See what shit Ganesh is eating!’. I was humiliated by this. I continually asked Mr Percival not to be critical of my religious beliefs but this attitude did not change.</w:t>
      </w:r>
    </w:p>
    <w:p w14:paraId="23F618BC" w14:textId="77777777" w:rsidR="00C95492" w:rsidRPr="00C95492" w:rsidRDefault="00C95492" w:rsidP="00C95492">
      <w:pPr>
        <w:pStyle w:val="ListParagraph"/>
        <w:rPr>
          <w:lang w:val="en-US" w:eastAsia="en-AU"/>
        </w:rPr>
      </w:pPr>
      <w:r w:rsidRPr="00C95492">
        <w:rPr>
          <w:lang w:val="en-US" w:eastAsia="en-AU"/>
        </w:rPr>
        <w:t>Mr Swamy also alleged serious bullying behaviour by Mr Percival including grabbing Mr Swamy’s right hand and holding it down near a roller, risking a crush injury.</w:t>
      </w:r>
    </w:p>
    <w:p w14:paraId="331F99DF" w14:textId="77777777" w:rsidR="00C95492" w:rsidRPr="00C95492" w:rsidRDefault="00C95492" w:rsidP="00C95492">
      <w:pPr>
        <w:pStyle w:val="ListParagraph"/>
        <w:rPr>
          <w:lang w:val="en-US" w:eastAsia="en-AU"/>
        </w:rPr>
      </w:pPr>
      <w:r w:rsidRPr="00C95492">
        <w:rPr>
          <w:lang w:val="en-US" w:eastAsia="en-AU"/>
        </w:rPr>
        <w:t>Mr Swamy said that he raised his concerns with his supervisor Mr David Grant about the behaviour of Mr Percival. Mr Swamy said that Mr Grant spoke with Mr Percival about Mr Percival’s conduct but that this ‘only increased the intensity of his bullying and harassment’. Mr Swamy said that it was only after he told Mr Grant that he intended to make a complaint to the Australian Human Rights Commission that his complaint was escalated to the plant manager Mr Dennis Boyle.</w:t>
      </w:r>
    </w:p>
    <w:p w14:paraId="5E5ED4FB" w14:textId="77777777" w:rsidR="00C95492" w:rsidRPr="00C95492" w:rsidRDefault="00C95492" w:rsidP="00C95492">
      <w:pPr>
        <w:pStyle w:val="ListParagraph"/>
        <w:rPr>
          <w:lang w:val="en-US" w:eastAsia="en-AU"/>
        </w:rPr>
      </w:pPr>
      <w:r w:rsidRPr="00C95492">
        <w:rPr>
          <w:lang w:val="en-US" w:eastAsia="en-AU"/>
        </w:rPr>
        <w:t>Mr Swamy met with Mr Boyle and Mr Grant. He said that he was given an assurance by Mr Boyle that Mr Boyle would meet individually with Mr Percival about the allegations made by Mr Swamy. Mr Boyle also committed to holding a group meeting to discuss the issues. Mr Swamy complains that no group meeting was ever arranged.</w:t>
      </w:r>
    </w:p>
    <w:p w14:paraId="771D7A45" w14:textId="176575BF" w:rsidR="00C95492" w:rsidRPr="00C95492" w:rsidRDefault="00C95492" w:rsidP="00C95492">
      <w:pPr>
        <w:pStyle w:val="Heading2"/>
        <w:rPr>
          <w:lang w:eastAsia="en-AU"/>
        </w:rPr>
      </w:pPr>
      <w:bookmarkStart w:id="4" w:name="_Toc255207268"/>
      <w:r w:rsidRPr="00C95492">
        <w:rPr>
          <w:lang w:eastAsia="en-AU"/>
        </w:rPr>
        <w:t>Submissions by respondents</w:t>
      </w:r>
      <w:bookmarkEnd w:id="4"/>
    </w:p>
    <w:p w14:paraId="40E8A825" w14:textId="77777777" w:rsidR="00C95492" w:rsidRPr="00C95492" w:rsidRDefault="00C95492" w:rsidP="00C95492">
      <w:pPr>
        <w:pStyle w:val="ListParagraph"/>
        <w:rPr>
          <w:lang w:val="en-US" w:eastAsia="en-AU"/>
        </w:rPr>
      </w:pPr>
      <w:r w:rsidRPr="00C95492">
        <w:rPr>
          <w:lang w:val="en-US" w:eastAsia="en-AU"/>
        </w:rPr>
        <w:t>ARA provided a copy of the complaint to Mr Percival who at the time was still employed by ARA. ARA provided submissions on its own behalf and on behalf of Mr Percival. Mr Percival did not separately participate in the conciliation process.</w:t>
      </w:r>
    </w:p>
    <w:p w14:paraId="38876FAE" w14:textId="77777777" w:rsidR="00C95492" w:rsidRPr="00C95492" w:rsidRDefault="00C95492" w:rsidP="00C95492">
      <w:pPr>
        <w:pStyle w:val="ListParagraph"/>
        <w:rPr>
          <w:lang w:val="en-US" w:eastAsia="en-AU"/>
        </w:rPr>
      </w:pPr>
      <w:r w:rsidRPr="00C95492">
        <w:rPr>
          <w:lang w:val="en-US" w:eastAsia="en-AU"/>
        </w:rPr>
        <w:lastRenderedPageBreak/>
        <w:t>ARA says that it took the complaints made by Mr Swamy about discrimination on the basis of religion very seriously and took steps to investigate the complaints immediately. It denies that Mr Swamy suggested that he would make a complaint to the Commission before the matter was escalated to Mr Boyle.</w:t>
      </w:r>
    </w:p>
    <w:p w14:paraId="3ED430B1" w14:textId="77777777" w:rsidR="00C95492" w:rsidRPr="00C95492" w:rsidRDefault="00C95492" w:rsidP="00C95492">
      <w:pPr>
        <w:pStyle w:val="ListParagraph"/>
        <w:rPr>
          <w:lang w:val="en-US" w:eastAsia="en-AU"/>
        </w:rPr>
      </w:pPr>
      <w:r w:rsidRPr="00C95492">
        <w:rPr>
          <w:lang w:val="en-US" w:eastAsia="en-AU"/>
        </w:rPr>
        <w:t>In evidence given to Fair Work Australia, Mr Grant denied that Mr Swamy reported physical bullying to him including the incident described in paragraph 9 above. Similarly, Mr Boyle gave evidence that if such an allegation had been brought to his attention the company would have undertaken an immediate investigation and, if it was established, it would likely have resulted in the dismissal of Mr Percival.</w:t>
      </w:r>
    </w:p>
    <w:p w14:paraId="6D5CBEE7" w14:textId="77777777" w:rsidR="00C95492" w:rsidRPr="00C95492" w:rsidRDefault="00C95492" w:rsidP="00C95492">
      <w:pPr>
        <w:pStyle w:val="ListParagraph"/>
        <w:rPr>
          <w:lang w:val="en-US" w:eastAsia="en-AU"/>
        </w:rPr>
      </w:pPr>
      <w:r w:rsidRPr="00C95492">
        <w:rPr>
          <w:lang w:val="en-US" w:eastAsia="en-AU"/>
        </w:rPr>
        <w:t>ARA accepts that Mr Percival engaged in non-physical bullying and harassment based on Mr Swamy’s religion.</w:t>
      </w:r>
    </w:p>
    <w:p w14:paraId="1A14A47F" w14:textId="77777777" w:rsidR="00C95492" w:rsidRPr="00C95492" w:rsidRDefault="00C95492" w:rsidP="00C95492">
      <w:pPr>
        <w:pStyle w:val="ListParagraph"/>
        <w:rPr>
          <w:lang w:val="en-US" w:eastAsia="en-AU"/>
        </w:rPr>
      </w:pPr>
      <w:r w:rsidRPr="00C95492">
        <w:rPr>
          <w:lang w:val="en-US" w:eastAsia="en-AU"/>
        </w:rPr>
        <w:t xml:space="preserve">ARA says that once Mr Grant became aware of the allegations, he reported them to Mr Boyle who took immediate action to investigate them. This included conducting interviews with all of Mr Swamy’s team members in order to confirm what had taken place. </w:t>
      </w:r>
    </w:p>
    <w:p w14:paraId="24F76A4A" w14:textId="77777777" w:rsidR="00C95492" w:rsidRDefault="00C95492" w:rsidP="00C95492">
      <w:pPr>
        <w:pStyle w:val="ListParagraph"/>
        <w:rPr>
          <w:lang w:val="en-US" w:eastAsia="en-AU"/>
        </w:rPr>
      </w:pPr>
      <w:r w:rsidRPr="00C95492">
        <w:rPr>
          <w:lang w:val="en-US" w:eastAsia="en-AU"/>
        </w:rPr>
        <w:t>As a result of this investigation, Mr Percival was issued with a final warning and other staff members were reminded of their obligations in relation to discriminatory conduct. Mr Swamy was advised of the result of the investigation.</w:t>
      </w:r>
    </w:p>
    <w:p w14:paraId="15619195" w14:textId="5B1AB49A" w:rsidR="008B72A9" w:rsidRDefault="008B72A9">
      <w:pPr>
        <w:spacing w:after="0" w:line="240" w:lineRule="auto"/>
      </w:pPr>
      <w:r>
        <w:br w:type="page"/>
      </w:r>
    </w:p>
    <w:p w14:paraId="42B55DAB" w14:textId="77777777" w:rsidR="00C95492" w:rsidRPr="00C95492" w:rsidRDefault="00C95492" w:rsidP="00C95492">
      <w:pPr>
        <w:pStyle w:val="ListParagraph"/>
        <w:rPr>
          <w:lang w:val="en-US" w:eastAsia="en-AU"/>
        </w:rPr>
      </w:pPr>
      <w:r w:rsidRPr="00C95492">
        <w:rPr>
          <w:lang w:val="en-US" w:eastAsia="en-AU"/>
        </w:rPr>
        <w:lastRenderedPageBreak/>
        <w:t>In oral evidence to Fair Work Australia, Mr Grant described the course of conduct as follows:</w:t>
      </w:r>
    </w:p>
    <w:p w14:paraId="42D73938" w14:textId="77777777" w:rsidR="00C95492" w:rsidRPr="00C95492" w:rsidRDefault="00C95492" w:rsidP="00C95492">
      <w:pPr>
        <w:pStyle w:val="Quote"/>
        <w:rPr>
          <w:lang w:val="en-GB" w:eastAsia="en-AU"/>
        </w:rPr>
      </w:pPr>
      <w:r w:rsidRPr="00C95492">
        <w:rPr>
          <w:lang w:val="en-GB" w:eastAsia="en-AU"/>
        </w:rPr>
        <w:t>I was going to say there was issues with Brad and Ganesh. From what I knew, it was more of – maybe intimidation through verbal – like, screaming. I did speak to Brad about that. As far as I know, his behaviour adjusted accordingly, but I do remember Ganesh came to see me about Brad – about his hair and his religion. I think that was at the same time. Actually can I back-pedal a bit? I think I actually overheard that being discussed in the crib room, so I pursued it a bit further. Ganesh told me exactly what had happened with Brad. He asked me to just talk to Brad about it and I said, ‘No’. I said, ‘This is quite serious,’ so then I reported it to my boss.</w:t>
      </w:r>
    </w:p>
    <w:p w14:paraId="55BAF9DA" w14:textId="77777777" w:rsidR="00C95492" w:rsidRPr="00C95492" w:rsidRDefault="00C95492" w:rsidP="00C95492">
      <w:pPr>
        <w:pStyle w:val="Quote"/>
        <w:rPr>
          <w:lang w:val="en-GB" w:eastAsia="en-AU"/>
        </w:rPr>
      </w:pPr>
      <w:r w:rsidRPr="00C95492">
        <w:rPr>
          <w:lang w:val="en-GB" w:eastAsia="en-AU"/>
        </w:rPr>
        <w:t>We got Brad in; went through the issue with Brad. Brad was honest with what was said. He accepted it was inappropriate to say it. He received a final written warning over that. Also we got the rest of the crew in, as well, just to talk to them about, you know, what sort of behaviour is acceptable at work and what’s not.</w:t>
      </w:r>
    </w:p>
    <w:p w14:paraId="010FF83D" w14:textId="77777777" w:rsidR="00C95492" w:rsidRPr="00C95492" w:rsidRDefault="00C95492" w:rsidP="00C95492">
      <w:pPr>
        <w:pStyle w:val="ListParagraph"/>
        <w:rPr>
          <w:lang w:val="en-US" w:eastAsia="en-AU"/>
        </w:rPr>
      </w:pPr>
      <w:r w:rsidRPr="00C95492">
        <w:rPr>
          <w:lang w:val="en-US" w:eastAsia="en-AU"/>
        </w:rPr>
        <w:t>ARA says that Mr Grant was approached by Mr Swamy after Mr Percival had been counselled. Mr Swamy said that he was happy with the outcome of the complaint and that Mr Percival’s behaviour towards him had improved.</w:t>
      </w:r>
    </w:p>
    <w:p w14:paraId="5CB3000B" w14:textId="5D55301C" w:rsidR="00C95492" w:rsidRPr="00C95492" w:rsidRDefault="00C95492" w:rsidP="00C95492">
      <w:pPr>
        <w:pStyle w:val="Heading2"/>
        <w:rPr>
          <w:lang w:eastAsia="en-AU"/>
        </w:rPr>
      </w:pPr>
      <w:bookmarkStart w:id="5" w:name="_Toc255207269"/>
      <w:r w:rsidRPr="00C95492">
        <w:rPr>
          <w:lang w:eastAsia="en-AU"/>
        </w:rPr>
        <w:t>Fair Work Australia proceedings</w:t>
      </w:r>
      <w:bookmarkEnd w:id="5"/>
    </w:p>
    <w:p w14:paraId="5A159590" w14:textId="77777777" w:rsidR="00C95492" w:rsidRPr="00C95492" w:rsidRDefault="00C95492" w:rsidP="00C95492">
      <w:pPr>
        <w:pStyle w:val="ListParagraph"/>
        <w:rPr>
          <w:lang w:val="en-US" w:eastAsia="en-AU"/>
        </w:rPr>
      </w:pPr>
      <w:r w:rsidRPr="00C95492">
        <w:rPr>
          <w:lang w:val="en-US" w:eastAsia="en-AU"/>
        </w:rPr>
        <w:t>On 1 June 2011, Mr Swamy’s employment with ARA was terminated. ARA claimed that his employment was terminated as a result of ‘ongoing issues with absenteeism’ and followed Mr Swamy being issued with a final written warning about this behaviour on 7 January 2011.</w:t>
      </w:r>
    </w:p>
    <w:p w14:paraId="0917AC61" w14:textId="77777777" w:rsidR="00C95492" w:rsidRPr="00C95492" w:rsidRDefault="00C95492" w:rsidP="00C95492">
      <w:pPr>
        <w:pStyle w:val="ListParagraph"/>
        <w:rPr>
          <w:lang w:val="en-US" w:eastAsia="en-AU"/>
        </w:rPr>
      </w:pPr>
      <w:r w:rsidRPr="00C95492">
        <w:rPr>
          <w:lang w:val="en-US" w:eastAsia="en-AU"/>
        </w:rPr>
        <w:t>On 10 June 2011, Mr Swamy made a complaint to Fair Work Australia alleging that his dismissal was unfair. Mr Swamy alleged that one of the reasons for his employment being terminated was that he had complained about the conduct of Mr Percival and was seen as a ‘troublemaker’.</w:t>
      </w:r>
    </w:p>
    <w:p w14:paraId="05475F35" w14:textId="7E2C9EC3" w:rsidR="0037390D" w:rsidRPr="0037390D" w:rsidRDefault="00C95492" w:rsidP="0037390D">
      <w:pPr>
        <w:pStyle w:val="ListParagraph"/>
        <w:rPr>
          <w:lang w:val="en-US" w:eastAsia="en-AU"/>
        </w:rPr>
      </w:pPr>
      <w:r w:rsidRPr="00C95492">
        <w:rPr>
          <w:lang w:val="en-US" w:eastAsia="en-AU"/>
        </w:rPr>
        <w:t>The application was dismissed by Senior Deputy President Hamberger. The Senior Deputy President was satisfied that Mr Percival had no involvement in Mr Swamy’s dismissal and that Mr Swamy’s complaint about Mr Percival played no role in his dismissal.</w:t>
      </w:r>
    </w:p>
    <w:p w14:paraId="6E620EDA" w14:textId="77777777" w:rsidR="00C95492" w:rsidRPr="00C95492" w:rsidRDefault="00C95492" w:rsidP="0037390D">
      <w:pPr>
        <w:pStyle w:val="Heading1"/>
        <w:rPr>
          <w:lang w:val="en-AU" w:eastAsia="en-AU"/>
        </w:rPr>
      </w:pPr>
      <w:bookmarkStart w:id="6" w:name="_Toc255207270"/>
      <w:r w:rsidRPr="00C95492">
        <w:rPr>
          <w:lang w:val="en-AU" w:eastAsia="en-AU"/>
        </w:rPr>
        <w:lastRenderedPageBreak/>
        <w:t>Relevant legal framework</w:t>
      </w:r>
      <w:bookmarkEnd w:id="6"/>
    </w:p>
    <w:p w14:paraId="42E0AE84" w14:textId="77777777" w:rsidR="00C95492" w:rsidRPr="00C95492" w:rsidRDefault="00C95492" w:rsidP="00C95492">
      <w:pPr>
        <w:pStyle w:val="ListParagraph"/>
        <w:rPr>
          <w:lang w:val="en-US" w:eastAsia="en-AU"/>
        </w:rPr>
      </w:pPr>
      <w:r w:rsidRPr="00C95492">
        <w:rPr>
          <w:lang w:val="en-US" w:eastAsia="en-AU"/>
        </w:rPr>
        <w:t>Part II, Division 4 of the AHRC Act confers functions on the Commission in relation to equal opportunity in employment in pursuance of Australia’s international obligations under ILO Convention (No 111) concerning Discrimination in respect of Employment and Occupation, done at Geneva on 25 June 1958 (ILO 111).</w:t>
      </w:r>
    </w:p>
    <w:p w14:paraId="4093D864" w14:textId="77777777" w:rsidR="00C95492" w:rsidRPr="00C95492" w:rsidRDefault="00C95492" w:rsidP="00C95492">
      <w:pPr>
        <w:pStyle w:val="ListParagraph"/>
        <w:rPr>
          <w:lang w:val="en-US" w:eastAsia="en-AU"/>
        </w:rPr>
      </w:pPr>
      <w:r w:rsidRPr="00C95492">
        <w:rPr>
          <w:lang w:val="en-US" w:eastAsia="en-AU"/>
        </w:rPr>
        <w:t>ILO 111 prohibits discrimination in employment on the grounds of race, colour, sex, religion, political opinion, national extraction and social origin as well as other grounds specified by ratifying States.</w:t>
      </w:r>
    </w:p>
    <w:p w14:paraId="02E15763" w14:textId="77777777" w:rsidR="00C95492" w:rsidRPr="00C95492" w:rsidRDefault="00C95492" w:rsidP="00C95492">
      <w:pPr>
        <w:pStyle w:val="ListParagraph"/>
        <w:rPr>
          <w:lang w:val="en-US" w:eastAsia="en-AU"/>
        </w:rPr>
      </w:pPr>
      <w:r w:rsidRPr="00C95492">
        <w:rPr>
          <w:lang w:val="en-US" w:eastAsia="en-AU"/>
        </w:rPr>
        <w:t>Section 3(1) of the AHRC Act defines ‘discrimination’ for the purposes of s 31(b) as:</w:t>
      </w:r>
    </w:p>
    <w:p w14:paraId="19E22963" w14:textId="77777777" w:rsidR="00C95492" w:rsidRPr="00C95492" w:rsidRDefault="00C95492" w:rsidP="00C95492">
      <w:pPr>
        <w:widowControl w:val="0"/>
        <w:suppressAutoHyphens/>
        <w:autoSpaceDE w:val="0"/>
        <w:autoSpaceDN w:val="0"/>
        <w:adjustRightInd w:val="0"/>
        <w:spacing w:after="113"/>
        <w:ind w:left="1701" w:hanging="567"/>
        <w:textAlignment w:val="center"/>
        <w:rPr>
          <w:rFonts w:cs="Arial"/>
          <w:color w:val="000000"/>
          <w:lang w:val="en-US" w:eastAsia="en-AU"/>
        </w:rPr>
      </w:pPr>
      <w:r w:rsidRPr="00C95492">
        <w:rPr>
          <w:rFonts w:cs="Arial"/>
          <w:color w:val="000000"/>
          <w:lang w:val="en-US" w:eastAsia="en-AU"/>
        </w:rPr>
        <w:t xml:space="preserve">(a) </w:t>
      </w:r>
      <w:r w:rsidRPr="00C95492">
        <w:rPr>
          <w:rFonts w:cs="Arial"/>
          <w:color w:val="000000"/>
          <w:lang w:val="en-US" w:eastAsia="en-AU"/>
        </w:rPr>
        <w:tab/>
        <w:t>any distinction, exclusion or preference made on the basis of race, colour, sex, religion, political opinion, national extraction or social origin that has the effect of nullifying or impairing equality of opportunity or treatment in employment or occupation; and</w:t>
      </w:r>
    </w:p>
    <w:p w14:paraId="145A8C31" w14:textId="77777777" w:rsidR="00C95492" w:rsidRPr="00C95492" w:rsidRDefault="00C95492" w:rsidP="00C95492">
      <w:pPr>
        <w:widowControl w:val="0"/>
        <w:suppressAutoHyphens/>
        <w:autoSpaceDE w:val="0"/>
        <w:autoSpaceDN w:val="0"/>
        <w:adjustRightInd w:val="0"/>
        <w:spacing w:after="113"/>
        <w:ind w:left="1701" w:hanging="567"/>
        <w:textAlignment w:val="center"/>
        <w:rPr>
          <w:rFonts w:cs="Arial"/>
          <w:color w:val="000000"/>
          <w:lang w:val="en-US" w:eastAsia="en-AU"/>
        </w:rPr>
      </w:pPr>
      <w:r w:rsidRPr="00C95492">
        <w:rPr>
          <w:rFonts w:cs="Arial"/>
          <w:color w:val="000000"/>
          <w:lang w:val="en-US" w:eastAsia="en-AU"/>
        </w:rPr>
        <w:t>(b)</w:t>
      </w:r>
      <w:r w:rsidRPr="00C95492">
        <w:rPr>
          <w:rFonts w:cs="Arial"/>
          <w:color w:val="000000"/>
          <w:lang w:val="en-US" w:eastAsia="en-AU"/>
        </w:rPr>
        <w:tab/>
        <w:t>any other distinction, exclusion or preference that:</w:t>
      </w:r>
    </w:p>
    <w:p w14:paraId="70C0FA61" w14:textId="77777777" w:rsidR="00C95492" w:rsidRPr="00C95492" w:rsidRDefault="00C95492" w:rsidP="00C95492">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95492">
        <w:rPr>
          <w:rFonts w:cs="Arial"/>
          <w:color w:val="000000"/>
          <w:lang w:val="en-US" w:eastAsia="en-AU"/>
        </w:rPr>
        <w:t>(i)</w:t>
      </w:r>
      <w:r w:rsidRPr="00C95492">
        <w:rPr>
          <w:rFonts w:cs="Arial"/>
          <w:color w:val="000000"/>
          <w:lang w:val="en-US" w:eastAsia="en-AU"/>
        </w:rPr>
        <w:tab/>
        <w:t>has the effect of nullifying or impairing equality of opportunity or treatment in employment or occupation; and</w:t>
      </w:r>
    </w:p>
    <w:p w14:paraId="36525F7D" w14:textId="77777777" w:rsidR="00C95492" w:rsidRPr="00C95492" w:rsidRDefault="00C95492" w:rsidP="00C95492">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95492">
        <w:rPr>
          <w:rFonts w:cs="Arial"/>
          <w:color w:val="000000"/>
          <w:lang w:val="en-US" w:eastAsia="en-AU"/>
        </w:rPr>
        <w:t>(ii)</w:t>
      </w:r>
      <w:r w:rsidRPr="00C95492">
        <w:rPr>
          <w:rFonts w:cs="Arial"/>
          <w:color w:val="000000"/>
          <w:lang w:val="en-US" w:eastAsia="en-AU"/>
        </w:rPr>
        <w:tab/>
        <w:t xml:space="preserve">has been declared by the regulations to constitute discrimination for the purposes of this Act; </w:t>
      </w:r>
    </w:p>
    <w:p w14:paraId="112608D1" w14:textId="77777777" w:rsidR="00C95492" w:rsidRPr="00C95492" w:rsidRDefault="00C95492" w:rsidP="00565EF2">
      <w:pPr>
        <w:widowControl w:val="0"/>
        <w:suppressAutoHyphens/>
        <w:autoSpaceDE w:val="0"/>
        <w:autoSpaceDN w:val="0"/>
        <w:adjustRightInd w:val="0"/>
        <w:spacing w:after="113"/>
        <w:ind w:left="1418" w:hanging="284"/>
        <w:textAlignment w:val="center"/>
        <w:rPr>
          <w:rFonts w:cs="Arial"/>
          <w:color w:val="000000"/>
          <w:lang w:val="en-US" w:eastAsia="en-AU"/>
        </w:rPr>
      </w:pPr>
      <w:r w:rsidRPr="00C95492">
        <w:rPr>
          <w:rFonts w:cs="Arial"/>
          <w:color w:val="000000"/>
          <w:lang w:val="en-US" w:eastAsia="en-AU"/>
        </w:rPr>
        <w:t>but does not include any distinction, exclusion or preference:</w:t>
      </w:r>
    </w:p>
    <w:p w14:paraId="7B2CFB8F" w14:textId="77777777" w:rsidR="00C95492" w:rsidRPr="00C95492" w:rsidRDefault="00C95492" w:rsidP="00565EF2">
      <w:pPr>
        <w:widowControl w:val="0"/>
        <w:suppressAutoHyphens/>
        <w:autoSpaceDE w:val="0"/>
        <w:autoSpaceDN w:val="0"/>
        <w:adjustRightInd w:val="0"/>
        <w:spacing w:after="113"/>
        <w:ind w:left="1701" w:hanging="567"/>
        <w:textAlignment w:val="center"/>
        <w:rPr>
          <w:rFonts w:cs="Arial"/>
          <w:color w:val="000000"/>
          <w:lang w:val="en-US" w:eastAsia="en-AU"/>
        </w:rPr>
      </w:pPr>
      <w:r w:rsidRPr="00C95492">
        <w:rPr>
          <w:rFonts w:cs="Arial"/>
          <w:color w:val="000000"/>
          <w:lang w:val="en-US" w:eastAsia="en-AU"/>
        </w:rPr>
        <w:t>(c)</w:t>
      </w:r>
      <w:r w:rsidRPr="00C95492">
        <w:rPr>
          <w:rFonts w:cs="Arial"/>
          <w:color w:val="000000"/>
          <w:lang w:val="en-US" w:eastAsia="en-AU"/>
        </w:rPr>
        <w:tab/>
        <w:t>in respect of a particular job based on the inherent requirements of the job; or</w:t>
      </w:r>
    </w:p>
    <w:p w14:paraId="07BBA1A7" w14:textId="77777777" w:rsidR="00C95492" w:rsidRPr="00C95492" w:rsidRDefault="00C95492" w:rsidP="00565EF2">
      <w:pPr>
        <w:widowControl w:val="0"/>
        <w:suppressAutoHyphens/>
        <w:autoSpaceDE w:val="0"/>
        <w:autoSpaceDN w:val="0"/>
        <w:adjustRightInd w:val="0"/>
        <w:spacing w:after="113"/>
        <w:ind w:left="1701" w:hanging="567"/>
        <w:textAlignment w:val="center"/>
        <w:rPr>
          <w:rFonts w:cs="Arial"/>
          <w:color w:val="000000"/>
          <w:lang w:val="en-US" w:eastAsia="en-AU"/>
        </w:rPr>
      </w:pPr>
      <w:r w:rsidRPr="00C95492">
        <w:rPr>
          <w:rFonts w:cs="Arial"/>
          <w:color w:val="000000"/>
          <w:lang w:val="en-US" w:eastAsia="en-AU"/>
        </w:rPr>
        <w:t>(d)</w:t>
      </w:r>
      <w:r w:rsidRPr="00C95492">
        <w:rPr>
          <w:rFonts w:cs="Arial"/>
          <w:color w:val="000000"/>
          <w:lang w:val="en-US" w:eastAsia="en-AU"/>
        </w:rP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14:paraId="44352B28" w14:textId="77777777" w:rsidR="00C95492" w:rsidRPr="00C95492" w:rsidRDefault="00C95492" w:rsidP="00C95492">
      <w:pPr>
        <w:pStyle w:val="ListParagraph"/>
        <w:rPr>
          <w:vertAlign w:val="superscript"/>
          <w:lang w:val="en-US" w:eastAsia="en-AU"/>
        </w:rPr>
      </w:pPr>
      <w:r w:rsidRPr="00C95492">
        <w:rPr>
          <w:lang w:val="en-US" w:eastAsia="en-AU"/>
        </w:rPr>
        <w:t>The Committee of Experts on the Application of the ILO Conventions and Recommendations has confirmed that ‘any discrimination – in law or in practice, direct or indirect – falls within the scope of’ ILO 111.</w:t>
      </w:r>
      <w:r w:rsidRPr="00C95492">
        <w:rPr>
          <w:vertAlign w:val="superscript"/>
          <w:lang w:val="en-US" w:eastAsia="en-AU"/>
        </w:rPr>
        <w:t>1</w:t>
      </w:r>
      <w:r w:rsidRPr="00C95492">
        <w:rPr>
          <w:lang w:val="en-US" w:eastAsia="en-AU"/>
        </w:rPr>
        <w:t xml:space="preserve"> Direct discrimination includes sexual harassment and other forms of harassment.</w:t>
      </w:r>
      <w:r w:rsidRPr="00C95492">
        <w:rPr>
          <w:vertAlign w:val="superscript"/>
          <w:lang w:val="en-US" w:eastAsia="en-AU"/>
        </w:rPr>
        <w:t>2</w:t>
      </w:r>
    </w:p>
    <w:p w14:paraId="46C56CCE" w14:textId="77777777" w:rsidR="00C95492" w:rsidRPr="00C95492" w:rsidRDefault="00C95492" w:rsidP="00C95492">
      <w:pPr>
        <w:pStyle w:val="ListParagraph"/>
        <w:rPr>
          <w:vertAlign w:val="superscript"/>
          <w:lang w:val="en-US" w:eastAsia="en-AU"/>
        </w:rPr>
      </w:pPr>
      <w:r w:rsidRPr="00C95492">
        <w:rPr>
          <w:lang w:val="en-US" w:eastAsia="en-AU"/>
        </w:rPr>
        <w:lastRenderedPageBreak/>
        <w:t>The Committee considers that measures to prevent and prohibit harassment at work should address both ‘quid pro quo’ and ‘hostile environment’ harassment.</w:t>
      </w:r>
      <w:r w:rsidRPr="00C95492">
        <w:rPr>
          <w:vertAlign w:val="superscript"/>
          <w:lang w:val="en-US" w:eastAsia="en-AU"/>
        </w:rPr>
        <w:t>3</w:t>
      </w:r>
      <w:r w:rsidRPr="00C95492">
        <w:rPr>
          <w:lang w:val="en-US" w:eastAsia="en-AU"/>
        </w:rPr>
        <w:t xml:space="preserve"> It provides the following definitions of each (in the context of sexual harassment):</w:t>
      </w:r>
      <w:r w:rsidRPr="00C95492">
        <w:rPr>
          <w:vertAlign w:val="superscript"/>
          <w:lang w:val="en-US" w:eastAsia="en-AU"/>
        </w:rPr>
        <w:t>4</w:t>
      </w:r>
    </w:p>
    <w:p w14:paraId="1EEBFB6C" w14:textId="0D881A2A" w:rsidR="00C95492" w:rsidRPr="00C95492" w:rsidRDefault="00C95492" w:rsidP="00565EF2">
      <w:pPr>
        <w:pStyle w:val="Quote"/>
        <w:rPr>
          <w:lang w:val="en-GB" w:eastAsia="en-AU"/>
        </w:rPr>
      </w:pPr>
      <w:r w:rsidRPr="00C95492">
        <w:rPr>
          <w:lang w:val="en-GB" w:eastAsia="en-AU"/>
        </w:rPr>
        <w:t>(1) (</w:t>
      </w:r>
      <w:r w:rsidR="00565EF2">
        <w:rPr>
          <w:rFonts w:ascii="HelveticaNeue-Italic" w:hAnsi="HelveticaNeue-Italic" w:cs="HelveticaNeue-Italic"/>
          <w:i/>
          <w:lang w:val="en-GB" w:eastAsia="en-AU"/>
        </w:rPr>
        <w:t xml:space="preserve">quid pro </w:t>
      </w:r>
      <w:r w:rsidRPr="00C95492">
        <w:rPr>
          <w:rFonts w:ascii="HelveticaNeue-Italic" w:hAnsi="HelveticaNeue-Italic" w:cs="HelveticaNeue-Italic"/>
          <w:i/>
          <w:lang w:val="en-GB" w:eastAsia="en-AU"/>
        </w:rPr>
        <w:t>quo</w:t>
      </w:r>
      <w:r w:rsidRPr="00C95492">
        <w:rPr>
          <w:lang w:val="en-GB" w:eastAsia="en-AU"/>
        </w:rPr>
        <w:t xml:space="preserve">): any physical, verbal or non-verbal conduct of a sexual nature and other conduct based on sex affecting the dignity of women and men, which is unwelcome, unreasonable, and offensive to the recipient; and a person’s rejection of, or submission to, such conduct is used explicitly or implicitly as a basis for a decision which affects that person’s job; </w:t>
      </w:r>
    </w:p>
    <w:p w14:paraId="5E1916E1" w14:textId="5004FBD3" w:rsidR="00C95492" w:rsidRPr="00C95492" w:rsidRDefault="00C95492" w:rsidP="00565EF2">
      <w:pPr>
        <w:pStyle w:val="Quote"/>
        <w:rPr>
          <w:lang w:val="en-GB" w:eastAsia="en-AU"/>
        </w:rPr>
      </w:pPr>
      <w:r w:rsidRPr="00C95492">
        <w:rPr>
          <w:lang w:val="en-GB" w:eastAsia="en-AU"/>
        </w:rPr>
        <w:t>(2) (</w:t>
      </w:r>
      <w:r w:rsidR="00565EF2">
        <w:rPr>
          <w:rFonts w:ascii="HelveticaNeue-Italic" w:hAnsi="HelveticaNeue-Italic" w:cs="HelveticaNeue-Italic"/>
          <w:i/>
          <w:lang w:val="en-GB" w:eastAsia="en-AU"/>
        </w:rPr>
        <w:t xml:space="preserve">hostile work </w:t>
      </w:r>
      <w:r w:rsidRPr="00C95492">
        <w:rPr>
          <w:rFonts w:ascii="HelveticaNeue-Italic" w:hAnsi="HelveticaNeue-Italic" w:cs="HelveticaNeue-Italic"/>
          <w:i/>
          <w:lang w:val="en-GB" w:eastAsia="en-AU"/>
        </w:rPr>
        <w:t>environment</w:t>
      </w:r>
      <w:r w:rsidRPr="00C95492">
        <w:rPr>
          <w:lang w:val="en-GB" w:eastAsia="en-AU"/>
        </w:rPr>
        <w:t>): conduct that creates an intimidating, hostile or humiliating working environment for the recipient.</w:t>
      </w:r>
    </w:p>
    <w:p w14:paraId="038F9BDF" w14:textId="77777777" w:rsidR="00C95492" w:rsidRPr="00C95492" w:rsidRDefault="00C95492" w:rsidP="00565EF2">
      <w:pPr>
        <w:pStyle w:val="Heading1"/>
        <w:rPr>
          <w:lang w:val="en-AU" w:eastAsia="en-AU"/>
        </w:rPr>
      </w:pPr>
      <w:bookmarkStart w:id="7" w:name="_Toc255207271"/>
      <w:r w:rsidRPr="00C95492">
        <w:rPr>
          <w:lang w:val="en-AU" w:eastAsia="en-AU"/>
        </w:rPr>
        <w:t>Consideration and findings</w:t>
      </w:r>
      <w:bookmarkEnd w:id="7"/>
    </w:p>
    <w:p w14:paraId="375B5D3B" w14:textId="77777777" w:rsidR="00C95492" w:rsidRPr="00C95492" w:rsidRDefault="00C95492" w:rsidP="00565EF2">
      <w:pPr>
        <w:pStyle w:val="ListParagraph"/>
        <w:rPr>
          <w:lang w:val="en-US" w:eastAsia="en-AU"/>
        </w:rPr>
      </w:pPr>
      <w:r w:rsidRPr="00C95492">
        <w:rPr>
          <w:lang w:val="en-US" w:eastAsia="en-AU"/>
        </w:rPr>
        <w:t>It appears that there is no dispute that Mr Percival engaged in conduct that involved harassment of Mr Swamy on the basis of his religion. In particular, Mr Percival criticised Mr Swamy about the length of his hair, religious images that he carried, and his vegetarianism.</w:t>
      </w:r>
    </w:p>
    <w:p w14:paraId="47146225" w14:textId="77777777" w:rsidR="00C95492" w:rsidRPr="00C95492" w:rsidRDefault="00C95492" w:rsidP="00565EF2">
      <w:pPr>
        <w:pStyle w:val="ListParagraph"/>
        <w:rPr>
          <w:lang w:val="en-US" w:eastAsia="en-AU"/>
        </w:rPr>
      </w:pPr>
      <w:r w:rsidRPr="00C95492">
        <w:rPr>
          <w:lang w:val="en-US" w:eastAsia="en-AU"/>
        </w:rPr>
        <w:t>At the time that Mr Percival engaged in this conduct, he was Mr Swamy’s team leader and his immediate supervisor at ARA. The conduct of Mr Percival occurred in a work environment and was facilitated by their relative employment status. I find that the conduct of Mr Percival involved a distinction on the basis of religion that had the effect of impairing the equality of treatment of Mr Swamy in employment. This distinction was not based on the inherent requirements of the job. I find that Mr Percival engaged in an act that constituted discrimination.</w:t>
      </w:r>
    </w:p>
    <w:p w14:paraId="74060ABE" w14:textId="77777777" w:rsidR="00C95492" w:rsidRPr="00C95492" w:rsidRDefault="00C95492" w:rsidP="0037390D">
      <w:pPr>
        <w:pStyle w:val="Heading1"/>
        <w:rPr>
          <w:lang w:val="en-AU" w:eastAsia="en-AU"/>
        </w:rPr>
      </w:pPr>
      <w:bookmarkStart w:id="8" w:name="_Toc255207272"/>
      <w:r w:rsidRPr="00C95492">
        <w:rPr>
          <w:lang w:val="en-AU" w:eastAsia="en-AU"/>
        </w:rPr>
        <w:t>Recommendations</w:t>
      </w:r>
      <w:bookmarkEnd w:id="8"/>
    </w:p>
    <w:p w14:paraId="26D70B0B" w14:textId="77777777" w:rsidR="00C95492" w:rsidRPr="00C95492" w:rsidRDefault="00C95492" w:rsidP="00565EF2">
      <w:pPr>
        <w:pStyle w:val="ListParagraph"/>
        <w:rPr>
          <w:lang w:val="en-US" w:eastAsia="en-AU"/>
        </w:rPr>
      </w:pPr>
      <w:r w:rsidRPr="00C95492">
        <w:rPr>
          <w:lang w:val="en-US" w:eastAsia="en-AU"/>
        </w:rPr>
        <w:t>Where, after conducting an inquiry, the Commission finds that an act or practice engaged in by a respondent constitutes discrimination in employment, the Commission is required to serve notice on the respondent setting out its findings and reasons for those findings.</w:t>
      </w:r>
      <w:r w:rsidRPr="00C95492">
        <w:rPr>
          <w:vertAlign w:val="superscript"/>
          <w:lang w:val="en-US" w:eastAsia="en-AU"/>
        </w:rPr>
        <w:t>5</w:t>
      </w:r>
      <w:r w:rsidRPr="00C95492">
        <w:rPr>
          <w:lang w:val="en-US" w:eastAsia="en-AU"/>
        </w:rPr>
        <w:t xml:space="preserve"> The Commission may include in the notice any recommendations for preventing a repetition of the act or a continuation of the practice.</w:t>
      </w:r>
      <w:r w:rsidRPr="00C95492">
        <w:rPr>
          <w:vertAlign w:val="superscript"/>
          <w:lang w:val="en-US" w:eastAsia="en-AU"/>
        </w:rPr>
        <w:t>6</w:t>
      </w:r>
    </w:p>
    <w:p w14:paraId="22CF6DC1" w14:textId="77777777" w:rsidR="00C95492" w:rsidRPr="00C95492" w:rsidRDefault="00C95492" w:rsidP="00565EF2">
      <w:pPr>
        <w:pStyle w:val="ListParagraph"/>
        <w:rPr>
          <w:vertAlign w:val="superscript"/>
          <w:lang w:val="en-US" w:eastAsia="en-AU"/>
        </w:rPr>
      </w:pPr>
      <w:r w:rsidRPr="00C95492">
        <w:rPr>
          <w:lang w:val="en-US" w:eastAsia="en-AU"/>
        </w:rPr>
        <w:lastRenderedPageBreak/>
        <w:t>The Commission may also recommend:</w:t>
      </w:r>
      <w:r w:rsidRPr="00C95492">
        <w:rPr>
          <w:vertAlign w:val="superscript"/>
          <w:lang w:val="en-US" w:eastAsia="en-AU"/>
        </w:rPr>
        <w:t>7</w:t>
      </w:r>
    </w:p>
    <w:p w14:paraId="0AB246E7" w14:textId="5AC7125F" w:rsidR="00C95492" w:rsidRPr="00565EF2" w:rsidRDefault="00C95492" w:rsidP="00565EF2">
      <w:pPr>
        <w:widowControl w:val="0"/>
        <w:suppressAutoHyphens/>
        <w:autoSpaceDE w:val="0"/>
        <w:autoSpaceDN w:val="0"/>
        <w:adjustRightInd w:val="0"/>
        <w:spacing w:after="113"/>
        <w:ind w:left="1701" w:hanging="567"/>
        <w:textAlignment w:val="center"/>
        <w:rPr>
          <w:rFonts w:cs="Arial"/>
          <w:color w:val="000000"/>
          <w:lang w:val="en-US" w:eastAsia="en-AU"/>
        </w:rPr>
      </w:pPr>
      <w:r w:rsidRPr="00565EF2">
        <w:rPr>
          <w:rFonts w:cs="Arial"/>
          <w:color w:val="000000"/>
          <w:lang w:val="en-US" w:eastAsia="en-AU"/>
        </w:rPr>
        <w:t>(a)</w:t>
      </w:r>
      <w:r w:rsidRPr="00565EF2">
        <w:rPr>
          <w:rFonts w:cs="Arial"/>
          <w:color w:val="000000"/>
          <w:lang w:val="en-US" w:eastAsia="en-AU"/>
        </w:rPr>
        <w:tab/>
        <w:t>the payment of compensation to, or in respect of, a person who h</w:t>
      </w:r>
      <w:r w:rsidR="0037390D">
        <w:rPr>
          <w:rFonts w:cs="Arial"/>
          <w:color w:val="000000"/>
          <w:lang w:val="en-US" w:eastAsia="en-AU"/>
        </w:rPr>
        <w:t>as suffered loss or damage; and</w:t>
      </w:r>
    </w:p>
    <w:p w14:paraId="7456D1D3" w14:textId="77777777" w:rsidR="00C95492" w:rsidRPr="00565EF2" w:rsidRDefault="00C95492" w:rsidP="00565EF2">
      <w:pPr>
        <w:widowControl w:val="0"/>
        <w:suppressAutoHyphens/>
        <w:autoSpaceDE w:val="0"/>
        <w:autoSpaceDN w:val="0"/>
        <w:adjustRightInd w:val="0"/>
        <w:spacing w:after="113"/>
        <w:ind w:left="1701" w:hanging="567"/>
        <w:textAlignment w:val="center"/>
        <w:rPr>
          <w:rFonts w:cs="Arial"/>
          <w:color w:val="000000"/>
          <w:lang w:val="en-US" w:eastAsia="en-AU"/>
        </w:rPr>
      </w:pPr>
      <w:r w:rsidRPr="00565EF2">
        <w:rPr>
          <w:rFonts w:cs="Arial"/>
          <w:color w:val="000000"/>
          <w:lang w:val="en-US" w:eastAsia="en-AU"/>
        </w:rPr>
        <w:t>(b)</w:t>
      </w:r>
      <w:r w:rsidRPr="00565EF2">
        <w:rPr>
          <w:rFonts w:cs="Arial"/>
          <w:color w:val="000000"/>
          <w:lang w:val="en-US" w:eastAsia="en-AU"/>
        </w:rPr>
        <w:tab/>
        <w:t>the taking of other action to remedy or reduce the loss or damage suffered by a person.</w:t>
      </w:r>
    </w:p>
    <w:p w14:paraId="41BC778D" w14:textId="77777777" w:rsidR="00C95492" w:rsidRPr="00C95492" w:rsidRDefault="00C95492" w:rsidP="00565EF2">
      <w:pPr>
        <w:pStyle w:val="ListParagraph"/>
        <w:rPr>
          <w:lang w:val="en-US" w:eastAsia="en-AU"/>
        </w:rPr>
      </w:pPr>
      <w:r w:rsidRPr="00C95492">
        <w:rPr>
          <w:lang w:val="en-US" w:eastAsia="en-AU"/>
        </w:rPr>
        <w:t>In this case, there is no suggestion that the complainant has suffered direct economic loss. However, the complainant has made a claim for compensation for ‘pain and suffering’. In his application, Mr Swamy said that he was hurt by the conduct engaged in by Mr Percival, that it has caused him significant stress and that he has had difficulty sleeping.</w:t>
      </w:r>
    </w:p>
    <w:p w14:paraId="76432546" w14:textId="6661043D" w:rsidR="00C95492" w:rsidRPr="00C95492" w:rsidRDefault="00C95492" w:rsidP="00565EF2">
      <w:pPr>
        <w:pStyle w:val="ListParagraph"/>
        <w:rPr>
          <w:vertAlign w:val="superscript"/>
          <w:lang w:val="en-US" w:eastAsia="en-AU"/>
        </w:rPr>
      </w:pPr>
      <w:r w:rsidRPr="00C95492">
        <w:rPr>
          <w:lang w:val="en-US" w:eastAsia="en-AU"/>
        </w:rPr>
        <w:t xml:space="preserve">In a number of cases brought under Federal discrimination law, courts have awarded general damages for hurt, humiliation and distress. In general, courts have held that awards should be restrained in quantum, although not minimal. In </w:t>
      </w:r>
      <w:r w:rsidR="00565EF2">
        <w:rPr>
          <w:rFonts w:ascii="HelveticaNeue-Italic" w:hAnsi="HelveticaNeue-Italic" w:cs="HelveticaNeue-Italic"/>
          <w:i/>
          <w:iCs/>
          <w:lang w:val="en-US" w:eastAsia="en-AU"/>
        </w:rPr>
        <w:t xml:space="preserve">Hall </w:t>
      </w:r>
      <w:r w:rsidRPr="00C95492">
        <w:rPr>
          <w:rFonts w:ascii="HelveticaNeue-Italic" w:hAnsi="HelveticaNeue-Italic" w:cs="HelveticaNeue-Italic"/>
          <w:i/>
          <w:iCs/>
          <w:lang w:val="en-US" w:eastAsia="en-AU"/>
        </w:rPr>
        <w:t>v</w:t>
      </w:r>
      <w:r w:rsidR="00565EF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Sheiban</w:t>
      </w:r>
      <w:r w:rsidRPr="00C95492">
        <w:rPr>
          <w:lang w:val="en-US" w:eastAsia="en-AU"/>
        </w:rPr>
        <w:t>,</w:t>
      </w:r>
      <w:r w:rsidRPr="00C95492">
        <w:rPr>
          <w:vertAlign w:val="superscript"/>
          <w:lang w:val="en-US" w:eastAsia="en-AU"/>
        </w:rPr>
        <w:t>8</w:t>
      </w:r>
      <w:r w:rsidRPr="00C95492">
        <w:rPr>
          <w:lang w:val="en-US" w:eastAsia="en-AU"/>
        </w:rPr>
        <w:t xml:space="preserve"> Wilcox J cited with approval the following statement of May LJ in </w:t>
      </w:r>
      <w:r w:rsidRPr="00C95492">
        <w:rPr>
          <w:rFonts w:ascii="HelveticaNeue-Italic" w:hAnsi="HelveticaNeue-Italic" w:cs="HelveticaNeue-Italic"/>
          <w:i/>
          <w:iCs/>
          <w:lang w:val="en-US" w:eastAsia="en-AU"/>
        </w:rPr>
        <w:t>Alexander</w:t>
      </w:r>
      <w:r w:rsidR="00565EF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v</w:t>
      </w:r>
      <w:r w:rsidR="00565EF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Home</w:t>
      </w:r>
      <w:r w:rsidR="00565EF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Office</w:t>
      </w:r>
      <w:r w:rsidRPr="00C95492">
        <w:rPr>
          <w:lang w:val="en-US" w:eastAsia="en-AU"/>
        </w:rPr>
        <w:t>:</w:t>
      </w:r>
      <w:r w:rsidRPr="00C95492">
        <w:rPr>
          <w:vertAlign w:val="superscript"/>
          <w:lang w:val="en-US" w:eastAsia="en-AU"/>
        </w:rPr>
        <w:t>9</w:t>
      </w:r>
    </w:p>
    <w:p w14:paraId="08F9F275" w14:textId="77777777" w:rsidR="00C95492" w:rsidRPr="00C95492" w:rsidRDefault="00C95492" w:rsidP="00565EF2">
      <w:pPr>
        <w:pStyle w:val="Quote"/>
        <w:rPr>
          <w:lang w:val="en-GB" w:eastAsia="en-AU"/>
        </w:rPr>
      </w:pPr>
      <w:r w:rsidRPr="00C95492">
        <w:rPr>
          <w:lang w:val="en-GB" w:eastAsia="en-AU"/>
        </w:rPr>
        <w:t>As with any other awards of damages, the objective of an award for unlawful racial discrimination is restitution. Where the discrimination has caused actual pecuniary loss, such as the refusal of a job, then the damages referrable to this can be readily calculated. For the injury to feelings however, for the humiliation, for the insult, it is impossible to say what is restitution and the answer must depend on the experience and good sense of the judge and his assessors. Awards should not be minimal, because this would tend to trivialise or diminish respect for the public policy to which the Act gives effect. On the other hand, just because it is impossible to assess the monetary value of injured feelings, awards should be restrained. To award sums which are generally felt to be excessive does almost as much harm to the policy and the results which it seeks to achieve as do nominal awards. Further, injury to feelings, which is likely to be of a relatively short duration, is less serious than physical injury to the body or the mind which may persist for months, in many cases for life.</w:t>
      </w:r>
    </w:p>
    <w:p w14:paraId="77D72813" w14:textId="61A08DE2" w:rsidR="00C95492" w:rsidRPr="00C95492" w:rsidRDefault="00C95492" w:rsidP="00565EF2">
      <w:pPr>
        <w:pStyle w:val="ListParagraph"/>
        <w:rPr>
          <w:lang w:val="en-US" w:eastAsia="en-AU"/>
        </w:rPr>
      </w:pPr>
      <w:r w:rsidRPr="00C95492">
        <w:rPr>
          <w:lang w:val="en-US" w:eastAsia="en-AU"/>
        </w:rPr>
        <w:lastRenderedPageBreak/>
        <w:t xml:space="preserve">In </w:t>
      </w:r>
      <w:r w:rsidR="00EC3802">
        <w:rPr>
          <w:rFonts w:ascii="HelveticaNeue-Italic" w:hAnsi="HelveticaNeue-Italic" w:cs="HelveticaNeue-Italic"/>
          <w:i/>
          <w:iCs/>
          <w:lang w:val="en-US" w:eastAsia="en-AU"/>
        </w:rPr>
        <w:t xml:space="preserve">San </w:t>
      </w:r>
      <w:r w:rsidRPr="00C95492">
        <w:rPr>
          <w:rFonts w:ascii="HelveticaNeue-Italic" w:hAnsi="HelveticaNeue-Italic" w:cs="HelveticaNeue-Italic"/>
          <w:i/>
          <w:iCs/>
          <w:lang w:val="en-US" w:eastAsia="en-AU"/>
        </w:rPr>
        <w:t>v</w:t>
      </w:r>
      <w:r w:rsidR="00EC380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Dirluck</w:t>
      </w:r>
      <w:r w:rsidR="00EC380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Pty</w:t>
      </w:r>
      <w:r w:rsidR="00EC3802">
        <w:rPr>
          <w:rFonts w:ascii="HelveticaNeue-Italic" w:hAnsi="HelveticaNeue-Italic" w:cs="HelveticaNeue-Italic"/>
          <w:i/>
          <w:iCs/>
          <w:lang w:val="en-US" w:eastAsia="en-AU"/>
        </w:rPr>
        <w:t xml:space="preserve"> </w:t>
      </w:r>
      <w:r w:rsidRPr="00C95492">
        <w:rPr>
          <w:rFonts w:ascii="HelveticaNeue-Italic" w:hAnsi="HelveticaNeue-Italic" w:cs="HelveticaNeue-Italic"/>
          <w:i/>
          <w:iCs/>
          <w:lang w:val="en-US" w:eastAsia="en-AU"/>
        </w:rPr>
        <w:t>Ltd</w:t>
      </w:r>
      <w:r w:rsidRPr="00C95492">
        <w:rPr>
          <w:lang w:val="en-US" w:eastAsia="en-AU"/>
        </w:rPr>
        <w:t xml:space="preserve"> (2005) 222 ALR 91, Raphael FM found that the applicant had been subjected to derogatory comments of a racial and sexual nature by her manager at work. His Honour found that while the comments were hurtful, there was no evidence to suggest that the comments were of such severity that they caused the applicant to leave her job. Raphael FM awarded the applicant $2,000 in general damages.</w:t>
      </w:r>
    </w:p>
    <w:p w14:paraId="14295C3D" w14:textId="77777777" w:rsidR="00C95492" w:rsidRPr="00C95492" w:rsidRDefault="00C95492" w:rsidP="00565EF2">
      <w:pPr>
        <w:pStyle w:val="ListParagraph"/>
        <w:rPr>
          <w:lang w:val="en-US" w:eastAsia="en-AU"/>
        </w:rPr>
      </w:pPr>
      <w:r w:rsidRPr="00C95492">
        <w:rPr>
          <w:lang w:val="en-US" w:eastAsia="en-AU"/>
        </w:rPr>
        <w:t>In the present matter, the comments made by Mr Percival were insulting and inappropriate. I accept that they caused significant hurt and distress to Mr Swamy. In the circumstances I consider that an appropriate amount of compensation would be $2,000. I recommend that Mr Percival pay this amount to Mr Swamy.</w:t>
      </w:r>
    </w:p>
    <w:p w14:paraId="11C4430A" w14:textId="77777777" w:rsidR="00C95492" w:rsidRPr="00C95492" w:rsidRDefault="00C95492" w:rsidP="00565EF2">
      <w:pPr>
        <w:pStyle w:val="ListParagraph"/>
        <w:rPr>
          <w:vertAlign w:val="superscript"/>
          <w:lang w:val="en-US" w:eastAsia="en-AU"/>
        </w:rPr>
      </w:pPr>
      <w:r w:rsidRPr="00C95492">
        <w:rPr>
          <w:lang w:val="en-US" w:eastAsia="en-AU"/>
        </w:rPr>
        <w:t>In addition to compensation, I consider that it is appropriate that Mr Percival provide a formal written apology to Mr Swamy for the conduct identified in this report. Apologies are important remedies in cases of discrimination. They, at least to some extent, alleviate the suffering of those who have been wronged.</w:t>
      </w:r>
      <w:r w:rsidRPr="00C95492">
        <w:rPr>
          <w:vertAlign w:val="superscript"/>
          <w:lang w:val="en-US" w:eastAsia="en-AU"/>
        </w:rPr>
        <w:t>10</w:t>
      </w:r>
    </w:p>
    <w:p w14:paraId="314C96EC" w14:textId="4D9D7229" w:rsidR="00C95492" w:rsidRPr="00EC3802" w:rsidRDefault="00C95492" w:rsidP="00EC3802">
      <w:pPr>
        <w:pStyle w:val="Heading1"/>
      </w:pPr>
      <w:bookmarkStart w:id="9" w:name="_Toc255207273"/>
      <w:r w:rsidRPr="00EC3802">
        <w:t>Responses to my conclusions and</w:t>
      </w:r>
      <w:r w:rsidR="00EC3802">
        <w:rPr>
          <w:rFonts w:ascii="HelveticaCYPlain" w:hAnsi="HelveticaCYPlain" w:cs="HelveticaCYPlain"/>
          <w:color w:val="4C4C4C"/>
          <w:sz w:val="52"/>
          <w:szCs w:val="52"/>
          <w:lang w:val="en-AU" w:eastAsia="en-AU"/>
        </w:rPr>
        <w:t xml:space="preserve"> </w:t>
      </w:r>
      <w:r w:rsidRPr="00EC3802">
        <w:t>recommendations</w:t>
      </w:r>
      <w:bookmarkEnd w:id="9"/>
    </w:p>
    <w:p w14:paraId="6246AFBA" w14:textId="77777777" w:rsidR="00C95492" w:rsidRPr="00C95492" w:rsidRDefault="00C95492" w:rsidP="00EC3802">
      <w:pPr>
        <w:pStyle w:val="ListParagraph"/>
        <w:rPr>
          <w:lang w:val="en-US" w:eastAsia="en-AU"/>
        </w:rPr>
      </w:pPr>
      <w:r w:rsidRPr="00C95492">
        <w:rPr>
          <w:lang w:val="en-US" w:eastAsia="en-AU"/>
        </w:rPr>
        <w:t>On 26 June 2013 I provided a notice to Mr Percival and ARA under s 35(2) of the AHRC Act setting out my findings and recommendations in relation to the complaint dealt with in this report. Along with that notice, I asked whether ARA or Mr Percival has taken or is taking any action as a result of the findings and recommendations outlined in the notice and, if so, the nature of that action.</w:t>
      </w:r>
    </w:p>
    <w:p w14:paraId="4CD06429" w14:textId="77777777" w:rsidR="00C95492" w:rsidRPr="00C95492" w:rsidRDefault="00C95492" w:rsidP="00EC3802">
      <w:pPr>
        <w:pStyle w:val="ListParagraph"/>
        <w:rPr>
          <w:lang w:val="en-US" w:eastAsia="en-AU"/>
        </w:rPr>
      </w:pPr>
      <w:r w:rsidRPr="00C95492">
        <w:rPr>
          <w:lang w:val="en-US" w:eastAsia="en-AU"/>
        </w:rPr>
        <w:t xml:space="preserve">On several occasions since 26 June 2013 the Commission sought a response from Mr Percival and ARA as to whether they would be taking any action as a result of the findings and recommendations in this report. No response was received on behalf of Mr Percival or ARA. </w:t>
      </w:r>
    </w:p>
    <w:p w14:paraId="719F60D1" w14:textId="77777777" w:rsidR="00C95492" w:rsidRPr="00C95492" w:rsidRDefault="00C95492" w:rsidP="00EC3802">
      <w:pPr>
        <w:pStyle w:val="ListParagraph"/>
        <w:rPr>
          <w:lang w:val="en-US" w:eastAsia="en-AU"/>
        </w:rPr>
      </w:pPr>
      <w:r w:rsidRPr="00C95492">
        <w:rPr>
          <w:lang w:val="en-US" w:eastAsia="en-AU"/>
        </w:rPr>
        <w:t>I report accordingly to the Attorney-General.</w:t>
      </w:r>
    </w:p>
    <w:p w14:paraId="0C1B6B45" w14:textId="77777777" w:rsidR="0037390D" w:rsidRDefault="0037390D" w:rsidP="00C95492">
      <w:pPr>
        <w:widowControl w:val="0"/>
        <w:autoSpaceDE w:val="0"/>
        <w:autoSpaceDN w:val="0"/>
        <w:adjustRightInd w:val="0"/>
        <w:spacing w:after="0"/>
        <w:textAlignment w:val="center"/>
        <w:rPr>
          <w:rFonts w:ascii="Times-Roman" w:hAnsi="Times-Roman" w:cs="Times-Roman"/>
          <w:color w:val="000000"/>
          <w:lang w:val="en-US" w:eastAsia="en-AU"/>
        </w:rPr>
      </w:pPr>
    </w:p>
    <w:p w14:paraId="36725A81" w14:textId="77777777" w:rsidR="0037390D" w:rsidRPr="0037390D" w:rsidRDefault="0037390D" w:rsidP="0037390D">
      <w:pPr>
        <w:widowControl w:val="0"/>
        <w:tabs>
          <w:tab w:val="left" w:pos="567"/>
        </w:tabs>
        <w:suppressAutoHyphens/>
        <w:autoSpaceDE w:val="0"/>
        <w:autoSpaceDN w:val="0"/>
        <w:adjustRightInd w:val="0"/>
        <w:spacing w:after="0"/>
        <w:textAlignment w:val="center"/>
        <w:rPr>
          <w:rFonts w:cs="Arial"/>
          <w:color w:val="000000"/>
          <w:lang w:val="en-US" w:eastAsia="en-AU"/>
        </w:rPr>
      </w:pPr>
      <w:r w:rsidRPr="0037390D">
        <w:rPr>
          <w:rFonts w:cs="Arial"/>
          <w:color w:val="000000"/>
          <w:lang w:val="en-US" w:eastAsia="en-AU"/>
        </w:rPr>
        <w:t>Gillian Triggs</w:t>
      </w:r>
      <w:r w:rsidRPr="0037390D">
        <w:rPr>
          <w:rFonts w:cs="Arial"/>
          <w:color w:val="000000"/>
          <w:lang w:val="en-US" w:eastAsia="en-AU"/>
        </w:rPr>
        <w:br/>
      </w:r>
      <w:r w:rsidRPr="0037390D">
        <w:rPr>
          <w:rFonts w:cs="Arial"/>
          <w:b/>
          <w:bCs/>
          <w:color w:val="000000"/>
          <w:lang w:val="en-US" w:eastAsia="en-AU"/>
        </w:rPr>
        <w:t>President</w:t>
      </w:r>
      <w:r w:rsidRPr="0037390D">
        <w:rPr>
          <w:rFonts w:cs="Arial"/>
          <w:b/>
          <w:bCs/>
          <w:color w:val="000000"/>
          <w:lang w:val="en-US" w:eastAsia="en-AU"/>
        </w:rPr>
        <w:br/>
      </w:r>
      <w:r w:rsidRPr="0037390D">
        <w:rPr>
          <w:rFonts w:cs="Arial"/>
          <w:color w:val="000000"/>
          <w:lang w:val="en-US" w:eastAsia="en-AU"/>
        </w:rPr>
        <w:t>Australian Human Rights Commission</w:t>
      </w:r>
    </w:p>
    <w:p w14:paraId="2D24AA1C" w14:textId="12EEDF6E" w:rsidR="0037390D" w:rsidRPr="0037390D" w:rsidRDefault="0037390D" w:rsidP="0037390D">
      <w:pPr>
        <w:widowControl w:val="0"/>
        <w:tabs>
          <w:tab w:val="left" w:pos="567"/>
        </w:tabs>
        <w:suppressAutoHyphens/>
        <w:autoSpaceDE w:val="0"/>
        <w:autoSpaceDN w:val="0"/>
        <w:adjustRightInd w:val="0"/>
        <w:spacing w:after="0"/>
        <w:textAlignment w:val="center"/>
        <w:rPr>
          <w:rFonts w:cs="Arial"/>
          <w:color w:val="000000"/>
          <w:lang w:val="en-US" w:eastAsia="en-AU"/>
        </w:rPr>
      </w:pPr>
      <w:r w:rsidRPr="0037390D">
        <w:rPr>
          <w:rFonts w:cs="Arial"/>
          <w:color w:val="000000"/>
          <w:lang w:val="en-US" w:eastAsia="en-AU"/>
        </w:rPr>
        <w:lastRenderedPageBreak/>
        <w:t>21 October 2013</w:t>
      </w:r>
    </w:p>
    <w:p w14:paraId="0DFB1215" w14:textId="7E70C365" w:rsidR="00C95492" w:rsidRPr="00EC3802" w:rsidRDefault="00C95492" w:rsidP="0037390D">
      <w:pPr>
        <w:widowControl w:val="0"/>
        <w:pBdr>
          <w:top w:val="single" w:sz="8" w:space="11" w:color="4C4C4C"/>
        </w:pBdr>
        <w:tabs>
          <w:tab w:val="left" w:pos="567"/>
        </w:tabs>
        <w:suppressAutoHyphens/>
        <w:autoSpaceDE w:val="0"/>
        <w:autoSpaceDN w:val="0"/>
        <w:adjustRightInd w:val="0"/>
        <w:spacing w:before="567" w:after="0"/>
        <w:ind w:left="567" w:hanging="567"/>
        <w:textAlignment w:val="center"/>
        <w:rPr>
          <w:rFonts w:cs="Arial"/>
          <w:color w:val="000000"/>
          <w:sz w:val="20"/>
          <w:szCs w:val="20"/>
          <w:lang w:val="en-US" w:eastAsia="en-AU"/>
        </w:rPr>
      </w:pPr>
      <w:r w:rsidRPr="00EC3802">
        <w:rPr>
          <w:rFonts w:cs="Arial"/>
          <w:color w:val="000000"/>
          <w:sz w:val="20"/>
          <w:szCs w:val="20"/>
          <w:lang w:val="en-US" w:eastAsia="en-AU"/>
        </w:rPr>
        <w:t>1</w:t>
      </w:r>
      <w:r w:rsidRPr="00EC3802">
        <w:rPr>
          <w:rFonts w:cs="Arial"/>
          <w:color w:val="000000"/>
          <w:sz w:val="20"/>
          <w:szCs w:val="20"/>
          <w:lang w:val="en-US" w:eastAsia="en-AU"/>
        </w:rPr>
        <w:tab/>
        <w:t xml:space="preserve">Committee of Experts on the Application of Conventions and Recommendations (CEACR), </w:t>
      </w:r>
      <w:r w:rsidR="00EC3802">
        <w:rPr>
          <w:rFonts w:cs="Arial"/>
          <w:i/>
          <w:iCs/>
          <w:color w:val="000000"/>
          <w:sz w:val="20"/>
          <w:szCs w:val="20"/>
          <w:lang w:val="en-US" w:eastAsia="en-AU"/>
        </w:rPr>
        <w:t xml:space="preserve">General Survey </w:t>
      </w:r>
      <w:r w:rsidRPr="00EC3802">
        <w:rPr>
          <w:rFonts w:cs="Arial"/>
          <w:i/>
          <w:iCs/>
          <w:color w:val="000000"/>
          <w:sz w:val="20"/>
          <w:szCs w:val="20"/>
          <w:lang w:val="en-US" w:eastAsia="en-AU"/>
        </w:rPr>
        <w:t>on</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the</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fundamental</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Conventions</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concerning</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rights</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at</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work</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in</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light</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of</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the</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ILO</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Declaration</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on</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Social</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Justice</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for</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a</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Fair</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Globalization,</w:t>
      </w:r>
      <w:r w:rsidR="00EC3802">
        <w:rPr>
          <w:rFonts w:cs="Arial"/>
          <w:i/>
          <w:iCs/>
          <w:color w:val="000000"/>
          <w:sz w:val="20"/>
          <w:szCs w:val="20"/>
          <w:lang w:val="en-US" w:eastAsia="en-AU"/>
        </w:rPr>
        <w:t xml:space="preserve"> </w:t>
      </w:r>
      <w:r w:rsidRPr="00EC3802">
        <w:rPr>
          <w:rFonts w:cs="Arial"/>
          <w:i/>
          <w:iCs/>
          <w:color w:val="000000"/>
          <w:sz w:val="20"/>
          <w:szCs w:val="20"/>
          <w:lang w:val="en-US" w:eastAsia="en-AU"/>
        </w:rPr>
        <w:t>2008</w:t>
      </w:r>
      <w:r w:rsidRPr="00EC3802">
        <w:rPr>
          <w:rFonts w:cs="Arial"/>
          <w:color w:val="000000"/>
          <w:sz w:val="20"/>
          <w:szCs w:val="20"/>
          <w:lang w:val="en-US" w:eastAsia="en-AU"/>
        </w:rPr>
        <w:t>, International Labour Conference, 101</w:t>
      </w:r>
      <w:r w:rsidRPr="00EC3802">
        <w:rPr>
          <w:rFonts w:cs="Arial"/>
          <w:color w:val="000000"/>
          <w:sz w:val="20"/>
          <w:szCs w:val="20"/>
          <w:vertAlign w:val="superscript"/>
          <w:lang w:val="en-US" w:eastAsia="en-AU"/>
        </w:rPr>
        <w:t>st</w:t>
      </w:r>
      <w:r w:rsidRPr="00EC3802">
        <w:rPr>
          <w:rFonts w:cs="Arial"/>
          <w:color w:val="000000"/>
          <w:sz w:val="20"/>
          <w:szCs w:val="20"/>
          <w:lang w:val="en-US" w:eastAsia="en-AU"/>
        </w:rPr>
        <w:t xml:space="preserve"> Session, 2012, Report III (Part 1B), p 312.</w:t>
      </w:r>
    </w:p>
    <w:p w14:paraId="73F15F21" w14:textId="02E7947A"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2</w:t>
      </w:r>
      <w:r w:rsidRPr="00EC3802">
        <w:rPr>
          <w:rFonts w:cs="Arial"/>
          <w:color w:val="000000"/>
          <w:szCs w:val="20"/>
          <w:lang w:val="en-US" w:eastAsia="en-AU"/>
        </w:rPr>
        <w:tab/>
        <w:t xml:space="preserve">CEACR, </w:t>
      </w:r>
      <w:r w:rsidR="00EC3802">
        <w:rPr>
          <w:rFonts w:cs="Arial"/>
          <w:i/>
          <w:iCs/>
          <w:color w:val="000000"/>
          <w:szCs w:val="20"/>
          <w:lang w:val="en-US" w:eastAsia="en-AU"/>
        </w:rPr>
        <w:t xml:space="preserve">General </w:t>
      </w:r>
      <w:r w:rsidRPr="00EC3802">
        <w:rPr>
          <w:rFonts w:cs="Arial"/>
          <w:i/>
          <w:iCs/>
          <w:color w:val="000000"/>
          <w:szCs w:val="20"/>
          <w:lang w:val="en-US" w:eastAsia="en-AU"/>
        </w:rPr>
        <w:t>Survey</w:t>
      </w:r>
      <w:r w:rsidR="00EC3802">
        <w:rPr>
          <w:rFonts w:cs="Arial"/>
          <w:i/>
          <w:iCs/>
          <w:color w:val="000000"/>
          <w:szCs w:val="20"/>
          <w:lang w:val="en-US" w:eastAsia="en-AU"/>
        </w:rPr>
        <w:t xml:space="preserve"> </w:t>
      </w:r>
      <w:r w:rsidRPr="00EC3802">
        <w:rPr>
          <w:rFonts w:cs="Arial"/>
          <w:i/>
          <w:iCs/>
          <w:color w:val="000000"/>
          <w:szCs w:val="20"/>
          <w:lang w:val="en-US" w:eastAsia="en-AU"/>
        </w:rPr>
        <w:t>on</w:t>
      </w:r>
      <w:r w:rsidR="00EC3802">
        <w:rPr>
          <w:rFonts w:cs="Arial"/>
          <w:i/>
          <w:iCs/>
          <w:color w:val="000000"/>
          <w:szCs w:val="20"/>
          <w:lang w:val="en-US" w:eastAsia="en-AU"/>
        </w:rPr>
        <w:t xml:space="preserve"> </w:t>
      </w:r>
      <w:r w:rsidRPr="00EC3802">
        <w:rPr>
          <w:rFonts w:cs="Arial"/>
          <w:i/>
          <w:iCs/>
          <w:color w:val="000000"/>
          <w:szCs w:val="20"/>
          <w:lang w:val="en-US" w:eastAsia="en-AU"/>
        </w:rPr>
        <w:t>the</w:t>
      </w:r>
      <w:r w:rsidR="00EC3802">
        <w:rPr>
          <w:rFonts w:cs="Arial"/>
          <w:i/>
          <w:iCs/>
          <w:color w:val="000000"/>
          <w:szCs w:val="20"/>
          <w:lang w:val="en-US" w:eastAsia="en-AU"/>
        </w:rPr>
        <w:t xml:space="preserve"> </w:t>
      </w:r>
      <w:r w:rsidRPr="00EC3802">
        <w:rPr>
          <w:rFonts w:cs="Arial"/>
          <w:i/>
          <w:iCs/>
          <w:color w:val="000000"/>
          <w:szCs w:val="20"/>
          <w:lang w:val="en-US" w:eastAsia="en-AU"/>
        </w:rPr>
        <w:t>fundamental</w:t>
      </w:r>
      <w:r w:rsidR="00EC3802">
        <w:rPr>
          <w:rFonts w:cs="Arial"/>
          <w:i/>
          <w:iCs/>
          <w:color w:val="000000"/>
          <w:szCs w:val="20"/>
          <w:lang w:val="en-US" w:eastAsia="en-AU"/>
        </w:rPr>
        <w:t xml:space="preserve"> </w:t>
      </w:r>
      <w:r w:rsidRPr="00EC3802">
        <w:rPr>
          <w:rFonts w:cs="Arial"/>
          <w:i/>
          <w:iCs/>
          <w:color w:val="000000"/>
          <w:szCs w:val="20"/>
          <w:lang w:val="en-US" w:eastAsia="en-AU"/>
        </w:rPr>
        <w:t>Conventions</w:t>
      </w:r>
      <w:r w:rsidR="00EC3802">
        <w:rPr>
          <w:rFonts w:cs="Arial"/>
          <w:i/>
          <w:iCs/>
          <w:color w:val="000000"/>
          <w:szCs w:val="20"/>
          <w:lang w:val="en-US" w:eastAsia="en-AU"/>
        </w:rPr>
        <w:t xml:space="preserve"> </w:t>
      </w:r>
      <w:r w:rsidRPr="00EC3802">
        <w:rPr>
          <w:rFonts w:cs="Arial"/>
          <w:i/>
          <w:iCs/>
          <w:color w:val="000000"/>
          <w:szCs w:val="20"/>
          <w:lang w:val="en-US" w:eastAsia="en-AU"/>
        </w:rPr>
        <w:t>concerning</w:t>
      </w:r>
      <w:r w:rsidR="00EC3802">
        <w:rPr>
          <w:rFonts w:cs="Arial"/>
          <w:i/>
          <w:iCs/>
          <w:color w:val="000000"/>
          <w:szCs w:val="20"/>
          <w:lang w:val="en-US" w:eastAsia="en-AU"/>
        </w:rPr>
        <w:t xml:space="preserve"> </w:t>
      </w:r>
      <w:r w:rsidRPr="00EC3802">
        <w:rPr>
          <w:rFonts w:cs="Arial"/>
          <w:i/>
          <w:iCs/>
          <w:color w:val="000000"/>
          <w:szCs w:val="20"/>
          <w:lang w:val="en-US" w:eastAsia="en-AU"/>
        </w:rPr>
        <w:t>rights</w:t>
      </w:r>
      <w:r w:rsidR="00EC3802">
        <w:rPr>
          <w:rFonts w:cs="Arial"/>
          <w:i/>
          <w:iCs/>
          <w:color w:val="000000"/>
          <w:szCs w:val="20"/>
          <w:lang w:val="en-US" w:eastAsia="en-AU"/>
        </w:rPr>
        <w:t xml:space="preserve"> </w:t>
      </w:r>
      <w:r w:rsidRPr="00EC3802">
        <w:rPr>
          <w:rFonts w:cs="Arial"/>
          <w:i/>
          <w:iCs/>
          <w:color w:val="000000"/>
          <w:szCs w:val="20"/>
          <w:lang w:val="en-US" w:eastAsia="en-AU"/>
        </w:rPr>
        <w:t>at</w:t>
      </w:r>
      <w:r w:rsidR="00EC3802">
        <w:rPr>
          <w:rFonts w:cs="Arial"/>
          <w:i/>
          <w:iCs/>
          <w:color w:val="000000"/>
          <w:szCs w:val="20"/>
          <w:lang w:val="en-US" w:eastAsia="en-AU"/>
        </w:rPr>
        <w:t xml:space="preserve"> </w:t>
      </w:r>
      <w:r w:rsidRPr="00EC3802">
        <w:rPr>
          <w:rFonts w:cs="Arial"/>
          <w:i/>
          <w:iCs/>
          <w:color w:val="000000"/>
          <w:szCs w:val="20"/>
          <w:lang w:val="en-US" w:eastAsia="en-AU"/>
        </w:rPr>
        <w:t>work</w:t>
      </w:r>
      <w:r w:rsidR="00EC3802">
        <w:rPr>
          <w:rFonts w:cs="Arial"/>
          <w:i/>
          <w:iCs/>
          <w:color w:val="000000"/>
          <w:szCs w:val="20"/>
          <w:lang w:val="en-US" w:eastAsia="en-AU"/>
        </w:rPr>
        <w:t xml:space="preserve"> </w:t>
      </w:r>
      <w:r w:rsidRPr="00EC3802">
        <w:rPr>
          <w:rFonts w:cs="Arial"/>
          <w:i/>
          <w:iCs/>
          <w:color w:val="000000"/>
          <w:szCs w:val="20"/>
          <w:lang w:val="en-US" w:eastAsia="en-AU"/>
        </w:rPr>
        <w:t>in</w:t>
      </w:r>
      <w:r w:rsidR="00EC3802">
        <w:rPr>
          <w:rFonts w:cs="Arial"/>
          <w:i/>
          <w:iCs/>
          <w:color w:val="000000"/>
          <w:szCs w:val="20"/>
          <w:lang w:val="en-US" w:eastAsia="en-AU"/>
        </w:rPr>
        <w:t xml:space="preserve"> </w:t>
      </w:r>
      <w:r w:rsidRPr="00EC3802">
        <w:rPr>
          <w:rFonts w:cs="Arial"/>
          <w:i/>
          <w:iCs/>
          <w:color w:val="000000"/>
          <w:szCs w:val="20"/>
          <w:lang w:val="en-US" w:eastAsia="en-AU"/>
        </w:rPr>
        <w:t>light</w:t>
      </w:r>
      <w:r w:rsidR="00EC3802">
        <w:rPr>
          <w:rFonts w:cs="Arial"/>
          <w:i/>
          <w:iCs/>
          <w:color w:val="000000"/>
          <w:szCs w:val="20"/>
          <w:lang w:val="en-US" w:eastAsia="en-AU"/>
        </w:rPr>
        <w:t xml:space="preserve"> </w:t>
      </w:r>
      <w:r w:rsidRPr="00EC3802">
        <w:rPr>
          <w:rFonts w:cs="Arial"/>
          <w:i/>
          <w:iCs/>
          <w:color w:val="000000"/>
          <w:szCs w:val="20"/>
          <w:lang w:val="en-US" w:eastAsia="en-AU"/>
        </w:rPr>
        <w:t>of</w:t>
      </w:r>
      <w:r w:rsidR="00EC3802">
        <w:rPr>
          <w:rFonts w:cs="Arial"/>
          <w:i/>
          <w:iCs/>
          <w:color w:val="000000"/>
          <w:szCs w:val="20"/>
          <w:lang w:val="en-US" w:eastAsia="en-AU"/>
        </w:rPr>
        <w:t xml:space="preserve"> </w:t>
      </w:r>
      <w:r w:rsidRPr="00EC3802">
        <w:rPr>
          <w:rFonts w:cs="Arial"/>
          <w:i/>
          <w:iCs/>
          <w:color w:val="000000"/>
          <w:szCs w:val="20"/>
          <w:lang w:val="en-US" w:eastAsia="en-AU"/>
        </w:rPr>
        <w:t>the</w:t>
      </w:r>
      <w:r w:rsidR="00EC3802">
        <w:rPr>
          <w:rFonts w:cs="Arial"/>
          <w:i/>
          <w:iCs/>
          <w:color w:val="000000"/>
          <w:szCs w:val="20"/>
          <w:lang w:val="en-US" w:eastAsia="en-AU"/>
        </w:rPr>
        <w:t xml:space="preserve"> </w:t>
      </w:r>
      <w:r w:rsidRPr="00EC3802">
        <w:rPr>
          <w:rFonts w:cs="Arial"/>
          <w:i/>
          <w:iCs/>
          <w:color w:val="000000"/>
          <w:szCs w:val="20"/>
          <w:lang w:val="en-US" w:eastAsia="en-AU"/>
        </w:rPr>
        <w:t>ILO</w:t>
      </w:r>
      <w:r w:rsidR="00EC3802">
        <w:rPr>
          <w:rFonts w:cs="Arial"/>
          <w:i/>
          <w:iCs/>
          <w:color w:val="000000"/>
          <w:szCs w:val="20"/>
          <w:lang w:val="en-US" w:eastAsia="en-AU"/>
        </w:rPr>
        <w:t xml:space="preserve"> </w:t>
      </w:r>
      <w:r w:rsidRPr="00EC3802">
        <w:rPr>
          <w:rFonts w:cs="Arial"/>
          <w:i/>
          <w:iCs/>
          <w:color w:val="000000"/>
          <w:szCs w:val="20"/>
          <w:lang w:val="en-US" w:eastAsia="en-AU"/>
        </w:rPr>
        <w:t>Declaration</w:t>
      </w:r>
      <w:r w:rsidR="00EC3802">
        <w:rPr>
          <w:rFonts w:cs="Arial"/>
          <w:i/>
          <w:iCs/>
          <w:color w:val="000000"/>
          <w:szCs w:val="20"/>
          <w:lang w:val="en-US" w:eastAsia="en-AU"/>
        </w:rPr>
        <w:t xml:space="preserve"> </w:t>
      </w:r>
      <w:r w:rsidRPr="00EC3802">
        <w:rPr>
          <w:rFonts w:cs="Arial"/>
          <w:i/>
          <w:iCs/>
          <w:color w:val="000000"/>
          <w:szCs w:val="20"/>
          <w:lang w:val="en-US" w:eastAsia="en-AU"/>
        </w:rPr>
        <w:t>on</w:t>
      </w:r>
      <w:r w:rsidR="00EC3802">
        <w:rPr>
          <w:rFonts w:cs="Arial"/>
          <w:i/>
          <w:iCs/>
          <w:color w:val="000000"/>
          <w:szCs w:val="20"/>
          <w:lang w:val="en-US" w:eastAsia="en-AU"/>
        </w:rPr>
        <w:t xml:space="preserve"> </w:t>
      </w:r>
      <w:r w:rsidRPr="00EC3802">
        <w:rPr>
          <w:rFonts w:cs="Arial"/>
          <w:i/>
          <w:iCs/>
          <w:color w:val="000000"/>
          <w:szCs w:val="20"/>
          <w:lang w:val="en-US" w:eastAsia="en-AU"/>
        </w:rPr>
        <w:t>Social</w:t>
      </w:r>
      <w:r w:rsidR="00EC3802">
        <w:rPr>
          <w:rFonts w:cs="Arial"/>
          <w:i/>
          <w:iCs/>
          <w:color w:val="000000"/>
          <w:szCs w:val="20"/>
          <w:lang w:val="en-US" w:eastAsia="en-AU"/>
        </w:rPr>
        <w:t xml:space="preserve"> </w:t>
      </w:r>
      <w:r w:rsidRPr="00EC3802">
        <w:rPr>
          <w:rFonts w:cs="Arial"/>
          <w:i/>
          <w:iCs/>
          <w:color w:val="000000"/>
          <w:szCs w:val="20"/>
          <w:lang w:val="en-US" w:eastAsia="en-AU"/>
        </w:rPr>
        <w:t>Justice</w:t>
      </w:r>
      <w:r w:rsidR="00EC3802">
        <w:rPr>
          <w:rFonts w:cs="Arial"/>
          <w:i/>
          <w:iCs/>
          <w:color w:val="000000"/>
          <w:szCs w:val="20"/>
          <w:lang w:val="en-US" w:eastAsia="en-AU"/>
        </w:rPr>
        <w:t xml:space="preserve"> </w:t>
      </w:r>
      <w:r w:rsidRPr="00EC3802">
        <w:rPr>
          <w:rFonts w:cs="Arial"/>
          <w:i/>
          <w:iCs/>
          <w:color w:val="000000"/>
          <w:szCs w:val="20"/>
          <w:lang w:val="en-US" w:eastAsia="en-AU"/>
        </w:rPr>
        <w:t>for</w:t>
      </w:r>
      <w:r w:rsidR="00EC3802">
        <w:rPr>
          <w:rFonts w:cs="Arial"/>
          <w:i/>
          <w:iCs/>
          <w:color w:val="000000"/>
          <w:szCs w:val="20"/>
          <w:lang w:val="en-US" w:eastAsia="en-AU"/>
        </w:rPr>
        <w:t xml:space="preserve"> </w:t>
      </w:r>
      <w:r w:rsidRPr="00EC3802">
        <w:rPr>
          <w:rFonts w:cs="Arial"/>
          <w:i/>
          <w:iCs/>
          <w:color w:val="000000"/>
          <w:szCs w:val="20"/>
          <w:lang w:val="en-US" w:eastAsia="en-AU"/>
        </w:rPr>
        <w:t>a</w:t>
      </w:r>
      <w:r w:rsidR="00EC3802">
        <w:rPr>
          <w:rFonts w:cs="Arial"/>
          <w:i/>
          <w:iCs/>
          <w:color w:val="000000"/>
          <w:szCs w:val="20"/>
          <w:lang w:val="en-US" w:eastAsia="en-AU"/>
        </w:rPr>
        <w:t xml:space="preserve"> </w:t>
      </w:r>
      <w:r w:rsidRPr="00EC3802">
        <w:rPr>
          <w:rFonts w:cs="Arial"/>
          <w:i/>
          <w:iCs/>
          <w:color w:val="000000"/>
          <w:szCs w:val="20"/>
          <w:lang w:val="en-US" w:eastAsia="en-AU"/>
        </w:rPr>
        <w:t>Fair</w:t>
      </w:r>
      <w:r w:rsidR="00EC3802">
        <w:rPr>
          <w:rFonts w:cs="Arial"/>
          <w:i/>
          <w:iCs/>
          <w:color w:val="000000"/>
          <w:szCs w:val="20"/>
          <w:lang w:val="en-US" w:eastAsia="en-AU"/>
        </w:rPr>
        <w:t xml:space="preserve"> </w:t>
      </w:r>
      <w:r w:rsidRPr="00EC3802">
        <w:rPr>
          <w:rFonts w:cs="Arial"/>
          <w:i/>
          <w:iCs/>
          <w:color w:val="000000"/>
          <w:szCs w:val="20"/>
          <w:lang w:val="en-US" w:eastAsia="en-AU"/>
        </w:rPr>
        <w:t>Globalization,</w:t>
      </w:r>
      <w:r w:rsidR="00EC3802">
        <w:rPr>
          <w:rFonts w:cs="Arial"/>
          <w:i/>
          <w:iCs/>
          <w:color w:val="000000"/>
          <w:szCs w:val="20"/>
          <w:lang w:val="en-US" w:eastAsia="en-AU"/>
        </w:rPr>
        <w:t xml:space="preserve"> </w:t>
      </w:r>
      <w:r w:rsidRPr="00EC3802">
        <w:rPr>
          <w:rFonts w:cs="Arial"/>
          <w:i/>
          <w:iCs/>
          <w:color w:val="000000"/>
          <w:szCs w:val="20"/>
          <w:lang w:val="en-US" w:eastAsia="en-AU"/>
        </w:rPr>
        <w:t>2008</w:t>
      </w:r>
      <w:r w:rsidRPr="00EC3802">
        <w:rPr>
          <w:rFonts w:cs="Arial"/>
          <w:color w:val="000000"/>
          <w:szCs w:val="20"/>
          <w:lang w:val="en-US" w:eastAsia="en-AU"/>
        </w:rPr>
        <w:t>, International Labour Conference, 101</w:t>
      </w:r>
      <w:r w:rsidRPr="00EC3802">
        <w:rPr>
          <w:rFonts w:cs="Arial"/>
          <w:color w:val="000000"/>
          <w:szCs w:val="20"/>
          <w:vertAlign w:val="superscript"/>
          <w:lang w:val="en-US" w:eastAsia="en-AU"/>
        </w:rPr>
        <w:t>st</w:t>
      </w:r>
      <w:r w:rsidRPr="00EC3802">
        <w:rPr>
          <w:rFonts w:cs="Arial"/>
          <w:color w:val="000000"/>
          <w:szCs w:val="20"/>
          <w:lang w:val="en-US" w:eastAsia="en-AU"/>
        </w:rPr>
        <w:t xml:space="preserve"> Session, 2012, Report III (Part 1B), p 312.</w:t>
      </w:r>
    </w:p>
    <w:p w14:paraId="0DDB7B57" w14:textId="5106E71F"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3</w:t>
      </w:r>
      <w:r w:rsidRPr="00EC3802">
        <w:rPr>
          <w:rFonts w:cs="Arial"/>
          <w:color w:val="000000"/>
          <w:szCs w:val="20"/>
          <w:lang w:val="en-US" w:eastAsia="en-AU"/>
        </w:rPr>
        <w:tab/>
        <w:t xml:space="preserve">CEACR, </w:t>
      </w:r>
      <w:r w:rsidRPr="00EC3802">
        <w:rPr>
          <w:rFonts w:cs="Arial"/>
          <w:i/>
          <w:iCs/>
          <w:color w:val="000000"/>
          <w:szCs w:val="20"/>
          <w:lang w:val="en-US" w:eastAsia="en-AU"/>
        </w:rPr>
        <w:t>General</w:t>
      </w:r>
      <w:r w:rsidR="0037390D">
        <w:rPr>
          <w:rFonts w:cs="Arial"/>
          <w:i/>
          <w:iCs/>
          <w:color w:val="000000"/>
          <w:szCs w:val="20"/>
          <w:lang w:val="en-US" w:eastAsia="en-AU"/>
        </w:rPr>
        <w:t xml:space="preserve"> </w:t>
      </w:r>
      <w:r w:rsidRPr="00EC3802">
        <w:rPr>
          <w:rFonts w:cs="Arial"/>
          <w:i/>
          <w:iCs/>
          <w:color w:val="000000"/>
          <w:szCs w:val="20"/>
          <w:lang w:val="en-US" w:eastAsia="en-AU"/>
        </w:rPr>
        <w:t>Survey</w:t>
      </w:r>
      <w:r w:rsidR="0037390D">
        <w:rPr>
          <w:rFonts w:cs="Arial"/>
          <w:i/>
          <w:iCs/>
          <w:color w:val="000000"/>
          <w:szCs w:val="20"/>
          <w:lang w:val="en-US" w:eastAsia="en-AU"/>
        </w:rPr>
        <w:t xml:space="preserve"> </w:t>
      </w:r>
      <w:r w:rsidRPr="00EC3802">
        <w:rPr>
          <w:rFonts w:cs="Arial"/>
          <w:i/>
          <w:iCs/>
          <w:color w:val="000000"/>
          <w:szCs w:val="20"/>
          <w:lang w:val="en-US" w:eastAsia="en-AU"/>
        </w:rPr>
        <w:t>on</w:t>
      </w:r>
      <w:r w:rsidR="0037390D">
        <w:rPr>
          <w:rFonts w:cs="Arial"/>
          <w:i/>
          <w:iCs/>
          <w:color w:val="000000"/>
          <w:szCs w:val="20"/>
          <w:lang w:val="en-US" w:eastAsia="en-AU"/>
        </w:rPr>
        <w:t xml:space="preserve"> </w:t>
      </w:r>
      <w:r w:rsidRPr="00EC3802">
        <w:rPr>
          <w:rFonts w:cs="Arial"/>
          <w:i/>
          <w:iCs/>
          <w:color w:val="000000"/>
          <w:szCs w:val="20"/>
          <w:lang w:val="en-US" w:eastAsia="en-AU"/>
        </w:rPr>
        <w:t>the</w:t>
      </w:r>
      <w:r w:rsidR="0037390D">
        <w:rPr>
          <w:rFonts w:cs="Arial"/>
          <w:i/>
          <w:iCs/>
          <w:color w:val="000000"/>
          <w:szCs w:val="20"/>
          <w:lang w:val="en-US" w:eastAsia="en-AU"/>
        </w:rPr>
        <w:t xml:space="preserve"> </w:t>
      </w:r>
      <w:r w:rsidRPr="00EC3802">
        <w:rPr>
          <w:rFonts w:cs="Arial"/>
          <w:i/>
          <w:iCs/>
          <w:color w:val="000000"/>
          <w:szCs w:val="20"/>
          <w:lang w:val="en-US" w:eastAsia="en-AU"/>
        </w:rPr>
        <w:t>fundamental</w:t>
      </w:r>
      <w:r w:rsidR="0037390D">
        <w:rPr>
          <w:rFonts w:cs="Arial"/>
          <w:i/>
          <w:iCs/>
          <w:color w:val="000000"/>
          <w:szCs w:val="20"/>
          <w:lang w:val="en-US" w:eastAsia="en-AU"/>
        </w:rPr>
        <w:t xml:space="preserve"> </w:t>
      </w:r>
      <w:r w:rsidRPr="00EC3802">
        <w:rPr>
          <w:rFonts w:cs="Arial"/>
          <w:i/>
          <w:iCs/>
          <w:color w:val="000000"/>
          <w:szCs w:val="20"/>
          <w:lang w:val="en-US" w:eastAsia="en-AU"/>
        </w:rPr>
        <w:t>Conventions</w:t>
      </w:r>
      <w:r w:rsidR="0037390D">
        <w:rPr>
          <w:rFonts w:cs="Arial"/>
          <w:i/>
          <w:iCs/>
          <w:color w:val="000000"/>
          <w:szCs w:val="20"/>
          <w:lang w:val="en-US" w:eastAsia="en-AU"/>
        </w:rPr>
        <w:t xml:space="preserve"> </w:t>
      </w:r>
      <w:r w:rsidRPr="00EC3802">
        <w:rPr>
          <w:rFonts w:cs="Arial"/>
          <w:i/>
          <w:iCs/>
          <w:color w:val="000000"/>
          <w:szCs w:val="20"/>
          <w:lang w:val="en-US" w:eastAsia="en-AU"/>
        </w:rPr>
        <w:t>concerning</w:t>
      </w:r>
      <w:r w:rsidR="0037390D">
        <w:rPr>
          <w:rFonts w:cs="Arial"/>
          <w:i/>
          <w:iCs/>
          <w:color w:val="000000"/>
          <w:szCs w:val="20"/>
          <w:lang w:val="en-US" w:eastAsia="en-AU"/>
        </w:rPr>
        <w:t xml:space="preserve"> </w:t>
      </w:r>
      <w:r w:rsidRPr="00EC3802">
        <w:rPr>
          <w:rFonts w:cs="Arial"/>
          <w:i/>
          <w:iCs/>
          <w:color w:val="000000"/>
          <w:szCs w:val="20"/>
          <w:lang w:val="en-US" w:eastAsia="en-AU"/>
        </w:rPr>
        <w:t>rights</w:t>
      </w:r>
      <w:r w:rsidR="0037390D">
        <w:rPr>
          <w:rFonts w:cs="Arial"/>
          <w:i/>
          <w:iCs/>
          <w:color w:val="000000"/>
          <w:szCs w:val="20"/>
          <w:lang w:val="en-US" w:eastAsia="en-AU"/>
        </w:rPr>
        <w:t xml:space="preserve"> </w:t>
      </w:r>
      <w:r w:rsidRPr="00EC3802">
        <w:rPr>
          <w:rFonts w:cs="Arial"/>
          <w:i/>
          <w:iCs/>
          <w:color w:val="000000"/>
          <w:szCs w:val="20"/>
          <w:lang w:val="en-US" w:eastAsia="en-AU"/>
        </w:rPr>
        <w:t>at</w:t>
      </w:r>
      <w:r w:rsidR="0037390D">
        <w:rPr>
          <w:rFonts w:cs="Arial"/>
          <w:i/>
          <w:iCs/>
          <w:color w:val="000000"/>
          <w:szCs w:val="20"/>
          <w:lang w:val="en-US" w:eastAsia="en-AU"/>
        </w:rPr>
        <w:t xml:space="preserve"> </w:t>
      </w:r>
      <w:r w:rsidRPr="00EC3802">
        <w:rPr>
          <w:rFonts w:cs="Arial"/>
          <w:i/>
          <w:iCs/>
          <w:color w:val="000000"/>
          <w:szCs w:val="20"/>
          <w:lang w:val="en-US" w:eastAsia="en-AU"/>
        </w:rPr>
        <w:t>work</w:t>
      </w:r>
      <w:r w:rsidR="0037390D">
        <w:rPr>
          <w:rFonts w:cs="Arial"/>
          <w:i/>
          <w:iCs/>
          <w:color w:val="000000"/>
          <w:szCs w:val="20"/>
          <w:lang w:val="en-US" w:eastAsia="en-AU"/>
        </w:rPr>
        <w:t xml:space="preserve"> </w:t>
      </w:r>
      <w:r w:rsidRPr="00EC3802">
        <w:rPr>
          <w:rFonts w:cs="Arial"/>
          <w:i/>
          <w:iCs/>
          <w:color w:val="000000"/>
          <w:szCs w:val="20"/>
          <w:lang w:val="en-US" w:eastAsia="en-AU"/>
        </w:rPr>
        <w:t>in</w:t>
      </w:r>
      <w:r w:rsidR="0037390D">
        <w:rPr>
          <w:rFonts w:cs="Arial"/>
          <w:i/>
          <w:iCs/>
          <w:color w:val="000000"/>
          <w:szCs w:val="20"/>
          <w:lang w:val="en-US" w:eastAsia="en-AU"/>
        </w:rPr>
        <w:t xml:space="preserve"> </w:t>
      </w:r>
      <w:r w:rsidRPr="00EC3802">
        <w:rPr>
          <w:rFonts w:cs="Arial"/>
          <w:i/>
          <w:iCs/>
          <w:color w:val="000000"/>
          <w:szCs w:val="20"/>
          <w:lang w:val="en-US" w:eastAsia="en-AU"/>
        </w:rPr>
        <w:t>light</w:t>
      </w:r>
      <w:r w:rsidR="0037390D">
        <w:rPr>
          <w:rFonts w:cs="Arial"/>
          <w:i/>
          <w:iCs/>
          <w:color w:val="000000"/>
          <w:szCs w:val="20"/>
          <w:lang w:val="en-US" w:eastAsia="en-AU"/>
        </w:rPr>
        <w:t xml:space="preserve"> </w:t>
      </w:r>
      <w:r w:rsidRPr="00EC3802">
        <w:rPr>
          <w:rFonts w:cs="Arial"/>
          <w:i/>
          <w:iCs/>
          <w:color w:val="000000"/>
          <w:szCs w:val="20"/>
          <w:lang w:val="en-US" w:eastAsia="en-AU"/>
        </w:rPr>
        <w:t>of</w:t>
      </w:r>
      <w:r w:rsidR="0037390D">
        <w:rPr>
          <w:rFonts w:cs="Arial"/>
          <w:i/>
          <w:iCs/>
          <w:color w:val="000000"/>
          <w:szCs w:val="20"/>
          <w:lang w:val="en-US" w:eastAsia="en-AU"/>
        </w:rPr>
        <w:t xml:space="preserve"> </w:t>
      </w:r>
      <w:r w:rsidRPr="00EC3802">
        <w:rPr>
          <w:rFonts w:cs="Arial"/>
          <w:i/>
          <w:iCs/>
          <w:color w:val="000000"/>
          <w:szCs w:val="20"/>
          <w:lang w:val="en-US" w:eastAsia="en-AU"/>
        </w:rPr>
        <w:t>the</w:t>
      </w:r>
      <w:r w:rsidR="0037390D">
        <w:rPr>
          <w:rFonts w:cs="Arial"/>
          <w:i/>
          <w:iCs/>
          <w:color w:val="000000"/>
          <w:szCs w:val="20"/>
          <w:lang w:val="en-US" w:eastAsia="en-AU"/>
        </w:rPr>
        <w:t xml:space="preserve"> </w:t>
      </w:r>
      <w:r w:rsidRPr="00EC3802">
        <w:rPr>
          <w:rFonts w:cs="Arial"/>
          <w:i/>
          <w:iCs/>
          <w:color w:val="000000"/>
          <w:szCs w:val="20"/>
          <w:lang w:val="en-US" w:eastAsia="en-AU"/>
        </w:rPr>
        <w:t>ILO</w:t>
      </w:r>
      <w:r w:rsidR="0037390D">
        <w:rPr>
          <w:rFonts w:cs="Arial"/>
          <w:i/>
          <w:iCs/>
          <w:color w:val="000000"/>
          <w:szCs w:val="20"/>
          <w:lang w:val="en-US" w:eastAsia="en-AU"/>
        </w:rPr>
        <w:t xml:space="preserve"> </w:t>
      </w:r>
      <w:r w:rsidRPr="00EC3802">
        <w:rPr>
          <w:rFonts w:cs="Arial"/>
          <w:i/>
          <w:iCs/>
          <w:color w:val="000000"/>
          <w:szCs w:val="20"/>
          <w:lang w:val="en-US" w:eastAsia="en-AU"/>
        </w:rPr>
        <w:t>Declaration</w:t>
      </w:r>
      <w:r w:rsidR="0037390D">
        <w:rPr>
          <w:rFonts w:cs="Arial"/>
          <w:i/>
          <w:iCs/>
          <w:color w:val="000000"/>
          <w:szCs w:val="20"/>
          <w:lang w:val="en-US" w:eastAsia="en-AU"/>
        </w:rPr>
        <w:t xml:space="preserve"> </w:t>
      </w:r>
      <w:r w:rsidRPr="00EC3802">
        <w:rPr>
          <w:rFonts w:cs="Arial"/>
          <w:i/>
          <w:iCs/>
          <w:color w:val="000000"/>
          <w:szCs w:val="20"/>
          <w:lang w:val="en-US" w:eastAsia="en-AU"/>
        </w:rPr>
        <w:t>on</w:t>
      </w:r>
      <w:r w:rsidR="0037390D">
        <w:rPr>
          <w:rFonts w:cs="Arial"/>
          <w:i/>
          <w:iCs/>
          <w:color w:val="000000"/>
          <w:szCs w:val="20"/>
          <w:lang w:val="en-US" w:eastAsia="en-AU"/>
        </w:rPr>
        <w:t xml:space="preserve"> </w:t>
      </w:r>
      <w:r w:rsidRPr="00EC3802">
        <w:rPr>
          <w:rFonts w:cs="Arial"/>
          <w:i/>
          <w:iCs/>
          <w:color w:val="000000"/>
          <w:szCs w:val="20"/>
          <w:lang w:val="en-US" w:eastAsia="en-AU"/>
        </w:rPr>
        <w:t>Social</w:t>
      </w:r>
      <w:r w:rsidR="0037390D">
        <w:rPr>
          <w:rFonts w:cs="Arial"/>
          <w:i/>
          <w:iCs/>
          <w:color w:val="000000"/>
          <w:szCs w:val="20"/>
          <w:lang w:val="en-US" w:eastAsia="en-AU"/>
        </w:rPr>
        <w:t xml:space="preserve"> </w:t>
      </w:r>
      <w:r w:rsidRPr="00EC3802">
        <w:rPr>
          <w:rFonts w:cs="Arial"/>
          <w:i/>
          <w:iCs/>
          <w:color w:val="000000"/>
          <w:szCs w:val="20"/>
          <w:lang w:val="en-US" w:eastAsia="en-AU"/>
        </w:rPr>
        <w:t>Justice</w:t>
      </w:r>
      <w:r w:rsidR="0037390D">
        <w:rPr>
          <w:rFonts w:cs="Arial"/>
          <w:i/>
          <w:iCs/>
          <w:color w:val="000000"/>
          <w:szCs w:val="20"/>
          <w:lang w:val="en-US" w:eastAsia="en-AU"/>
        </w:rPr>
        <w:t xml:space="preserve"> </w:t>
      </w:r>
      <w:r w:rsidRPr="00EC3802">
        <w:rPr>
          <w:rFonts w:cs="Arial"/>
          <w:i/>
          <w:iCs/>
          <w:color w:val="000000"/>
          <w:szCs w:val="20"/>
          <w:lang w:val="en-US" w:eastAsia="en-AU"/>
        </w:rPr>
        <w:t>for</w:t>
      </w:r>
      <w:r w:rsidR="0037390D">
        <w:rPr>
          <w:rFonts w:cs="Arial"/>
          <w:i/>
          <w:iCs/>
          <w:color w:val="000000"/>
          <w:szCs w:val="20"/>
          <w:lang w:val="en-US" w:eastAsia="en-AU"/>
        </w:rPr>
        <w:t xml:space="preserve"> </w:t>
      </w:r>
      <w:r w:rsidRPr="00EC3802">
        <w:rPr>
          <w:rFonts w:cs="Arial"/>
          <w:i/>
          <w:iCs/>
          <w:color w:val="000000"/>
          <w:szCs w:val="20"/>
          <w:lang w:val="en-US" w:eastAsia="en-AU"/>
        </w:rPr>
        <w:t>a</w:t>
      </w:r>
      <w:r w:rsidR="0037390D">
        <w:rPr>
          <w:rFonts w:cs="Arial"/>
          <w:i/>
          <w:iCs/>
          <w:color w:val="000000"/>
          <w:szCs w:val="20"/>
          <w:lang w:val="en-US" w:eastAsia="en-AU"/>
        </w:rPr>
        <w:t xml:space="preserve"> </w:t>
      </w:r>
      <w:r w:rsidRPr="00EC3802">
        <w:rPr>
          <w:rFonts w:cs="Arial"/>
          <w:i/>
          <w:iCs/>
          <w:color w:val="000000"/>
          <w:szCs w:val="20"/>
          <w:lang w:val="en-US" w:eastAsia="en-AU"/>
        </w:rPr>
        <w:t>Fair</w:t>
      </w:r>
      <w:r w:rsidR="0037390D">
        <w:rPr>
          <w:rFonts w:cs="Arial"/>
          <w:i/>
          <w:iCs/>
          <w:color w:val="000000"/>
          <w:szCs w:val="20"/>
          <w:lang w:val="en-US" w:eastAsia="en-AU"/>
        </w:rPr>
        <w:t xml:space="preserve"> </w:t>
      </w:r>
      <w:r w:rsidRPr="00EC3802">
        <w:rPr>
          <w:rFonts w:cs="Arial"/>
          <w:i/>
          <w:iCs/>
          <w:color w:val="000000"/>
          <w:szCs w:val="20"/>
          <w:lang w:val="en-US" w:eastAsia="en-AU"/>
        </w:rPr>
        <w:t>Globalization,</w:t>
      </w:r>
      <w:r w:rsidR="0037390D">
        <w:rPr>
          <w:rFonts w:cs="Arial"/>
          <w:i/>
          <w:iCs/>
          <w:color w:val="000000"/>
          <w:szCs w:val="20"/>
          <w:lang w:val="en-US" w:eastAsia="en-AU"/>
        </w:rPr>
        <w:t xml:space="preserve"> </w:t>
      </w:r>
      <w:r w:rsidRPr="00EC3802">
        <w:rPr>
          <w:rFonts w:cs="Arial"/>
          <w:i/>
          <w:iCs/>
          <w:color w:val="000000"/>
          <w:szCs w:val="20"/>
          <w:lang w:val="en-US" w:eastAsia="en-AU"/>
        </w:rPr>
        <w:t>2008</w:t>
      </w:r>
      <w:r w:rsidRPr="00EC3802">
        <w:rPr>
          <w:rFonts w:cs="Arial"/>
          <w:color w:val="000000"/>
          <w:szCs w:val="20"/>
          <w:lang w:val="en-US" w:eastAsia="en-AU"/>
        </w:rPr>
        <w:t>, International Labour Conference, 101</w:t>
      </w:r>
      <w:r w:rsidRPr="00EC3802">
        <w:rPr>
          <w:rFonts w:cs="Arial"/>
          <w:color w:val="000000"/>
          <w:szCs w:val="20"/>
          <w:vertAlign w:val="superscript"/>
          <w:lang w:val="en-US" w:eastAsia="en-AU"/>
        </w:rPr>
        <w:t>st</w:t>
      </w:r>
      <w:r w:rsidRPr="00EC3802">
        <w:rPr>
          <w:rFonts w:cs="Arial"/>
          <w:color w:val="000000"/>
          <w:szCs w:val="20"/>
          <w:lang w:val="en-US" w:eastAsia="en-AU"/>
        </w:rPr>
        <w:t xml:space="preserve"> Session, 2012, Report III (Part 1B), p 330.</w:t>
      </w:r>
    </w:p>
    <w:p w14:paraId="38175FF2" w14:textId="5C8E71EE"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4</w:t>
      </w:r>
      <w:r w:rsidRPr="00EC3802">
        <w:rPr>
          <w:rFonts w:cs="Arial"/>
          <w:color w:val="000000"/>
          <w:szCs w:val="20"/>
          <w:lang w:val="en-US" w:eastAsia="en-AU"/>
        </w:rPr>
        <w:tab/>
        <w:t xml:space="preserve">CEACR, </w:t>
      </w:r>
      <w:r w:rsidRPr="00EC3802">
        <w:rPr>
          <w:rFonts w:cs="Arial"/>
          <w:i/>
          <w:iCs/>
          <w:color w:val="000000"/>
          <w:szCs w:val="20"/>
          <w:lang w:val="en-US" w:eastAsia="en-AU"/>
        </w:rPr>
        <w:t>General</w:t>
      </w:r>
      <w:r w:rsidR="0037390D">
        <w:rPr>
          <w:rFonts w:cs="Arial"/>
          <w:i/>
          <w:iCs/>
          <w:color w:val="000000"/>
          <w:szCs w:val="20"/>
          <w:lang w:val="en-US" w:eastAsia="en-AU"/>
        </w:rPr>
        <w:t xml:space="preserve"> </w:t>
      </w:r>
      <w:r w:rsidRPr="00EC3802">
        <w:rPr>
          <w:rFonts w:cs="Arial"/>
          <w:i/>
          <w:iCs/>
          <w:color w:val="000000"/>
          <w:szCs w:val="20"/>
          <w:lang w:val="en-US" w:eastAsia="en-AU"/>
        </w:rPr>
        <w:t>Report</w:t>
      </w:r>
      <w:r w:rsidR="0037390D">
        <w:rPr>
          <w:rFonts w:cs="Arial"/>
          <w:i/>
          <w:iCs/>
          <w:color w:val="000000"/>
          <w:szCs w:val="20"/>
          <w:lang w:val="en-US" w:eastAsia="en-AU"/>
        </w:rPr>
        <w:t xml:space="preserve"> </w:t>
      </w:r>
      <w:r w:rsidRPr="00EC3802">
        <w:rPr>
          <w:rFonts w:cs="Arial"/>
          <w:i/>
          <w:iCs/>
          <w:color w:val="000000"/>
          <w:szCs w:val="20"/>
          <w:lang w:val="en-US" w:eastAsia="en-AU"/>
        </w:rPr>
        <w:t>and</w:t>
      </w:r>
      <w:r w:rsidR="0037390D">
        <w:rPr>
          <w:rFonts w:cs="Arial"/>
          <w:i/>
          <w:iCs/>
          <w:color w:val="000000"/>
          <w:szCs w:val="20"/>
          <w:lang w:val="en-US" w:eastAsia="en-AU"/>
        </w:rPr>
        <w:t xml:space="preserve"> </w:t>
      </w:r>
      <w:r w:rsidRPr="00EC3802">
        <w:rPr>
          <w:rFonts w:cs="Arial"/>
          <w:i/>
          <w:iCs/>
          <w:color w:val="000000"/>
          <w:szCs w:val="20"/>
          <w:lang w:val="en-US" w:eastAsia="en-AU"/>
        </w:rPr>
        <w:t>observations</w:t>
      </w:r>
      <w:r w:rsidR="0037390D">
        <w:rPr>
          <w:rFonts w:cs="Arial"/>
          <w:i/>
          <w:iCs/>
          <w:color w:val="000000"/>
          <w:szCs w:val="20"/>
          <w:lang w:val="en-US" w:eastAsia="en-AU"/>
        </w:rPr>
        <w:t xml:space="preserve"> </w:t>
      </w:r>
      <w:r w:rsidRPr="00EC3802">
        <w:rPr>
          <w:rFonts w:cs="Arial"/>
          <w:i/>
          <w:iCs/>
          <w:color w:val="000000"/>
          <w:szCs w:val="20"/>
          <w:lang w:val="en-US" w:eastAsia="en-AU"/>
        </w:rPr>
        <w:t>concerning</w:t>
      </w:r>
      <w:r w:rsidR="0037390D">
        <w:rPr>
          <w:rFonts w:cs="Arial"/>
          <w:i/>
          <w:iCs/>
          <w:color w:val="000000"/>
          <w:szCs w:val="20"/>
          <w:lang w:val="en-US" w:eastAsia="en-AU"/>
        </w:rPr>
        <w:t xml:space="preserve"> </w:t>
      </w:r>
      <w:r w:rsidRPr="00EC3802">
        <w:rPr>
          <w:rFonts w:cs="Arial"/>
          <w:i/>
          <w:iCs/>
          <w:color w:val="000000"/>
          <w:szCs w:val="20"/>
          <w:lang w:val="en-US" w:eastAsia="en-AU"/>
        </w:rPr>
        <w:t>particular</w:t>
      </w:r>
      <w:r w:rsidR="0037390D">
        <w:rPr>
          <w:rFonts w:cs="Arial"/>
          <w:i/>
          <w:iCs/>
          <w:color w:val="000000"/>
          <w:szCs w:val="20"/>
          <w:lang w:val="en-US" w:eastAsia="en-AU"/>
        </w:rPr>
        <w:t xml:space="preserve"> </w:t>
      </w:r>
      <w:r w:rsidRPr="00EC3802">
        <w:rPr>
          <w:rFonts w:cs="Arial"/>
          <w:i/>
          <w:iCs/>
          <w:color w:val="000000"/>
          <w:szCs w:val="20"/>
          <w:lang w:val="en-US" w:eastAsia="en-AU"/>
        </w:rPr>
        <w:t>countries</w:t>
      </w:r>
      <w:r w:rsidRPr="00EC3802">
        <w:rPr>
          <w:rFonts w:cs="Arial"/>
          <w:color w:val="000000"/>
          <w:szCs w:val="20"/>
          <w:lang w:val="en-US" w:eastAsia="en-AU"/>
        </w:rPr>
        <w:t>, International Labour Conference, 91</w:t>
      </w:r>
      <w:r w:rsidRPr="00EC3802">
        <w:rPr>
          <w:rFonts w:cs="Arial"/>
          <w:color w:val="000000"/>
          <w:szCs w:val="20"/>
          <w:vertAlign w:val="superscript"/>
          <w:lang w:val="en-US" w:eastAsia="en-AU"/>
        </w:rPr>
        <w:t>st</w:t>
      </w:r>
      <w:r w:rsidRPr="00EC3802">
        <w:rPr>
          <w:rFonts w:cs="Arial"/>
          <w:color w:val="000000"/>
          <w:szCs w:val="20"/>
          <w:lang w:val="en-US" w:eastAsia="en-AU"/>
        </w:rPr>
        <w:t xml:space="preserve"> Session, 2003, Report III (Part 1A), p 463.</w:t>
      </w:r>
    </w:p>
    <w:p w14:paraId="73C88840" w14:textId="534C2BE0"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5</w:t>
      </w:r>
      <w:r w:rsidRPr="00EC3802">
        <w:rPr>
          <w:rFonts w:cs="Arial"/>
          <w:color w:val="000000"/>
          <w:szCs w:val="20"/>
          <w:lang w:val="en-US" w:eastAsia="en-AU"/>
        </w:rPr>
        <w:tab/>
        <w:t>AHRC Act</w:t>
      </w:r>
      <w:r w:rsidR="0037390D">
        <w:rPr>
          <w:rFonts w:cs="Arial"/>
          <w:i/>
          <w:iCs/>
          <w:color w:val="000000"/>
          <w:szCs w:val="20"/>
          <w:lang w:val="en-US" w:eastAsia="en-AU"/>
        </w:rPr>
        <w:t xml:space="preserve"> </w:t>
      </w:r>
      <w:r w:rsidRPr="00EC3802">
        <w:rPr>
          <w:rFonts w:cs="Arial"/>
          <w:color w:val="000000"/>
          <w:szCs w:val="20"/>
          <w:lang w:val="en-US" w:eastAsia="en-AU"/>
        </w:rPr>
        <w:t>s 35(2)(a).</w:t>
      </w:r>
    </w:p>
    <w:p w14:paraId="6F1FE812" w14:textId="77777777"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6</w:t>
      </w:r>
      <w:r w:rsidRPr="00EC3802">
        <w:rPr>
          <w:rFonts w:cs="Arial"/>
          <w:color w:val="000000"/>
          <w:szCs w:val="20"/>
          <w:lang w:val="en-US" w:eastAsia="en-AU"/>
        </w:rPr>
        <w:tab/>
        <w:t>AHRC Act s 35(2)(b).</w:t>
      </w:r>
    </w:p>
    <w:p w14:paraId="3616FF3D" w14:textId="1A40650A"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7</w:t>
      </w:r>
      <w:r w:rsidRPr="00EC3802">
        <w:rPr>
          <w:rFonts w:cs="Arial"/>
          <w:color w:val="000000"/>
          <w:szCs w:val="20"/>
          <w:lang w:val="en-US" w:eastAsia="en-AU"/>
        </w:rPr>
        <w:tab/>
        <w:t>AHRC Act</w:t>
      </w:r>
      <w:r w:rsidR="0037390D">
        <w:rPr>
          <w:rFonts w:cs="Arial"/>
          <w:i/>
          <w:iCs/>
          <w:color w:val="000000"/>
          <w:szCs w:val="20"/>
          <w:lang w:val="en-US" w:eastAsia="en-AU"/>
        </w:rPr>
        <w:t xml:space="preserve"> </w:t>
      </w:r>
      <w:r w:rsidRPr="00EC3802">
        <w:rPr>
          <w:rFonts w:cs="Arial"/>
          <w:color w:val="000000"/>
          <w:szCs w:val="20"/>
          <w:lang w:val="en-US" w:eastAsia="en-AU"/>
        </w:rPr>
        <w:t>s 35(2)(c).</w:t>
      </w:r>
    </w:p>
    <w:p w14:paraId="2B4A9503" w14:textId="14A40764"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8</w:t>
      </w:r>
      <w:r w:rsidRPr="00EC3802">
        <w:rPr>
          <w:rFonts w:cs="Arial"/>
          <w:color w:val="000000"/>
          <w:szCs w:val="20"/>
          <w:lang w:val="en-US" w:eastAsia="en-AU"/>
        </w:rPr>
        <w:tab/>
      </w:r>
      <w:r w:rsidRPr="00EC3802">
        <w:rPr>
          <w:rFonts w:cs="Arial"/>
          <w:i/>
          <w:iCs/>
          <w:color w:val="000000"/>
          <w:szCs w:val="20"/>
          <w:lang w:val="en-US" w:eastAsia="en-AU"/>
        </w:rPr>
        <w:t>Hall</w:t>
      </w:r>
      <w:r w:rsidR="0037390D">
        <w:rPr>
          <w:rFonts w:cs="Arial"/>
          <w:i/>
          <w:iCs/>
          <w:color w:val="000000"/>
          <w:szCs w:val="20"/>
          <w:lang w:val="en-US" w:eastAsia="en-AU"/>
        </w:rPr>
        <w:t xml:space="preserve"> </w:t>
      </w:r>
      <w:r w:rsidRPr="00EC3802">
        <w:rPr>
          <w:rFonts w:cs="Arial"/>
          <w:i/>
          <w:iCs/>
          <w:color w:val="000000"/>
          <w:szCs w:val="20"/>
          <w:lang w:val="en-US" w:eastAsia="en-AU"/>
        </w:rPr>
        <w:t>v</w:t>
      </w:r>
      <w:r w:rsidR="0037390D">
        <w:rPr>
          <w:rFonts w:cs="Arial"/>
          <w:i/>
          <w:iCs/>
          <w:color w:val="000000"/>
          <w:szCs w:val="20"/>
          <w:lang w:val="en-US" w:eastAsia="en-AU"/>
        </w:rPr>
        <w:t xml:space="preserve"> </w:t>
      </w:r>
      <w:r w:rsidRPr="00EC3802">
        <w:rPr>
          <w:rFonts w:cs="Arial"/>
          <w:i/>
          <w:iCs/>
          <w:color w:val="000000"/>
          <w:szCs w:val="20"/>
          <w:lang w:val="en-US" w:eastAsia="en-AU"/>
        </w:rPr>
        <w:t>Sheiban</w:t>
      </w:r>
      <w:r w:rsidR="0037390D">
        <w:rPr>
          <w:rFonts w:cs="Arial"/>
          <w:i/>
          <w:iCs/>
          <w:color w:val="000000"/>
          <w:szCs w:val="20"/>
          <w:lang w:val="en-US" w:eastAsia="en-AU"/>
        </w:rPr>
        <w:t xml:space="preserve"> </w:t>
      </w:r>
      <w:r w:rsidRPr="00EC3802">
        <w:rPr>
          <w:rFonts w:cs="Arial"/>
          <w:color w:val="000000"/>
          <w:szCs w:val="20"/>
          <w:lang w:val="en-US" w:eastAsia="en-AU"/>
        </w:rPr>
        <w:t>(1989) 20 FCR 217 at 256.</w:t>
      </w:r>
    </w:p>
    <w:p w14:paraId="6743635D" w14:textId="1C366EDD" w:rsidR="00C95492" w:rsidRPr="00EC3802" w:rsidRDefault="00C95492" w:rsidP="003739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EC3802">
        <w:rPr>
          <w:rFonts w:cs="Arial"/>
          <w:color w:val="000000"/>
          <w:szCs w:val="20"/>
          <w:lang w:val="en-US" w:eastAsia="en-AU"/>
        </w:rPr>
        <w:t>9</w:t>
      </w:r>
      <w:r w:rsidRPr="00EC3802">
        <w:rPr>
          <w:rFonts w:cs="Arial"/>
          <w:color w:val="000000"/>
          <w:szCs w:val="20"/>
          <w:lang w:val="en-US" w:eastAsia="en-AU"/>
        </w:rPr>
        <w:tab/>
      </w:r>
      <w:r w:rsidRPr="00EC3802">
        <w:rPr>
          <w:rFonts w:cs="Arial"/>
          <w:i/>
          <w:iCs/>
          <w:color w:val="000000"/>
          <w:szCs w:val="20"/>
          <w:lang w:val="en-US" w:eastAsia="en-AU"/>
        </w:rPr>
        <w:t>Alexander</w:t>
      </w:r>
      <w:r w:rsidR="0037390D">
        <w:rPr>
          <w:rFonts w:cs="Arial"/>
          <w:i/>
          <w:iCs/>
          <w:color w:val="000000"/>
          <w:szCs w:val="20"/>
          <w:lang w:val="en-US" w:eastAsia="en-AU"/>
        </w:rPr>
        <w:t xml:space="preserve"> </w:t>
      </w:r>
      <w:r w:rsidRPr="00EC3802">
        <w:rPr>
          <w:rFonts w:cs="Arial"/>
          <w:i/>
          <w:iCs/>
          <w:color w:val="000000"/>
          <w:szCs w:val="20"/>
          <w:lang w:val="en-US" w:eastAsia="en-AU"/>
        </w:rPr>
        <w:t>v</w:t>
      </w:r>
      <w:r w:rsidR="0037390D">
        <w:rPr>
          <w:rFonts w:cs="Arial"/>
          <w:i/>
          <w:iCs/>
          <w:color w:val="000000"/>
          <w:szCs w:val="20"/>
          <w:lang w:val="en-US" w:eastAsia="en-AU"/>
        </w:rPr>
        <w:t xml:space="preserve"> </w:t>
      </w:r>
      <w:r w:rsidRPr="00EC3802">
        <w:rPr>
          <w:rFonts w:cs="Arial"/>
          <w:i/>
          <w:iCs/>
          <w:color w:val="000000"/>
          <w:szCs w:val="20"/>
          <w:lang w:val="en-US" w:eastAsia="en-AU"/>
        </w:rPr>
        <w:t>Home</w:t>
      </w:r>
      <w:r w:rsidR="0037390D">
        <w:rPr>
          <w:rFonts w:cs="Arial"/>
          <w:i/>
          <w:iCs/>
          <w:color w:val="000000"/>
          <w:szCs w:val="20"/>
          <w:lang w:val="en-US" w:eastAsia="en-AU"/>
        </w:rPr>
        <w:t xml:space="preserve"> </w:t>
      </w:r>
      <w:r w:rsidRPr="00EC3802">
        <w:rPr>
          <w:rFonts w:cs="Arial"/>
          <w:i/>
          <w:iCs/>
          <w:color w:val="000000"/>
          <w:szCs w:val="20"/>
          <w:lang w:val="en-US" w:eastAsia="en-AU"/>
        </w:rPr>
        <w:t>Office</w:t>
      </w:r>
      <w:r w:rsidRPr="00EC3802">
        <w:rPr>
          <w:rFonts w:cs="Arial"/>
          <w:color w:val="000000"/>
          <w:szCs w:val="20"/>
          <w:lang w:val="en-US" w:eastAsia="en-AU"/>
        </w:rPr>
        <w:t xml:space="preserve"> [1988] 2 All ER 118 at 122.</w:t>
      </w:r>
    </w:p>
    <w:p w14:paraId="0829725A" w14:textId="4E6E6CAD" w:rsidR="000E3DC1" w:rsidRPr="00EC3802" w:rsidRDefault="00C95492" w:rsidP="0037390D">
      <w:pPr>
        <w:spacing w:after="0" w:line="240" w:lineRule="auto"/>
        <w:ind w:left="567" w:hanging="567"/>
        <w:rPr>
          <w:rFonts w:cs="Arial"/>
          <w:sz w:val="20"/>
          <w:szCs w:val="20"/>
          <w:lang w:val="en-AU"/>
        </w:rPr>
      </w:pPr>
      <w:r w:rsidRPr="00EC3802">
        <w:rPr>
          <w:rFonts w:cs="Arial"/>
          <w:color w:val="000000"/>
          <w:sz w:val="20"/>
          <w:szCs w:val="20"/>
          <w:lang w:val="en-US" w:eastAsia="en-AU"/>
        </w:rPr>
        <w:t>10</w:t>
      </w:r>
      <w:r w:rsidRPr="00EC3802">
        <w:rPr>
          <w:rFonts w:cs="Arial"/>
          <w:color w:val="000000"/>
          <w:sz w:val="20"/>
          <w:szCs w:val="20"/>
          <w:lang w:val="en-US" w:eastAsia="en-AU"/>
        </w:rPr>
        <w:tab/>
        <w:t xml:space="preserve">D Shelton, </w:t>
      </w:r>
      <w:r w:rsidRPr="00EC3802">
        <w:rPr>
          <w:rFonts w:cs="Arial"/>
          <w:i/>
          <w:iCs/>
          <w:color w:val="000000"/>
          <w:sz w:val="20"/>
          <w:szCs w:val="20"/>
          <w:lang w:val="en-US" w:eastAsia="en-AU"/>
        </w:rPr>
        <w:t>Remedies</w:t>
      </w:r>
      <w:r w:rsidR="0037390D">
        <w:rPr>
          <w:rFonts w:cs="Arial"/>
          <w:i/>
          <w:iCs/>
          <w:color w:val="000000"/>
          <w:sz w:val="20"/>
          <w:szCs w:val="20"/>
          <w:lang w:val="en-US" w:eastAsia="en-AU"/>
        </w:rPr>
        <w:t xml:space="preserve"> </w:t>
      </w:r>
      <w:r w:rsidRPr="00EC3802">
        <w:rPr>
          <w:rFonts w:cs="Arial"/>
          <w:i/>
          <w:iCs/>
          <w:color w:val="000000"/>
          <w:sz w:val="20"/>
          <w:szCs w:val="20"/>
          <w:lang w:val="en-US" w:eastAsia="en-AU"/>
        </w:rPr>
        <w:t>in</w:t>
      </w:r>
      <w:r w:rsidR="0037390D">
        <w:rPr>
          <w:rFonts w:cs="Arial"/>
          <w:i/>
          <w:iCs/>
          <w:color w:val="000000"/>
          <w:sz w:val="20"/>
          <w:szCs w:val="20"/>
          <w:lang w:val="en-US" w:eastAsia="en-AU"/>
        </w:rPr>
        <w:t xml:space="preserve"> </w:t>
      </w:r>
      <w:r w:rsidRPr="00EC3802">
        <w:rPr>
          <w:rFonts w:cs="Arial"/>
          <w:i/>
          <w:iCs/>
          <w:color w:val="000000"/>
          <w:sz w:val="20"/>
          <w:szCs w:val="20"/>
          <w:lang w:val="en-US" w:eastAsia="en-AU"/>
        </w:rPr>
        <w:t>International</w:t>
      </w:r>
      <w:r w:rsidR="0037390D">
        <w:rPr>
          <w:rFonts w:cs="Arial"/>
          <w:i/>
          <w:iCs/>
          <w:color w:val="000000"/>
          <w:sz w:val="20"/>
          <w:szCs w:val="20"/>
          <w:lang w:val="en-US" w:eastAsia="en-AU"/>
        </w:rPr>
        <w:t xml:space="preserve"> </w:t>
      </w:r>
      <w:r w:rsidRPr="00EC3802">
        <w:rPr>
          <w:rFonts w:cs="Arial"/>
          <w:i/>
          <w:iCs/>
          <w:color w:val="000000"/>
          <w:sz w:val="20"/>
          <w:szCs w:val="20"/>
          <w:lang w:val="en-US" w:eastAsia="en-AU"/>
        </w:rPr>
        <w:t>Human</w:t>
      </w:r>
      <w:r w:rsidR="0037390D">
        <w:rPr>
          <w:rFonts w:cs="Arial"/>
          <w:i/>
          <w:iCs/>
          <w:color w:val="000000"/>
          <w:sz w:val="20"/>
          <w:szCs w:val="20"/>
          <w:lang w:val="en-US" w:eastAsia="en-AU"/>
        </w:rPr>
        <w:t xml:space="preserve"> </w:t>
      </w:r>
      <w:r w:rsidRPr="00EC3802">
        <w:rPr>
          <w:rFonts w:cs="Arial"/>
          <w:i/>
          <w:iCs/>
          <w:color w:val="000000"/>
          <w:sz w:val="20"/>
          <w:szCs w:val="20"/>
          <w:lang w:val="en-US" w:eastAsia="en-AU"/>
        </w:rPr>
        <w:t>Rights</w:t>
      </w:r>
      <w:r w:rsidR="0037390D">
        <w:rPr>
          <w:rFonts w:cs="Arial"/>
          <w:i/>
          <w:iCs/>
          <w:color w:val="000000"/>
          <w:sz w:val="20"/>
          <w:szCs w:val="20"/>
          <w:lang w:val="en-US" w:eastAsia="en-AU"/>
        </w:rPr>
        <w:t xml:space="preserve"> </w:t>
      </w:r>
      <w:r w:rsidRPr="00EC3802">
        <w:rPr>
          <w:rFonts w:cs="Arial"/>
          <w:i/>
          <w:iCs/>
          <w:color w:val="000000"/>
          <w:sz w:val="20"/>
          <w:szCs w:val="20"/>
          <w:lang w:val="en-US" w:eastAsia="en-AU"/>
        </w:rPr>
        <w:t>Law</w:t>
      </w:r>
      <w:r w:rsidR="0037390D">
        <w:rPr>
          <w:rFonts w:cs="Arial"/>
          <w:i/>
          <w:iCs/>
          <w:color w:val="000000"/>
          <w:sz w:val="20"/>
          <w:szCs w:val="20"/>
          <w:lang w:val="en-US" w:eastAsia="en-AU"/>
        </w:rPr>
        <w:t xml:space="preserve"> </w:t>
      </w:r>
      <w:r w:rsidRPr="00EC3802">
        <w:rPr>
          <w:rFonts w:cs="Arial"/>
          <w:color w:val="000000"/>
          <w:sz w:val="20"/>
          <w:szCs w:val="20"/>
          <w:lang w:val="en-US" w:eastAsia="en-AU"/>
        </w:rPr>
        <w:t>(2000) 151.</w:t>
      </w:r>
    </w:p>
    <w:sectPr w:rsidR="000E3DC1" w:rsidRPr="00EC3802" w:rsidSect="00B05C51">
      <w:footerReference w:type="even" r:id="rId16"/>
      <w:footerReference w:type="default" r:id="rId17"/>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EC3802" w:rsidRDefault="00EC3802" w:rsidP="00B05C51">
      <w:pPr>
        <w:spacing w:after="0" w:line="240" w:lineRule="auto"/>
      </w:pPr>
      <w:r>
        <w:separator/>
      </w:r>
    </w:p>
  </w:endnote>
  <w:endnote w:type="continuationSeparator" w:id="0">
    <w:p w14:paraId="12EAB9DC" w14:textId="77777777" w:rsidR="00EC3802" w:rsidRDefault="00EC380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EC3802" w:rsidRDefault="00EC380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EC3802" w:rsidRDefault="00EC380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EC3802" w:rsidRDefault="00EC380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39B7" w14:textId="77777777" w:rsidR="00EC3802" w:rsidRDefault="00EC3802" w:rsidP="00B05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868">
      <w:rPr>
        <w:rStyle w:val="PageNumber"/>
        <w:noProof/>
      </w:rPr>
      <w:t>13</w:t>
    </w:r>
    <w:r>
      <w:rPr>
        <w:rStyle w:val="PageNumber"/>
      </w:rPr>
      <w:fldChar w:fldCharType="end"/>
    </w:r>
  </w:p>
  <w:p w14:paraId="26445AFF" w14:textId="53198A31" w:rsidR="00EC3802" w:rsidRPr="00B05C51" w:rsidRDefault="00EC3802" w:rsidP="00B05C51">
    <w:pPr>
      <w:keepNext/>
      <w:widowControl w:val="0"/>
      <w:tabs>
        <w:tab w:val="left" w:pos="567"/>
      </w:tabs>
      <w:suppressAutoHyphens/>
      <w:autoSpaceDE w:val="0"/>
      <w:autoSpaceDN w:val="0"/>
      <w:adjustRightInd w:val="0"/>
      <w:spacing w:after="0" w:line="240" w:lineRule="auto"/>
      <w:ind w:right="360"/>
      <w:textAlignment w:val="center"/>
      <w:rPr>
        <w:rFonts w:cs="Arial"/>
        <w:b/>
        <w:bCs/>
        <w:sz w:val="20"/>
        <w:szCs w:val="20"/>
        <w:lang w:val="en-AU" w:eastAsia="en-AU" w:bidi="ar-YE"/>
      </w:rPr>
    </w:pPr>
    <w:r>
      <w:rPr>
        <w:rFonts w:cs="Arial"/>
        <w:b/>
        <w:bCs/>
        <w:sz w:val="20"/>
        <w:szCs w:val="20"/>
        <w:lang w:val="en-AU" w:eastAsia="en-AU" w:bidi="ar-YE"/>
      </w:rPr>
      <w:t>Swamy v Percival</w:t>
    </w:r>
    <w:r w:rsidRPr="00B05C51">
      <w:rPr>
        <w:rFonts w:cs="Arial"/>
        <w:bCs/>
        <w:sz w:val="20"/>
        <w:szCs w:val="20"/>
        <w:lang w:val="en-AU" w:eastAsia="en-AU" w:bidi="ar-YE"/>
      </w:rPr>
      <w:t xml:space="preserve"> </w:t>
    </w:r>
    <w:r w:rsidRPr="00B05C51">
      <w:rPr>
        <w:rFonts w:cs="Arial"/>
        <w:b/>
        <w:bCs/>
        <w:sz w:val="20"/>
        <w:szCs w:val="20"/>
        <w:lang w:val="en-AU" w:eastAsia="en-AU" w:bidi="ar-YE"/>
      </w:rPr>
      <w:t>·</w:t>
    </w:r>
    <w:r w:rsidRPr="00B05C51">
      <w:rPr>
        <w:rFonts w:cs="Arial"/>
        <w:bCs/>
        <w:sz w:val="20"/>
        <w:szCs w:val="20"/>
        <w:lang w:val="en-AU" w:eastAsia="en-AU" w:bidi="ar-YE"/>
      </w:rPr>
      <w:t xml:space="preserve"> </w:t>
    </w:r>
    <w:r w:rsidRPr="004D06B7">
      <w:rPr>
        <w:rFonts w:cs="Arial"/>
        <w:b/>
        <w:sz w:val="20"/>
        <w:szCs w:val="20"/>
        <w:lang w:val="en-AU" w:eastAsia="en-AU"/>
      </w:rPr>
      <w:t>[2013] AusHRC 6</w:t>
    </w:r>
    <w:r>
      <w:rPr>
        <w:rFonts w:cs="Arial"/>
        <w:b/>
        <w:sz w:val="20"/>
        <w:szCs w:val="20"/>
        <w:lang w:val="en-AU" w:eastAsia="en-AU"/>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EC3802" w:rsidRDefault="00EC3802" w:rsidP="00B05C51">
      <w:pPr>
        <w:spacing w:after="0" w:line="240" w:lineRule="auto"/>
      </w:pPr>
      <w:r>
        <w:separator/>
      </w:r>
    </w:p>
  </w:footnote>
  <w:footnote w:type="continuationSeparator" w:id="0">
    <w:p w14:paraId="65E384CE" w14:textId="77777777" w:rsidR="00EC3802" w:rsidRDefault="00EC380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9"/>
  </w:num>
  <w:num w:numId="2">
    <w:abstractNumId w:val="6"/>
  </w:num>
  <w:num w:numId="3">
    <w:abstractNumId w:val="2"/>
  </w:num>
  <w:num w:numId="4">
    <w:abstractNumId w:val="5"/>
  </w:num>
  <w:num w:numId="5">
    <w:abstractNumId w:val="4"/>
  </w:num>
  <w:num w:numId="6">
    <w:abstractNumId w:val="7"/>
  </w:num>
  <w:num w:numId="7">
    <w:abstractNumId w:val="1"/>
  </w:num>
  <w:num w:numId="8">
    <w:abstractNumId w:val="3"/>
  </w:num>
  <w:num w:numId="9">
    <w:abstractNumId w:val="0"/>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95F05"/>
    <w:rsid w:val="000E3DC1"/>
    <w:rsid w:val="000E7A39"/>
    <w:rsid w:val="00146770"/>
    <w:rsid w:val="001F3461"/>
    <w:rsid w:val="00275140"/>
    <w:rsid w:val="002C6E0D"/>
    <w:rsid w:val="0037390D"/>
    <w:rsid w:val="003D089C"/>
    <w:rsid w:val="003D5035"/>
    <w:rsid w:val="003E0558"/>
    <w:rsid w:val="00402009"/>
    <w:rsid w:val="00434834"/>
    <w:rsid w:val="00442615"/>
    <w:rsid w:val="00457DBF"/>
    <w:rsid w:val="00497316"/>
    <w:rsid w:val="004A6EC1"/>
    <w:rsid w:val="004C31E4"/>
    <w:rsid w:val="004D06B7"/>
    <w:rsid w:val="00513ECA"/>
    <w:rsid w:val="00565EF2"/>
    <w:rsid w:val="005943F8"/>
    <w:rsid w:val="006147A1"/>
    <w:rsid w:val="00640F27"/>
    <w:rsid w:val="00651527"/>
    <w:rsid w:val="00692111"/>
    <w:rsid w:val="006D72DA"/>
    <w:rsid w:val="007660C8"/>
    <w:rsid w:val="007B4954"/>
    <w:rsid w:val="00800732"/>
    <w:rsid w:val="00806453"/>
    <w:rsid w:val="00816522"/>
    <w:rsid w:val="008B4D28"/>
    <w:rsid w:val="008B72A9"/>
    <w:rsid w:val="008D79D6"/>
    <w:rsid w:val="008E3985"/>
    <w:rsid w:val="008F7C83"/>
    <w:rsid w:val="00900EC9"/>
    <w:rsid w:val="00970456"/>
    <w:rsid w:val="00A93A26"/>
    <w:rsid w:val="00AA498B"/>
    <w:rsid w:val="00B05C51"/>
    <w:rsid w:val="00B07DEB"/>
    <w:rsid w:val="00B7591A"/>
    <w:rsid w:val="00B9369D"/>
    <w:rsid w:val="00B971F2"/>
    <w:rsid w:val="00BB0E8F"/>
    <w:rsid w:val="00BC569C"/>
    <w:rsid w:val="00C53A1D"/>
    <w:rsid w:val="00C9166F"/>
    <w:rsid w:val="00C95492"/>
    <w:rsid w:val="00D13A67"/>
    <w:rsid w:val="00D6621A"/>
    <w:rsid w:val="00DC3F2B"/>
    <w:rsid w:val="00DD1149"/>
    <w:rsid w:val="00E45C1D"/>
    <w:rsid w:val="00E521A5"/>
    <w:rsid w:val="00E94868"/>
    <w:rsid w:val="00EA41DB"/>
    <w:rsid w:val="00EA571C"/>
    <w:rsid w:val="00EC3802"/>
    <w:rsid w:val="00EC4340"/>
    <w:rsid w:val="00EF7502"/>
    <w:rsid w:val="00F107F0"/>
    <w:rsid w:val="00F20955"/>
    <w:rsid w:val="00F801A4"/>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Nessunostileparagrafo">
    <w:name w:val="[Nessuno stile paragrafo]"/>
    <w:rsid w:val="00F2095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Copyright">
    <w:name w:val="Copyright"/>
    <w:basedOn w:val="Nessunostileparagrafo"/>
    <w:uiPriority w:val="99"/>
    <w:rsid w:val="00F20955"/>
    <w:pPr>
      <w:tabs>
        <w:tab w:val="left" w:pos="567"/>
      </w:tabs>
      <w:suppressAutoHyphens/>
      <w:spacing w:after="57"/>
    </w:pPr>
    <w:rPr>
      <w:rFonts w:ascii="HelveticaCYPlain" w:hAnsi="HelveticaCYPlain" w:cs="HelveticaCYPlain"/>
      <w:sz w:val="16"/>
      <w:szCs w:val="16"/>
      <w:u w:color="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Nessunostileparagrafo">
    <w:name w:val="[Nessuno stile paragrafo]"/>
    <w:rsid w:val="00F2095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Copyright">
    <w:name w:val="Copyright"/>
    <w:basedOn w:val="Nessunostileparagrafo"/>
    <w:uiPriority w:val="99"/>
    <w:rsid w:val="00F20955"/>
    <w:pPr>
      <w:tabs>
        <w:tab w:val="left" w:pos="567"/>
      </w:tabs>
      <w:suppressAutoHyphens/>
      <w:spacing w:after="57"/>
    </w:pPr>
    <w:rPr>
      <w:rFonts w:ascii="HelveticaCYPlain" w:hAnsi="HelveticaCYPlain" w:cs="HelveticaCYPlain"/>
      <w:sz w:val="16"/>
      <w:szCs w:val="16"/>
      <w:u w:color="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3C13-2243-43D8-BD54-C6D9D0C5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2982</Words>
  <Characters>16998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2014-04-10T01:52:00Z</dcterms:created>
  <dcterms:modified xsi:type="dcterms:W3CDTF">2014-04-10T01:52:00Z</dcterms:modified>
</cp:coreProperties>
</file>