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D92" w:rsidRDefault="009A053F" w:rsidP="00FD1D92">
      <w:r>
        <w:rPr>
          <w:noProof/>
        </w:rPr>
        <w:drawing>
          <wp:anchor distT="0" distB="0" distL="114300" distR="114300" simplePos="0" relativeHeight="251658240" behindDoc="0" locked="0" layoutInCell="1" allowOverlap="1" wp14:anchorId="7A68F4F1" wp14:editId="275E8369">
            <wp:simplePos x="0" y="0"/>
            <wp:positionH relativeFrom="column">
              <wp:posOffset>-907044</wp:posOffset>
            </wp:positionH>
            <wp:positionV relativeFrom="paragraph">
              <wp:posOffset>-753948</wp:posOffset>
            </wp:positionV>
            <wp:extent cx="7589728" cy="10791645"/>
            <wp:effectExtent l="0" t="0" r="5080"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 AusHRC 124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9728" cy="10791645"/>
                    </a:xfrm>
                    <a:prstGeom prst="rect">
                      <a:avLst/>
                    </a:prstGeom>
                  </pic:spPr>
                </pic:pic>
              </a:graphicData>
            </a:graphic>
            <wp14:sizeRelH relativeFrom="margin">
              <wp14:pctWidth>0</wp14:pctWidth>
            </wp14:sizeRelH>
            <wp14:sizeRelV relativeFrom="margin">
              <wp14:pctHeight>0</wp14:pctHeight>
            </wp14:sizeRelV>
          </wp:anchor>
        </w:drawing>
      </w:r>
    </w:p>
    <w:p w:rsidR="00FD1D92" w:rsidRDefault="00FD1D92" w:rsidP="00FD1D92"/>
    <w:p w:rsidR="00FD1D92" w:rsidRDefault="00FD1D92" w:rsidP="00FD1D92"/>
    <w:p w:rsidR="00FD1D92" w:rsidRDefault="00FD1D92" w:rsidP="00FD1D92"/>
    <w:p w:rsidR="00FD1D92" w:rsidRDefault="00FD1D92" w:rsidP="00FD1D92"/>
    <w:p w:rsidR="00FD1D92" w:rsidRDefault="00FD1D92" w:rsidP="00FD1D92"/>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Pr="000D4BD9" w:rsidRDefault="008008A9" w:rsidP="008008A9">
      <w:pPr>
        <w:pStyle w:val="CopyrightText"/>
        <w:spacing w:after="113"/>
        <w:rPr>
          <w:rFonts w:ascii="Arial" w:hAnsi="Arial" w:cs="Arial"/>
          <w:sz w:val="20"/>
          <w:szCs w:val="20"/>
        </w:rPr>
      </w:pPr>
      <w:r w:rsidRPr="000D4BD9">
        <w:rPr>
          <w:rFonts w:ascii="Arial" w:hAnsi="Arial" w:cs="Arial"/>
          <w:sz w:val="20"/>
          <w:szCs w:val="20"/>
        </w:rPr>
        <w:t>© Australian Human Rights Commission 2018.</w:t>
      </w:r>
    </w:p>
    <w:p w:rsidR="008008A9" w:rsidRDefault="008008A9" w:rsidP="008008A9">
      <w:pPr>
        <w:pStyle w:val="CopyrightText"/>
        <w:spacing w:after="240"/>
        <w:rPr>
          <w:rFonts w:ascii="Arial" w:hAnsi="Arial" w:cs="Arial"/>
          <w:sz w:val="20"/>
          <w:szCs w:val="20"/>
        </w:rPr>
      </w:pPr>
      <w:r w:rsidRPr="000D4BD9">
        <w:rPr>
          <w:rFonts w:ascii="Arial" w:hAnsi="Arial" w:cs="Arial"/>
          <w:sz w:val="20"/>
          <w:szCs w:val="20"/>
        </w:rPr>
        <w:t xml:space="preserve">The Australian Human Rights Commission encourages the dissemination and exchange of information presented in this publication and endorses the use of the </w:t>
      </w:r>
      <w:r w:rsidRPr="000D4BD9">
        <w:rPr>
          <w:rFonts w:ascii="Arial" w:hAnsi="Arial" w:cs="Arial"/>
          <w:b/>
          <w:bCs/>
          <w:sz w:val="20"/>
          <w:szCs w:val="20"/>
        </w:rPr>
        <w:t>Australian Governments Open Access and Licensing Framework</w:t>
      </w:r>
      <w:r w:rsidRPr="000D4BD9">
        <w:rPr>
          <w:rFonts w:ascii="Arial" w:hAnsi="Arial" w:cs="Arial"/>
          <w:sz w:val="20"/>
          <w:szCs w:val="20"/>
        </w:rPr>
        <w:t xml:space="preserve"> (</w:t>
      </w:r>
      <w:proofErr w:type="spellStart"/>
      <w:r w:rsidRPr="000D4BD9">
        <w:rPr>
          <w:rFonts w:ascii="Arial" w:hAnsi="Arial" w:cs="Arial"/>
          <w:sz w:val="20"/>
          <w:szCs w:val="20"/>
        </w:rPr>
        <w:t>AusGOAL</w:t>
      </w:r>
      <w:proofErr w:type="spellEnd"/>
      <w:r w:rsidRPr="000D4BD9">
        <w:rPr>
          <w:rFonts w:ascii="Arial" w:hAnsi="Arial" w:cs="Arial"/>
          <w:sz w:val="20"/>
          <w:szCs w:val="20"/>
        </w:rPr>
        <w:t>).</w:t>
      </w:r>
    </w:p>
    <w:p w:rsidR="008008A9" w:rsidRPr="000D4BD9" w:rsidRDefault="008008A9" w:rsidP="008008A9">
      <w:pPr>
        <w:pStyle w:val="CopyrightText"/>
        <w:spacing w:after="200"/>
        <w:rPr>
          <w:rFonts w:ascii="Arial" w:hAnsi="Arial" w:cs="Arial"/>
          <w:sz w:val="20"/>
          <w:szCs w:val="20"/>
        </w:rPr>
      </w:pPr>
      <w:r w:rsidRPr="002F2665">
        <w:rPr>
          <w:rFonts w:ascii="Arial" w:hAnsi="Arial" w:cs="Arial"/>
          <w:noProof/>
          <w:sz w:val="20"/>
          <w:szCs w:val="20"/>
        </w:rPr>
        <w:drawing>
          <wp:inline distT="0" distB="0" distL="0" distR="0" wp14:anchorId="255061F2" wp14:editId="17CA41F5">
            <wp:extent cx="1046674" cy="336431"/>
            <wp:effectExtent l="0" t="0" r="0" b="0"/>
            <wp:docPr id="4" name="Immagine 4" descr="Creative Commons CCBY logo." title="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5036" cy="351976"/>
                    </a:xfrm>
                    <a:prstGeom prst="rect">
                      <a:avLst/>
                    </a:prstGeom>
                  </pic:spPr>
                </pic:pic>
              </a:graphicData>
            </a:graphic>
          </wp:inline>
        </w:drawing>
      </w:r>
    </w:p>
    <w:p w:rsidR="008008A9" w:rsidRPr="000D4BD9" w:rsidRDefault="008008A9" w:rsidP="008008A9">
      <w:pPr>
        <w:pStyle w:val="CopyrightText"/>
        <w:spacing w:after="113"/>
        <w:rPr>
          <w:rFonts w:ascii="Arial" w:hAnsi="Arial" w:cs="Arial"/>
          <w:sz w:val="20"/>
          <w:szCs w:val="20"/>
        </w:rPr>
      </w:pPr>
      <w:r w:rsidRPr="000D4BD9">
        <w:rPr>
          <w:rFonts w:ascii="Arial" w:hAnsi="Arial" w:cs="Arial"/>
          <w:sz w:val="20"/>
          <w:szCs w:val="20"/>
        </w:rPr>
        <w:t xml:space="preserve">All material presented in this publication is licensed under the </w:t>
      </w:r>
      <w:r w:rsidRPr="000D4BD9">
        <w:rPr>
          <w:rFonts w:ascii="Arial" w:hAnsi="Arial" w:cs="Arial"/>
          <w:b/>
          <w:bCs/>
          <w:sz w:val="20"/>
          <w:szCs w:val="20"/>
        </w:rPr>
        <w:t>Creative Commons Attribution 4.0 International Licence</w:t>
      </w:r>
      <w:r w:rsidRPr="000D4BD9">
        <w:rPr>
          <w:rFonts w:ascii="Arial" w:hAnsi="Arial" w:cs="Arial"/>
          <w:sz w:val="20"/>
          <w:szCs w:val="20"/>
        </w:rPr>
        <w:t>, with the exception of:</w:t>
      </w:r>
    </w:p>
    <w:p w:rsidR="008008A9" w:rsidRPr="000D4BD9" w:rsidRDefault="008008A9" w:rsidP="008008A9">
      <w:pPr>
        <w:pStyle w:val="CopyrightText"/>
        <w:spacing w:after="0"/>
        <w:ind w:left="283" w:hanging="113"/>
        <w:rPr>
          <w:rFonts w:ascii="Arial" w:hAnsi="Arial" w:cs="Arial"/>
          <w:sz w:val="20"/>
          <w:szCs w:val="20"/>
        </w:rPr>
      </w:pPr>
      <w:r w:rsidRPr="000D4BD9">
        <w:rPr>
          <w:rFonts w:ascii="Arial" w:hAnsi="Arial" w:cs="Arial"/>
          <w:sz w:val="20"/>
          <w:szCs w:val="20"/>
        </w:rPr>
        <w:t>•</w:t>
      </w:r>
      <w:r w:rsidRPr="000D4BD9">
        <w:rPr>
          <w:rFonts w:ascii="Arial" w:hAnsi="Arial" w:cs="Arial"/>
          <w:sz w:val="20"/>
          <w:szCs w:val="20"/>
        </w:rPr>
        <w:tab/>
        <w:t>the Commission’s logo, any branding or trademarks; and</w:t>
      </w:r>
    </w:p>
    <w:p w:rsidR="008008A9" w:rsidRPr="000D4BD9" w:rsidRDefault="008008A9" w:rsidP="008008A9">
      <w:pPr>
        <w:pStyle w:val="CopyrightText"/>
        <w:spacing w:after="113"/>
        <w:ind w:left="283" w:hanging="113"/>
        <w:rPr>
          <w:rFonts w:ascii="Arial" w:hAnsi="Arial" w:cs="Arial"/>
          <w:sz w:val="20"/>
          <w:szCs w:val="20"/>
        </w:rPr>
      </w:pPr>
      <w:r w:rsidRPr="000D4BD9">
        <w:rPr>
          <w:rFonts w:ascii="Arial" w:hAnsi="Arial" w:cs="Arial"/>
          <w:sz w:val="20"/>
          <w:szCs w:val="20"/>
        </w:rPr>
        <w:t>•</w:t>
      </w:r>
      <w:r w:rsidRPr="000D4BD9">
        <w:rPr>
          <w:rFonts w:ascii="Arial" w:hAnsi="Arial" w:cs="Arial"/>
          <w:sz w:val="20"/>
          <w:szCs w:val="20"/>
        </w:rPr>
        <w:tab/>
        <w:t>where otherwise indicated.</w:t>
      </w:r>
    </w:p>
    <w:p w:rsidR="008008A9" w:rsidRPr="000D4BD9" w:rsidRDefault="008008A9" w:rsidP="008008A9">
      <w:pPr>
        <w:pStyle w:val="CopyrightText"/>
        <w:spacing w:after="113"/>
        <w:rPr>
          <w:rFonts w:ascii="Arial" w:hAnsi="Arial" w:cs="Arial"/>
          <w:sz w:val="20"/>
          <w:szCs w:val="20"/>
        </w:rPr>
      </w:pPr>
      <w:r w:rsidRPr="000D4BD9">
        <w:rPr>
          <w:rFonts w:ascii="Arial" w:hAnsi="Arial" w:cs="Arial"/>
          <w:sz w:val="20"/>
          <w:szCs w:val="20"/>
        </w:rPr>
        <w:t xml:space="preserve">To view a copy of this licence, visit </w:t>
      </w:r>
      <w:r w:rsidRPr="000D4BD9">
        <w:rPr>
          <w:rFonts w:ascii="Arial" w:hAnsi="Arial" w:cs="Arial"/>
          <w:b/>
          <w:bCs/>
          <w:sz w:val="20"/>
          <w:szCs w:val="20"/>
        </w:rPr>
        <w:t>http://creativecommons.org/licenses/by/4.0/legalcode</w:t>
      </w:r>
      <w:r w:rsidRPr="000D4BD9">
        <w:rPr>
          <w:rFonts w:ascii="Arial" w:hAnsi="Arial" w:cs="Arial"/>
          <w:sz w:val="20"/>
          <w:szCs w:val="20"/>
        </w:rPr>
        <w:t>.</w:t>
      </w:r>
    </w:p>
    <w:p w:rsidR="008008A9" w:rsidRPr="000D4BD9" w:rsidRDefault="008008A9" w:rsidP="008008A9">
      <w:pPr>
        <w:pStyle w:val="CopyrightText"/>
        <w:spacing w:after="113"/>
        <w:rPr>
          <w:rFonts w:ascii="Arial" w:hAnsi="Arial" w:cs="Arial"/>
          <w:sz w:val="20"/>
          <w:szCs w:val="20"/>
        </w:rPr>
      </w:pPr>
      <w:r w:rsidRPr="000D4BD9">
        <w:rPr>
          <w:rFonts w:ascii="Arial" w:hAnsi="Arial" w:cs="Arial"/>
          <w:sz w:val="20"/>
          <w:szCs w:val="20"/>
        </w:rPr>
        <w:t>In essence, you are free to copy, communicate and adapt the publication, as long as you attribute the Australian Human Rights Commission and abide by the other licence terms.</w:t>
      </w:r>
    </w:p>
    <w:p w:rsidR="008008A9" w:rsidRPr="000D4BD9" w:rsidRDefault="008008A9" w:rsidP="008008A9">
      <w:pPr>
        <w:pStyle w:val="CopyrightText"/>
        <w:spacing w:after="113"/>
        <w:rPr>
          <w:rFonts w:ascii="Arial" w:hAnsi="Arial" w:cs="Arial"/>
          <w:sz w:val="20"/>
          <w:szCs w:val="20"/>
          <w:rtl/>
          <w:lang w:bidi="ar-YE"/>
        </w:rPr>
      </w:pPr>
      <w:r w:rsidRPr="000D4BD9">
        <w:rPr>
          <w:rFonts w:ascii="Arial" w:hAnsi="Arial" w:cs="Arial"/>
          <w:b/>
          <w:bCs/>
          <w:sz w:val="20"/>
          <w:szCs w:val="20"/>
        </w:rPr>
        <w:t xml:space="preserve">Please give attribution to: </w:t>
      </w:r>
      <w:r w:rsidRPr="000D4BD9">
        <w:rPr>
          <w:rFonts w:ascii="Arial" w:hAnsi="Arial" w:cs="Arial"/>
          <w:b/>
          <w:bCs/>
          <w:sz w:val="20"/>
          <w:szCs w:val="20"/>
        </w:rPr>
        <w:br/>
      </w:r>
      <w:r w:rsidRPr="000D4BD9">
        <w:rPr>
          <w:rFonts w:ascii="Arial" w:hAnsi="Arial" w:cs="Arial"/>
          <w:sz w:val="20"/>
          <w:szCs w:val="20"/>
          <w:rtl/>
          <w:lang w:bidi="ar-YE"/>
        </w:rPr>
        <w:t>©</w:t>
      </w:r>
      <w:r w:rsidRPr="000D4BD9">
        <w:rPr>
          <w:rFonts w:ascii="Arial" w:hAnsi="Arial" w:cs="Arial"/>
          <w:sz w:val="20"/>
          <w:szCs w:val="20"/>
          <w:lang w:bidi="ar-YE"/>
        </w:rPr>
        <w:t>Australian Human Rights Commission 2018</w:t>
      </w:r>
      <w:r w:rsidRPr="000D4BD9">
        <w:rPr>
          <w:rFonts w:ascii="Arial" w:hAnsi="Arial" w:cs="Arial"/>
          <w:sz w:val="20"/>
          <w:szCs w:val="20"/>
          <w:rtl/>
          <w:lang w:bidi="ar-YE"/>
        </w:rPr>
        <w:t>.</w:t>
      </w:r>
    </w:p>
    <w:p w:rsidR="008008A9" w:rsidRPr="000D4BD9" w:rsidRDefault="008008A9" w:rsidP="008008A9">
      <w:pPr>
        <w:pStyle w:val="CopyrightText"/>
        <w:spacing w:after="113"/>
        <w:rPr>
          <w:rFonts w:ascii="Arial" w:hAnsi="Arial" w:cs="Arial"/>
          <w:b/>
          <w:bCs/>
          <w:sz w:val="20"/>
          <w:szCs w:val="20"/>
        </w:rPr>
      </w:pPr>
      <w:r w:rsidRPr="000D4BD9">
        <w:rPr>
          <w:rStyle w:val="Bold"/>
          <w:rFonts w:ascii="Arial" w:hAnsi="Arial" w:cs="Arial"/>
          <w:sz w:val="20"/>
          <w:szCs w:val="20"/>
        </w:rPr>
        <w:t>ISSN 1837-1183</w:t>
      </w:r>
    </w:p>
    <w:p w:rsidR="008008A9" w:rsidRPr="000D4BD9" w:rsidRDefault="008008A9" w:rsidP="008008A9">
      <w:pPr>
        <w:pStyle w:val="CopyrightText"/>
        <w:rPr>
          <w:rFonts w:ascii="Arial" w:hAnsi="Arial" w:cs="Arial"/>
          <w:sz w:val="20"/>
          <w:szCs w:val="20"/>
        </w:rPr>
      </w:pPr>
      <w:r w:rsidRPr="000D4BD9">
        <w:rPr>
          <w:rFonts w:ascii="Arial" w:hAnsi="Arial" w:cs="Arial"/>
          <w:b/>
          <w:bCs/>
          <w:sz w:val="20"/>
          <w:szCs w:val="20"/>
        </w:rPr>
        <w:t>Further information</w:t>
      </w:r>
    </w:p>
    <w:p w:rsidR="008008A9" w:rsidRPr="000D4BD9" w:rsidRDefault="008008A9" w:rsidP="008008A9">
      <w:pPr>
        <w:pStyle w:val="CopyrightText"/>
        <w:rPr>
          <w:rFonts w:ascii="Arial" w:hAnsi="Arial" w:cs="Arial"/>
          <w:sz w:val="20"/>
          <w:szCs w:val="20"/>
        </w:rPr>
      </w:pPr>
      <w:r w:rsidRPr="000D4BD9">
        <w:rPr>
          <w:rFonts w:ascii="Arial" w:hAnsi="Arial" w:cs="Arial"/>
          <w:sz w:val="20"/>
          <w:szCs w:val="20"/>
        </w:rPr>
        <w:t>For further information about the Australian Human Rights Commission or copyright in this publication, please contact:</w:t>
      </w:r>
    </w:p>
    <w:p w:rsidR="008008A9" w:rsidRPr="000D4BD9" w:rsidRDefault="008008A9" w:rsidP="008008A9">
      <w:pPr>
        <w:pStyle w:val="CopyrightText"/>
        <w:spacing w:after="0"/>
        <w:rPr>
          <w:rFonts w:ascii="Arial" w:hAnsi="Arial" w:cs="Arial"/>
          <w:sz w:val="20"/>
          <w:szCs w:val="20"/>
        </w:rPr>
      </w:pPr>
      <w:r w:rsidRPr="000D4BD9">
        <w:rPr>
          <w:rFonts w:ascii="Arial" w:hAnsi="Arial" w:cs="Arial"/>
          <w:sz w:val="20"/>
          <w:szCs w:val="20"/>
        </w:rPr>
        <w:t>Communications Unit</w:t>
      </w:r>
    </w:p>
    <w:p w:rsidR="008008A9" w:rsidRPr="000D4BD9" w:rsidRDefault="008008A9" w:rsidP="008008A9">
      <w:pPr>
        <w:pStyle w:val="CopyrightText"/>
        <w:spacing w:after="0"/>
        <w:rPr>
          <w:rFonts w:ascii="Arial" w:hAnsi="Arial" w:cs="Arial"/>
          <w:sz w:val="20"/>
          <w:szCs w:val="20"/>
        </w:rPr>
      </w:pPr>
      <w:r w:rsidRPr="000D4BD9">
        <w:rPr>
          <w:rFonts w:ascii="Arial" w:hAnsi="Arial" w:cs="Arial"/>
          <w:sz w:val="20"/>
          <w:szCs w:val="20"/>
        </w:rPr>
        <w:t>Australian Human Rights Commission</w:t>
      </w:r>
    </w:p>
    <w:p w:rsidR="008008A9" w:rsidRPr="000D4BD9" w:rsidRDefault="008008A9" w:rsidP="008008A9">
      <w:pPr>
        <w:pStyle w:val="CopyrightText"/>
        <w:spacing w:after="0"/>
        <w:rPr>
          <w:rFonts w:ascii="Arial" w:hAnsi="Arial" w:cs="Arial"/>
          <w:sz w:val="20"/>
          <w:szCs w:val="20"/>
        </w:rPr>
      </w:pPr>
      <w:r w:rsidRPr="000D4BD9">
        <w:rPr>
          <w:rFonts w:ascii="Arial" w:hAnsi="Arial" w:cs="Arial"/>
          <w:sz w:val="20"/>
          <w:szCs w:val="20"/>
        </w:rPr>
        <w:t>GPO Box 5218</w:t>
      </w:r>
    </w:p>
    <w:p w:rsidR="008008A9" w:rsidRPr="000D4BD9" w:rsidRDefault="008008A9" w:rsidP="008008A9">
      <w:pPr>
        <w:pStyle w:val="CopyrightText"/>
        <w:spacing w:after="0"/>
        <w:rPr>
          <w:rFonts w:ascii="Arial" w:hAnsi="Arial" w:cs="Arial"/>
          <w:sz w:val="20"/>
          <w:szCs w:val="20"/>
        </w:rPr>
      </w:pPr>
      <w:r w:rsidRPr="000D4BD9">
        <w:rPr>
          <w:rFonts w:ascii="Arial" w:hAnsi="Arial" w:cs="Arial"/>
          <w:sz w:val="20"/>
          <w:szCs w:val="20"/>
        </w:rPr>
        <w:t>SYDNEY NSW 2001</w:t>
      </w:r>
    </w:p>
    <w:p w:rsidR="008008A9" w:rsidRPr="000D4BD9" w:rsidRDefault="008008A9" w:rsidP="008008A9">
      <w:pPr>
        <w:pStyle w:val="CopyrightText"/>
        <w:spacing w:after="0"/>
        <w:rPr>
          <w:rFonts w:ascii="Arial" w:hAnsi="Arial" w:cs="Arial"/>
          <w:sz w:val="20"/>
          <w:szCs w:val="20"/>
        </w:rPr>
      </w:pPr>
      <w:r w:rsidRPr="000D4BD9">
        <w:rPr>
          <w:rFonts w:ascii="Arial" w:hAnsi="Arial" w:cs="Arial"/>
          <w:sz w:val="20"/>
          <w:szCs w:val="20"/>
        </w:rPr>
        <w:t>Telephone: (02) 9284 9600</w:t>
      </w:r>
    </w:p>
    <w:p w:rsidR="008008A9" w:rsidRPr="000D4BD9" w:rsidRDefault="008008A9" w:rsidP="008008A9">
      <w:pPr>
        <w:pStyle w:val="CopyrightText"/>
        <w:spacing w:after="113"/>
        <w:rPr>
          <w:rStyle w:val="Collegamentoipertestuale"/>
          <w:rFonts w:ascii="Arial" w:hAnsi="Arial" w:cs="Arial"/>
          <w:sz w:val="20"/>
          <w:szCs w:val="20"/>
        </w:rPr>
      </w:pPr>
      <w:r w:rsidRPr="000D4BD9">
        <w:rPr>
          <w:rFonts w:ascii="Arial" w:hAnsi="Arial" w:cs="Arial"/>
          <w:sz w:val="20"/>
          <w:szCs w:val="20"/>
        </w:rPr>
        <w:t xml:space="preserve">Email: </w:t>
      </w:r>
      <w:r w:rsidRPr="000D4BD9">
        <w:rPr>
          <w:rFonts w:ascii="Arial" w:hAnsi="Arial" w:cs="Arial"/>
          <w:b/>
          <w:bCs/>
          <w:sz w:val="20"/>
          <w:szCs w:val="20"/>
        </w:rPr>
        <w:t>communications@humanrights.gov.au</w:t>
      </w:r>
      <w:r w:rsidRPr="000D4BD9">
        <w:rPr>
          <w:rFonts w:ascii="Arial" w:hAnsi="Arial" w:cs="Arial"/>
          <w:sz w:val="20"/>
          <w:szCs w:val="20"/>
        </w:rPr>
        <w:t>.</w:t>
      </w:r>
    </w:p>
    <w:p w:rsidR="008008A9" w:rsidRPr="000D4BD9" w:rsidRDefault="008008A9" w:rsidP="008008A9">
      <w:pPr>
        <w:pStyle w:val="CopyrightText"/>
        <w:rPr>
          <w:rFonts w:ascii="Arial" w:hAnsi="Arial" w:cs="Arial"/>
          <w:sz w:val="20"/>
          <w:szCs w:val="20"/>
        </w:rPr>
      </w:pPr>
      <w:r w:rsidRPr="000D4BD9">
        <w:rPr>
          <w:rFonts w:ascii="Arial" w:hAnsi="Arial" w:cs="Arial"/>
          <w:b/>
          <w:bCs/>
          <w:sz w:val="20"/>
          <w:szCs w:val="20"/>
        </w:rPr>
        <w:t>Design and layout</w:t>
      </w:r>
      <w:r w:rsidRPr="000D4BD9">
        <w:rPr>
          <w:rFonts w:ascii="Arial" w:hAnsi="Arial" w:cs="Arial"/>
          <w:sz w:val="20"/>
          <w:szCs w:val="20"/>
        </w:rPr>
        <w:t xml:space="preserve"> </w:t>
      </w:r>
      <w:proofErr w:type="spellStart"/>
      <w:r>
        <w:rPr>
          <w:rFonts w:ascii="Arial" w:hAnsi="Arial" w:cs="Arial"/>
          <w:sz w:val="20"/>
          <w:szCs w:val="20"/>
        </w:rPr>
        <w:t>Dancin</w:t>
      </w:r>
      <w:r w:rsidRPr="000D4BD9">
        <w:rPr>
          <w:rFonts w:ascii="Arial" w:hAnsi="Arial" w:cs="Arial"/>
          <w:sz w:val="20"/>
          <w:szCs w:val="20"/>
          <w:lang w:bidi="ar-YE"/>
        </w:rPr>
        <w:t>g</w:t>
      </w:r>
      <w:r>
        <w:rPr>
          <w:rFonts w:ascii="Arial" w:hAnsi="Arial" w:cs="Arial"/>
          <w:sz w:val="20"/>
          <w:szCs w:val="20"/>
        </w:rPr>
        <w:t>irl</w:t>
      </w:r>
      <w:proofErr w:type="spellEnd"/>
      <w:r>
        <w:rPr>
          <w:rFonts w:ascii="Arial" w:hAnsi="Arial" w:cs="Arial"/>
          <w:sz w:val="20"/>
          <w:szCs w:val="20"/>
        </w:rPr>
        <w:t xml:space="preserve"> Desi</w:t>
      </w:r>
      <w:r w:rsidRPr="000D4BD9">
        <w:rPr>
          <w:rFonts w:ascii="Arial" w:hAnsi="Arial" w:cs="Arial"/>
          <w:sz w:val="20"/>
          <w:szCs w:val="20"/>
          <w:lang w:bidi="ar-YE"/>
        </w:rPr>
        <w:t>g</w:t>
      </w:r>
      <w:r>
        <w:rPr>
          <w:rFonts w:ascii="Arial" w:hAnsi="Arial" w:cs="Arial"/>
          <w:sz w:val="20"/>
          <w:szCs w:val="20"/>
        </w:rPr>
        <w:t>ns</w:t>
      </w:r>
    </w:p>
    <w:p w:rsidR="008008A9" w:rsidRPr="000D4BD9" w:rsidRDefault="008008A9" w:rsidP="008008A9">
      <w:pPr>
        <w:rPr>
          <w:rFonts w:cs="Arial"/>
          <w:sz w:val="20"/>
        </w:rPr>
      </w:pPr>
      <w:r w:rsidRPr="000D4BD9">
        <w:rPr>
          <w:rFonts w:cs="Arial"/>
          <w:b/>
          <w:bCs/>
          <w:sz w:val="20"/>
        </w:rPr>
        <w:t>Printing</w:t>
      </w:r>
      <w:r w:rsidRPr="000D4BD9">
        <w:rPr>
          <w:rFonts w:cs="Arial"/>
          <w:sz w:val="20"/>
        </w:rPr>
        <w:t xml:space="preserve"> </w:t>
      </w:r>
      <w:proofErr w:type="spellStart"/>
      <w:r w:rsidRPr="000D4BD9">
        <w:rPr>
          <w:rFonts w:cs="Arial"/>
          <w:sz w:val="20"/>
        </w:rPr>
        <w:t>Masterprint</w:t>
      </w:r>
      <w:proofErr w:type="spellEnd"/>
      <w:r w:rsidRPr="000D4BD9">
        <w:rPr>
          <w:rFonts w:cs="Arial"/>
          <w:sz w:val="20"/>
        </w:rPr>
        <w:t xml:space="preserve"> Pty Limited</w:t>
      </w:r>
    </w:p>
    <w:p w:rsidR="008008A9" w:rsidRDefault="008008A9" w:rsidP="00F35A7A">
      <w:pPr>
        <w:rPr>
          <w:rFonts w:cs="Arial"/>
          <w:szCs w:val="24"/>
        </w:rPr>
      </w:pPr>
    </w:p>
    <w:p w:rsidR="00F35A7A" w:rsidRDefault="00F35A7A" w:rsidP="00F35A7A">
      <w:pPr>
        <w:rPr>
          <w:rFonts w:cs="Arial"/>
          <w:szCs w:val="24"/>
        </w:rPr>
      </w:pPr>
    </w:p>
    <w:p w:rsidR="009A053F" w:rsidRDefault="009A053F" w:rsidP="00F35A7A">
      <w:pPr>
        <w:rPr>
          <w:rFonts w:cs="Arial"/>
          <w:szCs w:val="24"/>
        </w:rPr>
      </w:pPr>
    </w:p>
    <w:p w:rsidR="009A053F" w:rsidRDefault="009A053F" w:rsidP="00F35A7A">
      <w:pPr>
        <w:rPr>
          <w:rFonts w:cs="Arial"/>
          <w:szCs w:val="24"/>
        </w:rPr>
      </w:pPr>
    </w:p>
    <w:p w:rsidR="009A053F" w:rsidRDefault="009A053F" w:rsidP="00F35A7A">
      <w:pPr>
        <w:rPr>
          <w:rFonts w:cs="Arial"/>
          <w:szCs w:val="24"/>
        </w:rPr>
      </w:pPr>
    </w:p>
    <w:p w:rsidR="009A053F" w:rsidRDefault="009A053F" w:rsidP="00F35A7A">
      <w:pPr>
        <w:rPr>
          <w:rFonts w:cs="Arial"/>
          <w:szCs w:val="24"/>
        </w:rPr>
      </w:pPr>
    </w:p>
    <w:p w:rsidR="009A053F" w:rsidRDefault="009A053F" w:rsidP="00F35A7A">
      <w:pPr>
        <w:rPr>
          <w:rFonts w:cs="Arial"/>
          <w:szCs w:val="24"/>
        </w:rPr>
      </w:pPr>
    </w:p>
    <w:p w:rsidR="009A053F" w:rsidRDefault="009A053F" w:rsidP="00F35A7A">
      <w:pPr>
        <w:rPr>
          <w:rFonts w:cs="Arial"/>
          <w:szCs w:val="24"/>
        </w:rPr>
      </w:pPr>
    </w:p>
    <w:p w:rsidR="009A053F" w:rsidRDefault="009A053F" w:rsidP="00F35A7A">
      <w:pPr>
        <w:rPr>
          <w:rFonts w:cs="Arial"/>
          <w:szCs w:val="24"/>
        </w:rPr>
      </w:pPr>
    </w:p>
    <w:p w:rsidR="009A053F" w:rsidRDefault="009A053F" w:rsidP="00F35A7A">
      <w:pPr>
        <w:rPr>
          <w:rFonts w:cs="Arial"/>
          <w:szCs w:val="24"/>
        </w:rPr>
      </w:pPr>
    </w:p>
    <w:p w:rsidR="009A053F" w:rsidRDefault="009A053F"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8008A9" w:rsidRDefault="008008A9" w:rsidP="00F35A7A">
      <w:pPr>
        <w:rPr>
          <w:rFonts w:cs="Arial"/>
          <w:szCs w:val="24"/>
        </w:rPr>
      </w:pPr>
    </w:p>
    <w:p w:rsidR="00F35A7A" w:rsidRDefault="00F35A7A" w:rsidP="00F35A7A">
      <w:pPr>
        <w:rPr>
          <w:rFonts w:cs="Arial"/>
          <w:szCs w:val="24"/>
        </w:rPr>
      </w:pPr>
    </w:p>
    <w:p w:rsidR="00F35A7A" w:rsidRPr="00C04D50" w:rsidRDefault="00621F1F" w:rsidP="00F35A7A">
      <w:pPr>
        <w:rPr>
          <w:rFonts w:cs="Arial"/>
          <w:b/>
          <w:sz w:val="36"/>
          <w:szCs w:val="36"/>
        </w:rPr>
      </w:pPr>
      <w:r>
        <w:rPr>
          <w:rFonts w:cs="Arial"/>
          <w:b/>
          <w:sz w:val="36"/>
          <w:szCs w:val="36"/>
        </w:rPr>
        <w:t>AM</w:t>
      </w:r>
      <w:r w:rsidR="00F35A7A" w:rsidRPr="00C04D50">
        <w:rPr>
          <w:rFonts w:cs="Arial"/>
          <w:b/>
          <w:sz w:val="36"/>
          <w:szCs w:val="36"/>
        </w:rPr>
        <w:t xml:space="preserve"> v </w:t>
      </w:r>
      <w:r>
        <w:rPr>
          <w:rFonts w:cs="Arial"/>
          <w:b/>
          <w:sz w:val="36"/>
          <w:szCs w:val="36"/>
        </w:rPr>
        <w:t>Commonwealth (</w:t>
      </w:r>
      <w:r w:rsidR="00DD659E">
        <w:rPr>
          <w:rFonts w:cs="Arial"/>
          <w:b/>
          <w:sz w:val="36"/>
          <w:szCs w:val="36"/>
        </w:rPr>
        <w:t>Department of Home Affairs</w:t>
      </w:r>
      <w:r w:rsidR="009A053F">
        <w:rPr>
          <w:rFonts w:cs="Arial"/>
          <w:b/>
          <w:sz w:val="36"/>
          <w:szCs w:val="36"/>
        </w:rPr>
        <w:t>)</w:t>
      </w:r>
    </w:p>
    <w:p w:rsidR="00F35A7A" w:rsidRPr="00C04D50" w:rsidRDefault="00621F1F" w:rsidP="00F35A7A">
      <w:pPr>
        <w:rPr>
          <w:rFonts w:cs="Arial"/>
          <w:sz w:val="32"/>
          <w:szCs w:val="32"/>
        </w:rPr>
      </w:pPr>
      <w:r>
        <w:rPr>
          <w:rFonts w:cs="Arial"/>
          <w:sz w:val="32"/>
          <w:szCs w:val="32"/>
        </w:rPr>
        <w:t xml:space="preserve">[2018] </w:t>
      </w:r>
      <w:proofErr w:type="spellStart"/>
      <w:r>
        <w:rPr>
          <w:rFonts w:cs="Arial"/>
          <w:sz w:val="32"/>
          <w:szCs w:val="32"/>
        </w:rPr>
        <w:t>AusHRC</w:t>
      </w:r>
      <w:proofErr w:type="spellEnd"/>
      <w:r>
        <w:rPr>
          <w:rFonts w:cs="Arial"/>
          <w:sz w:val="32"/>
          <w:szCs w:val="32"/>
        </w:rPr>
        <w:t xml:space="preserve"> 124</w:t>
      </w:r>
    </w:p>
    <w:p w:rsidR="00F35A7A" w:rsidRDefault="00F35A7A" w:rsidP="00F35A7A">
      <w:pPr>
        <w:rPr>
          <w:rFonts w:cs="Arial"/>
          <w:i/>
          <w:szCs w:val="24"/>
        </w:rPr>
      </w:pPr>
      <w:r>
        <w:rPr>
          <w:rFonts w:cs="Arial"/>
          <w:i/>
          <w:szCs w:val="24"/>
        </w:rPr>
        <w:t xml:space="preserve">Report into </w:t>
      </w:r>
      <w:r w:rsidR="009A053F">
        <w:rPr>
          <w:rFonts w:cs="Arial"/>
          <w:i/>
          <w:szCs w:val="24"/>
        </w:rPr>
        <w:t>arbitrary detention</w:t>
      </w:r>
    </w:p>
    <w:p w:rsidR="00F35A7A" w:rsidRDefault="00F35A7A" w:rsidP="00F35A7A">
      <w:pPr>
        <w:rPr>
          <w:rFonts w:cs="Arial"/>
          <w:szCs w:val="24"/>
        </w:rPr>
      </w:pPr>
    </w:p>
    <w:p w:rsidR="00F35A7A" w:rsidRDefault="00F35A7A" w:rsidP="00F35A7A">
      <w:pPr>
        <w:rPr>
          <w:rFonts w:cs="Arial"/>
          <w:szCs w:val="24"/>
        </w:rPr>
      </w:pPr>
    </w:p>
    <w:p w:rsidR="00F35A7A" w:rsidRPr="00C04D50" w:rsidRDefault="00F35A7A" w:rsidP="00F35A7A">
      <w:pPr>
        <w:rPr>
          <w:rFonts w:cs="Arial"/>
          <w:i/>
          <w:szCs w:val="24"/>
        </w:rPr>
      </w:pPr>
      <w:r>
        <w:rPr>
          <w:rFonts w:cs="Arial"/>
          <w:szCs w:val="24"/>
        </w:rPr>
        <w:t>Australian Human Rights Commission 2018</w:t>
      </w: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 w:rsidR="00125EF3" w:rsidRDefault="00125EF3" w:rsidP="00F35A7A"/>
    <w:p w:rsidR="00F35A7A" w:rsidRPr="00E5666D" w:rsidRDefault="00F35A7A" w:rsidP="00F35A7A">
      <w:pPr>
        <w:rPr>
          <w:szCs w:val="24"/>
        </w:rPr>
      </w:pPr>
      <w:r w:rsidRPr="00E5666D">
        <w:rPr>
          <w:szCs w:val="24"/>
        </w:rPr>
        <w:t>The Hon Christian Porter MP</w:t>
      </w:r>
    </w:p>
    <w:p w:rsidR="00F35A7A" w:rsidRPr="00E5666D" w:rsidRDefault="008008A9" w:rsidP="00F35A7A">
      <w:pPr>
        <w:rPr>
          <w:szCs w:val="24"/>
        </w:rPr>
      </w:pPr>
      <w:r>
        <w:rPr>
          <w:szCs w:val="24"/>
        </w:rPr>
        <w:t>Attorney-General</w:t>
      </w:r>
    </w:p>
    <w:p w:rsidR="00F35A7A" w:rsidRPr="00E5666D" w:rsidRDefault="00F35A7A" w:rsidP="00F35A7A">
      <w:pPr>
        <w:rPr>
          <w:color w:val="231F20"/>
          <w:szCs w:val="24"/>
        </w:rPr>
      </w:pPr>
      <w:r w:rsidRPr="00E5666D">
        <w:rPr>
          <w:color w:val="231F20"/>
          <w:szCs w:val="24"/>
        </w:rPr>
        <w:t>Parliament House</w:t>
      </w:r>
    </w:p>
    <w:p w:rsidR="00F35A7A" w:rsidRPr="00E5666D" w:rsidRDefault="00F35A7A" w:rsidP="00F35A7A">
      <w:pPr>
        <w:rPr>
          <w:szCs w:val="24"/>
        </w:rPr>
      </w:pPr>
      <w:r w:rsidRPr="00E5666D">
        <w:rPr>
          <w:color w:val="231F20"/>
          <w:szCs w:val="24"/>
        </w:rPr>
        <w:t>Canberra ACT 2600</w:t>
      </w:r>
    </w:p>
    <w:p w:rsidR="00F35A7A" w:rsidRPr="00E5666D" w:rsidRDefault="00F35A7A" w:rsidP="00F35A7A">
      <w:pPr>
        <w:rPr>
          <w:rFonts w:cs="Arial"/>
          <w:szCs w:val="24"/>
        </w:rPr>
      </w:pPr>
    </w:p>
    <w:p w:rsidR="00F35A7A" w:rsidRPr="00E5666D" w:rsidRDefault="00F35A7A" w:rsidP="00621F1F">
      <w:pPr>
        <w:contextualSpacing/>
        <w:rPr>
          <w:rFonts w:cs="Arial"/>
          <w:szCs w:val="24"/>
        </w:rPr>
      </w:pPr>
      <w:r w:rsidRPr="00E5666D">
        <w:rPr>
          <w:rFonts w:cs="Arial"/>
          <w:szCs w:val="24"/>
        </w:rPr>
        <w:t>Dear Attorney</w:t>
      </w:r>
    </w:p>
    <w:p w:rsidR="00F35A7A" w:rsidRPr="00E5666D" w:rsidRDefault="00F35A7A" w:rsidP="00621F1F">
      <w:pPr>
        <w:contextualSpacing/>
        <w:rPr>
          <w:rFonts w:cs="Arial"/>
          <w:szCs w:val="24"/>
        </w:rPr>
      </w:pPr>
    </w:p>
    <w:p w:rsidR="00F35A7A" w:rsidRPr="00E5666D" w:rsidRDefault="00F35A7A" w:rsidP="00621F1F">
      <w:pPr>
        <w:contextualSpacing/>
        <w:rPr>
          <w:rFonts w:cs="Arial"/>
          <w:szCs w:val="24"/>
        </w:rPr>
      </w:pPr>
      <w:r w:rsidRPr="00E5666D">
        <w:rPr>
          <w:rFonts w:cs="Arial"/>
          <w:szCs w:val="24"/>
        </w:rPr>
        <w:t xml:space="preserve">I have completed my report pursuant to </w:t>
      </w:r>
      <w:r w:rsidR="00855288" w:rsidRPr="00E5666D">
        <w:rPr>
          <w:rFonts w:cs="Arial"/>
          <w:szCs w:val="24"/>
        </w:rPr>
        <w:t xml:space="preserve">s </w:t>
      </w:r>
      <w:r w:rsidR="00760359" w:rsidRPr="00E5666D">
        <w:rPr>
          <w:rFonts w:cs="Arial"/>
          <w:szCs w:val="24"/>
        </w:rPr>
        <w:t>11(1)(f)</w:t>
      </w:r>
      <w:r w:rsidRPr="00E5666D">
        <w:rPr>
          <w:rFonts w:cs="Arial"/>
          <w:szCs w:val="24"/>
        </w:rPr>
        <w:t xml:space="preserve"> of the </w:t>
      </w:r>
      <w:r w:rsidRPr="00E5666D">
        <w:rPr>
          <w:rFonts w:cs="Arial"/>
          <w:i/>
          <w:szCs w:val="24"/>
        </w:rPr>
        <w:t xml:space="preserve">Australian Human Rights Commission Act 1986 </w:t>
      </w:r>
      <w:r w:rsidRPr="00E5666D">
        <w:rPr>
          <w:rFonts w:cs="Arial"/>
          <w:szCs w:val="24"/>
        </w:rPr>
        <w:t>(</w:t>
      </w:r>
      <w:proofErr w:type="spellStart"/>
      <w:r w:rsidRPr="00E5666D">
        <w:rPr>
          <w:rFonts w:cs="Arial"/>
          <w:szCs w:val="24"/>
        </w:rPr>
        <w:t>Cth</w:t>
      </w:r>
      <w:proofErr w:type="spellEnd"/>
      <w:r w:rsidRPr="00E5666D">
        <w:rPr>
          <w:rFonts w:cs="Arial"/>
          <w:szCs w:val="24"/>
        </w:rPr>
        <w:t xml:space="preserve">) into the complaint of </w:t>
      </w:r>
      <w:r w:rsidR="00DD659E" w:rsidRPr="00E5666D">
        <w:rPr>
          <w:rFonts w:cs="Arial"/>
          <w:szCs w:val="24"/>
        </w:rPr>
        <w:t>arbitrary detention</w:t>
      </w:r>
      <w:r w:rsidRPr="00E5666D">
        <w:rPr>
          <w:rFonts w:cs="Arial"/>
          <w:szCs w:val="24"/>
        </w:rPr>
        <w:t xml:space="preserve"> made by Mr </w:t>
      </w:r>
      <w:r w:rsidR="00DD659E" w:rsidRPr="00E5666D">
        <w:rPr>
          <w:rFonts w:cs="Arial"/>
          <w:szCs w:val="24"/>
        </w:rPr>
        <w:t>AM</w:t>
      </w:r>
      <w:r w:rsidRPr="00E5666D">
        <w:rPr>
          <w:rFonts w:cs="Arial"/>
          <w:szCs w:val="24"/>
        </w:rPr>
        <w:t xml:space="preserve"> against </w:t>
      </w:r>
      <w:r w:rsidR="00DD659E" w:rsidRPr="00E5666D">
        <w:rPr>
          <w:rFonts w:cs="Arial"/>
          <w:szCs w:val="24"/>
        </w:rPr>
        <w:t>the Commonwealth of Australia — specifically, against the former Department of Immigration and Border Protection and now the Department of Home Affairs</w:t>
      </w:r>
      <w:r w:rsidRPr="00E5666D">
        <w:rPr>
          <w:rFonts w:cs="Arial"/>
          <w:szCs w:val="24"/>
        </w:rPr>
        <w:t xml:space="preserve"> (</w:t>
      </w:r>
      <w:r w:rsidR="00DD659E" w:rsidRPr="00E5666D">
        <w:rPr>
          <w:rFonts w:cs="Arial"/>
          <w:szCs w:val="24"/>
        </w:rPr>
        <w:t>department</w:t>
      </w:r>
      <w:r w:rsidRPr="00E5666D">
        <w:rPr>
          <w:rFonts w:cs="Arial"/>
          <w:szCs w:val="24"/>
        </w:rPr>
        <w:t>).</w:t>
      </w:r>
    </w:p>
    <w:p w:rsidR="00F35A7A" w:rsidRPr="00E5666D" w:rsidRDefault="00F35A7A" w:rsidP="00621F1F">
      <w:pPr>
        <w:contextualSpacing/>
        <w:rPr>
          <w:rFonts w:cs="Arial"/>
          <w:szCs w:val="24"/>
        </w:rPr>
      </w:pPr>
    </w:p>
    <w:p w:rsidR="00F35A7A" w:rsidRPr="001C5E5B" w:rsidRDefault="00F63ECE" w:rsidP="00621F1F">
      <w:pPr>
        <w:contextualSpacing/>
        <w:rPr>
          <w:rFonts w:cs="Arial"/>
          <w:szCs w:val="24"/>
        </w:rPr>
      </w:pPr>
      <w:r w:rsidRPr="001C5E5B">
        <w:rPr>
          <w:rFonts w:cs="Arial"/>
          <w:szCs w:val="24"/>
        </w:rPr>
        <w:t>Mr AM complain</w:t>
      </w:r>
      <w:r w:rsidR="00A8536B" w:rsidRPr="001C5E5B">
        <w:rPr>
          <w:rFonts w:cs="Arial"/>
          <w:szCs w:val="24"/>
        </w:rPr>
        <w:t>ed</w:t>
      </w:r>
      <w:r w:rsidRPr="001C5E5B">
        <w:rPr>
          <w:rFonts w:cs="Arial"/>
          <w:szCs w:val="24"/>
        </w:rPr>
        <w:t xml:space="preserve"> that his detention in an immigration detentio</w:t>
      </w:r>
      <w:r w:rsidR="00A8536B" w:rsidRPr="001C5E5B">
        <w:rPr>
          <w:rFonts w:cs="Arial"/>
          <w:szCs w:val="24"/>
        </w:rPr>
        <w:t>n facility since 16 July 2012 was</w:t>
      </w:r>
      <w:r w:rsidRPr="001C5E5B">
        <w:rPr>
          <w:rFonts w:cs="Arial"/>
          <w:szCs w:val="24"/>
        </w:rPr>
        <w:t xml:space="preserve"> arbitrary, contrary to article 9</w:t>
      </w:r>
      <w:r w:rsidR="003C7ACA" w:rsidRPr="001C5E5B">
        <w:rPr>
          <w:rFonts w:cs="Arial"/>
          <w:szCs w:val="24"/>
        </w:rPr>
        <w:t>(1)</w:t>
      </w:r>
      <w:r w:rsidRPr="001C5E5B">
        <w:rPr>
          <w:rFonts w:cs="Arial"/>
          <w:szCs w:val="24"/>
        </w:rPr>
        <w:t xml:space="preserve"> of the </w:t>
      </w:r>
      <w:r w:rsidR="00DD659E" w:rsidRPr="001C5E5B">
        <w:rPr>
          <w:rFonts w:cs="Arial"/>
          <w:i/>
          <w:szCs w:val="24"/>
        </w:rPr>
        <w:t>International Covenant on Civil and Political Rights</w:t>
      </w:r>
      <w:r w:rsidRPr="001C5E5B">
        <w:rPr>
          <w:rFonts w:cs="Arial"/>
          <w:i/>
          <w:szCs w:val="24"/>
        </w:rPr>
        <w:t xml:space="preserve"> </w:t>
      </w:r>
      <w:r w:rsidRPr="001C5E5B">
        <w:rPr>
          <w:rFonts w:cs="Arial"/>
          <w:szCs w:val="24"/>
        </w:rPr>
        <w:t>(ICCPR)</w:t>
      </w:r>
      <w:r w:rsidR="00DD659E" w:rsidRPr="001C5E5B">
        <w:rPr>
          <w:rFonts w:cs="Arial"/>
          <w:szCs w:val="24"/>
        </w:rPr>
        <w:t>.</w:t>
      </w:r>
    </w:p>
    <w:p w:rsidR="009C4AEC" w:rsidRPr="001C5E5B" w:rsidRDefault="00F63ECE" w:rsidP="009C4AEC">
      <w:pPr>
        <w:spacing w:before="240" w:after="240"/>
        <w:rPr>
          <w:szCs w:val="24"/>
        </w:rPr>
      </w:pPr>
      <w:r w:rsidRPr="001C5E5B">
        <w:rPr>
          <w:szCs w:val="24"/>
        </w:rPr>
        <w:t>As a result of this inquiry, I found that</w:t>
      </w:r>
      <w:r w:rsidR="009C4AEC" w:rsidRPr="001C5E5B">
        <w:rPr>
          <w:rFonts w:cs="Arial"/>
          <w:szCs w:val="24"/>
        </w:rPr>
        <w:t>:</w:t>
      </w:r>
    </w:p>
    <w:p w:rsidR="009C4AEC" w:rsidRPr="001C5E5B" w:rsidRDefault="009C4AEC" w:rsidP="009C4AEC">
      <w:pPr>
        <w:pStyle w:val="Paragrafoelenco"/>
        <w:numPr>
          <w:ilvl w:val="0"/>
          <w:numId w:val="41"/>
        </w:numPr>
        <w:spacing w:before="240" w:after="240"/>
        <w:ind w:left="720"/>
        <w:rPr>
          <w:szCs w:val="24"/>
        </w:rPr>
      </w:pPr>
      <w:r w:rsidRPr="001C5E5B">
        <w:rPr>
          <w:rFonts w:cs="Arial"/>
          <w:szCs w:val="24"/>
        </w:rPr>
        <w:t xml:space="preserve">the department’s failure to refer Mr AM’s matter to the Minister for Immigration and Border Protection (Minister) under s 195A of </w:t>
      </w:r>
      <w:r w:rsidRPr="001C5E5B">
        <w:rPr>
          <w:szCs w:val="24"/>
        </w:rPr>
        <w:t xml:space="preserve">the </w:t>
      </w:r>
      <w:r w:rsidRPr="001C5E5B">
        <w:rPr>
          <w:i/>
          <w:szCs w:val="24"/>
        </w:rPr>
        <w:t>Migration Act 1958</w:t>
      </w:r>
      <w:r w:rsidRPr="001C5E5B">
        <w:rPr>
          <w:szCs w:val="24"/>
        </w:rPr>
        <w:t xml:space="preserve"> (</w:t>
      </w:r>
      <w:proofErr w:type="spellStart"/>
      <w:r w:rsidRPr="001C5E5B">
        <w:rPr>
          <w:szCs w:val="24"/>
        </w:rPr>
        <w:t>Cth</w:t>
      </w:r>
      <w:proofErr w:type="spellEnd"/>
      <w:r w:rsidRPr="001C5E5B">
        <w:rPr>
          <w:szCs w:val="24"/>
        </w:rPr>
        <w:t xml:space="preserve">) (Migration Act) until </w:t>
      </w:r>
      <w:r w:rsidRPr="001C5E5B">
        <w:rPr>
          <w:rFonts w:cs="Arial"/>
          <w:szCs w:val="24"/>
        </w:rPr>
        <w:t>August 2016, and</w:t>
      </w:r>
    </w:p>
    <w:p w:rsidR="009C4AEC" w:rsidRPr="001C5E5B" w:rsidRDefault="009C4AEC" w:rsidP="009C4AEC">
      <w:pPr>
        <w:pStyle w:val="Paragrafoelenco"/>
        <w:spacing w:before="240" w:after="240"/>
        <w:rPr>
          <w:szCs w:val="24"/>
        </w:rPr>
      </w:pPr>
    </w:p>
    <w:p w:rsidR="009C4AEC" w:rsidRPr="001C5E5B" w:rsidRDefault="009C4AEC" w:rsidP="009C4AEC">
      <w:pPr>
        <w:pStyle w:val="Paragrafoelenco"/>
        <w:numPr>
          <w:ilvl w:val="0"/>
          <w:numId w:val="41"/>
        </w:numPr>
        <w:spacing w:before="240" w:after="240"/>
        <w:ind w:left="720"/>
        <w:rPr>
          <w:szCs w:val="24"/>
        </w:rPr>
      </w:pPr>
      <w:r w:rsidRPr="001C5E5B">
        <w:rPr>
          <w:rFonts w:cs="Arial"/>
          <w:szCs w:val="24"/>
        </w:rPr>
        <w:t>the department’s failure to refer Mr AM’s matter to the Minister under s</w:t>
      </w:r>
      <w:r w:rsidR="003C7ACA" w:rsidRPr="001C5E5B">
        <w:rPr>
          <w:rFonts w:cs="Arial"/>
          <w:szCs w:val="24"/>
        </w:rPr>
        <w:t> </w:t>
      </w:r>
      <w:r w:rsidRPr="001C5E5B">
        <w:rPr>
          <w:rFonts w:cs="Arial"/>
          <w:szCs w:val="24"/>
        </w:rPr>
        <w:t>197AB of the Migration Act</w:t>
      </w:r>
    </w:p>
    <w:p w:rsidR="009C4AEC" w:rsidRPr="001C5E5B" w:rsidRDefault="009C4AEC" w:rsidP="009C4AEC">
      <w:pPr>
        <w:pStyle w:val="Paragrafoelenco"/>
        <w:ind w:left="99"/>
        <w:rPr>
          <w:szCs w:val="24"/>
        </w:rPr>
      </w:pPr>
    </w:p>
    <w:p w:rsidR="009C4AEC" w:rsidRPr="001C5E5B" w:rsidRDefault="009C4AEC" w:rsidP="009C4AEC">
      <w:pPr>
        <w:rPr>
          <w:szCs w:val="24"/>
        </w:rPr>
      </w:pPr>
      <w:r w:rsidRPr="001C5E5B">
        <w:rPr>
          <w:szCs w:val="24"/>
        </w:rPr>
        <w:t xml:space="preserve">was inconsistent with, or contrary to, article 9(1) of the ICCPR. </w:t>
      </w:r>
    </w:p>
    <w:p w:rsidR="009C4AEC" w:rsidRPr="001C5E5B" w:rsidRDefault="009C4AEC" w:rsidP="00F35A7A">
      <w:pPr>
        <w:rPr>
          <w:szCs w:val="24"/>
        </w:rPr>
      </w:pPr>
    </w:p>
    <w:p w:rsidR="00F35A7A" w:rsidRPr="001C5E5B" w:rsidRDefault="00E13187" w:rsidP="00F35A7A">
      <w:pPr>
        <w:rPr>
          <w:rFonts w:cs="Arial"/>
          <w:szCs w:val="24"/>
        </w:rPr>
      </w:pPr>
      <w:r w:rsidRPr="001C5E5B">
        <w:rPr>
          <w:rFonts w:cs="Arial"/>
          <w:szCs w:val="24"/>
        </w:rPr>
        <w:t>The department</w:t>
      </w:r>
      <w:r w:rsidR="00F35A7A" w:rsidRPr="001C5E5B">
        <w:rPr>
          <w:rFonts w:cs="Arial"/>
          <w:szCs w:val="24"/>
        </w:rPr>
        <w:t xml:space="preserve"> provided </w:t>
      </w:r>
      <w:r w:rsidRPr="001C5E5B">
        <w:rPr>
          <w:rFonts w:cs="Arial"/>
          <w:szCs w:val="24"/>
        </w:rPr>
        <w:t>a</w:t>
      </w:r>
      <w:r w:rsidR="00F35A7A" w:rsidRPr="001C5E5B">
        <w:rPr>
          <w:rFonts w:cs="Arial"/>
          <w:szCs w:val="24"/>
        </w:rPr>
        <w:t xml:space="preserve"> response to my findings and recommendations on</w:t>
      </w:r>
      <w:r w:rsidRPr="001C5E5B">
        <w:rPr>
          <w:rFonts w:cs="Arial"/>
          <w:szCs w:val="24"/>
        </w:rPr>
        <w:t xml:space="preserve"> </w:t>
      </w:r>
      <w:r w:rsidR="00424B1B" w:rsidRPr="001C5E5B">
        <w:rPr>
          <w:rFonts w:cs="Arial"/>
          <w:szCs w:val="24"/>
        </w:rPr>
        <w:t>14 March 2018</w:t>
      </w:r>
      <w:r w:rsidR="00F35A7A" w:rsidRPr="001C5E5B">
        <w:rPr>
          <w:rFonts w:cs="Arial"/>
          <w:szCs w:val="24"/>
        </w:rPr>
        <w:t xml:space="preserve">. </w:t>
      </w:r>
      <w:r w:rsidRPr="001C5E5B">
        <w:rPr>
          <w:rFonts w:cs="Arial"/>
          <w:szCs w:val="24"/>
        </w:rPr>
        <w:t>That response can be found</w:t>
      </w:r>
      <w:r w:rsidR="00D61481" w:rsidRPr="001C5E5B">
        <w:rPr>
          <w:rFonts w:cs="Arial"/>
          <w:szCs w:val="24"/>
        </w:rPr>
        <w:t xml:space="preserve"> in Part 9</w:t>
      </w:r>
      <w:r w:rsidR="00F35A7A" w:rsidRPr="001C5E5B">
        <w:rPr>
          <w:rFonts w:cs="Arial"/>
          <w:szCs w:val="24"/>
        </w:rPr>
        <w:t xml:space="preserve"> of this report.</w:t>
      </w:r>
    </w:p>
    <w:p w:rsidR="007628EA" w:rsidRPr="001C5E5B" w:rsidRDefault="007628EA" w:rsidP="00F35A7A">
      <w:pPr>
        <w:rPr>
          <w:rFonts w:cs="Arial"/>
          <w:szCs w:val="24"/>
        </w:rPr>
      </w:pPr>
    </w:p>
    <w:p w:rsidR="00935321" w:rsidRPr="00E5666D" w:rsidRDefault="007628EA" w:rsidP="00935321">
      <w:pPr>
        <w:rPr>
          <w:rFonts w:cs="Arial"/>
          <w:szCs w:val="24"/>
        </w:rPr>
      </w:pPr>
      <w:r w:rsidRPr="001C5E5B">
        <w:rPr>
          <w:rFonts w:cs="Arial"/>
          <w:szCs w:val="24"/>
        </w:rPr>
        <w:t>I understand that</w:t>
      </w:r>
      <w:r w:rsidR="00935321" w:rsidRPr="001C5E5B">
        <w:rPr>
          <w:rFonts w:cs="Arial"/>
          <w:szCs w:val="24"/>
        </w:rPr>
        <w:t>, on 24 November 2017, the Minister exercised his power under s 195A of the Migration Act and Mr AM was released into the community on a bridging visa.</w:t>
      </w:r>
    </w:p>
    <w:p w:rsidR="00935321" w:rsidRDefault="00935321" w:rsidP="00F35A7A">
      <w:pPr>
        <w:rPr>
          <w:rFonts w:cs="Arial"/>
          <w:szCs w:val="24"/>
        </w:rPr>
      </w:pPr>
    </w:p>
    <w:p w:rsidR="00F35A7A" w:rsidRPr="00E5666D" w:rsidRDefault="00F35A7A" w:rsidP="00F35A7A">
      <w:pPr>
        <w:rPr>
          <w:rFonts w:cs="Arial"/>
          <w:szCs w:val="24"/>
        </w:rPr>
      </w:pPr>
      <w:r w:rsidRPr="00E5666D">
        <w:rPr>
          <w:rFonts w:cs="Arial"/>
          <w:szCs w:val="24"/>
        </w:rPr>
        <w:t>I enclose a copy of my report.</w:t>
      </w:r>
    </w:p>
    <w:p w:rsidR="00F35A7A" w:rsidRPr="00E5666D" w:rsidRDefault="00F35A7A" w:rsidP="00F35A7A">
      <w:pPr>
        <w:rPr>
          <w:rFonts w:cs="Arial"/>
          <w:szCs w:val="24"/>
        </w:rPr>
      </w:pPr>
    </w:p>
    <w:p w:rsidR="00F35A7A" w:rsidRPr="00E5666D" w:rsidRDefault="00F35A7A" w:rsidP="00F35A7A">
      <w:pPr>
        <w:rPr>
          <w:rFonts w:cs="Arial"/>
          <w:szCs w:val="24"/>
        </w:rPr>
      </w:pPr>
      <w:r w:rsidRPr="00E5666D">
        <w:rPr>
          <w:rFonts w:cs="Arial"/>
          <w:szCs w:val="24"/>
        </w:rPr>
        <w:t>Yours sincerely,</w:t>
      </w:r>
    </w:p>
    <w:p w:rsidR="00F35A7A" w:rsidRPr="00E5666D" w:rsidRDefault="00F35A7A" w:rsidP="00F35A7A">
      <w:pPr>
        <w:rPr>
          <w:rFonts w:cs="Arial"/>
          <w:szCs w:val="24"/>
        </w:rPr>
      </w:pPr>
    </w:p>
    <w:p w:rsidR="00F35A7A" w:rsidRDefault="00F35A7A" w:rsidP="00F35A7A">
      <w:pPr>
        <w:rPr>
          <w:rFonts w:cs="Arial"/>
          <w:szCs w:val="24"/>
        </w:rPr>
      </w:pPr>
    </w:p>
    <w:p w:rsidR="003A1CF0" w:rsidRPr="00E5666D" w:rsidRDefault="003A1CF0" w:rsidP="00F35A7A">
      <w:pPr>
        <w:rPr>
          <w:rFonts w:cs="Arial"/>
          <w:szCs w:val="24"/>
        </w:rPr>
      </w:pPr>
    </w:p>
    <w:p w:rsidR="00F35A7A" w:rsidRPr="00E5666D" w:rsidRDefault="00F35A7A" w:rsidP="00F35A7A">
      <w:pPr>
        <w:rPr>
          <w:rFonts w:cs="Arial"/>
          <w:szCs w:val="24"/>
        </w:rPr>
      </w:pPr>
      <w:r w:rsidRPr="00E5666D">
        <w:rPr>
          <w:rFonts w:cs="Arial"/>
          <w:szCs w:val="24"/>
        </w:rPr>
        <w:t>Emeritus Professor Rosalind Croucher AM</w:t>
      </w:r>
    </w:p>
    <w:p w:rsidR="00F35A7A" w:rsidRPr="00E5666D" w:rsidRDefault="008008A9" w:rsidP="00F35A7A">
      <w:pPr>
        <w:rPr>
          <w:rFonts w:cs="Arial"/>
          <w:b/>
          <w:szCs w:val="24"/>
        </w:rPr>
      </w:pPr>
      <w:r>
        <w:rPr>
          <w:rFonts w:cs="Arial"/>
          <w:b/>
          <w:szCs w:val="24"/>
        </w:rPr>
        <w:t>President</w:t>
      </w:r>
    </w:p>
    <w:p w:rsidR="00F35A7A" w:rsidRPr="00E5666D" w:rsidRDefault="00F35A7A" w:rsidP="00F35A7A">
      <w:pPr>
        <w:rPr>
          <w:rFonts w:cs="Arial"/>
          <w:szCs w:val="24"/>
        </w:rPr>
      </w:pPr>
      <w:r w:rsidRPr="00E5666D">
        <w:rPr>
          <w:rFonts w:cs="Arial"/>
          <w:szCs w:val="24"/>
        </w:rPr>
        <w:t>Australian Human Rights Commission</w:t>
      </w:r>
    </w:p>
    <w:p w:rsidR="00F35A7A" w:rsidRPr="00E5666D" w:rsidRDefault="00F35A7A" w:rsidP="00F35A7A">
      <w:pPr>
        <w:rPr>
          <w:rFonts w:cs="Arial"/>
          <w:szCs w:val="24"/>
        </w:rPr>
      </w:pPr>
    </w:p>
    <w:p w:rsidR="00F35A7A" w:rsidRPr="00E5666D" w:rsidRDefault="00E34419" w:rsidP="00F35A7A">
      <w:pPr>
        <w:rPr>
          <w:rFonts w:cs="Arial"/>
          <w:szCs w:val="24"/>
        </w:rPr>
      </w:pPr>
      <w:r w:rsidRPr="00E5666D">
        <w:rPr>
          <w:rFonts w:cs="Arial"/>
          <w:szCs w:val="24"/>
        </w:rPr>
        <w:t>May</w:t>
      </w:r>
      <w:r w:rsidR="00F35A7A" w:rsidRPr="00E5666D">
        <w:rPr>
          <w:rFonts w:cs="Arial"/>
          <w:szCs w:val="24"/>
        </w:rPr>
        <w:t xml:space="preserve"> 2018</w:t>
      </w:r>
    </w:p>
    <w:p w:rsidR="00F35A7A" w:rsidRDefault="00F35A7A" w:rsidP="008F3A9F">
      <w:pPr>
        <w:pStyle w:val="Titolosommario"/>
        <w:rPr>
          <w:b w:val="0"/>
          <w:sz w:val="24"/>
          <w:lang w:val="en-AU"/>
        </w:rPr>
      </w:pPr>
    </w:p>
    <w:p w:rsidR="00F35A7A" w:rsidRDefault="00F35A7A" w:rsidP="00F35A7A"/>
    <w:p w:rsidR="00F35A7A" w:rsidRDefault="00F35A7A" w:rsidP="00F35A7A"/>
    <w:p w:rsidR="00F35A7A" w:rsidRDefault="00F35A7A" w:rsidP="00F35A7A"/>
    <w:p w:rsidR="00F35A7A" w:rsidRDefault="00F35A7A" w:rsidP="00F35A7A"/>
    <w:p w:rsidR="00F35A7A" w:rsidRDefault="00F35A7A" w:rsidP="00F35A7A"/>
    <w:p w:rsidR="00625C4B" w:rsidRDefault="00625C4B" w:rsidP="00F35A7A"/>
    <w:p w:rsidR="00125EF3" w:rsidRDefault="00125EF3" w:rsidP="00F35A7A"/>
    <w:p w:rsidR="007628EA" w:rsidRPr="00F35A7A" w:rsidRDefault="007628EA" w:rsidP="00F35A7A"/>
    <w:sdt>
      <w:sdtPr>
        <w:rPr>
          <w:b w:val="0"/>
          <w:sz w:val="24"/>
          <w:highlight w:val="yellow"/>
          <w:lang w:val="en-AU"/>
        </w:rPr>
        <w:id w:val="-512752674"/>
        <w:docPartObj>
          <w:docPartGallery w:val="Table of Contents"/>
          <w:docPartUnique/>
        </w:docPartObj>
      </w:sdtPr>
      <w:sdtEndPr>
        <w:rPr>
          <w:bCs/>
          <w:noProof/>
        </w:rPr>
      </w:sdtEndPr>
      <w:sdtContent>
        <w:p w:rsidR="008F3A9F" w:rsidRPr="001C5E5B" w:rsidRDefault="008F3A9F" w:rsidP="008F3A9F">
          <w:pPr>
            <w:pStyle w:val="Titolosommario"/>
          </w:pPr>
          <w:r w:rsidRPr="001C5E5B">
            <w:t>Contents</w:t>
          </w:r>
        </w:p>
        <w:p w:rsidR="00D61481" w:rsidRPr="001C5E5B" w:rsidRDefault="008F3A9F">
          <w:pPr>
            <w:pStyle w:val="Sommario1"/>
            <w:rPr>
              <w:rFonts w:asciiTheme="minorHAnsi" w:eastAsiaTheme="minorEastAsia" w:hAnsiTheme="minorHAnsi" w:cstheme="minorBidi"/>
              <w:b w:val="0"/>
              <w:noProof/>
              <w:spacing w:val="0"/>
              <w:sz w:val="22"/>
              <w:szCs w:val="22"/>
              <w:lang w:eastAsia="en-AU"/>
            </w:rPr>
          </w:pPr>
          <w:r w:rsidRPr="001C5E5B">
            <w:fldChar w:fldCharType="begin"/>
          </w:r>
          <w:r w:rsidRPr="001C5E5B">
            <w:instrText xml:space="preserve"> TOC \o "1-3" \h \z \u </w:instrText>
          </w:r>
          <w:r w:rsidRPr="001C5E5B">
            <w:fldChar w:fldCharType="separate"/>
          </w:r>
          <w:hyperlink w:anchor="_Toc514145965" w:history="1">
            <w:r w:rsidR="00D61481" w:rsidRPr="001C5E5B">
              <w:rPr>
                <w:rStyle w:val="Collegamentoipertestuale"/>
                <w:noProof/>
              </w:rPr>
              <w:t>1</w:t>
            </w:r>
            <w:r w:rsidR="00D61481" w:rsidRPr="001C5E5B">
              <w:rPr>
                <w:rFonts w:asciiTheme="minorHAnsi" w:eastAsiaTheme="minorEastAsia" w:hAnsiTheme="minorHAnsi" w:cstheme="minorBidi"/>
                <w:b w:val="0"/>
                <w:noProof/>
                <w:spacing w:val="0"/>
                <w:sz w:val="22"/>
                <w:szCs w:val="22"/>
                <w:lang w:eastAsia="en-AU"/>
              </w:rPr>
              <w:tab/>
            </w:r>
            <w:r w:rsidR="00D61481" w:rsidRPr="001C5E5B">
              <w:rPr>
                <w:rStyle w:val="Collegamentoipertestuale"/>
                <w:noProof/>
              </w:rPr>
              <w:t>Report into this inquiry</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_Toc514145965 \h </w:instrText>
            </w:r>
            <w:r w:rsidR="00D61481" w:rsidRPr="001C5E5B">
              <w:rPr>
                <w:noProof/>
                <w:webHidden/>
              </w:rPr>
            </w:r>
            <w:r w:rsidR="00D61481" w:rsidRPr="001C5E5B">
              <w:rPr>
                <w:noProof/>
                <w:webHidden/>
              </w:rPr>
              <w:fldChar w:fldCharType="separate"/>
            </w:r>
            <w:r w:rsidR="00D61481" w:rsidRPr="001C5E5B">
              <w:rPr>
                <w:noProof/>
                <w:webHidden/>
              </w:rPr>
              <w:t>5</w:t>
            </w:r>
            <w:r w:rsidR="00D61481" w:rsidRPr="001C5E5B">
              <w:rPr>
                <w:noProof/>
                <w:webHidden/>
              </w:rPr>
              <w:fldChar w:fldCharType="end"/>
            </w:r>
          </w:hyperlink>
        </w:p>
        <w:p w:rsidR="00D61481" w:rsidRPr="001C5E5B" w:rsidRDefault="005823D4">
          <w:pPr>
            <w:pStyle w:val="Sommario1"/>
            <w:rPr>
              <w:rFonts w:asciiTheme="minorHAnsi" w:eastAsiaTheme="minorEastAsia" w:hAnsiTheme="minorHAnsi" w:cstheme="minorBidi"/>
              <w:b w:val="0"/>
              <w:noProof/>
              <w:spacing w:val="0"/>
              <w:sz w:val="22"/>
              <w:szCs w:val="22"/>
              <w:lang w:eastAsia="en-AU"/>
            </w:rPr>
          </w:pPr>
          <w:hyperlink w:anchor="_Toc514145966" w:history="1">
            <w:r w:rsidR="00D61481" w:rsidRPr="001C5E5B">
              <w:rPr>
                <w:rStyle w:val="Collegamentoipertestuale"/>
                <w:noProof/>
              </w:rPr>
              <w:t>2</w:t>
            </w:r>
            <w:r w:rsidR="00D61481" w:rsidRPr="001C5E5B">
              <w:rPr>
                <w:rFonts w:asciiTheme="minorHAnsi" w:eastAsiaTheme="minorEastAsia" w:hAnsiTheme="minorHAnsi" w:cstheme="minorBidi"/>
                <w:b w:val="0"/>
                <w:noProof/>
                <w:spacing w:val="0"/>
                <w:sz w:val="22"/>
                <w:szCs w:val="22"/>
                <w:lang w:eastAsia="en-AU"/>
              </w:rPr>
              <w:tab/>
            </w:r>
            <w:r w:rsidR="00D61481" w:rsidRPr="001C5E5B">
              <w:rPr>
                <w:rStyle w:val="Collegamentoipertestuale"/>
                <w:noProof/>
              </w:rPr>
              <w:t>Notice of decision</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_Toc514145966 \h </w:instrText>
            </w:r>
            <w:r w:rsidR="00D61481" w:rsidRPr="001C5E5B">
              <w:rPr>
                <w:noProof/>
                <w:webHidden/>
              </w:rPr>
            </w:r>
            <w:r w:rsidR="00D61481" w:rsidRPr="001C5E5B">
              <w:rPr>
                <w:noProof/>
                <w:webHidden/>
              </w:rPr>
              <w:fldChar w:fldCharType="separate"/>
            </w:r>
            <w:r w:rsidR="00D61481" w:rsidRPr="001C5E5B">
              <w:rPr>
                <w:noProof/>
                <w:webHidden/>
              </w:rPr>
              <w:t>5</w:t>
            </w:r>
            <w:r w:rsidR="00D61481" w:rsidRPr="001C5E5B">
              <w:rPr>
                <w:noProof/>
                <w:webHidden/>
              </w:rPr>
              <w:fldChar w:fldCharType="end"/>
            </w:r>
          </w:hyperlink>
        </w:p>
        <w:p w:rsidR="00D61481" w:rsidRPr="001C5E5B" w:rsidRDefault="005823D4">
          <w:pPr>
            <w:pStyle w:val="Sommario1"/>
            <w:rPr>
              <w:rFonts w:asciiTheme="minorHAnsi" w:eastAsiaTheme="minorEastAsia" w:hAnsiTheme="minorHAnsi" w:cstheme="minorBidi"/>
              <w:b w:val="0"/>
              <w:noProof/>
              <w:spacing w:val="0"/>
              <w:sz w:val="22"/>
              <w:szCs w:val="22"/>
              <w:lang w:eastAsia="en-AU"/>
            </w:rPr>
          </w:pPr>
          <w:hyperlink w:anchor="_Toc514145967" w:history="1">
            <w:r w:rsidR="00D61481" w:rsidRPr="001C5E5B">
              <w:rPr>
                <w:rStyle w:val="Collegamentoipertestuale"/>
                <w:noProof/>
              </w:rPr>
              <w:t>3</w:t>
            </w:r>
            <w:r w:rsidR="00D61481" w:rsidRPr="001C5E5B">
              <w:rPr>
                <w:rFonts w:asciiTheme="minorHAnsi" w:eastAsiaTheme="minorEastAsia" w:hAnsiTheme="minorHAnsi" w:cstheme="minorBidi"/>
                <w:b w:val="0"/>
                <w:noProof/>
                <w:spacing w:val="0"/>
                <w:sz w:val="22"/>
                <w:szCs w:val="22"/>
                <w:lang w:eastAsia="en-AU"/>
              </w:rPr>
              <w:tab/>
            </w:r>
            <w:r w:rsidR="00D61481" w:rsidRPr="001C5E5B">
              <w:rPr>
                <w:rStyle w:val="Collegamentoipertestuale"/>
                <w:noProof/>
              </w:rPr>
              <w:t>Background</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_Toc514145967 \h </w:instrText>
            </w:r>
            <w:r w:rsidR="00D61481" w:rsidRPr="001C5E5B">
              <w:rPr>
                <w:noProof/>
                <w:webHidden/>
              </w:rPr>
            </w:r>
            <w:r w:rsidR="00D61481" w:rsidRPr="001C5E5B">
              <w:rPr>
                <w:noProof/>
                <w:webHidden/>
              </w:rPr>
              <w:fldChar w:fldCharType="separate"/>
            </w:r>
            <w:r w:rsidR="00D61481" w:rsidRPr="001C5E5B">
              <w:rPr>
                <w:noProof/>
                <w:webHidden/>
              </w:rPr>
              <w:t>6</w:t>
            </w:r>
            <w:r w:rsidR="00D61481" w:rsidRPr="001C5E5B">
              <w:rPr>
                <w:noProof/>
                <w:webHidden/>
              </w:rPr>
              <w:fldChar w:fldCharType="end"/>
            </w:r>
          </w:hyperlink>
        </w:p>
        <w:p w:rsidR="00D61481" w:rsidRPr="001C5E5B" w:rsidRDefault="005823D4">
          <w:pPr>
            <w:pStyle w:val="Sommario1"/>
            <w:rPr>
              <w:rFonts w:asciiTheme="minorHAnsi" w:eastAsiaTheme="minorEastAsia" w:hAnsiTheme="minorHAnsi" w:cstheme="minorBidi"/>
              <w:b w:val="0"/>
              <w:noProof/>
              <w:spacing w:val="0"/>
              <w:sz w:val="22"/>
              <w:szCs w:val="22"/>
              <w:lang w:eastAsia="en-AU"/>
            </w:rPr>
          </w:pPr>
          <w:hyperlink w:anchor="_Toc514145968" w:history="1">
            <w:r w:rsidR="00D61481" w:rsidRPr="001C5E5B">
              <w:rPr>
                <w:rStyle w:val="Collegamentoipertestuale"/>
                <w:noProof/>
              </w:rPr>
              <w:t>4</w:t>
            </w:r>
            <w:r w:rsidR="00D61481" w:rsidRPr="001C5E5B">
              <w:rPr>
                <w:rFonts w:asciiTheme="minorHAnsi" w:eastAsiaTheme="minorEastAsia" w:hAnsiTheme="minorHAnsi" w:cstheme="minorBidi"/>
                <w:b w:val="0"/>
                <w:noProof/>
                <w:spacing w:val="0"/>
                <w:sz w:val="22"/>
                <w:szCs w:val="22"/>
                <w:lang w:eastAsia="en-AU"/>
              </w:rPr>
              <w:tab/>
            </w:r>
            <w:r w:rsidR="00D61481" w:rsidRPr="001C5E5B">
              <w:rPr>
                <w:rStyle w:val="Collegamentoipertestuale"/>
                <w:noProof/>
              </w:rPr>
              <w:t>Legislative framework</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_Toc514145968 \h </w:instrText>
            </w:r>
            <w:r w:rsidR="00D61481" w:rsidRPr="001C5E5B">
              <w:rPr>
                <w:noProof/>
                <w:webHidden/>
              </w:rPr>
            </w:r>
            <w:r w:rsidR="00D61481" w:rsidRPr="001C5E5B">
              <w:rPr>
                <w:noProof/>
                <w:webHidden/>
              </w:rPr>
              <w:fldChar w:fldCharType="separate"/>
            </w:r>
            <w:r w:rsidR="00D61481" w:rsidRPr="001C5E5B">
              <w:rPr>
                <w:noProof/>
                <w:webHidden/>
              </w:rPr>
              <w:t>8</w:t>
            </w:r>
            <w:r w:rsidR="00D61481" w:rsidRPr="001C5E5B">
              <w:rPr>
                <w:noProof/>
                <w:webHidden/>
              </w:rPr>
              <w:fldChar w:fldCharType="end"/>
            </w:r>
          </w:hyperlink>
        </w:p>
        <w:p w:rsidR="00D61481" w:rsidRPr="001C5E5B" w:rsidRDefault="005823D4">
          <w:pPr>
            <w:pStyle w:val="Sommario2"/>
            <w:tabs>
              <w:tab w:val="right" w:leader="dot" w:pos="9060"/>
            </w:tabs>
            <w:rPr>
              <w:rFonts w:asciiTheme="minorHAnsi" w:eastAsiaTheme="minorEastAsia" w:hAnsiTheme="minorHAnsi" w:cstheme="minorBidi"/>
              <w:b w:val="0"/>
              <w:i w:val="0"/>
              <w:noProof/>
              <w:spacing w:val="0"/>
              <w:sz w:val="22"/>
              <w:szCs w:val="22"/>
              <w:lang w:eastAsia="en-AU"/>
            </w:rPr>
          </w:pPr>
          <w:hyperlink w:anchor="_Toc514145969" w:history="1">
            <w:r w:rsidR="00D61481" w:rsidRPr="001C5E5B">
              <w:rPr>
                <w:rStyle w:val="Collegamentoipertestuale"/>
                <w:noProof/>
              </w:rPr>
              <w:t>4.1</w:t>
            </w:r>
            <w:r w:rsidR="00D61481" w:rsidRPr="001C5E5B">
              <w:rPr>
                <w:rFonts w:asciiTheme="minorHAnsi" w:eastAsiaTheme="minorEastAsia" w:hAnsiTheme="minorHAnsi" w:cstheme="minorBidi"/>
                <w:b w:val="0"/>
                <w:i w:val="0"/>
                <w:noProof/>
                <w:spacing w:val="0"/>
                <w:sz w:val="22"/>
                <w:szCs w:val="22"/>
                <w:lang w:eastAsia="en-AU"/>
              </w:rPr>
              <w:tab/>
            </w:r>
            <w:r w:rsidR="00D61481" w:rsidRPr="001C5E5B">
              <w:rPr>
                <w:rStyle w:val="Collegamentoipertestuale"/>
                <w:noProof/>
              </w:rPr>
              <w:t>Functions of the Commission</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_Toc514145969 \h </w:instrText>
            </w:r>
            <w:r w:rsidR="00D61481" w:rsidRPr="001C5E5B">
              <w:rPr>
                <w:noProof/>
                <w:webHidden/>
              </w:rPr>
            </w:r>
            <w:r w:rsidR="00D61481" w:rsidRPr="001C5E5B">
              <w:rPr>
                <w:noProof/>
                <w:webHidden/>
              </w:rPr>
              <w:fldChar w:fldCharType="separate"/>
            </w:r>
            <w:r w:rsidR="00D61481" w:rsidRPr="001C5E5B">
              <w:rPr>
                <w:noProof/>
                <w:webHidden/>
              </w:rPr>
              <w:t>8</w:t>
            </w:r>
            <w:r w:rsidR="00D61481" w:rsidRPr="001C5E5B">
              <w:rPr>
                <w:noProof/>
                <w:webHidden/>
              </w:rPr>
              <w:fldChar w:fldCharType="end"/>
            </w:r>
          </w:hyperlink>
        </w:p>
        <w:p w:rsidR="00D61481" w:rsidRPr="001C5E5B" w:rsidRDefault="005823D4">
          <w:pPr>
            <w:pStyle w:val="Sommario2"/>
            <w:tabs>
              <w:tab w:val="right" w:leader="dot" w:pos="9060"/>
            </w:tabs>
            <w:rPr>
              <w:rFonts w:asciiTheme="minorHAnsi" w:eastAsiaTheme="minorEastAsia" w:hAnsiTheme="minorHAnsi" w:cstheme="minorBidi"/>
              <w:b w:val="0"/>
              <w:i w:val="0"/>
              <w:noProof/>
              <w:spacing w:val="0"/>
              <w:sz w:val="22"/>
              <w:szCs w:val="22"/>
              <w:lang w:eastAsia="en-AU"/>
            </w:rPr>
          </w:pPr>
          <w:hyperlink w:anchor="_Toc514145970" w:history="1">
            <w:r w:rsidR="00D61481" w:rsidRPr="001C5E5B">
              <w:rPr>
                <w:rStyle w:val="Collegamentoipertestuale"/>
                <w:noProof/>
              </w:rPr>
              <w:t>4.2</w:t>
            </w:r>
            <w:r w:rsidR="00D61481" w:rsidRPr="001C5E5B">
              <w:rPr>
                <w:rFonts w:asciiTheme="minorHAnsi" w:eastAsiaTheme="minorEastAsia" w:hAnsiTheme="minorHAnsi" w:cstheme="minorBidi"/>
                <w:b w:val="0"/>
                <w:i w:val="0"/>
                <w:noProof/>
                <w:spacing w:val="0"/>
                <w:sz w:val="22"/>
                <w:szCs w:val="22"/>
                <w:lang w:eastAsia="en-AU"/>
              </w:rPr>
              <w:tab/>
            </w:r>
            <w:r w:rsidR="00D61481" w:rsidRPr="001C5E5B">
              <w:rPr>
                <w:rStyle w:val="Collegamentoipertestuale"/>
                <w:noProof/>
              </w:rPr>
              <w:t>What is an ‘act’ or ‘practice’</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_Toc514145970 \h </w:instrText>
            </w:r>
            <w:r w:rsidR="00D61481" w:rsidRPr="001C5E5B">
              <w:rPr>
                <w:noProof/>
                <w:webHidden/>
              </w:rPr>
            </w:r>
            <w:r w:rsidR="00D61481" w:rsidRPr="001C5E5B">
              <w:rPr>
                <w:noProof/>
                <w:webHidden/>
              </w:rPr>
              <w:fldChar w:fldCharType="separate"/>
            </w:r>
            <w:r w:rsidR="00D61481" w:rsidRPr="001C5E5B">
              <w:rPr>
                <w:noProof/>
                <w:webHidden/>
              </w:rPr>
              <w:t>8</w:t>
            </w:r>
            <w:r w:rsidR="00D61481" w:rsidRPr="001C5E5B">
              <w:rPr>
                <w:noProof/>
                <w:webHidden/>
              </w:rPr>
              <w:fldChar w:fldCharType="end"/>
            </w:r>
          </w:hyperlink>
        </w:p>
        <w:p w:rsidR="00D61481" w:rsidRPr="001C5E5B" w:rsidRDefault="005823D4">
          <w:pPr>
            <w:pStyle w:val="Sommario2"/>
            <w:tabs>
              <w:tab w:val="right" w:leader="dot" w:pos="9060"/>
            </w:tabs>
            <w:rPr>
              <w:rFonts w:asciiTheme="minorHAnsi" w:eastAsiaTheme="minorEastAsia" w:hAnsiTheme="minorHAnsi" w:cstheme="minorBidi"/>
              <w:b w:val="0"/>
              <w:i w:val="0"/>
              <w:noProof/>
              <w:spacing w:val="0"/>
              <w:sz w:val="22"/>
              <w:szCs w:val="22"/>
              <w:lang w:eastAsia="en-AU"/>
            </w:rPr>
          </w:pPr>
          <w:hyperlink w:anchor="_Toc514145971" w:history="1">
            <w:r w:rsidR="00D61481" w:rsidRPr="001C5E5B">
              <w:rPr>
                <w:rStyle w:val="Collegamentoipertestuale"/>
                <w:noProof/>
              </w:rPr>
              <w:t>4.3</w:t>
            </w:r>
            <w:r w:rsidR="00D61481" w:rsidRPr="001C5E5B">
              <w:rPr>
                <w:rFonts w:asciiTheme="minorHAnsi" w:eastAsiaTheme="minorEastAsia" w:hAnsiTheme="minorHAnsi" w:cstheme="minorBidi"/>
                <w:b w:val="0"/>
                <w:i w:val="0"/>
                <w:noProof/>
                <w:spacing w:val="0"/>
                <w:sz w:val="22"/>
                <w:szCs w:val="22"/>
                <w:lang w:eastAsia="en-AU"/>
              </w:rPr>
              <w:tab/>
            </w:r>
            <w:r w:rsidR="00D61481" w:rsidRPr="001C5E5B">
              <w:rPr>
                <w:rStyle w:val="Collegamentoipertestuale"/>
                <w:noProof/>
              </w:rPr>
              <w:t>What is a human right?</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_Toc514145971 \h </w:instrText>
            </w:r>
            <w:r w:rsidR="00D61481" w:rsidRPr="001C5E5B">
              <w:rPr>
                <w:noProof/>
                <w:webHidden/>
              </w:rPr>
            </w:r>
            <w:r w:rsidR="00D61481" w:rsidRPr="001C5E5B">
              <w:rPr>
                <w:noProof/>
                <w:webHidden/>
              </w:rPr>
              <w:fldChar w:fldCharType="separate"/>
            </w:r>
            <w:r w:rsidR="00D61481" w:rsidRPr="001C5E5B">
              <w:rPr>
                <w:noProof/>
                <w:webHidden/>
              </w:rPr>
              <w:t>8</w:t>
            </w:r>
            <w:r w:rsidR="00D61481" w:rsidRPr="001C5E5B">
              <w:rPr>
                <w:noProof/>
                <w:webHidden/>
              </w:rPr>
              <w:fldChar w:fldCharType="end"/>
            </w:r>
          </w:hyperlink>
        </w:p>
        <w:p w:rsidR="00D61481" w:rsidRPr="001C5E5B" w:rsidRDefault="005823D4">
          <w:pPr>
            <w:pStyle w:val="Sommario1"/>
            <w:rPr>
              <w:rFonts w:asciiTheme="minorHAnsi" w:eastAsiaTheme="minorEastAsia" w:hAnsiTheme="minorHAnsi" w:cstheme="minorBidi"/>
              <w:b w:val="0"/>
              <w:noProof/>
              <w:spacing w:val="0"/>
              <w:sz w:val="22"/>
              <w:szCs w:val="22"/>
              <w:lang w:eastAsia="en-AU"/>
            </w:rPr>
          </w:pPr>
          <w:hyperlink w:anchor="_Toc514145972" w:history="1">
            <w:r w:rsidR="00D61481" w:rsidRPr="001C5E5B">
              <w:rPr>
                <w:rStyle w:val="Collegamentoipertestuale"/>
                <w:noProof/>
              </w:rPr>
              <w:t>5</w:t>
            </w:r>
            <w:r w:rsidR="00D61481" w:rsidRPr="001C5E5B">
              <w:rPr>
                <w:rFonts w:asciiTheme="minorHAnsi" w:eastAsiaTheme="minorEastAsia" w:hAnsiTheme="minorHAnsi" w:cstheme="minorBidi"/>
                <w:b w:val="0"/>
                <w:noProof/>
                <w:spacing w:val="0"/>
                <w:sz w:val="22"/>
                <w:szCs w:val="22"/>
                <w:lang w:eastAsia="en-AU"/>
              </w:rPr>
              <w:tab/>
            </w:r>
            <w:r w:rsidR="00D61481" w:rsidRPr="001C5E5B">
              <w:rPr>
                <w:rStyle w:val="Collegamentoipertestuale"/>
                <w:noProof/>
              </w:rPr>
              <w:t>Arbitrary detention</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_Toc514145972 \h </w:instrText>
            </w:r>
            <w:r w:rsidR="00D61481" w:rsidRPr="001C5E5B">
              <w:rPr>
                <w:noProof/>
                <w:webHidden/>
              </w:rPr>
            </w:r>
            <w:r w:rsidR="00D61481" w:rsidRPr="001C5E5B">
              <w:rPr>
                <w:noProof/>
                <w:webHidden/>
              </w:rPr>
              <w:fldChar w:fldCharType="separate"/>
            </w:r>
            <w:r w:rsidR="00D61481" w:rsidRPr="001C5E5B">
              <w:rPr>
                <w:noProof/>
                <w:webHidden/>
              </w:rPr>
              <w:t>8</w:t>
            </w:r>
            <w:r w:rsidR="00D61481" w:rsidRPr="001C5E5B">
              <w:rPr>
                <w:noProof/>
                <w:webHidden/>
              </w:rPr>
              <w:fldChar w:fldCharType="end"/>
            </w:r>
          </w:hyperlink>
        </w:p>
        <w:p w:rsidR="00D61481" w:rsidRPr="001C5E5B" w:rsidRDefault="005823D4">
          <w:pPr>
            <w:pStyle w:val="Sommario2"/>
            <w:tabs>
              <w:tab w:val="right" w:leader="dot" w:pos="9060"/>
            </w:tabs>
            <w:rPr>
              <w:rFonts w:asciiTheme="minorHAnsi" w:eastAsiaTheme="minorEastAsia" w:hAnsiTheme="minorHAnsi" w:cstheme="minorBidi"/>
              <w:b w:val="0"/>
              <w:i w:val="0"/>
              <w:noProof/>
              <w:spacing w:val="0"/>
              <w:sz w:val="22"/>
              <w:szCs w:val="22"/>
              <w:lang w:eastAsia="en-AU"/>
            </w:rPr>
          </w:pPr>
          <w:hyperlink w:anchor="_Toc514145973" w:history="1">
            <w:r w:rsidR="00D61481" w:rsidRPr="001C5E5B">
              <w:rPr>
                <w:rStyle w:val="Collegamentoipertestuale"/>
                <w:noProof/>
              </w:rPr>
              <w:t>5.1</w:t>
            </w:r>
            <w:r w:rsidR="00D61481" w:rsidRPr="001C5E5B">
              <w:rPr>
                <w:rFonts w:asciiTheme="minorHAnsi" w:eastAsiaTheme="minorEastAsia" w:hAnsiTheme="minorHAnsi" w:cstheme="minorBidi"/>
                <w:b w:val="0"/>
                <w:i w:val="0"/>
                <w:noProof/>
                <w:spacing w:val="0"/>
                <w:sz w:val="22"/>
                <w:szCs w:val="22"/>
                <w:lang w:eastAsia="en-AU"/>
              </w:rPr>
              <w:tab/>
            </w:r>
            <w:r w:rsidR="00D61481" w:rsidRPr="001C5E5B">
              <w:rPr>
                <w:rStyle w:val="Collegamentoipertestuale"/>
                <w:noProof/>
              </w:rPr>
              <w:t>Law on article 9 of the ICCPR</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_Toc514145973 \h </w:instrText>
            </w:r>
            <w:r w:rsidR="00D61481" w:rsidRPr="001C5E5B">
              <w:rPr>
                <w:noProof/>
                <w:webHidden/>
              </w:rPr>
            </w:r>
            <w:r w:rsidR="00D61481" w:rsidRPr="001C5E5B">
              <w:rPr>
                <w:noProof/>
                <w:webHidden/>
              </w:rPr>
              <w:fldChar w:fldCharType="separate"/>
            </w:r>
            <w:r w:rsidR="00D61481" w:rsidRPr="001C5E5B">
              <w:rPr>
                <w:noProof/>
                <w:webHidden/>
              </w:rPr>
              <w:t>8</w:t>
            </w:r>
            <w:r w:rsidR="00D61481" w:rsidRPr="001C5E5B">
              <w:rPr>
                <w:noProof/>
                <w:webHidden/>
              </w:rPr>
              <w:fldChar w:fldCharType="end"/>
            </w:r>
          </w:hyperlink>
        </w:p>
        <w:p w:rsidR="00D61481" w:rsidRPr="001C5E5B" w:rsidRDefault="005823D4">
          <w:pPr>
            <w:pStyle w:val="Sommario2"/>
            <w:tabs>
              <w:tab w:val="right" w:leader="dot" w:pos="9060"/>
            </w:tabs>
            <w:rPr>
              <w:rFonts w:asciiTheme="minorHAnsi" w:eastAsiaTheme="minorEastAsia" w:hAnsiTheme="minorHAnsi" w:cstheme="minorBidi"/>
              <w:b w:val="0"/>
              <w:i w:val="0"/>
              <w:noProof/>
              <w:spacing w:val="0"/>
              <w:sz w:val="22"/>
              <w:szCs w:val="22"/>
              <w:lang w:eastAsia="en-AU"/>
            </w:rPr>
          </w:pPr>
          <w:hyperlink w:anchor="_Toc514145974" w:history="1">
            <w:r w:rsidR="00D61481" w:rsidRPr="001C5E5B">
              <w:rPr>
                <w:rStyle w:val="Collegamentoipertestuale"/>
                <w:noProof/>
              </w:rPr>
              <w:t>5.2</w:t>
            </w:r>
            <w:r w:rsidR="00D61481" w:rsidRPr="001C5E5B">
              <w:rPr>
                <w:rFonts w:asciiTheme="minorHAnsi" w:eastAsiaTheme="minorEastAsia" w:hAnsiTheme="minorHAnsi" w:cstheme="minorBidi"/>
                <w:b w:val="0"/>
                <w:i w:val="0"/>
                <w:noProof/>
                <w:spacing w:val="0"/>
                <w:sz w:val="22"/>
                <w:szCs w:val="22"/>
                <w:lang w:eastAsia="en-AU"/>
              </w:rPr>
              <w:tab/>
            </w:r>
            <w:r w:rsidR="00D61481" w:rsidRPr="001C5E5B">
              <w:rPr>
                <w:rStyle w:val="Collegamentoipertestuale"/>
                <w:noProof/>
              </w:rPr>
              <w:t>Act or practice of the Commonwealth?</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_Toc514145974 \h </w:instrText>
            </w:r>
            <w:r w:rsidR="00D61481" w:rsidRPr="001C5E5B">
              <w:rPr>
                <w:noProof/>
                <w:webHidden/>
              </w:rPr>
            </w:r>
            <w:r w:rsidR="00D61481" w:rsidRPr="001C5E5B">
              <w:rPr>
                <w:noProof/>
                <w:webHidden/>
              </w:rPr>
              <w:fldChar w:fldCharType="separate"/>
            </w:r>
            <w:r w:rsidR="00D61481" w:rsidRPr="001C5E5B">
              <w:rPr>
                <w:noProof/>
                <w:webHidden/>
              </w:rPr>
              <w:t>10</w:t>
            </w:r>
            <w:r w:rsidR="00D61481" w:rsidRPr="001C5E5B">
              <w:rPr>
                <w:noProof/>
                <w:webHidden/>
              </w:rPr>
              <w:fldChar w:fldCharType="end"/>
            </w:r>
          </w:hyperlink>
        </w:p>
        <w:p w:rsidR="00D61481" w:rsidRPr="001C5E5B" w:rsidRDefault="005823D4">
          <w:pPr>
            <w:pStyle w:val="Sommario1"/>
            <w:rPr>
              <w:rFonts w:asciiTheme="minorHAnsi" w:eastAsiaTheme="minorEastAsia" w:hAnsiTheme="minorHAnsi" w:cstheme="minorBidi"/>
              <w:b w:val="0"/>
              <w:noProof/>
              <w:spacing w:val="0"/>
              <w:sz w:val="22"/>
              <w:szCs w:val="22"/>
              <w:lang w:eastAsia="en-AU"/>
            </w:rPr>
          </w:pPr>
          <w:hyperlink w:anchor="_Toc514145975" w:history="1">
            <w:r w:rsidR="00D61481" w:rsidRPr="001C5E5B">
              <w:rPr>
                <w:rStyle w:val="Collegamentoipertestuale"/>
                <w:noProof/>
              </w:rPr>
              <w:t>6</w:t>
            </w:r>
            <w:r w:rsidR="00D61481" w:rsidRPr="001C5E5B">
              <w:rPr>
                <w:rFonts w:asciiTheme="minorHAnsi" w:eastAsiaTheme="minorEastAsia" w:hAnsiTheme="minorHAnsi" w:cstheme="minorBidi"/>
                <w:b w:val="0"/>
                <w:noProof/>
                <w:spacing w:val="0"/>
                <w:sz w:val="22"/>
                <w:szCs w:val="22"/>
                <w:lang w:eastAsia="en-AU"/>
              </w:rPr>
              <w:tab/>
            </w:r>
            <w:r w:rsidR="00D61481" w:rsidRPr="001C5E5B">
              <w:rPr>
                <w:rStyle w:val="Collegamentoipertestuale"/>
                <w:noProof/>
              </w:rPr>
              <w:t>Department’s failure to refer Mr AM’s circumstances to the Minister under s 195A of the Migration Act.</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_Toc514145975 \h </w:instrText>
            </w:r>
            <w:r w:rsidR="00D61481" w:rsidRPr="001C5E5B">
              <w:rPr>
                <w:noProof/>
                <w:webHidden/>
              </w:rPr>
            </w:r>
            <w:r w:rsidR="00D61481" w:rsidRPr="001C5E5B">
              <w:rPr>
                <w:noProof/>
                <w:webHidden/>
              </w:rPr>
              <w:fldChar w:fldCharType="separate"/>
            </w:r>
            <w:r w:rsidR="00D61481" w:rsidRPr="001C5E5B">
              <w:rPr>
                <w:noProof/>
                <w:webHidden/>
              </w:rPr>
              <w:t>10</w:t>
            </w:r>
            <w:r w:rsidR="00D61481" w:rsidRPr="001C5E5B">
              <w:rPr>
                <w:noProof/>
                <w:webHidden/>
              </w:rPr>
              <w:fldChar w:fldCharType="end"/>
            </w:r>
          </w:hyperlink>
        </w:p>
        <w:p w:rsidR="00D61481" w:rsidRPr="001C5E5B" w:rsidRDefault="005823D4">
          <w:pPr>
            <w:pStyle w:val="Sommario2"/>
            <w:tabs>
              <w:tab w:val="right" w:leader="dot" w:pos="9060"/>
            </w:tabs>
            <w:rPr>
              <w:rFonts w:asciiTheme="minorHAnsi" w:eastAsiaTheme="minorEastAsia" w:hAnsiTheme="minorHAnsi" w:cstheme="minorBidi"/>
              <w:b w:val="0"/>
              <w:i w:val="0"/>
              <w:noProof/>
              <w:spacing w:val="0"/>
              <w:sz w:val="22"/>
              <w:szCs w:val="22"/>
              <w:lang w:eastAsia="en-AU"/>
            </w:rPr>
          </w:pPr>
          <w:hyperlink w:anchor="_Toc514145976" w:history="1">
            <w:r w:rsidR="00D61481" w:rsidRPr="001C5E5B">
              <w:rPr>
                <w:rStyle w:val="Collegamentoipertestuale"/>
                <w:noProof/>
              </w:rPr>
              <w:t>6.1</w:t>
            </w:r>
            <w:r w:rsidR="00D61481" w:rsidRPr="001C5E5B">
              <w:rPr>
                <w:rFonts w:asciiTheme="minorHAnsi" w:eastAsiaTheme="minorEastAsia" w:hAnsiTheme="minorHAnsi" w:cstheme="minorBidi"/>
                <w:b w:val="0"/>
                <w:i w:val="0"/>
                <w:noProof/>
                <w:spacing w:val="0"/>
                <w:sz w:val="22"/>
                <w:szCs w:val="22"/>
                <w:lang w:eastAsia="en-AU"/>
              </w:rPr>
              <w:tab/>
            </w:r>
            <w:r w:rsidR="00D61481" w:rsidRPr="001C5E5B">
              <w:rPr>
                <w:rStyle w:val="Collegamentoipertestuale"/>
                <w:noProof/>
              </w:rPr>
              <w:t>‘Category 2 (behavioural detainee)’</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_Toc514145976 \h </w:instrText>
            </w:r>
            <w:r w:rsidR="00D61481" w:rsidRPr="001C5E5B">
              <w:rPr>
                <w:noProof/>
                <w:webHidden/>
              </w:rPr>
            </w:r>
            <w:r w:rsidR="00D61481" w:rsidRPr="001C5E5B">
              <w:rPr>
                <w:noProof/>
                <w:webHidden/>
              </w:rPr>
              <w:fldChar w:fldCharType="separate"/>
            </w:r>
            <w:r w:rsidR="00D61481" w:rsidRPr="001C5E5B">
              <w:rPr>
                <w:noProof/>
                <w:webHidden/>
              </w:rPr>
              <w:t>11</w:t>
            </w:r>
            <w:r w:rsidR="00D61481" w:rsidRPr="001C5E5B">
              <w:rPr>
                <w:noProof/>
                <w:webHidden/>
              </w:rPr>
              <w:fldChar w:fldCharType="end"/>
            </w:r>
          </w:hyperlink>
        </w:p>
        <w:p w:rsidR="00D61481" w:rsidRPr="001C5E5B" w:rsidRDefault="005823D4">
          <w:pPr>
            <w:pStyle w:val="Sommario2"/>
            <w:tabs>
              <w:tab w:val="right" w:leader="dot" w:pos="9060"/>
            </w:tabs>
            <w:rPr>
              <w:rFonts w:asciiTheme="minorHAnsi" w:eastAsiaTheme="minorEastAsia" w:hAnsiTheme="minorHAnsi" w:cstheme="minorBidi"/>
              <w:b w:val="0"/>
              <w:i w:val="0"/>
              <w:noProof/>
              <w:spacing w:val="0"/>
              <w:sz w:val="22"/>
              <w:szCs w:val="22"/>
              <w:lang w:eastAsia="en-AU"/>
            </w:rPr>
          </w:pPr>
          <w:hyperlink w:anchor="_Toc514145977" w:history="1">
            <w:r w:rsidR="00D61481" w:rsidRPr="001C5E5B">
              <w:rPr>
                <w:rStyle w:val="Collegamentoipertestuale"/>
                <w:noProof/>
              </w:rPr>
              <w:t>6.2</w:t>
            </w:r>
            <w:r w:rsidR="00D61481" w:rsidRPr="001C5E5B">
              <w:rPr>
                <w:rFonts w:asciiTheme="minorHAnsi" w:eastAsiaTheme="minorEastAsia" w:hAnsiTheme="minorHAnsi" w:cstheme="minorBidi"/>
                <w:b w:val="0"/>
                <w:i w:val="0"/>
                <w:noProof/>
                <w:spacing w:val="0"/>
                <w:sz w:val="22"/>
                <w:szCs w:val="22"/>
                <w:lang w:eastAsia="en-AU"/>
              </w:rPr>
              <w:tab/>
            </w:r>
            <w:r w:rsidR="00D61481" w:rsidRPr="001C5E5B">
              <w:rPr>
                <w:rStyle w:val="Collegamentoipertestuale"/>
                <w:noProof/>
              </w:rPr>
              <w:t>Finding 1: Category 2 detainees</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_Toc514145977 \h </w:instrText>
            </w:r>
            <w:r w:rsidR="00D61481" w:rsidRPr="001C5E5B">
              <w:rPr>
                <w:noProof/>
                <w:webHidden/>
              </w:rPr>
            </w:r>
            <w:r w:rsidR="00D61481" w:rsidRPr="001C5E5B">
              <w:rPr>
                <w:noProof/>
                <w:webHidden/>
              </w:rPr>
              <w:fldChar w:fldCharType="separate"/>
            </w:r>
            <w:r w:rsidR="00D61481" w:rsidRPr="001C5E5B">
              <w:rPr>
                <w:noProof/>
                <w:webHidden/>
              </w:rPr>
              <w:t>13</w:t>
            </w:r>
            <w:r w:rsidR="00D61481" w:rsidRPr="001C5E5B">
              <w:rPr>
                <w:noProof/>
                <w:webHidden/>
              </w:rPr>
              <w:fldChar w:fldCharType="end"/>
            </w:r>
          </w:hyperlink>
        </w:p>
        <w:p w:rsidR="00D61481" w:rsidRPr="001C5E5B" w:rsidRDefault="005823D4">
          <w:pPr>
            <w:pStyle w:val="Sommario2"/>
            <w:tabs>
              <w:tab w:val="right" w:leader="dot" w:pos="9060"/>
            </w:tabs>
            <w:rPr>
              <w:rFonts w:asciiTheme="minorHAnsi" w:eastAsiaTheme="minorEastAsia" w:hAnsiTheme="minorHAnsi" w:cstheme="minorBidi"/>
              <w:b w:val="0"/>
              <w:i w:val="0"/>
              <w:noProof/>
              <w:spacing w:val="0"/>
              <w:sz w:val="22"/>
              <w:szCs w:val="22"/>
              <w:lang w:eastAsia="en-AU"/>
            </w:rPr>
          </w:pPr>
          <w:hyperlink w:anchor="_Toc514145978" w:history="1">
            <w:r w:rsidR="00D61481" w:rsidRPr="001C5E5B">
              <w:rPr>
                <w:rStyle w:val="Collegamentoipertestuale"/>
                <w:noProof/>
              </w:rPr>
              <w:t>6.3</w:t>
            </w:r>
            <w:r w:rsidR="00D61481" w:rsidRPr="001C5E5B">
              <w:rPr>
                <w:rFonts w:asciiTheme="minorHAnsi" w:eastAsiaTheme="minorEastAsia" w:hAnsiTheme="minorHAnsi" w:cstheme="minorBidi"/>
                <w:b w:val="0"/>
                <w:i w:val="0"/>
                <w:noProof/>
                <w:spacing w:val="0"/>
                <w:sz w:val="22"/>
                <w:szCs w:val="22"/>
                <w:lang w:eastAsia="en-AU"/>
              </w:rPr>
              <w:tab/>
            </w:r>
            <w:r w:rsidR="00D61481" w:rsidRPr="001C5E5B">
              <w:rPr>
                <w:rStyle w:val="Collegamentoipertestuale"/>
                <w:noProof/>
              </w:rPr>
              <w:t>‘Finally determined’</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_Toc514145978 \h </w:instrText>
            </w:r>
            <w:r w:rsidR="00D61481" w:rsidRPr="001C5E5B">
              <w:rPr>
                <w:noProof/>
                <w:webHidden/>
              </w:rPr>
            </w:r>
            <w:r w:rsidR="00D61481" w:rsidRPr="001C5E5B">
              <w:rPr>
                <w:noProof/>
                <w:webHidden/>
              </w:rPr>
              <w:fldChar w:fldCharType="separate"/>
            </w:r>
            <w:r w:rsidR="00D61481" w:rsidRPr="001C5E5B">
              <w:rPr>
                <w:noProof/>
                <w:webHidden/>
              </w:rPr>
              <w:t>13</w:t>
            </w:r>
            <w:r w:rsidR="00D61481" w:rsidRPr="001C5E5B">
              <w:rPr>
                <w:noProof/>
                <w:webHidden/>
              </w:rPr>
              <w:fldChar w:fldCharType="end"/>
            </w:r>
          </w:hyperlink>
        </w:p>
        <w:p w:rsidR="00D61481" w:rsidRPr="001C5E5B" w:rsidRDefault="005823D4">
          <w:pPr>
            <w:pStyle w:val="Sommario2"/>
            <w:tabs>
              <w:tab w:val="right" w:leader="dot" w:pos="9060"/>
            </w:tabs>
            <w:rPr>
              <w:rFonts w:asciiTheme="minorHAnsi" w:eastAsiaTheme="minorEastAsia" w:hAnsiTheme="minorHAnsi" w:cstheme="minorBidi"/>
              <w:b w:val="0"/>
              <w:i w:val="0"/>
              <w:noProof/>
              <w:spacing w:val="0"/>
              <w:sz w:val="22"/>
              <w:szCs w:val="22"/>
              <w:lang w:eastAsia="en-AU"/>
            </w:rPr>
          </w:pPr>
          <w:hyperlink w:anchor="_Toc514145979" w:history="1">
            <w:r w:rsidR="00D61481" w:rsidRPr="001C5E5B">
              <w:rPr>
                <w:rStyle w:val="Collegamentoipertestuale"/>
                <w:noProof/>
              </w:rPr>
              <w:t>6.4</w:t>
            </w:r>
            <w:r w:rsidR="00D61481" w:rsidRPr="001C5E5B">
              <w:rPr>
                <w:rFonts w:asciiTheme="minorHAnsi" w:eastAsiaTheme="minorEastAsia" w:hAnsiTheme="minorHAnsi" w:cstheme="minorBidi"/>
                <w:b w:val="0"/>
                <w:i w:val="0"/>
                <w:noProof/>
                <w:spacing w:val="0"/>
                <w:sz w:val="22"/>
                <w:szCs w:val="22"/>
                <w:lang w:eastAsia="en-AU"/>
              </w:rPr>
              <w:tab/>
            </w:r>
            <w:r w:rsidR="00D61481" w:rsidRPr="001C5E5B">
              <w:rPr>
                <w:rStyle w:val="Collegamentoipertestuale"/>
                <w:noProof/>
              </w:rPr>
              <w:t>Finding 2: ‘finally determined’</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_Toc514145979 \h </w:instrText>
            </w:r>
            <w:r w:rsidR="00D61481" w:rsidRPr="001C5E5B">
              <w:rPr>
                <w:noProof/>
                <w:webHidden/>
              </w:rPr>
            </w:r>
            <w:r w:rsidR="00D61481" w:rsidRPr="001C5E5B">
              <w:rPr>
                <w:noProof/>
                <w:webHidden/>
              </w:rPr>
              <w:fldChar w:fldCharType="separate"/>
            </w:r>
            <w:r w:rsidR="00D61481" w:rsidRPr="001C5E5B">
              <w:rPr>
                <w:noProof/>
                <w:webHidden/>
              </w:rPr>
              <w:t>15</w:t>
            </w:r>
            <w:r w:rsidR="00D61481" w:rsidRPr="001C5E5B">
              <w:rPr>
                <w:noProof/>
                <w:webHidden/>
              </w:rPr>
              <w:fldChar w:fldCharType="end"/>
            </w:r>
          </w:hyperlink>
        </w:p>
        <w:p w:rsidR="00D61481" w:rsidRPr="001C5E5B" w:rsidRDefault="005823D4">
          <w:pPr>
            <w:pStyle w:val="Sommario1"/>
            <w:rPr>
              <w:rFonts w:asciiTheme="minorHAnsi" w:eastAsiaTheme="minorEastAsia" w:hAnsiTheme="minorHAnsi" w:cstheme="minorBidi"/>
              <w:b w:val="0"/>
              <w:noProof/>
              <w:spacing w:val="0"/>
              <w:sz w:val="22"/>
              <w:szCs w:val="22"/>
              <w:lang w:eastAsia="en-AU"/>
            </w:rPr>
          </w:pPr>
          <w:hyperlink w:anchor="_Toc514145980" w:history="1">
            <w:r w:rsidR="00D61481" w:rsidRPr="001C5E5B">
              <w:rPr>
                <w:rStyle w:val="Collegamentoipertestuale"/>
                <w:noProof/>
              </w:rPr>
              <w:t>7</w:t>
            </w:r>
            <w:r w:rsidR="00D61481" w:rsidRPr="001C5E5B">
              <w:rPr>
                <w:rFonts w:asciiTheme="minorHAnsi" w:eastAsiaTheme="minorEastAsia" w:hAnsiTheme="minorHAnsi" w:cstheme="minorBidi"/>
                <w:b w:val="0"/>
                <w:noProof/>
                <w:spacing w:val="0"/>
                <w:sz w:val="22"/>
                <w:szCs w:val="22"/>
                <w:lang w:eastAsia="en-AU"/>
              </w:rPr>
              <w:tab/>
            </w:r>
            <w:r w:rsidR="00D61481" w:rsidRPr="001C5E5B">
              <w:rPr>
                <w:rStyle w:val="Collegamentoipertestuale"/>
                <w:noProof/>
              </w:rPr>
              <w:t>Department’s failure to refer Mr AM’s circumstances to the Minister under s 197AB of the Migration Act</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_Toc514145980 \h </w:instrText>
            </w:r>
            <w:r w:rsidR="00D61481" w:rsidRPr="001C5E5B">
              <w:rPr>
                <w:noProof/>
                <w:webHidden/>
              </w:rPr>
            </w:r>
            <w:r w:rsidR="00D61481" w:rsidRPr="001C5E5B">
              <w:rPr>
                <w:noProof/>
                <w:webHidden/>
              </w:rPr>
              <w:fldChar w:fldCharType="separate"/>
            </w:r>
            <w:r w:rsidR="00D61481" w:rsidRPr="001C5E5B">
              <w:rPr>
                <w:noProof/>
                <w:webHidden/>
              </w:rPr>
              <w:t>15</w:t>
            </w:r>
            <w:r w:rsidR="00D61481" w:rsidRPr="001C5E5B">
              <w:rPr>
                <w:noProof/>
                <w:webHidden/>
              </w:rPr>
              <w:fldChar w:fldCharType="end"/>
            </w:r>
          </w:hyperlink>
        </w:p>
        <w:p w:rsidR="00D61481" w:rsidRPr="001C5E5B" w:rsidRDefault="005823D4">
          <w:pPr>
            <w:pStyle w:val="Sommario2"/>
            <w:tabs>
              <w:tab w:val="right" w:leader="dot" w:pos="9060"/>
            </w:tabs>
            <w:rPr>
              <w:rFonts w:asciiTheme="minorHAnsi" w:eastAsiaTheme="minorEastAsia" w:hAnsiTheme="minorHAnsi" w:cstheme="minorBidi"/>
              <w:b w:val="0"/>
              <w:i w:val="0"/>
              <w:noProof/>
              <w:spacing w:val="0"/>
              <w:sz w:val="22"/>
              <w:szCs w:val="22"/>
              <w:lang w:eastAsia="en-AU"/>
            </w:rPr>
          </w:pPr>
          <w:hyperlink w:anchor="_Toc514145981" w:history="1">
            <w:r w:rsidR="00D61481" w:rsidRPr="001C5E5B">
              <w:rPr>
                <w:rStyle w:val="Collegamentoipertestuale"/>
                <w:noProof/>
              </w:rPr>
              <w:t>7.1</w:t>
            </w:r>
            <w:r w:rsidR="00D61481" w:rsidRPr="001C5E5B">
              <w:rPr>
                <w:rFonts w:asciiTheme="minorHAnsi" w:eastAsiaTheme="minorEastAsia" w:hAnsiTheme="minorHAnsi" w:cstheme="minorBidi"/>
                <w:b w:val="0"/>
                <w:i w:val="0"/>
                <w:noProof/>
                <w:spacing w:val="0"/>
                <w:sz w:val="22"/>
                <w:szCs w:val="22"/>
                <w:lang w:eastAsia="en-AU"/>
              </w:rPr>
              <w:tab/>
            </w:r>
            <w:r w:rsidR="00D61481" w:rsidRPr="001C5E5B">
              <w:rPr>
                <w:rStyle w:val="Collegamentoipertestuale"/>
                <w:noProof/>
              </w:rPr>
              <w:t>Torture and trauma</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_Toc514145981 \h </w:instrText>
            </w:r>
            <w:r w:rsidR="00D61481" w:rsidRPr="001C5E5B">
              <w:rPr>
                <w:noProof/>
                <w:webHidden/>
              </w:rPr>
            </w:r>
            <w:r w:rsidR="00D61481" w:rsidRPr="001C5E5B">
              <w:rPr>
                <w:noProof/>
                <w:webHidden/>
              </w:rPr>
              <w:fldChar w:fldCharType="separate"/>
            </w:r>
            <w:r w:rsidR="00D61481" w:rsidRPr="001C5E5B">
              <w:rPr>
                <w:noProof/>
                <w:webHidden/>
              </w:rPr>
              <w:t>17</w:t>
            </w:r>
            <w:r w:rsidR="00D61481" w:rsidRPr="001C5E5B">
              <w:rPr>
                <w:noProof/>
                <w:webHidden/>
              </w:rPr>
              <w:fldChar w:fldCharType="end"/>
            </w:r>
          </w:hyperlink>
        </w:p>
        <w:p w:rsidR="00D61481" w:rsidRPr="001C5E5B" w:rsidRDefault="005823D4">
          <w:pPr>
            <w:pStyle w:val="Sommario2"/>
            <w:tabs>
              <w:tab w:val="right" w:leader="dot" w:pos="9060"/>
            </w:tabs>
            <w:rPr>
              <w:rFonts w:asciiTheme="minorHAnsi" w:eastAsiaTheme="minorEastAsia" w:hAnsiTheme="minorHAnsi" w:cstheme="minorBidi"/>
              <w:b w:val="0"/>
              <w:i w:val="0"/>
              <w:noProof/>
              <w:spacing w:val="0"/>
              <w:sz w:val="22"/>
              <w:szCs w:val="22"/>
              <w:lang w:eastAsia="en-AU"/>
            </w:rPr>
          </w:pPr>
          <w:hyperlink w:anchor="_Toc514145982" w:history="1">
            <w:r w:rsidR="00D61481" w:rsidRPr="001C5E5B">
              <w:rPr>
                <w:rStyle w:val="Collegamentoipertestuale"/>
                <w:noProof/>
              </w:rPr>
              <w:t>7.2</w:t>
            </w:r>
            <w:r w:rsidR="00D61481" w:rsidRPr="001C5E5B">
              <w:rPr>
                <w:rFonts w:asciiTheme="minorHAnsi" w:eastAsiaTheme="minorEastAsia" w:hAnsiTheme="minorHAnsi" w:cstheme="minorBidi"/>
                <w:b w:val="0"/>
                <w:i w:val="0"/>
                <w:noProof/>
                <w:spacing w:val="0"/>
                <w:sz w:val="22"/>
                <w:szCs w:val="22"/>
                <w:lang w:eastAsia="en-AU"/>
              </w:rPr>
              <w:tab/>
            </w:r>
            <w:r w:rsidR="00D61481" w:rsidRPr="001C5E5B">
              <w:rPr>
                <w:rStyle w:val="Collegamentoipertestuale"/>
                <w:noProof/>
              </w:rPr>
              <w:t>Mental health issues</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_Toc514145982 \h </w:instrText>
            </w:r>
            <w:r w:rsidR="00D61481" w:rsidRPr="001C5E5B">
              <w:rPr>
                <w:noProof/>
                <w:webHidden/>
              </w:rPr>
            </w:r>
            <w:r w:rsidR="00D61481" w:rsidRPr="001C5E5B">
              <w:rPr>
                <w:noProof/>
                <w:webHidden/>
              </w:rPr>
              <w:fldChar w:fldCharType="separate"/>
            </w:r>
            <w:r w:rsidR="00D61481" w:rsidRPr="001C5E5B">
              <w:rPr>
                <w:noProof/>
                <w:webHidden/>
              </w:rPr>
              <w:t>18</w:t>
            </w:r>
            <w:r w:rsidR="00D61481" w:rsidRPr="001C5E5B">
              <w:rPr>
                <w:noProof/>
                <w:webHidden/>
              </w:rPr>
              <w:fldChar w:fldCharType="end"/>
            </w:r>
          </w:hyperlink>
        </w:p>
        <w:p w:rsidR="00D61481" w:rsidRPr="001C5E5B" w:rsidRDefault="005823D4">
          <w:pPr>
            <w:pStyle w:val="Sommario2"/>
            <w:tabs>
              <w:tab w:val="right" w:leader="dot" w:pos="9060"/>
            </w:tabs>
            <w:rPr>
              <w:rFonts w:asciiTheme="minorHAnsi" w:eastAsiaTheme="minorEastAsia" w:hAnsiTheme="minorHAnsi" w:cstheme="minorBidi"/>
              <w:b w:val="0"/>
              <w:i w:val="0"/>
              <w:noProof/>
              <w:spacing w:val="0"/>
              <w:sz w:val="22"/>
              <w:szCs w:val="22"/>
              <w:lang w:eastAsia="en-AU"/>
            </w:rPr>
          </w:pPr>
          <w:hyperlink w:anchor="_Toc514145983" w:history="1">
            <w:r w:rsidR="00D61481" w:rsidRPr="001C5E5B">
              <w:rPr>
                <w:rStyle w:val="Collegamentoipertestuale"/>
                <w:noProof/>
              </w:rPr>
              <w:t>7.3</w:t>
            </w:r>
            <w:r w:rsidR="00D61481" w:rsidRPr="001C5E5B">
              <w:rPr>
                <w:rFonts w:asciiTheme="minorHAnsi" w:eastAsiaTheme="minorEastAsia" w:hAnsiTheme="minorHAnsi" w:cstheme="minorBidi"/>
                <w:b w:val="0"/>
                <w:i w:val="0"/>
                <w:noProof/>
                <w:spacing w:val="0"/>
                <w:sz w:val="22"/>
                <w:szCs w:val="22"/>
                <w:lang w:eastAsia="en-AU"/>
              </w:rPr>
              <w:tab/>
            </w:r>
            <w:r w:rsidR="00D61481" w:rsidRPr="001C5E5B">
              <w:rPr>
                <w:rStyle w:val="Collegamentoipertestuale"/>
                <w:noProof/>
              </w:rPr>
              <w:t>Unique or Exceptional Circumstances</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_Toc514145983 \h </w:instrText>
            </w:r>
            <w:r w:rsidR="00D61481" w:rsidRPr="001C5E5B">
              <w:rPr>
                <w:noProof/>
                <w:webHidden/>
              </w:rPr>
            </w:r>
            <w:r w:rsidR="00D61481" w:rsidRPr="001C5E5B">
              <w:rPr>
                <w:noProof/>
                <w:webHidden/>
              </w:rPr>
              <w:fldChar w:fldCharType="separate"/>
            </w:r>
            <w:r w:rsidR="00D61481" w:rsidRPr="001C5E5B">
              <w:rPr>
                <w:noProof/>
                <w:webHidden/>
              </w:rPr>
              <w:t>19</w:t>
            </w:r>
            <w:r w:rsidR="00D61481" w:rsidRPr="001C5E5B">
              <w:rPr>
                <w:noProof/>
                <w:webHidden/>
              </w:rPr>
              <w:fldChar w:fldCharType="end"/>
            </w:r>
          </w:hyperlink>
        </w:p>
        <w:p w:rsidR="00D61481" w:rsidRPr="001C5E5B" w:rsidRDefault="005823D4">
          <w:pPr>
            <w:pStyle w:val="Sommario2"/>
            <w:tabs>
              <w:tab w:val="right" w:leader="dot" w:pos="9060"/>
            </w:tabs>
            <w:rPr>
              <w:rFonts w:asciiTheme="minorHAnsi" w:eastAsiaTheme="minorEastAsia" w:hAnsiTheme="minorHAnsi" w:cstheme="minorBidi"/>
              <w:b w:val="0"/>
              <w:i w:val="0"/>
              <w:noProof/>
              <w:spacing w:val="0"/>
              <w:sz w:val="22"/>
              <w:szCs w:val="22"/>
              <w:lang w:eastAsia="en-AU"/>
            </w:rPr>
          </w:pPr>
          <w:hyperlink w:anchor="_Toc514145984" w:history="1">
            <w:r w:rsidR="00D61481" w:rsidRPr="001C5E5B">
              <w:rPr>
                <w:rStyle w:val="Collegamentoipertestuale"/>
                <w:noProof/>
              </w:rPr>
              <w:t>7.4</w:t>
            </w:r>
            <w:r w:rsidR="00D61481" w:rsidRPr="001C5E5B">
              <w:rPr>
                <w:rFonts w:asciiTheme="minorHAnsi" w:eastAsiaTheme="minorEastAsia" w:hAnsiTheme="minorHAnsi" w:cstheme="minorBidi"/>
                <w:b w:val="0"/>
                <w:i w:val="0"/>
                <w:noProof/>
                <w:spacing w:val="0"/>
                <w:sz w:val="22"/>
                <w:szCs w:val="22"/>
                <w:lang w:eastAsia="en-AU"/>
              </w:rPr>
              <w:tab/>
            </w:r>
            <w:r w:rsidR="00D61481" w:rsidRPr="001C5E5B">
              <w:rPr>
                <w:rStyle w:val="Collegamentoipertestuale"/>
                <w:noProof/>
              </w:rPr>
              <w:t>Finding 3: 197AB</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_Toc514145984 \h </w:instrText>
            </w:r>
            <w:r w:rsidR="00D61481" w:rsidRPr="001C5E5B">
              <w:rPr>
                <w:noProof/>
                <w:webHidden/>
              </w:rPr>
            </w:r>
            <w:r w:rsidR="00D61481" w:rsidRPr="001C5E5B">
              <w:rPr>
                <w:noProof/>
                <w:webHidden/>
              </w:rPr>
              <w:fldChar w:fldCharType="separate"/>
            </w:r>
            <w:r w:rsidR="00D61481" w:rsidRPr="001C5E5B">
              <w:rPr>
                <w:noProof/>
                <w:webHidden/>
              </w:rPr>
              <w:t>19</w:t>
            </w:r>
            <w:r w:rsidR="00D61481" w:rsidRPr="001C5E5B">
              <w:rPr>
                <w:noProof/>
                <w:webHidden/>
              </w:rPr>
              <w:fldChar w:fldCharType="end"/>
            </w:r>
          </w:hyperlink>
        </w:p>
        <w:p w:rsidR="00D61481" w:rsidRPr="001C5E5B" w:rsidRDefault="005823D4">
          <w:pPr>
            <w:pStyle w:val="Sommario1"/>
            <w:rPr>
              <w:rFonts w:asciiTheme="minorHAnsi" w:eastAsiaTheme="minorEastAsia" w:hAnsiTheme="minorHAnsi" w:cstheme="minorBidi"/>
              <w:b w:val="0"/>
              <w:noProof/>
              <w:spacing w:val="0"/>
              <w:sz w:val="22"/>
              <w:szCs w:val="22"/>
              <w:lang w:eastAsia="en-AU"/>
            </w:rPr>
          </w:pPr>
          <w:hyperlink w:anchor="_Toc514145985" w:history="1">
            <w:r w:rsidR="00D61481" w:rsidRPr="001C5E5B">
              <w:rPr>
                <w:rStyle w:val="Collegamentoipertestuale"/>
                <w:noProof/>
              </w:rPr>
              <w:t>8</w:t>
            </w:r>
            <w:r w:rsidR="00D61481" w:rsidRPr="001C5E5B">
              <w:rPr>
                <w:rFonts w:asciiTheme="minorHAnsi" w:eastAsiaTheme="minorEastAsia" w:hAnsiTheme="minorHAnsi" w:cstheme="minorBidi"/>
                <w:b w:val="0"/>
                <w:noProof/>
                <w:spacing w:val="0"/>
                <w:sz w:val="22"/>
                <w:szCs w:val="22"/>
                <w:lang w:eastAsia="en-AU"/>
              </w:rPr>
              <w:tab/>
            </w:r>
            <w:r w:rsidR="00D61481" w:rsidRPr="001C5E5B">
              <w:rPr>
                <w:rStyle w:val="Collegamentoipertestuale"/>
                <w:noProof/>
              </w:rPr>
              <w:t>Recommendations</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_Toc514145985 \h </w:instrText>
            </w:r>
            <w:r w:rsidR="00D61481" w:rsidRPr="001C5E5B">
              <w:rPr>
                <w:noProof/>
                <w:webHidden/>
              </w:rPr>
            </w:r>
            <w:r w:rsidR="00D61481" w:rsidRPr="001C5E5B">
              <w:rPr>
                <w:noProof/>
                <w:webHidden/>
              </w:rPr>
              <w:fldChar w:fldCharType="separate"/>
            </w:r>
            <w:r w:rsidR="00D61481" w:rsidRPr="001C5E5B">
              <w:rPr>
                <w:noProof/>
                <w:webHidden/>
              </w:rPr>
              <w:t>19</w:t>
            </w:r>
            <w:r w:rsidR="00D61481" w:rsidRPr="001C5E5B">
              <w:rPr>
                <w:noProof/>
                <w:webHidden/>
              </w:rPr>
              <w:fldChar w:fldCharType="end"/>
            </w:r>
          </w:hyperlink>
        </w:p>
        <w:p w:rsidR="00D61481" w:rsidRPr="001C5E5B" w:rsidRDefault="005823D4">
          <w:pPr>
            <w:pStyle w:val="Sommario1"/>
            <w:rPr>
              <w:rFonts w:asciiTheme="minorHAnsi" w:eastAsiaTheme="minorEastAsia" w:hAnsiTheme="minorHAnsi" w:cstheme="minorBidi"/>
              <w:b w:val="0"/>
              <w:noProof/>
              <w:spacing w:val="0"/>
              <w:sz w:val="22"/>
              <w:szCs w:val="22"/>
              <w:lang w:eastAsia="en-AU"/>
            </w:rPr>
          </w:pPr>
          <w:hyperlink w:anchor="_Toc514145986" w:history="1">
            <w:r w:rsidR="00D61481" w:rsidRPr="001C5E5B">
              <w:rPr>
                <w:rStyle w:val="Collegamentoipertestuale"/>
                <w:noProof/>
              </w:rPr>
              <w:t>9</w:t>
            </w:r>
            <w:r w:rsidR="00D61481" w:rsidRPr="001C5E5B">
              <w:rPr>
                <w:rFonts w:asciiTheme="minorHAnsi" w:eastAsiaTheme="minorEastAsia" w:hAnsiTheme="minorHAnsi" w:cstheme="minorBidi"/>
                <w:b w:val="0"/>
                <w:noProof/>
                <w:spacing w:val="0"/>
                <w:sz w:val="22"/>
                <w:szCs w:val="22"/>
                <w:lang w:eastAsia="en-AU"/>
              </w:rPr>
              <w:tab/>
            </w:r>
            <w:r w:rsidR="00D61481" w:rsidRPr="001C5E5B">
              <w:rPr>
                <w:rStyle w:val="Collegamentoipertestuale"/>
                <w:noProof/>
              </w:rPr>
              <w:t>The department’s response to my findings and recommendations</w:t>
            </w:r>
            <w:r w:rsidR="00D61481" w:rsidRPr="001C5E5B">
              <w:rPr>
                <w:noProof/>
                <w:webHidden/>
              </w:rPr>
              <w:tab/>
            </w:r>
            <w:r w:rsidR="00D61481" w:rsidRPr="001C5E5B">
              <w:rPr>
                <w:noProof/>
                <w:webHidden/>
              </w:rPr>
              <w:fldChar w:fldCharType="begin"/>
            </w:r>
            <w:r w:rsidR="00D61481" w:rsidRPr="001C5E5B">
              <w:rPr>
                <w:noProof/>
                <w:webHidden/>
              </w:rPr>
              <w:instrText xml:space="preserve"> PAGEREF _Toc514145986 \h </w:instrText>
            </w:r>
            <w:r w:rsidR="00D61481" w:rsidRPr="001C5E5B">
              <w:rPr>
                <w:noProof/>
                <w:webHidden/>
              </w:rPr>
            </w:r>
            <w:r w:rsidR="00D61481" w:rsidRPr="001C5E5B">
              <w:rPr>
                <w:noProof/>
                <w:webHidden/>
              </w:rPr>
              <w:fldChar w:fldCharType="separate"/>
            </w:r>
            <w:r w:rsidR="00D61481" w:rsidRPr="001C5E5B">
              <w:rPr>
                <w:noProof/>
                <w:webHidden/>
              </w:rPr>
              <w:t>21</w:t>
            </w:r>
            <w:r w:rsidR="00D61481" w:rsidRPr="001C5E5B">
              <w:rPr>
                <w:noProof/>
                <w:webHidden/>
              </w:rPr>
              <w:fldChar w:fldCharType="end"/>
            </w:r>
          </w:hyperlink>
        </w:p>
        <w:p w:rsidR="008F3A9F" w:rsidRDefault="008F3A9F" w:rsidP="008F3A9F">
          <w:r w:rsidRPr="001C5E5B">
            <w:rPr>
              <w:b/>
              <w:bCs/>
              <w:noProof/>
            </w:rPr>
            <w:fldChar w:fldCharType="end"/>
          </w:r>
        </w:p>
      </w:sdtContent>
    </w:sdt>
    <w:p w:rsidR="008F3A9F" w:rsidRDefault="008F3A9F" w:rsidP="008F3A9F"/>
    <w:p w:rsidR="008F3A9F" w:rsidRDefault="008F3A9F" w:rsidP="008F3A9F"/>
    <w:p w:rsidR="008F3A9F" w:rsidRDefault="008F3A9F" w:rsidP="008F3A9F"/>
    <w:p w:rsidR="008F3A9F" w:rsidRDefault="008F3A9F" w:rsidP="008F3A9F">
      <w:pPr>
        <w:rPr>
          <w:rFonts w:cs="Arial"/>
          <w:b/>
          <w:szCs w:val="24"/>
        </w:rPr>
      </w:pPr>
      <w:r>
        <w:rPr>
          <w:rFonts w:cs="Arial"/>
          <w:b/>
          <w:szCs w:val="24"/>
        </w:rPr>
        <w:br w:type="page"/>
      </w:r>
    </w:p>
    <w:p w:rsidR="008F3A9F" w:rsidRDefault="008F3A9F" w:rsidP="008F3A9F">
      <w:pPr>
        <w:pStyle w:val="Titolo1"/>
      </w:pPr>
      <w:r w:rsidRPr="00932440">
        <w:t xml:space="preserve"> </w:t>
      </w:r>
      <w:bookmarkStart w:id="0" w:name="_Toc452472689"/>
      <w:bookmarkStart w:id="1" w:name="_Toc487445596"/>
      <w:bookmarkStart w:id="2" w:name="_Toc487531381"/>
      <w:bookmarkStart w:id="3" w:name="_Toc487531400"/>
      <w:bookmarkStart w:id="4" w:name="_Toc487531470"/>
      <w:bookmarkStart w:id="5" w:name="_Toc487531590"/>
      <w:bookmarkStart w:id="6" w:name="_Toc514145965"/>
      <w:r w:rsidR="00236B23">
        <w:t>Report into</w:t>
      </w:r>
      <w:r w:rsidRPr="00932440">
        <w:t xml:space="preserve"> this inquiry</w:t>
      </w:r>
      <w:bookmarkEnd w:id="0"/>
      <w:bookmarkEnd w:id="1"/>
      <w:bookmarkEnd w:id="2"/>
      <w:bookmarkEnd w:id="3"/>
      <w:bookmarkEnd w:id="4"/>
      <w:bookmarkEnd w:id="5"/>
      <w:bookmarkEnd w:id="6"/>
    </w:p>
    <w:p w:rsidR="00236B23" w:rsidRPr="001C5E5B" w:rsidRDefault="00236B23" w:rsidP="009D6123">
      <w:pPr>
        <w:numPr>
          <w:ilvl w:val="0"/>
          <w:numId w:val="29"/>
        </w:numPr>
        <w:spacing w:before="240" w:after="240"/>
        <w:rPr>
          <w:szCs w:val="24"/>
        </w:rPr>
      </w:pPr>
      <w:r w:rsidRPr="001C5E5B">
        <w:rPr>
          <w:rFonts w:cs="Arial"/>
          <w:szCs w:val="24"/>
        </w:rPr>
        <w:t xml:space="preserve">Pursuant to s 20A of the </w:t>
      </w:r>
      <w:r w:rsidRPr="001C5E5B">
        <w:rPr>
          <w:i/>
        </w:rPr>
        <w:t xml:space="preserve">Australian Human Rights Commission Act 1986 </w:t>
      </w:r>
      <w:r w:rsidR="00A8536B" w:rsidRPr="001C5E5B">
        <w:t>(</w:t>
      </w:r>
      <w:proofErr w:type="spellStart"/>
      <w:r w:rsidR="00A8536B" w:rsidRPr="001C5E5B">
        <w:t>Cth</w:t>
      </w:r>
      <w:proofErr w:type="spellEnd"/>
      <w:r w:rsidR="00A8536B" w:rsidRPr="001C5E5B">
        <w:t xml:space="preserve">), </w:t>
      </w:r>
      <w:r w:rsidRPr="001C5E5B">
        <w:t>this is a report following an inquiry conducted by the Australian Human</w:t>
      </w:r>
      <w:r w:rsidR="00A8536B" w:rsidRPr="001C5E5B">
        <w:t xml:space="preserve"> Rights Commission </w:t>
      </w:r>
      <w:r w:rsidRPr="001C5E5B">
        <w:t>into a complaint by Mr AM against the Commonwealth of Australia</w:t>
      </w:r>
      <w:r w:rsidR="00CE6A7C" w:rsidRPr="001C5E5B">
        <w:t xml:space="preserve"> </w:t>
      </w:r>
      <w:r w:rsidRPr="001C5E5B">
        <w:rPr>
          <w:rFonts w:cs="Arial"/>
          <w:szCs w:val="24"/>
        </w:rPr>
        <w:t xml:space="preserve">— </w:t>
      </w:r>
      <w:r w:rsidRPr="001C5E5B">
        <w:t xml:space="preserve">specifically, against the former Department of Immigration and Border Protection and now the Department of Home Affairs (department) </w:t>
      </w:r>
      <w:r w:rsidRPr="001C5E5B">
        <w:rPr>
          <w:rFonts w:cs="Arial"/>
          <w:szCs w:val="24"/>
        </w:rPr>
        <w:t>— alleging breaches of his human rights.</w:t>
      </w:r>
    </w:p>
    <w:p w:rsidR="00236B23" w:rsidRPr="001C5E5B" w:rsidRDefault="00236B23" w:rsidP="009D6123">
      <w:pPr>
        <w:numPr>
          <w:ilvl w:val="0"/>
          <w:numId w:val="29"/>
        </w:numPr>
        <w:spacing w:before="240" w:after="240"/>
        <w:rPr>
          <w:szCs w:val="24"/>
        </w:rPr>
      </w:pPr>
      <w:r w:rsidRPr="001C5E5B">
        <w:rPr>
          <w:rFonts w:cs="Arial"/>
          <w:szCs w:val="24"/>
        </w:rPr>
        <w:t xml:space="preserve">Below is a copy of the notice issued to the </w:t>
      </w:r>
      <w:r w:rsidR="00A8536B" w:rsidRPr="001C5E5B">
        <w:rPr>
          <w:rFonts w:cs="Arial"/>
          <w:szCs w:val="24"/>
        </w:rPr>
        <w:t xml:space="preserve">Department of Home Affairs </w:t>
      </w:r>
      <w:r w:rsidRPr="001C5E5B">
        <w:rPr>
          <w:rFonts w:cs="Arial"/>
          <w:szCs w:val="24"/>
        </w:rPr>
        <w:t xml:space="preserve">on </w:t>
      </w:r>
      <w:r w:rsidR="00646E0A" w:rsidRPr="001C5E5B">
        <w:rPr>
          <w:rFonts w:cs="Arial"/>
          <w:szCs w:val="24"/>
        </w:rPr>
        <w:t xml:space="preserve">2 February 2018. The notice was prepared on the basis of material before the </w:t>
      </w:r>
      <w:r w:rsidR="00A8536B" w:rsidRPr="001C5E5B">
        <w:rPr>
          <w:rFonts w:cs="Arial"/>
          <w:szCs w:val="24"/>
        </w:rPr>
        <w:t xml:space="preserve">Australian Human Rights </w:t>
      </w:r>
      <w:r w:rsidR="00646E0A" w:rsidRPr="001C5E5B">
        <w:rPr>
          <w:rFonts w:cs="Arial"/>
          <w:szCs w:val="24"/>
        </w:rPr>
        <w:t xml:space="preserve">Commission at the time it was issued. </w:t>
      </w:r>
    </w:p>
    <w:p w:rsidR="00236B23" w:rsidRPr="00236B23" w:rsidRDefault="00236B23" w:rsidP="00236B23">
      <w:pPr>
        <w:pStyle w:val="Titolo1"/>
      </w:pPr>
      <w:bookmarkStart w:id="7" w:name="_Toc514145966"/>
      <w:r>
        <w:t>Notice of decision</w:t>
      </w:r>
      <w:bookmarkEnd w:id="7"/>
    </w:p>
    <w:p w:rsidR="008F3A9F" w:rsidRPr="00A820E6" w:rsidRDefault="008F3A9F" w:rsidP="008F3A9F">
      <w:pPr>
        <w:numPr>
          <w:ilvl w:val="0"/>
          <w:numId w:val="29"/>
        </w:numPr>
        <w:spacing w:before="240" w:after="240"/>
        <w:rPr>
          <w:szCs w:val="24"/>
        </w:rPr>
      </w:pPr>
      <w:bookmarkStart w:id="8" w:name="_Toc430854474"/>
      <w:bookmarkStart w:id="9" w:name="_Toc435187441"/>
      <w:bookmarkStart w:id="10" w:name="_Toc453855975"/>
      <w:bookmarkStart w:id="11" w:name="_Toc453856985"/>
      <w:r>
        <w:rPr>
          <w:rFonts w:cs="Arial"/>
          <w:szCs w:val="24"/>
        </w:rPr>
        <w:t>This is a notice setting out the findings of t</w:t>
      </w:r>
      <w:r w:rsidRPr="005F64AF">
        <w:rPr>
          <w:rFonts w:cs="Arial"/>
          <w:szCs w:val="24"/>
        </w:rPr>
        <w:t xml:space="preserve">he Australian Human Rights Commission </w:t>
      </w:r>
      <w:r>
        <w:rPr>
          <w:rFonts w:cs="Arial"/>
          <w:szCs w:val="24"/>
        </w:rPr>
        <w:t xml:space="preserve">(Commission) following an inquiry </w:t>
      </w:r>
      <w:r w:rsidRPr="005F64AF">
        <w:rPr>
          <w:rFonts w:cs="Arial"/>
          <w:szCs w:val="24"/>
        </w:rPr>
        <w:t xml:space="preserve">into </w:t>
      </w:r>
      <w:r>
        <w:rPr>
          <w:rFonts w:cs="Arial"/>
          <w:szCs w:val="24"/>
        </w:rPr>
        <w:t>a complaint by Mr AM</w:t>
      </w:r>
      <w:r w:rsidRPr="005F64AF">
        <w:rPr>
          <w:rFonts w:cs="Arial"/>
          <w:szCs w:val="24"/>
        </w:rPr>
        <w:t xml:space="preserve"> against the Commonwealth of Australia</w:t>
      </w:r>
      <w:r>
        <w:rPr>
          <w:rFonts w:cs="Arial"/>
          <w:szCs w:val="24"/>
        </w:rPr>
        <w:t xml:space="preserve"> — </w:t>
      </w:r>
      <w:r>
        <w:t xml:space="preserve">specifically, against the former </w:t>
      </w:r>
      <w:r w:rsidRPr="00E2086A">
        <w:t>Department of Immi</w:t>
      </w:r>
      <w:r>
        <w:t>gration and Border Protection and now the Department of Home Affairs (d</w:t>
      </w:r>
      <w:r w:rsidRPr="00E2086A">
        <w:t>epartm</w:t>
      </w:r>
      <w:r>
        <w:t xml:space="preserve">ent) </w:t>
      </w:r>
      <w:r w:rsidR="00855288">
        <w:rPr>
          <w:rFonts w:cs="Arial"/>
          <w:szCs w:val="24"/>
        </w:rPr>
        <w:t xml:space="preserve">— </w:t>
      </w:r>
      <w:r>
        <w:t>alleging breaches of his human rights.</w:t>
      </w:r>
      <w:r>
        <w:rPr>
          <w:rFonts w:cs="Arial"/>
          <w:szCs w:val="24"/>
        </w:rPr>
        <w:t xml:space="preserve"> </w:t>
      </w:r>
      <w:bookmarkEnd w:id="8"/>
      <w:bookmarkEnd w:id="9"/>
      <w:bookmarkEnd w:id="10"/>
      <w:bookmarkEnd w:id="11"/>
      <w:r>
        <w:rPr>
          <w:rFonts w:cs="Arial"/>
          <w:szCs w:val="24"/>
        </w:rPr>
        <w:t xml:space="preserve"> </w:t>
      </w:r>
    </w:p>
    <w:p w:rsidR="008F3A9F" w:rsidRPr="00A820E6" w:rsidRDefault="008F3A9F" w:rsidP="008F3A9F">
      <w:pPr>
        <w:numPr>
          <w:ilvl w:val="0"/>
          <w:numId w:val="29"/>
        </w:numPr>
        <w:spacing w:before="240" w:after="240"/>
        <w:rPr>
          <w:szCs w:val="24"/>
        </w:rPr>
      </w:pPr>
      <w:r>
        <w:rPr>
          <w:rFonts w:cs="Arial"/>
          <w:szCs w:val="24"/>
        </w:rPr>
        <w:t xml:space="preserve">Mr AM has been detained in an immigration detention centre for over 64 months and continues to be detained. He complains that his detention is ‘arbitrary’, contrary to article 9 of the </w:t>
      </w:r>
      <w:r w:rsidRPr="00155EF4">
        <w:rPr>
          <w:rFonts w:cs="Arial"/>
          <w:i/>
          <w:szCs w:val="24"/>
        </w:rPr>
        <w:t>International Covenant on Civil and Political Rights</w:t>
      </w:r>
      <w:r w:rsidRPr="00CF3DE8">
        <w:rPr>
          <w:rFonts w:cs="Arial"/>
          <w:szCs w:val="24"/>
        </w:rPr>
        <w:t xml:space="preserve"> (ICCPR)</w:t>
      </w:r>
      <w:r>
        <w:rPr>
          <w:rFonts w:cs="Arial"/>
          <w:szCs w:val="24"/>
        </w:rPr>
        <w:t>.</w:t>
      </w:r>
      <w:r>
        <w:rPr>
          <w:rStyle w:val="Rimandonotadichiusura"/>
          <w:szCs w:val="24"/>
        </w:rPr>
        <w:endnoteReference w:id="1"/>
      </w:r>
      <w:r>
        <w:rPr>
          <w:rFonts w:cs="Arial"/>
          <w:szCs w:val="24"/>
        </w:rPr>
        <w:t xml:space="preserve"> </w:t>
      </w:r>
    </w:p>
    <w:p w:rsidR="008F3A9F" w:rsidRPr="00E8427B" w:rsidRDefault="008F3A9F" w:rsidP="008F3A9F">
      <w:pPr>
        <w:pStyle w:val="SubmissionNormal"/>
        <w:numPr>
          <w:ilvl w:val="0"/>
          <w:numId w:val="29"/>
        </w:numPr>
      </w:pPr>
      <w:r w:rsidRPr="005F64AF">
        <w:t xml:space="preserve">This inquiry </w:t>
      </w:r>
      <w:r>
        <w:t>has been</w:t>
      </w:r>
      <w:r w:rsidRPr="005F64AF">
        <w:t xml:space="preserve"> undertaken pursuant to s</w:t>
      </w:r>
      <w:r>
        <w:t xml:space="preserve"> </w:t>
      </w:r>
      <w:r w:rsidRPr="005F64AF">
        <w:t xml:space="preserve">11(1)(f) of the </w:t>
      </w:r>
      <w:r w:rsidRPr="005F64AF">
        <w:rPr>
          <w:i/>
        </w:rPr>
        <w:t xml:space="preserve">Australian Human Rights Commission Act 1986 </w:t>
      </w:r>
      <w:r w:rsidRPr="005F64AF">
        <w:t>(</w:t>
      </w:r>
      <w:proofErr w:type="spellStart"/>
      <w:r w:rsidRPr="005F64AF">
        <w:t>Cth</w:t>
      </w:r>
      <w:proofErr w:type="spellEnd"/>
      <w:r w:rsidRPr="005F64AF">
        <w:t>) (AHRC Act)</w:t>
      </w:r>
      <w:r>
        <w:rPr>
          <w:i/>
        </w:rPr>
        <w:t xml:space="preserve">. </w:t>
      </w:r>
    </w:p>
    <w:p w:rsidR="008F3A9F" w:rsidRPr="005F64AF" w:rsidRDefault="008F3A9F" w:rsidP="008F3A9F">
      <w:pPr>
        <w:pStyle w:val="SubmissionNormal"/>
        <w:numPr>
          <w:ilvl w:val="0"/>
          <w:numId w:val="29"/>
        </w:numPr>
      </w:pPr>
      <w:r w:rsidRPr="00E8427B">
        <w:t>T</w:t>
      </w:r>
      <w:r>
        <w:t>his notice is issued pursuant to s 29(2) of the AHRC Act setting out the findings of the Commission in relation to Mr AM’s complaint</w:t>
      </w:r>
      <w:r w:rsidR="00855288">
        <w:t>.</w:t>
      </w:r>
    </w:p>
    <w:p w:rsidR="008F3A9F" w:rsidRPr="00E8427B" w:rsidRDefault="008F3A9F" w:rsidP="008F3A9F">
      <w:pPr>
        <w:numPr>
          <w:ilvl w:val="0"/>
          <w:numId w:val="29"/>
        </w:numPr>
        <w:tabs>
          <w:tab w:val="clear" w:pos="720"/>
          <w:tab w:val="num" w:pos="1080"/>
        </w:tabs>
        <w:spacing w:before="240" w:after="240"/>
      </w:pPr>
      <w:r w:rsidRPr="00CA22C5">
        <w:rPr>
          <w:rFonts w:cs="Arial"/>
          <w:szCs w:val="24"/>
        </w:rPr>
        <w:t xml:space="preserve">As a result of this inquiry, I find </w:t>
      </w:r>
      <w:r>
        <w:rPr>
          <w:rFonts w:cs="Arial"/>
          <w:szCs w:val="24"/>
        </w:rPr>
        <w:t>the following:</w:t>
      </w:r>
    </w:p>
    <w:p w:rsidR="008F3A9F" w:rsidRPr="009E1F3A" w:rsidRDefault="008F3A9F" w:rsidP="001371A6">
      <w:pPr>
        <w:pStyle w:val="Paragrafoelenco"/>
        <w:numPr>
          <w:ilvl w:val="0"/>
          <w:numId w:val="43"/>
        </w:numPr>
        <w:spacing w:before="240" w:after="240"/>
        <w:ind w:left="1701" w:hanging="357"/>
      </w:pPr>
      <w:r w:rsidRPr="009E1F3A">
        <w:rPr>
          <w:rFonts w:cs="Arial"/>
          <w:szCs w:val="24"/>
        </w:rPr>
        <w:t xml:space="preserve">the department’s failure to refer Mr AM’s matter to the Minister for Immigration and Border Protection (Minister) under s 195A of </w:t>
      </w:r>
      <w:r w:rsidRPr="009E1F3A">
        <w:rPr>
          <w:szCs w:val="24"/>
        </w:rPr>
        <w:t xml:space="preserve">the </w:t>
      </w:r>
      <w:r w:rsidRPr="009E1F3A">
        <w:rPr>
          <w:i/>
          <w:szCs w:val="24"/>
        </w:rPr>
        <w:t>Migration Act 1958</w:t>
      </w:r>
      <w:r w:rsidRPr="009E1F3A">
        <w:rPr>
          <w:szCs w:val="24"/>
        </w:rPr>
        <w:t xml:space="preserve"> (</w:t>
      </w:r>
      <w:proofErr w:type="spellStart"/>
      <w:r w:rsidRPr="009E1F3A">
        <w:rPr>
          <w:szCs w:val="24"/>
        </w:rPr>
        <w:t>Cth</w:t>
      </w:r>
      <w:proofErr w:type="spellEnd"/>
      <w:r w:rsidRPr="009E1F3A">
        <w:rPr>
          <w:szCs w:val="24"/>
        </w:rPr>
        <w:t xml:space="preserve">) (Migration Act) until </w:t>
      </w:r>
      <w:r w:rsidRPr="009E1F3A">
        <w:rPr>
          <w:rFonts w:cs="Arial"/>
          <w:szCs w:val="24"/>
        </w:rPr>
        <w:t>August 2016, and</w:t>
      </w:r>
    </w:p>
    <w:p w:rsidR="008F3A9F" w:rsidRPr="00DB0A30" w:rsidRDefault="008F3A9F" w:rsidP="008D0182">
      <w:pPr>
        <w:pStyle w:val="Paragrafoelenco"/>
        <w:spacing w:before="240" w:after="240"/>
        <w:ind w:left="1701"/>
      </w:pPr>
    </w:p>
    <w:p w:rsidR="008F3A9F" w:rsidRPr="007B5C9C" w:rsidRDefault="008F3A9F" w:rsidP="001371A6">
      <w:pPr>
        <w:pStyle w:val="Paragrafoelenco"/>
        <w:numPr>
          <w:ilvl w:val="0"/>
          <w:numId w:val="43"/>
        </w:numPr>
        <w:spacing w:before="240" w:after="240"/>
        <w:ind w:left="1701" w:hanging="357"/>
      </w:pPr>
      <w:r w:rsidRPr="009E1F3A">
        <w:rPr>
          <w:rFonts w:cs="Arial"/>
          <w:szCs w:val="24"/>
        </w:rPr>
        <w:t>the department’s failure to date to refer Mr AM’s matter to the Minister under s 197AB</w:t>
      </w:r>
      <w:r>
        <w:rPr>
          <w:rFonts w:cs="Arial"/>
          <w:szCs w:val="24"/>
        </w:rPr>
        <w:t xml:space="preserve"> of the Migration Act</w:t>
      </w:r>
    </w:p>
    <w:p w:rsidR="008F3A9F" w:rsidRDefault="008F3A9F" w:rsidP="008F3A9F">
      <w:pPr>
        <w:pStyle w:val="Paragrafoelenco"/>
        <w:ind w:left="1080"/>
      </w:pPr>
    </w:p>
    <w:p w:rsidR="008F3A9F" w:rsidRPr="00DE7F30" w:rsidRDefault="008F3A9F" w:rsidP="008F3A9F">
      <w:r>
        <w:tab/>
      </w:r>
      <w:r w:rsidRPr="00E8427B">
        <w:t xml:space="preserve">was inconsistent with, or contrary to, article 9(1) of the ICCPR. </w:t>
      </w:r>
    </w:p>
    <w:p w:rsidR="008F3A9F" w:rsidRPr="00793BA2" w:rsidRDefault="008F3A9F" w:rsidP="008F3A9F"/>
    <w:p w:rsidR="008F3A9F" w:rsidRPr="00047819" w:rsidRDefault="008F3A9F" w:rsidP="008F3A9F">
      <w:pPr>
        <w:pStyle w:val="Paragrafoelenco"/>
        <w:numPr>
          <w:ilvl w:val="0"/>
          <w:numId w:val="29"/>
        </w:numPr>
        <w:tabs>
          <w:tab w:val="clear" w:pos="720"/>
          <w:tab w:val="num" w:pos="1080"/>
        </w:tabs>
        <w:rPr>
          <w:szCs w:val="24"/>
        </w:rPr>
      </w:pPr>
      <w:r>
        <w:rPr>
          <w:szCs w:val="24"/>
        </w:rPr>
        <w:t>Mr </w:t>
      </w:r>
      <w:r>
        <w:rPr>
          <w:rFonts w:cs="Arial"/>
          <w:szCs w:val="24"/>
        </w:rPr>
        <w:t>AM</w:t>
      </w:r>
      <w:r>
        <w:rPr>
          <w:szCs w:val="24"/>
        </w:rPr>
        <w:t xml:space="preserve"> </w:t>
      </w:r>
      <w:r w:rsidRPr="00047819">
        <w:rPr>
          <w:szCs w:val="24"/>
        </w:rPr>
        <w:t xml:space="preserve">has requested that his name not be published in connection with this inquiry. I consider that the preservation of his anonymity is necessary to protect his human rights. Accordingly, I have given a direction under s 14(2) of the AHRC Act and refer to him by the pseudonym </w:t>
      </w:r>
      <w:r>
        <w:rPr>
          <w:szCs w:val="24"/>
        </w:rPr>
        <w:t>‘</w:t>
      </w:r>
      <w:r w:rsidRPr="00E8427B">
        <w:rPr>
          <w:szCs w:val="24"/>
        </w:rPr>
        <w:t>AM</w:t>
      </w:r>
      <w:r w:rsidRPr="008300FF">
        <w:rPr>
          <w:szCs w:val="24"/>
        </w:rPr>
        <w:t>’</w:t>
      </w:r>
      <w:r w:rsidRPr="00047819">
        <w:rPr>
          <w:szCs w:val="24"/>
        </w:rPr>
        <w:t xml:space="preserve"> in this document. </w:t>
      </w:r>
    </w:p>
    <w:p w:rsidR="008F3A9F" w:rsidRPr="00932440" w:rsidRDefault="008F3A9F" w:rsidP="008F3A9F">
      <w:pPr>
        <w:pStyle w:val="Titolo1"/>
      </w:pPr>
      <w:bookmarkStart w:id="12" w:name="_Toc498937192"/>
      <w:bookmarkStart w:id="13" w:name="_Toc452472690"/>
      <w:bookmarkStart w:id="14" w:name="_Toc487445597"/>
      <w:bookmarkStart w:id="15" w:name="_Toc487531382"/>
      <w:bookmarkStart w:id="16" w:name="_Toc487531401"/>
      <w:bookmarkStart w:id="17" w:name="_Toc487531471"/>
      <w:bookmarkStart w:id="18" w:name="_Toc487531591"/>
      <w:bookmarkStart w:id="19" w:name="_Toc514145967"/>
      <w:bookmarkEnd w:id="12"/>
      <w:r w:rsidRPr="00932440">
        <w:t>Background</w:t>
      </w:r>
      <w:bookmarkEnd w:id="13"/>
      <w:bookmarkEnd w:id="14"/>
      <w:bookmarkEnd w:id="15"/>
      <w:bookmarkEnd w:id="16"/>
      <w:bookmarkEnd w:id="17"/>
      <w:bookmarkEnd w:id="18"/>
      <w:bookmarkEnd w:id="19"/>
    </w:p>
    <w:p w:rsidR="008F3A9F" w:rsidRDefault="008F3A9F" w:rsidP="008F3A9F">
      <w:pPr>
        <w:pStyle w:val="SubmissionNormal"/>
        <w:numPr>
          <w:ilvl w:val="0"/>
          <w:numId w:val="29"/>
        </w:numPr>
      </w:pPr>
      <w:r>
        <w:t xml:space="preserve">Mr AM is a national of Sri Lanka who arrived by boat at Christmas Island as an undocumented maritime arrival on 16 July 2012. He was detained on Christmas Island pursuant to s 189(3) of the </w:t>
      </w:r>
      <w:r w:rsidRPr="00B351F6">
        <w:t>Migration Act</w:t>
      </w:r>
      <w:r>
        <w:t>.</w:t>
      </w:r>
    </w:p>
    <w:p w:rsidR="008F3A9F" w:rsidRDefault="008F3A9F" w:rsidP="008F3A9F">
      <w:pPr>
        <w:pStyle w:val="SubmissionNormal"/>
        <w:numPr>
          <w:ilvl w:val="0"/>
          <w:numId w:val="29"/>
        </w:numPr>
      </w:pPr>
      <w:r>
        <w:t>On 13 August 2012, Mr AM was transferred to the mainland, and was thereafter detained at Wickham Point Immigration Detention Centre</w:t>
      </w:r>
      <w:r w:rsidR="00925D5C">
        <w:t>, pursuant to s 189(1) of the Migration Act</w:t>
      </w:r>
      <w:r>
        <w:t xml:space="preserve">. </w:t>
      </w:r>
    </w:p>
    <w:p w:rsidR="008F3A9F" w:rsidRDefault="008F3A9F" w:rsidP="008F3A9F">
      <w:pPr>
        <w:pStyle w:val="SubmissionNormal"/>
        <w:numPr>
          <w:ilvl w:val="0"/>
          <w:numId w:val="29"/>
        </w:numPr>
      </w:pPr>
      <w:r>
        <w:t xml:space="preserve">As Mr AM arrived in Australia before 13 August 2012, he is not subject to regional processing arrangements. </w:t>
      </w:r>
    </w:p>
    <w:p w:rsidR="008F3A9F" w:rsidRDefault="008F3A9F" w:rsidP="008F3A9F">
      <w:pPr>
        <w:pStyle w:val="SubmissionNormal"/>
        <w:numPr>
          <w:ilvl w:val="0"/>
          <w:numId w:val="29"/>
        </w:numPr>
      </w:pPr>
      <w:r>
        <w:t xml:space="preserve">During Mr AM’s entry interview he disclosed that, as a condition of his passage on the boat to Australia, he was required to help steer the boat. </w:t>
      </w:r>
    </w:p>
    <w:p w:rsidR="008F3A9F" w:rsidRPr="009644D5" w:rsidRDefault="008F3A9F" w:rsidP="008F3A9F">
      <w:pPr>
        <w:pStyle w:val="SubmissionNormal"/>
        <w:numPr>
          <w:ilvl w:val="0"/>
          <w:numId w:val="29"/>
        </w:numPr>
      </w:pPr>
      <w:r>
        <w:t xml:space="preserve">On 18 September 2012, Mr AM was </w:t>
      </w:r>
      <w:r w:rsidRPr="00E530D1">
        <w:rPr>
          <w:rFonts w:cs="Arial"/>
        </w:rPr>
        <w:t xml:space="preserve">found to have </w:t>
      </w:r>
      <w:r w:rsidRPr="00D279E2">
        <w:rPr>
          <w:rFonts w:cs="Arial"/>
          <w:i/>
        </w:rPr>
        <w:t>prima facie</w:t>
      </w:r>
      <w:r w:rsidRPr="00E530D1">
        <w:rPr>
          <w:rFonts w:cs="Arial"/>
        </w:rPr>
        <w:t xml:space="preserve"> claims to engage Australia’s protection obligations and </w:t>
      </w:r>
      <w:r>
        <w:rPr>
          <w:rFonts w:cs="Arial"/>
        </w:rPr>
        <w:t>was</w:t>
      </w:r>
      <w:r w:rsidRPr="00E530D1">
        <w:rPr>
          <w:rFonts w:cs="Arial"/>
        </w:rPr>
        <w:t xml:space="preserve"> ‘screened in’ to the</w:t>
      </w:r>
      <w:r>
        <w:t xml:space="preserve"> </w:t>
      </w:r>
      <w:r w:rsidRPr="00E530D1">
        <w:rPr>
          <w:rFonts w:cs="Arial"/>
        </w:rPr>
        <w:t>refugee status determination process</w:t>
      </w:r>
      <w:r>
        <w:rPr>
          <w:rFonts w:cs="Arial"/>
        </w:rPr>
        <w:t>.</w:t>
      </w:r>
    </w:p>
    <w:p w:rsidR="008F3A9F" w:rsidRPr="009644D5" w:rsidRDefault="008F3A9F" w:rsidP="008F3A9F">
      <w:pPr>
        <w:pStyle w:val="SubmissionNormal"/>
        <w:numPr>
          <w:ilvl w:val="0"/>
          <w:numId w:val="29"/>
        </w:numPr>
      </w:pPr>
      <w:r>
        <w:rPr>
          <w:rFonts w:cs="Arial"/>
        </w:rPr>
        <w:t xml:space="preserve">On 24 September 2012, the then Minister exercised his power under s 46A of the Migration Act to allow Mr </w:t>
      </w:r>
      <w:r>
        <w:t xml:space="preserve">AM to apply for a Protection Visa (PV). </w:t>
      </w:r>
    </w:p>
    <w:p w:rsidR="008F3A9F" w:rsidRPr="002C3C3F" w:rsidRDefault="008F3A9F" w:rsidP="008F3A9F">
      <w:pPr>
        <w:pStyle w:val="SubmissionNormal"/>
        <w:numPr>
          <w:ilvl w:val="0"/>
          <w:numId w:val="29"/>
        </w:numPr>
      </w:pPr>
      <w:r>
        <w:rPr>
          <w:rFonts w:cs="Arial"/>
        </w:rPr>
        <w:t xml:space="preserve">On 27 September 2012, Mr AM was transferred to </w:t>
      </w:r>
      <w:proofErr w:type="spellStart"/>
      <w:r>
        <w:rPr>
          <w:rFonts w:cs="Arial"/>
        </w:rPr>
        <w:t>Yongah</w:t>
      </w:r>
      <w:proofErr w:type="spellEnd"/>
      <w:r>
        <w:rPr>
          <w:rFonts w:cs="Arial"/>
        </w:rPr>
        <w:t xml:space="preserve"> Hill Immigration Detention Centre. </w:t>
      </w:r>
    </w:p>
    <w:p w:rsidR="008F3A9F" w:rsidRDefault="008F3A9F" w:rsidP="008F3A9F">
      <w:pPr>
        <w:pStyle w:val="SubmissionNormal"/>
        <w:numPr>
          <w:ilvl w:val="0"/>
          <w:numId w:val="29"/>
        </w:numPr>
      </w:pPr>
      <w:r>
        <w:rPr>
          <w:rFonts w:cs="Arial"/>
        </w:rPr>
        <w:t xml:space="preserve">On 29 September 2012, Mr </w:t>
      </w:r>
      <w:r>
        <w:t xml:space="preserve">AM lodged an application for a PV. </w:t>
      </w:r>
    </w:p>
    <w:p w:rsidR="008F3A9F" w:rsidRDefault="008F3A9F" w:rsidP="008F3A9F">
      <w:pPr>
        <w:pStyle w:val="SubmissionNormal"/>
        <w:numPr>
          <w:ilvl w:val="0"/>
          <w:numId w:val="29"/>
        </w:numPr>
      </w:pPr>
      <w:r>
        <w:t xml:space="preserve">On 17 October 2012, as a result of Mr AM’s disclosure about steering the boat to Christmas Island, he was issued with a Criminal Justice Certificate (CJC). </w:t>
      </w:r>
    </w:p>
    <w:p w:rsidR="008F3A9F" w:rsidRDefault="008F3A9F" w:rsidP="008F3A9F">
      <w:pPr>
        <w:pStyle w:val="SubmissionNormal"/>
        <w:numPr>
          <w:ilvl w:val="0"/>
          <w:numId w:val="29"/>
        </w:numPr>
      </w:pPr>
      <w:r>
        <w:t xml:space="preserve">The Australian Federal Police (AFP) did not interview Mr AM about his disclosure and charges were not laid. On </w:t>
      </w:r>
      <w:r w:rsidRPr="00A41E7B">
        <w:t>14 December 2012,</w:t>
      </w:r>
      <w:r>
        <w:t xml:space="preserve"> the CJC was cancelled due to insufficient evidence. </w:t>
      </w:r>
    </w:p>
    <w:p w:rsidR="008F3A9F" w:rsidRDefault="008F3A9F" w:rsidP="008F3A9F">
      <w:pPr>
        <w:pStyle w:val="SubmissionNormal"/>
        <w:numPr>
          <w:ilvl w:val="0"/>
          <w:numId w:val="29"/>
        </w:numPr>
      </w:pPr>
      <w:r>
        <w:t xml:space="preserve">On 21 August 2013, Mr AM’s application for a PV was refused. </w:t>
      </w:r>
    </w:p>
    <w:p w:rsidR="008F3A9F" w:rsidRPr="002C3C3F" w:rsidRDefault="008F3A9F" w:rsidP="008F3A9F">
      <w:pPr>
        <w:pStyle w:val="SubmissionNormal"/>
        <w:numPr>
          <w:ilvl w:val="0"/>
          <w:numId w:val="29"/>
        </w:numPr>
      </w:pPr>
      <w:r w:rsidRPr="002C3C3F">
        <w:t>On 29 August 2013, Mr</w:t>
      </w:r>
      <w:r>
        <w:t xml:space="preserve"> AM lodged an application to </w:t>
      </w:r>
      <w:r w:rsidRPr="002C3C3F">
        <w:t xml:space="preserve">review </w:t>
      </w:r>
      <w:r>
        <w:t xml:space="preserve">the decision to refuse him a PV at </w:t>
      </w:r>
      <w:r w:rsidRPr="002C3C3F">
        <w:t xml:space="preserve">the Refugee Review Tribunal (RRT). </w:t>
      </w:r>
    </w:p>
    <w:p w:rsidR="008F3A9F" w:rsidRDefault="008F3A9F" w:rsidP="008F3A9F">
      <w:pPr>
        <w:pStyle w:val="SubmissionNormal"/>
        <w:numPr>
          <w:ilvl w:val="0"/>
          <w:numId w:val="29"/>
        </w:numPr>
      </w:pPr>
      <w:r w:rsidRPr="002C3C3F">
        <w:t xml:space="preserve">On 1 November 2013, Mr </w:t>
      </w:r>
      <w:r>
        <w:t>AM</w:t>
      </w:r>
      <w:r w:rsidRPr="002C3C3F">
        <w:t xml:space="preserve"> was transferred to Curtin I</w:t>
      </w:r>
      <w:r>
        <w:t xml:space="preserve">mmigration </w:t>
      </w:r>
      <w:r w:rsidRPr="002C3C3F">
        <w:t>D</w:t>
      </w:r>
      <w:r>
        <w:t xml:space="preserve">etention </w:t>
      </w:r>
      <w:r w:rsidRPr="002C3C3F">
        <w:t>C</w:t>
      </w:r>
      <w:r>
        <w:t>entre</w:t>
      </w:r>
      <w:r w:rsidRPr="002C3C3F">
        <w:t>.</w:t>
      </w:r>
    </w:p>
    <w:p w:rsidR="008F3A9F" w:rsidRDefault="008F3A9F" w:rsidP="008F3A9F">
      <w:pPr>
        <w:pStyle w:val="SubmissionNormal"/>
        <w:numPr>
          <w:ilvl w:val="0"/>
          <w:numId w:val="29"/>
        </w:numPr>
      </w:pPr>
      <w:r>
        <w:t>In February 2014, Mr AM was identified as a detainee affected by the unintentional release of personal information by the department. He was invited to raise concerns regarding any impact the data breach might have on his case.</w:t>
      </w:r>
    </w:p>
    <w:p w:rsidR="008F3A9F" w:rsidRDefault="008F3A9F" w:rsidP="008F3A9F">
      <w:pPr>
        <w:pStyle w:val="SubmissionNormal"/>
        <w:numPr>
          <w:ilvl w:val="0"/>
          <w:numId w:val="29"/>
        </w:numPr>
      </w:pPr>
      <w:r>
        <w:t>On 24 February 2014, the decision to refuse Mr AM’s PV application was upheld by the RRT.</w:t>
      </w:r>
    </w:p>
    <w:p w:rsidR="008F3A9F" w:rsidRDefault="008F3A9F" w:rsidP="008F3A9F">
      <w:pPr>
        <w:pStyle w:val="SubmissionNormal"/>
        <w:numPr>
          <w:ilvl w:val="0"/>
          <w:numId w:val="29"/>
        </w:numPr>
      </w:pPr>
      <w:r>
        <w:t xml:space="preserve">On 18 March 2014, Mr AM lodged an appeal of this decision </w:t>
      </w:r>
      <w:r w:rsidR="00925D5C">
        <w:t xml:space="preserve">in </w:t>
      </w:r>
      <w:r>
        <w:t xml:space="preserve">the Federal Circuit Court (FCC). </w:t>
      </w:r>
    </w:p>
    <w:p w:rsidR="008F3A9F" w:rsidRDefault="008F3A9F" w:rsidP="008F3A9F">
      <w:pPr>
        <w:pStyle w:val="SubmissionNormal"/>
        <w:numPr>
          <w:ilvl w:val="0"/>
          <w:numId w:val="29"/>
        </w:numPr>
      </w:pPr>
      <w:r>
        <w:t xml:space="preserve">On 28 August 2014, Mr AM was transferred back to </w:t>
      </w:r>
      <w:proofErr w:type="spellStart"/>
      <w:r>
        <w:t>Yongah</w:t>
      </w:r>
      <w:proofErr w:type="spellEnd"/>
      <w:r>
        <w:t xml:space="preserve"> Hill Immigration Detention Centre.</w:t>
      </w:r>
    </w:p>
    <w:p w:rsidR="008F3A9F" w:rsidRDefault="008F3A9F" w:rsidP="008F3A9F">
      <w:pPr>
        <w:pStyle w:val="SubmissionNormal"/>
        <w:numPr>
          <w:ilvl w:val="0"/>
          <w:numId w:val="29"/>
        </w:numPr>
      </w:pPr>
      <w:r>
        <w:t>On 24 March 2015, Mr AM was transferred to Wickham Point Immigration Detention Centre.</w:t>
      </w:r>
    </w:p>
    <w:p w:rsidR="008F3A9F" w:rsidRDefault="008F3A9F" w:rsidP="008F3A9F">
      <w:pPr>
        <w:pStyle w:val="SubmissionNormal"/>
        <w:numPr>
          <w:ilvl w:val="0"/>
          <w:numId w:val="29"/>
        </w:numPr>
      </w:pPr>
      <w:r>
        <w:t xml:space="preserve">On 17 July 2015, the FCC conducted a final hearing in Mr AM’s appeal and reserved its judgment. </w:t>
      </w:r>
    </w:p>
    <w:p w:rsidR="008F3A9F" w:rsidRDefault="008F3A9F" w:rsidP="008F3A9F">
      <w:pPr>
        <w:pStyle w:val="SubmissionNormal"/>
        <w:numPr>
          <w:ilvl w:val="0"/>
          <w:numId w:val="29"/>
        </w:numPr>
      </w:pPr>
      <w:r>
        <w:t xml:space="preserve">On 13 April 2016, the statutory bar preventing Mr AM from making a second PV application was lifted because of </w:t>
      </w:r>
      <w:r w:rsidR="00925D5C">
        <w:t xml:space="preserve">the </w:t>
      </w:r>
      <w:r>
        <w:t xml:space="preserve">data breach issues affecting a number of detainees. </w:t>
      </w:r>
    </w:p>
    <w:p w:rsidR="008F3A9F" w:rsidRDefault="008F3A9F" w:rsidP="008F3A9F">
      <w:pPr>
        <w:pStyle w:val="SubmissionNormal"/>
        <w:numPr>
          <w:ilvl w:val="0"/>
          <w:numId w:val="29"/>
        </w:numPr>
      </w:pPr>
      <w:r>
        <w:t>On 2 August 2016, Mr AM’s case was referred by the department to the Minister under s 195A of the Migration Act. On 9 September 2016, the Minister declined to consider intervening in Mr AM’s matter.</w:t>
      </w:r>
    </w:p>
    <w:p w:rsidR="008F3A9F" w:rsidRDefault="008F3A9F" w:rsidP="008F3A9F">
      <w:pPr>
        <w:pStyle w:val="SubmissionNormal"/>
        <w:numPr>
          <w:ilvl w:val="0"/>
          <w:numId w:val="29"/>
        </w:numPr>
      </w:pPr>
      <w:r>
        <w:t xml:space="preserve">On 21 December 2016, Mr AM made a valid application for a Safe Haven Enterprise visa (SHEV). The department indicated that, although his application was validly made, Mr AM had provided limited information in respect of his claimed fear of harm in Sri Lanka and therefore his application was delayed. </w:t>
      </w:r>
    </w:p>
    <w:p w:rsidR="008F3A9F" w:rsidRDefault="008F3A9F" w:rsidP="008F3A9F">
      <w:pPr>
        <w:pStyle w:val="SubmissionNormal"/>
        <w:numPr>
          <w:ilvl w:val="0"/>
          <w:numId w:val="29"/>
        </w:numPr>
      </w:pPr>
      <w:r>
        <w:t>On 7 February 2017, Mr AM’s case was referred to the Minister a second time for consideration under s 195A as part of a group submission. On 15 March 2017</w:t>
      </w:r>
      <w:r w:rsidR="00925D5C">
        <w:t>,</w:t>
      </w:r>
      <w:r>
        <w:t xml:space="preserve"> he was removed from the submission at the request of the Minister’s office. </w:t>
      </w:r>
    </w:p>
    <w:p w:rsidR="008F3A9F" w:rsidRDefault="008F3A9F" w:rsidP="008F3A9F">
      <w:pPr>
        <w:pStyle w:val="SubmissionNormal"/>
        <w:numPr>
          <w:ilvl w:val="0"/>
          <w:numId w:val="29"/>
        </w:numPr>
      </w:pPr>
      <w:r>
        <w:t>On 31 March 2017, over 20 months after it reserved its judgment, the FCC handed down a decision upholding Mr AM’s appeal. It referred the matter back to the Administrative Appeals Tribunal (AAT) — decisions which were once reviewed by the RRT are now reviewed by the Migration and Refugee Division of the AAT — to be made in accordance with the law. I have no information about when the AAT will hand down its new decision.</w:t>
      </w:r>
    </w:p>
    <w:p w:rsidR="008F3A9F" w:rsidRDefault="008F3A9F" w:rsidP="008F3A9F">
      <w:pPr>
        <w:pStyle w:val="SubmissionNormal"/>
        <w:numPr>
          <w:ilvl w:val="0"/>
          <w:numId w:val="29"/>
        </w:numPr>
      </w:pPr>
      <w:r>
        <w:t xml:space="preserve">On 7 August 2017, Mr AM’s case was referred to the Minister for the third time for consideration under s 195A of the Migration Act. The Commission understands that a decision on this matter is still outstanding. </w:t>
      </w:r>
    </w:p>
    <w:p w:rsidR="008F3A9F" w:rsidRDefault="008F3A9F" w:rsidP="008F3A9F">
      <w:pPr>
        <w:pStyle w:val="SubmissionNormal"/>
        <w:numPr>
          <w:ilvl w:val="0"/>
          <w:numId w:val="29"/>
        </w:numPr>
      </w:pPr>
      <w:r>
        <w:t xml:space="preserve">On 8 August 2017, after receiving documents from the department obtained under the </w:t>
      </w:r>
      <w:r>
        <w:rPr>
          <w:i/>
        </w:rPr>
        <w:t xml:space="preserve">Freedom of Information Act 1982 </w:t>
      </w:r>
      <w:r>
        <w:t>(</w:t>
      </w:r>
      <w:proofErr w:type="spellStart"/>
      <w:r>
        <w:t>Cth</w:t>
      </w:r>
      <w:proofErr w:type="spellEnd"/>
      <w:r>
        <w:t>), Mr AM’s appointed registered migration agent provided a detailed statement of claim in respect of his SHEV application. The interview for the SHEV was scheduled for 31 August 2017. The Commission has no further information in relation to this SHEV application or its progress.</w:t>
      </w:r>
    </w:p>
    <w:p w:rsidR="008F3A9F" w:rsidRPr="00E8427B" w:rsidRDefault="008F3A9F" w:rsidP="008F3A9F">
      <w:pPr>
        <w:pStyle w:val="SubmissionNormal"/>
        <w:numPr>
          <w:ilvl w:val="0"/>
          <w:numId w:val="29"/>
        </w:numPr>
      </w:pPr>
      <w:r w:rsidRPr="00E8427B">
        <w:t xml:space="preserve">At the date of this notice, Mr AM has remained in closed immigration detention for a period of 64 months (5 years and 4 months). </w:t>
      </w:r>
    </w:p>
    <w:p w:rsidR="008F3A9F" w:rsidRPr="00932440" w:rsidRDefault="008F3A9F" w:rsidP="008F3A9F">
      <w:pPr>
        <w:pStyle w:val="Titolo1"/>
      </w:pPr>
      <w:bookmarkStart w:id="20" w:name="_Toc452472691"/>
      <w:bookmarkStart w:id="21" w:name="_Toc487445598"/>
      <w:bookmarkStart w:id="22" w:name="_Toc487531383"/>
      <w:bookmarkStart w:id="23" w:name="_Toc487531402"/>
      <w:bookmarkStart w:id="24" w:name="_Toc487531472"/>
      <w:bookmarkStart w:id="25" w:name="_Toc487531592"/>
      <w:bookmarkStart w:id="26" w:name="_Toc514145968"/>
      <w:r w:rsidRPr="00932440">
        <w:t>Legislative framework</w:t>
      </w:r>
      <w:bookmarkEnd w:id="20"/>
      <w:bookmarkEnd w:id="21"/>
      <w:bookmarkEnd w:id="22"/>
      <w:bookmarkEnd w:id="23"/>
      <w:bookmarkEnd w:id="24"/>
      <w:bookmarkEnd w:id="25"/>
      <w:bookmarkEnd w:id="26"/>
    </w:p>
    <w:p w:rsidR="008F3A9F" w:rsidRPr="00932440" w:rsidRDefault="008F3A9F" w:rsidP="00125EF3">
      <w:pPr>
        <w:pStyle w:val="Titolo2"/>
        <w:tabs>
          <w:tab w:val="num" w:pos="1135"/>
        </w:tabs>
      </w:pPr>
      <w:bookmarkStart w:id="27" w:name="_Toc452472692"/>
      <w:bookmarkStart w:id="28" w:name="_Toc487445599"/>
      <w:bookmarkStart w:id="29" w:name="_Toc487531384"/>
      <w:bookmarkStart w:id="30" w:name="_Toc487531403"/>
      <w:bookmarkStart w:id="31" w:name="_Toc487531473"/>
      <w:bookmarkStart w:id="32" w:name="_Toc487531593"/>
      <w:bookmarkStart w:id="33" w:name="_Toc514145969"/>
      <w:r w:rsidRPr="00932440">
        <w:t>Functions of the Commission</w:t>
      </w:r>
      <w:bookmarkEnd w:id="27"/>
      <w:bookmarkEnd w:id="28"/>
      <w:bookmarkEnd w:id="29"/>
      <w:bookmarkEnd w:id="30"/>
      <w:bookmarkEnd w:id="31"/>
      <w:bookmarkEnd w:id="32"/>
      <w:bookmarkEnd w:id="33"/>
    </w:p>
    <w:p w:rsidR="008F3A9F" w:rsidRPr="0008392C" w:rsidRDefault="008F3A9F" w:rsidP="008F3A9F">
      <w:pPr>
        <w:numPr>
          <w:ilvl w:val="0"/>
          <w:numId w:val="29"/>
        </w:numPr>
        <w:tabs>
          <w:tab w:val="num" w:pos="960"/>
        </w:tabs>
        <w:spacing w:before="240" w:after="240"/>
        <w:rPr>
          <w:szCs w:val="24"/>
        </w:rPr>
      </w:pPr>
      <w:r>
        <w:rPr>
          <w:szCs w:val="24"/>
        </w:rPr>
        <w:t>Section 11(1)</w:t>
      </w:r>
      <w:r w:rsidRPr="0008392C">
        <w:rPr>
          <w:szCs w:val="24"/>
        </w:rPr>
        <w:t xml:space="preserve">(f) of the AHRC Act </w:t>
      </w:r>
      <w:r>
        <w:rPr>
          <w:szCs w:val="24"/>
        </w:rPr>
        <w:t>provides that</w:t>
      </w:r>
      <w:r w:rsidRPr="0008392C">
        <w:rPr>
          <w:szCs w:val="24"/>
        </w:rPr>
        <w:t xml:space="preserve"> the Commission</w:t>
      </w:r>
      <w:r>
        <w:rPr>
          <w:szCs w:val="24"/>
        </w:rPr>
        <w:t xml:space="preserve"> has the function</w:t>
      </w:r>
      <w:r w:rsidRPr="0008392C">
        <w:rPr>
          <w:szCs w:val="24"/>
        </w:rPr>
        <w:t xml:space="preserve"> to inquire into any act or practic</w:t>
      </w:r>
      <w:r>
        <w:rPr>
          <w:szCs w:val="24"/>
        </w:rPr>
        <w:t xml:space="preserve">e that may be inconsistent with, or contrary to, </w:t>
      </w:r>
      <w:r w:rsidRPr="0008392C">
        <w:rPr>
          <w:szCs w:val="24"/>
        </w:rPr>
        <w:t xml:space="preserve">any human right. </w:t>
      </w:r>
    </w:p>
    <w:p w:rsidR="008F3A9F" w:rsidRDefault="008F3A9F" w:rsidP="008F3A9F">
      <w:pPr>
        <w:numPr>
          <w:ilvl w:val="0"/>
          <w:numId w:val="29"/>
        </w:numPr>
        <w:tabs>
          <w:tab w:val="num" w:pos="960"/>
        </w:tabs>
        <w:spacing w:before="240" w:after="240"/>
        <w:rPr>
          <w:szCs w:val="24"/>
        </w:rPr>
      </w:pPr>
      <w:r>
        <w:rPr>
          <w:szCs w:val="24"/>
        </w:rPr>
        <w:t>Section 20(1)</w:t>
      </w:r>
      <w:r w:rsidRPr="0008392C">
        <w:rPr>
          <w:szCs w:val="24"/>
        </w:rPr>
        <w:t>(b) of the AHRC Act require</w:t>
      </w:r>
      <w:r>
        <w:rPr>
          <w:szCs w:val="24"/>
        </w:rPr>
        <w:t>s the Commission to perform this</w:t>
      </w:r>
      <w:r w:rsidRPr="0008392C">
        <w:rPr>
          <w:szCs w:val="24"/>
        </w:rPr>
        <w:t xml:space="preserve"> function when a complaint is made to it in writing alleging </w:t>
      </w:r>
      <w:r>
        <w:rPr>
          <w:szCs w:val="24"/>
        </w:rPr>
        <w:t xml:space="preserve">that an act is inconsistent with, or contrary to, any human right. </w:t>
      </w:r>
    </w:p>
    <w:p w:rsidR="008F3A9F" w:rsidRDefault="008F3A9F" w:rsidP="008F3A9F">
      <w:pPr>
        <w:numPr>
          <w:ilvl w:val="0"/>
          <w:numId w:val="29"/>
        </w:numPr>
        <w:tabs>
          <w:tab w:val="num" w:pos="960"/>
        </w:tabs>
        <w:spacing w:before="240" w:after="240"/>
        <w:rPr>
          <w:szCs w:val="24"/>
        </w:rPr>
      </w:pPr>
      <w:r>
        <w:rPr>
          <w:szCs w:val="24"/>
        </w:rPr>
        <w:t>Section 8(6) of the AHRC Act requires that the functions of the Commission under s 11(1)(f) be performed by the President.</w:t>
      </w:r>
    </w:p>
    <w:p w:rsidR="008F3A9F" w:rsidRPr="00932440" w:rsidRDefault="008F3A9F" w:rsidP="00125EF3">
      <w:pPr>
        <w:pStyle w:val="Titolo2"/>
        <w:tabs>
          <w:tab w:val="num" w:pos="1135"/>
        </w:tabs>
      </w:pPr>
      <w:bookmarkStart w:id="34" w:name="_Toc328405012"/>
      <w:bookmarkStart w:id="35" w:name="_Toc452472693"/>
      <w:bookmarkStart w:id="36" w:name="_Toc487445600"/>
      <w:bookmarkStart w:id="37" w:name="_Toc487531385"/>
      <w:bookmarkStart w:id="38" w:name="_Toc487531404"/>
      <w:bookmarkStart w:id="39" w:name="_Toc487531474"/>
      <w:bookmarkStart w:id="40" w:name="_Toc487531594"/>
      <w:bookmarkStart w:id="41" w:name="_Toc514145970"/>
      <w:r w:rsidRPr="00932440">
        <w:t>What is an ‘act’ or ‘practice’</w:t>
      </w:r>
      <w:bookmarkEnd w:id="34"/>
      <w:bookmarkEnd w:id="35"/>
      <w:bookmarkEnd w:id="36"/>
      <w:bookmarkEnd w:id="37"/>
      <w:bookmarkEnd w:id="38"/>
      <w:bookmarkEnd w:id="39"/>
      <w:bookmarkEnd w:id="40"/>
      <w:bookmarkEnd w:id="41"/>
    </w:p>
    <w:p w:rsidR="008F3A9F" w:rsidRPr="009A531E" w:rsidRDefault="008F3A9F" w:rsidP="008F3A9F">
      <w:pPr>
        <w:numPr>
          <w:ilvl w:val="0"/>
          <w:numId w:val="29"/>
        </w:numPr>
        <w:spacing w:before="240" w:after="240"/>
        <w:rPr>
          <w:szCs w:val="24"/>
        </w:rPr>
      </w:pPr>
      <w:r w:rsidRPr="009A531E">
        <w:rPr>
          <w:szCs w:val="24"/>
        </w:rPr>
        <w:t>The terms ‘act’ and ‘practice’ are defined in s 3(1) of the AHRC Act to include an act done or a practice engaged in by or on behalf of the Commonwealth or an authority of the Commonwealth or under an enactment.</w:t>
      </w:r>
    </w:p>
    <w:p w:rsidR="008F3A9F" w:rsidRDefault="008F3A9F" w:rsidP="008F3A9F">
      <w:pPr>
        <w:numPr>
          <w:ilvl w:val="0"/>
          <w:numId w:val="29"/>
        </w:numPr>
        <w:spacing w:before="240" w:after="240"/>
        <w:rPr>
          <w:szCs w:val="24"/>
        </w:rPr>
      </w:pPr>
      <w:r w:rsidRPr="009A531E">
        <w:rPr>
          <w:szCs w:val="24"/>
        </w:rPr>
        <w:t>Section 3(3) provides that the reference to, or to the doing of, an act includes a reference to a refusal or failure to do an act.</w:t>
      </w:r>
    </w:p>
    <w:p w:rsidR="008F3A9F" w:rsidRPr="005D74C5" w:rsidRDefault="008F3A9F" w:rsidP="008F3A9F">
      <w:pPr>
        <w:numPr>
          <w:ilvl w:val="0"/>
          <w:numId w:val="29"/>
        </w:numPr>
        <w:spacing w:before="240" w:after="240"/>
        <w:rPr>
          <w:szCs w:val="24"/>
        </w:rPr>
      </w:pPr>
      <w:r w:rsidRPr="005D74C5">
        <w:rPr>
          <w:szCs w:val="24"/>
        </w:rPr>
        <w:t>The functions of the Commission identified in s 11(1)(f) of the AHRC Act are only engaged where the act complained of is not one required by law to be taken, that is, where the relevant act or practice is within the</w:t>
      </w:r>
      <w:r>
        <w:rPr>
          <w:szCs w:val="24"/>
        </w:rPr>
        <w:t xml:space="preserve"> discretion of the </w:t>
      </w:r>
      <w:r w:rsidRPr="005D74C5">
        <w:rPr>
          <w:szCs w:val="24"/>
        </w:rPr>
        <w:t>Commonwealth.</w:t>
      </w:r>
      <w:r>
        <w:rPr>
          <w:rStyle w:val="Rimandonotadichiusura"/>
        </w:rPr>
        <w:endnoteReference w:id="2"/>
      </w:r>
      <w:r>
        <w:rPr>
          <w:szCs w:val="24"/>
        </w:rPr>
        <w:t xml:space="preserve"> </w:t>
      </w:r>
    </w:p>
    <w:p w:rsidR="008F3A9F" w:rsidRPr="00932440" w:rsidRDefault="008F3A9F" w:rsidP="00125EF3">
      <w:pPr>
        <w:pStyle w:val="Titolo2"/>
        <w:tabs>
          <w:tab w:val="num" w:pos="1135"/>
        </w:tabs>
      </w:pPr>
      <w:bookmarkStart w:id="42" w:name="_Toc452472694"/>
      <w:bookmarkStart w:id="43" w:name="_Toc487445601"/>
      <w:bookmarkStart w:id="44" w:name="_Toc487531386"/>
      <w:bookmarkStart w:id="45" w:name="_Toc487531405"/>
      <w:bookmarkStart w:id="46" w:name="_Toc487531475"/>
      <w:bookmarkStart w:id="47" w:name="_Toc487531595"/>
      <w:bookmarkStart w:id="48" w:name="_Toc514145971"/>
      <w:r w:rsidRPr="00932440">
        <w:t>What is a human right?</w:t>
      </w:r>
      <w:bookmarkEnd w:id="42"/>
      <w:bookmarkEnd w:id="43"/>
      <w:bookmarkEnd w:id="44"/>
      <w:bookmarkEnd w:id="45"/>
      <w:bookmarkEnd w:id="46"/>
      <w:bookmarkEnd w:id="47"/>
      <w:bookmarkEnd w:id="48"/>
    </w:p>
    <w:p w:rsidR="008F3A9F" w:rsidRPr="00F06069" w:rsidRDefault="008F3A9F" w:rsidP="008F3A9F">
      <w:pPr>
        <w:numPr>
          <w:ilvl w:val="0"/>
          <w:numId w:val="29"/>
        </w:numPr>
        <w:tabs>
          <w:tab w:val="num" w:pos="960"/>
        </w:tabs>
        <w:spacing w:before="240" w:after="240"/>
        <w:rPr>
          <w:szCs w:val="24"/>
        </w:rPr>
      </w:pPr>
      <w:r w:rsidRPr="00F06069">
        <w:rPr>
          <w:szCs w:val="24"/>
        </w:rPr>
        <w:t>The phrase ‘human rights’ is defined by s 3(1) of the AHRC Act to include the rights and freedoms recognised in the ICCPR</w:t>
      </w:r>
      <w:r>
        <w:rPr>
          <w:szCs w:val="24"/>
        </w:rPr>
        <w:t>.</w:t>
      </w:r>
      <w:r w:rsidRPr="00F06069">
        <w:rPr>
          <w:szCs w:val="24"/>
        </w:rPr>
        <w:t xml:space="preserve"> </w:t>
      </w:r>
    </w:p>
    <w:p w:rsidR="008F3A9F" w:rsidRPr="00C443E3" w:rsidRDefault="008F3A9F" w:rsidP="008F3A9F">
      <w:pPr>
        <w:keepNext/>
        <w:numPr>
          <w:ilvl w:val="0"/>
          <w:numId w:val="29"/>
        </w:numPr>
        <w:spacing w:before="240" w:after="240"/>
        <w:rPr>
          <w:szCs w:val="24"/>
        </w:rPr>
      </w:pPr>
      <w:r w:rsidRPr="00C443E3">
        <w:rPr>
          <w:szCs w:val="24"/>
        </w:rPr>
        <w:t xml:space="preserve">Article 9(1) of the ICCPR </w:t>
      </w:r>
      <w:r>
        <w:rPr>
          <w:szCs w:val="24"/>
        </w:rPr>
        <w:t xml:space="preserve">relevantly </w:t>
      </w:r>
      <w:r w:rsidRPr="00C443E3">
        <w:rPr>
          <w:szCs w:val="24"/>
        </w:rPr>
        <w:t>provides:</w:t>
      </w:r>
    </w:p>
    <w:p w:rsidR="008F3A9F" w:rsidRDefault="008F3A9F" w:rsidP="008F3A9F">
      <w:pPr>
        <w:spacing w:before="240" w:after="240"/>
        <w:ind w:left="1701"/>
        <w:rPr>
          <w:iCs/>
          <w:sz w:val="22"/>
          <w:szCs w:val="22"/>
        </w:rPr>
      </w:pPr>
      <w:r w:rsidRPr="00FF14A2">
        <w:rPr>
          <w:iCs/>
          <w:sz w:val="22"/>
          <w:szCs w:val="22"/>
        </w:rPr>
        <w:t xml:space="preserve">Everyone has the right to liberty and security of person. No one shall be subjected to arbitrary arrest or detention. No one shall be deprived of his liberty except on </w:t>
      </w:r>
      <w:r w:rsidRPr="00CB2497">
        <w:rPr>
          <w:iCs/>
          <w:sz w:val="22"/>
          <w:szCs w:val="22"/>
        </w:rPr>
        <w:t>suc</w:t>
      </w:r>
      <w:r w:rsidRPr="00293F94">
        <w:rPr>
          <w:iCs/>
          <w:sz w:val="22"/>
          <w:szCs w:val="22"/>
        </w:rPr>
        <w:t>h grounds and in accordance with such procedure as are established by law.</w:t>
      </w:r>
    </w:p>
    <w:p w:rsidR="008F3A9F" w:rsidRPr="00932440" w:rsidRDefault="008F3A9F" w:rsidP="008F3A9F">
      <w:pPr>
        <w:pStyle w:val="Titolo1"/>
      </w:pPr>
      <w:bookmarkStart w:id="49" w:name="_Toc452472695"/>
      <w:bookmarkStart w:id="50" w:name="_Toc487445602"/>
      <w:bookmarkStart w:id="51" w:name="_Toc487531387"/>
      <w:bookmarkStart w:id="52" w:name="_Toc487531406"/>
      <w:bookmarkStart w:id="53" w:name="_Toc487531476"/>
      <w:bookmarkStart w:id="54" w:name="_Toc487531596"/>
      <w:bookmarkStart w:id="55" w:name="_Toc514145972"/>
      <w:r w:rsidRPr="00932440">
        <w:t>Arbitrary detention</w:t>
      </w:r>
      <w:bookmarkEnd w:id="49"/>
      <w:bookmarkEnd w:id="50"/>
      <w:bookmarkEnd w:id="51"/>
      <w:bookmarkEnd w:id="52"/>
      <w:bookmarkEnd w:id="53"/>
      <w:bookmarkEnd w:id="54"/>
      <w:bookmarkEnd w:id="55"/>
    </w:p>
    <w:p w:rsidR="008F3A9F" w:rsidRDefault="008F3A9F" w:rsidP="008F3A9F">
      <w:pPr>
        <w:numPr>
          <w:ilvl w:val="0"/>
          <w:numId w:val="29"/>
        </w:numPr>
        <w:spacing w:before="240" w:after="240"/>
      </w:pPr>
      <w:r w:rsidRPr="008179B9">
        <w:t>Mr</w:t>
      </w:r>
      <w:r>
        <w:t xml:space="preserve"> AM complains about his continuing detention in an immigration detention centre. This requires consideration to be given to whether his detention is ‘arbitrary’ contrary to article 9(1) of the ICCPR. </w:t>
      </w:r>
    </w:p>
    <w:p w:rsidR="001C5E5B" w:rsidRDefault="001C5E5B">
      <w:r>
        <w:br w:type="page"/>
      </w:r>
    </w:p>
    <w:p w:rsidR="008F3A9F" w:rsidRPr="00932440" w:rsidRDefault="008F3A9F" w:rsidP="00125EF3">
      <w:pPr>
        <w:pStyle w:val="Titolo2"/>
        <w:tabs>
          <w:tab w:val="num" w:pos="1135"/>
        </w:tabs>
      </w:pPr>
      <w:bookmarkStart w:id="56" w:name="_Toc452472696"/>
      <w:bookmarkStart w:id="57" w:name="_Toc487445603"/>
      <w:bookmarkStart w:id="58" w:name="_Toc487531388"/>
      <w:bookmarkStart w:id="59" w:name="_Toc487531407"/>
      <w:bookmarkStart w:id="60" w:name="_Toc487531477"/>
      <w:bookmarkStart w:id="61" w:name="_Toc487531597"/>
      <w:bookmarkStart w:id="62" w:name="_Toc514145973"/>
      <w:r w:rsidRPr="00932440">
        <w:t>Law on article 9 of the ICCPR</w:t>
      </w:r>
      <w:bookmarkEnd w:id="56"/>
      <w:bookmarkEnd w:id="57"/>
      <w:bookmarkEnd w:id="58"/>
      <w:bookmarkEnd w:id="59"/>
      <w:bookmarkEnd w:id="60"/>
      <w:bookmarkEnd w:id="61"/>
      <w:bookmarkEnd w:id="62"/>
    </w:p>
    <w:p w:rsidR="008F3A9F" w:rsidRPr="009A531E" w:rsidRDefault="008F3A9F" w:rsidP="008F3A9F">
      <w:pPr>
        <w:numPr>
          <w:ilvl w:val="0"/>
          <w:numId w:val="29"/>
        </w:numPr>
        <w:spacing w:before="240" w:after="240"/>
        <w:rPr>
          <w:szCs w:val="24"/>
        </w:rPr>
      </w:pPr>
      <w:r w:rsidRPr="009A531E">
        <w:rPr>
          <w:szCs w:val="24"/>
        </w:rPr>
        <w:t xml:space="preserve">The following principles relating to arbitrary detention </w:t>
      </w:r>
      <w:r>
        <w:rPr>
          <w:szCs w:val="24"/>
        </w:rPr>
        <w:t>within the meaning of</w:t>
      </w:r>
      <w:r w:rsidRPr="009A531E">
        <w:rPr>
          <w:szCs w:val="24"/>
        </w:rPr>
        <w:t xml:space="preserve"> article</w:t>
      </w:r>
      <w:r>
        <w:rPr>
          <w:szCs w:val="24"/>
        </w:rPr>
        <w:t> </w:t>
      </w:r>
      <w:r w:rsidRPr="009A531E">
        <w:rPr>
          <w:szCs w:val="24"/>
        </w:rPr>
        <w:t>9 of the ICCPR arise from international human rights jurisprudence:</w:t>
      </w:r>
    </w:p>
    <w:p w:rsidR="008F3A9F" w:rsidRPr="006D38A7" w:rsidRDefault="008F3A9F" w:rsidP="008F3A9F">
      <w:pPr>
        <w:pStyle w:val="Paragrafoelenco"/>
        <w:widowControl w:val="0"/>
        <w:numPr>
          <w:ilvl w:val="0"/>
          <w:numId w:val="37"/>
        </w:numPr>
        <w:tabs>
          <w:tab w:val="left" w:pos="1701"/>
        </w:tabs>
        <w:autoSpaceDE w:val="0"/>
        <w:autoSpaceDN w:val="0"/>
        <w:spacing w:before="120" w:after="60" w:line="300" w:lineRule="exact"/>
        <w:ind w:left="1701" w:hanging="567"/>
        <w:contextualSpacing w:val="0"/>
        <w:rPr>
          <w:sz w:val="13"/>
        </w:rPr>
      </w:pPr>
      <w:r w:rsidRPr="00F60FA9">
        <w:t>‘detention’ includes immigration detention</w:t>
      </w:r>
      <w:r w:rsidRPr="00F60FA9">
        <w:rPr>
          <w:rStyle w:val="Rimandonotadichiusura"/>
        </w:rPr>
        <w:endnoteReference w:id="3"/>
      </w:r>
    </w:p>
    <w:p w:rsidR="008F3A9F" w:rsidRPr="009A519B" w:rsidRDefault="008F3A9F" w:rsidP="008F3A9F">
      <w:pPr>
        <w:pStyle w:val="Paragrafoelenco"/>
        <w:widowControl w:val="0"/>
        <w:numPr>
          <w:ilvl w:val="0"/>
          <w:numId w:val="37"/>
        </w:numPr>
        <w:tabs>
          <w:tab w:val="left" w:pos="1701"/>
        </w:tabs>
        <w:autoSpaceDE w:val="0"/>
        <w:autoSpaceDN w:val="0"/>
        <w:spacing w:before="120" w:after="60" w:line="300" w:lineRule="exact"/>
        <w:ind w:left="1701" w:hanging="567"/>
        <w:contextualSpacing w:val="0"/>
        <w:rPr>
          <w:sz w:val="13"/>
        </w:rPr>
      </w:pPr>
      <w:r w:rsidRPr="009A519B">
        <w:t xml:space="preserve">lawful detention may become </w:t>
      </w:r>
      <w:r>
        <w:t>‘</w:t>
      </w:r>
      <w:r w:rsidRPr="009A519B">
        <w:t>arbitrary</w:t>
      </w:r>
      <w:r>
        <w:t>’</w:t>
      </w:r>
      <w:r w:rsidRPr="009A519B">
        <w:t xml:space="preserve"> when a person’s deprivation of liberty becomes unjust, unreasonable or disproportionate in the particular circumstances</w:t>
      </w:r>
      <w:r w:rsidRPr="009A519B">
        <w:rPr>
          <w:rStyle w:val="Rimandonotadichiusura"/>
        </w:rPr>
        <w:endnoteReference w:id="4"/>
      </w:r>
    </w:p>
    <w:p w:rsidR="008F3A9F" w:rsidRPr="00F60FA9" w:rsidRDefault="008F3A9F" w:rsidP="008F3A9F">
      <w:pPr>
        <w:pStyle w:val="Paragrafoelenco"/>
        <w:widowControl w:val="0"/>
        <w:numPr>
          <w:ilvl w:val="0"/>
          <w:numId w:val="37"/>
        </w:numPr>
        <w:tabs>
          <w:tab w:val="left" w:pos="1701"/>
        </w:tabs>
        <w:autoSpaceDE w:val="0"/>
        <w:autoSpaceDN w:val="0"/>
        <w:spacing w:before="120" w:after="60" w:line="300" w:lineRule="exact"/>
        <w:ind w:left="1701" w:hanging="567"/>
        <w:contextualSpacing w:val="0"/>
      </w:pPr>
      <w:r>
        <w:t>‘</w:t>
      </w:r>
      <w:r w:rsidRPr="00F60FA9">
        <w:t>arbitrariness</w:t>
      </w:r>
      <w:r>
        <w:t>’</w:t>
      </w:r>
      <w:r w:rsidRPr="00F60FA9">
        <w:t xml:space="preserve"> is not to be equated with ‘against the law’; it must be interpreted more broadly to include elements of inappropriateness, injustice or lack of predictability</w:t>
      </w:r>
      <w:r>
        <w:t>,</w:t>
      </w:r>
      <w:r w:rsidRPr="00F60FA9">
        <w:rPr>
          <w:rStyle w:val="Rimandonotadichiusura"/>
        </w:rPr>
        <w:endnoteReference w:id="5"/>
      </w:r>
      <w:r>
        <w:t xml:space="preserve"> and</w:t>
      </w:r>
      <w:r w:rsidRPr="00F60FA9">
        <w:t xml:space="preserve"> </w:t>
      </w:r>
    </w:p>
    <w:p w:rsidR="008F3A9F" w:rsidRPr="00F60FA9" w:rsidRDefault="008F3A9F" w:rsidP="008F3A9F">
      <w:pPr>
        <w:pStyle w:val="Paragrafoelenco"/>
        <w:widowControl w:val="0"/>
        <w:numPr>
          <w:ilvl w:val="0"/>
          <w:numId w:val="37"/>
        </w:numPr>
        <w:tabs>
          <w:tab w:val="left" w:pos="1701"/>
        </w:tabs>
        <w:autoSpaceDE w:val="0"/>
        <w:autoSpaceDN w:val="0"/>
        <w:spacing w:before="120" w:after="60" w:line="300" w:lineRule="exact"/>
        <w:ind w:left="1701" w:hanging="567"/>
        <w:contextualSpacing w:val="0"/>
        <w:rPr>
          <w:sz w:val="13"/>
        </w:rPr>
      </w:pPr>
      <w:bookmarkStart w:id="64" w:name="_bookmark4"/>
      <w:bookmarkEnd w:id="64"/>
      <w:r w:rsidRPr="00F60FA9">
        <w:t>detention should not continue beyond the period for which a State party can provide appropriate justification.</w:t>
      </w:r>
      <w:r w:rsidRPr="00F60FA9">
        <w:rPr>
          <w:rStyle w:val="Rimandonotadichiusura"/>
        </w:rPr>
        <w:endnoteReference w:id="6"/>
      </w:r>
      <w:r w:rsidRPr="00F60FA9">
        <w:rPr>
          <w:sz w:val="13"/>
        </w:rPr>
        <w:t xml:space="preserve"> </w:t>
      </w:r>
    </w:p>
    <w:p w:rsidR="008F3A9F" w:rsidRPr="0024261C" w:rsidRDefault="008F3A9F" w:rsidP="0024261C">
      <w:pPr>
        <w:pStyle w:val="Paragrafoelenco"/>
        <w:numPr>
          <w:ilvl w:val="0"/>
          <w:numId w:val="29"/>
        </w:numPr>
        <w:spacing w:before="240" w:after="240"/>
        <w:rPr>
          <w:szCs w:val="24"/>
        </w:rPr>
      </w:pPr>
      <w:r w:rsidRPr="0024261C">
        <w:rPr>
          <w:szCs w:val="24"/>
        </w:rPr>
        <w:t xml:space="preserve">In </w:t>
      </w:r>
      <w:r w:rsidRPr="0024261C">
        <w:rPr>
          <w:i/>
          <w:szCs w:val="24"/>
        </w:rPr>
        <w:t>Van Alphen v The Netherlands</w:t>
      </w:r>
      <w:r w:rsidRPr="0024261C">
        <w:rPr>
          <w:szCs w:val="24"/>
        </w:rPr>
        <w:t xml:space="preserve"> the United Nations Human Rights Committee (UNHRC) found detention for a period of two months to be ‘arbitrary’ because the State Party did not show that remand in custody was necessary to prevent flight, interference with evidence or recurrence of crime.</w:t>
      </w:r>
      <w:r>
        <w:rPr>
          <w:rStyle w:val="Rimandonotadichiusura"/>
          <w:szCs w:val="24"/>
        </w:rPr>
        <w:endnoteReference w:id="7"/>
      </w:r>
      <w:r w:rsidRPr="0024261C">
        <w:rPr>
          <w:szCs w:val="24"/>
        </w:rPr>
        <w:t xml:space="preserve"> </w:t>
      </w:r>
    </w:p>
    <w:p w:rsidR="008F3A9F" w:rsidRDefault="008F3A9F" w:rsidP="008F3A9F">
      <w:pPr>
        <w:numPr>
          <w:ilvl w:val="0"/>
          <w:numId w:val="29"/>
        </w:numPr>
        <w:spacing w:before="240" w:after="240"/>
        <w:rPr>
          <w:szCs w:val="24"/>
        </w:rPr>
      </w:pPr>
      <w:r w:rsidRPr="009A531E">
        <w:rPr>
          <w:szCs w:val="24"/>
        </w:rPr>
        <w:t xml:space="preserve">The </w:t>
      </w:r>
      <w:r>
        <w:rPr>
          <w:szCs w:val="24"/>
        </w:rPr>
        <w:t>UNHRC has stated</w:t>
      </w:r>
      <w:r w:rsidRPr="009A531E">
        <w:rPr>
          <w:szCs w:val="24"/>
        </w:rPr>
        <w:t xml:space="preserve"> in several c</w:t>
      </w:r>
      <w:r>
        <w:rPr>
          <w:szCs w:val="24"/>
        </w:rPr>
        <w:t>ommunications</w:t>
      </w:r>
      <w:r w:rsidRPr="009A531E">
        <w:rPr>
          <w:szCs w:val="24"/>
        </w:rPr>
        <w:t xml:space="preserve">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w:t>
      </w:r>
      <w:r>
        <w:rPr>
          <w:szCs w:val="24"/>
        </w:rPr>
        <w:t>‘</w:t>
      </w:r>
      <w:r w:rsidRPr="009A531E">
        <w:rPr>
          <w:szCs w:val="24"/>
        </w:rPr>
        <w:t>arbitrary</w:t>
      </w:r>
      <w:r>
        <w:rPr>
          <w:szCs w:val="24"/>
        </w:rPr>
        <w:t>’</w:t>
      </w:r>
      <w:r w:rsidRPr="009A531E">
        <w:rPr>
          <w:szCs w:val="24"/>
        </w:rPr>
        <w:t>.</w:t>
      </w:r>
      <w:r w:rsidRPr="001F6FC8">
        <w:rPr>
          <w:sz w:val="20"/>
          <w:szCs w:val="24"/>
          <w:vertAlign w:val="superscript"/>
        </w:rPr>
        <w:endnoteReference w:id="8"/>
      </w:r>
      <w:r>
        <w:rPr>
          <w:szCs w:val="24"/>
        </w:rPr>
        <w:t xml:space="preserve"> </w:t>
      </w:r>
    </w:p>
    <w:p w:rsidR="008F3A9F" w:rsidRPr="00F60FA9" w:rsidRDefault="008F3A9F" w:rsidP="008F3A9F">
      <w:pPr>
        <w:pStyle w:val="Paragrafoelenco"/>
        <w:keepNext/>
        <w:widowControl w:val="0"/>
        <w:numPr>
          <w:ilvl w:val="0"/>
          <w:numId w:val="29"/>
        </w:numPr>
        <w:tabs>
          <w:tab w:val="left" w:pos="797"/>
          <w:tab w:val="left" w:pos="798"/>
        </w:tabs>
        <w:autoSpaceDE w:val="0"/>
        <w:autoSpaceDN w:val="0"/>
        <w:spacing w:before="120" w:after="60" w:line="300" w:lineRule="exact"/>
        <w:contextualSpacing w:val="0"/>
        <w:rPr>
          <w:szCs w:val="24"/>
        </w:rPr>
      </w:pPr>
      <w:r w:rsidRPr="00F60FA9">
        <w:rPr>
          <w:szCs w:val="24"/>
        </w:rPr>
        <w:t>Relevant jurisprudence of the UNHRC on the right to liberty is collected in a general comment on article 9 of the ICCPR published on 16 December 2014. It makes the following comments about immigration detention in particular, based on previous decisions by the Committee:</w:t>
      </w:r>
    </w:p>
    <w:p w:rsidR="008F3A9F" w:rsidRPr="009E1F3A" w:rsidRDefault="008F3A9F" w:rsidP="006E34AB">
      <w:pPr>
        <w:spacing w:before="120" w:after="200" w:line="300" w:lineRule="exact"/>
        <w:ind w:left="1701"/>
        <w:rPr>
          <w:sz w:val="22"/>
          <w:szCs w:val="22"/>
        </w:rPr>
      </w:pPr>
      <w:r w:rsidRPr="009E1F3A">
        <w:rPr>
          <w:sz w:val="22"/>
          <w:szCs w:val="22"/>
        </w:rPr>
        <w:t>Detention in the course of proceedings for the control of immigration is not per se arbitrary, but the detention must be justified as reasonable, necessary and proportionate in the light of the circumstances and reassessed as it extends in time. Asylum seekers who unlawfully enter a State party’s territory may be detained for a brief initial period in order to document their entry, record their claims and determine their identity if it is in doubt. To detain them further while their claims are being resolved would be arbitrary in the absence of particular reasons specific to the individual, such as an individualized likelihood of 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 review.</w:t>
      </w:r>
      <w:r w:rsidRPr="009E1F3A">
        <w:rPr>
          <w:rStyle w:val="Rimandonotadichiusura"/>
          <w:sz w:val="22"/>
          <w:szCs w:val="22"/>
        </w:rPr>
        <w:endnoteReference w:id="9"/>
      </w:r>
      <w:r w:rsidRPr="009E1F3A">
        <w:rPr>
          <w:sz w:val="22"/>
          <w:szCs w:val="22"/>
        </w:rPr>
        <w:t xml:space="preserve"> </w:t>
      </w:r>
    </w:p>
    <w:p w:rsidR="001C5E5B" w:rsidRDefault="001C5E5B">
      <w:r>
        <w:br w:type="page"/>
      </w:r>
    </w:p>
    <w:p w:rsidR="008F3A9F" w:rsidRPr="009A519B" w:rsidRDefault="008F3A9F" w:rsidP="008F3A9F">
      <w:pPr>
        <w:pStyle w:val="Paragrafoelenco"/>
        <w:keepNext/>
        <w:widowControl w:val="0"/>
        <w:numPr>
          <w:ilvl w:val="0"/>
          <w:numId w:val="29"/>
        </w:numPr>
        <w:tabs>
          <w:tab w:val="left" w:pos="797"/>
          <w:tab w:val="left" w:pos="798"/>
        </w:tabs>
        <w:autoSpaceDE w:val="0"/>
        <w:autoSpaceDN w:val="0"/>
        <w:spacing w:before="120" w:after="60" w:line="300" w:lineRule="exact"/>
        <w:contextualSpacing w:val="0"/>
        <w:rPr>
          <w:sz w:val="14"/>
        </w:rPr>
      </w:pPr>
      <w:r w:rsidRPr="00F60FA9">
        <w:t>Under international law</w:t>
      </w:r>
      <w:r>
        <w:t xml:space="preserve"> the guiding standard for restricting rights is proportionality</w:t>
      </w:r>
      <w:r w:rsidRPr="00F60FA9">
        <w:t>,</w:t>
      </w:r>
      <w:r>
        <w:t xml:space="preserve"> which means that</w:t>
      </w:r>
      <w:r w:rsidRPr="00F60FA9">
        <w:t xml:space="preserve"> </w:t>
      </w:r>
      <w:r>
        <w:t xml:space="preserve">deprivation of liberty — in this case, continuing immigration detention — </w:t>
      </w:r>
      <w:r w:rsidRPr="00F60FA9">
        <w:t xml:space="preserve">must be necessary and proportionate to a legitimate aim of the </w:t>
      </w:r>
      <w:r>
        <w:t xml:space="preserve">State Party — in this case, the Commonwealth of Australia — </w:t>
      </w:r>
      <w:r w:rsidRPr="00F60FA9">
        <w:t xml:space="preserve">in order to avoid being </w:t>
      </w:r>
      <w:r>
        <w:t>‘</w:t>
      </w:r>
      <w:r w:rsidRPr="00F60FA9">
        <w:t>arbitrary</w:t>
      </w:r>
      <w:r>
        <w:t>’</w:t>
      </w:r>
      <w:r w:rsidRPr="00F60FA9">
        <w:t>.</w:t>
      </w:r>
      <w:r w:rsidRPr="00F60FA9">
        <w:rPr>
          <w:rStyle w:val="Rimandonotadichiusura"/>
        </w:rPr>
        <w:endnoteReference w:id="10"/>
      </w:r>
      <w:r w:rsidRPr="009A519B">
        <w:rPr>
          <w:sz w:val="14"/>
        </w:rPr>
        <w:t xml:space="preserve"> </w:t>
      </w:r>
    </w:p>
    <w:p w:rsidR="008F3A9F" w:rsidRPr="003E765C" w:rsidRDefault="008F3A9F" w:rsidP="008F3A9F">
      <w:pPr>
        <w:numPr>
          <w:ilvl w:val="0"/>
          <w:numId w:val="29"/>
        </w:numPr>
        <w:spacing w:before="240" w:after="240"/>
        <w:rPr>
          <w:szCs w:val="24"/>
          <w:lang w:val="en"/>
        </w:rPr>
      </w:pPr>
      <w:r>
        <w:rPr>
          <w:szCs w:val="24"/>
          <w:lang w:val="en"/>
        </w:rPr>
        <w:t xml:space="preserve">It is therefore </w:t>
      </w:r>
      <w:r w:rsidRPr="00305DE0">
        <w:rPr>
          <w:szCs w:val="24"/>
          <w:lang w:val="en"/>
        </w:rPr>
        <w:t xml:space="preserve">necessary to consider whether </w:t>
      </w:r>
      <w:r>
        <w:rPr>
          <w:szCs w:val="24"/>
          <w:lang w:val="en"/>
        </w:rPr>
        <w:t xml:space="preserve">the detention of </w:t>
      </w:r>
      <w:proofErr w:type="spellStart"/>
      <w:r>
        <w:rPr>
          <w:szCs w:val="24"/>
          <w:lang w:val="en"/>
        </w:rPr>
        <w:t>Mr</w:t>
      </w:r>
      <w:proofErr w:type="spellEnd"/>
      <w:r>
        <w:rPr>
          <w:szCs w:val="24"/>
          <w:lang w:val="en"/>
        </w:rPr>
        <w:t xml:space="preserve"> </w:t>
      </w:r>
      <w:r>
        <w:t>AM</w:t>
      </w:r>
      <w:r>
        <w:rPr>
          <w:szCs w:val="24"/>
          <w:lang w:val="en"/>
        </w:rPr>
        <w:t xml:space="preserve"> </w:t>
      </w:r>
      <w:r w:rsidRPr="00305DE0">
        <w:rPr>
          <w:szCs w:val="24"/>
          <w:lang w:val="en"/>
        </w:rPr>
        <w:t>in c</w:t>
      </w:r>
      <w:r>
        <w:rPr>
          <w:szCs w:val="24"/>
          <w:lang w:val="en"/>
        </w:rPr>
        <w:t>losed detention facilities can</w:t>
      </w:r>
      <w:r w:rsidRPr="00305DE0">
        <w:rPr>
          <w:szCs w:val="24"/>
          <w:lang w:val="en"/>
        </w:rPr>
        <w:t xml:space="preserve"> be </w:t>
      </w:r>
      <w:r w:rsidRPr="00305DE0">
        <w:rPr>
          <w:szCs w:val="24"/>
        </w:rPr>
        <w:t xml:space="preserve">justified as reasonable, necessary and proportionate on the basis of particular reasons specific to </w:t>
      </w:r>
      <w:r>
        <w:rPr>
          <w:szCs w:val="24"/>
        </w:rPr>
        <w:t>him, and in light of the available alternatives to closed detention</w:t>
      </w:r>
      <w:r w:rsidRPr="00305DE0">
        <w:rPr>
          <w:szCs w:val="24"/>
        </w:rPr>
        <w:t>.</w:t>
      </w:r>
      <w:r>
        <w:rPr>
          <w:szCs w:val="24"/>
        </w:rPr>
        <w:t xml:space="preserve"> </w:t>
      </w:r>
      <w:r>
        <w:rPr>
          <w:szCs w:val="24"/>
          <w:lang w:val="en"/>
        </w:rPr>
        <w:t xml:space="preserve">If his detention cannot be justified on these grounds, it will be </w:t>
      </w:r>
      <w:r w:rsidRPr="003E765C">
        <w:rPr>
          <w:szCs w:val="24"/>
        </w:rPr>
        <w:t>disproportionate to the Commonwealth’s legitimate aim of ensuring the effective operation of Australia’s migration system</w:t>
      </w:r>
      <w:r>
        <w:rPr>
          <w:szCs w:val="24"/>
        </w:rPr>
        <w:t xml:space="preserve"> and therefore considered ‘arbitrary’ under article 9 of the ICCPR</w:t>
      </w:r>
      <w:r w:rsidRPr="003E765C">
        <w:rPr>
          <w:szCs w:val="24"/>
        </w:rPr>
        <w:t xml:space="preserve">. </w:t>
      </w:r>
    </w:p>
    <w:p w:rsidR="008F3A9F" w:rsidRPr="00932440" w:rsidRDefault="008F3A9F" w:rsidP="006E34AB">
      <w:pPr>
        <w:pStyle w:val="Titolo2"/>
        <w:tabs>
          <w:tab w:val="num" w:pos="1135"/>
        </w:tabs>
      </w:pPr>
      <w:bookmarkStart w:id="66" w:name="_Toc452472697"/>
      <w:bookmarkStart w:id="67" w:name="_Toc487445604"/>
      <w:bookmarkStart w:id="68" w:name="_Toc487531389"/>
      <w:bookmarkStart w:id="69" w:name="_Toc487531408"/>
      <w:bookmarkStart w:id="70" w:name="_Toc487531478"/>
      <w:bookmarkStart w:id="71" w:name="_Toc487531598"/>
      <w:bookmarkStart w:id="72" w:name="_Toc514145974"/>
      <w:r w:rsidRPr="00932440">
        <w:t>Act or practice of the Commonwealth?</w:t>
      </w:r>
      <w:bookmarkEnd w:id="66"/>
      <w:bookmarkEnd w:id="67"/>
      <w:bookmarkEnd w:id="68"/>
      <w:bookmarkEnd w:id="69"/>
      <w:bookmarkEnd w:id="70"/>
      <w:bookmarkEnd w:id="71"/>
      <w:bookmarkEnd w:id="72"/>
    </w:p>
    <w:p w:rsidR="008F3A9F" w:rsidRDefault="008F3A9F" w:rsidP="008F3A9F">
      <w:pPr>
        <w:numPr>
          <w:ilvl w:val="0"/>
          <w:numId w:val="29"/>
        </w:numPr>
        <w:spacing w:before="240" w:after="240"/>
        <w:rPr>
          <w:szCs w:val="24"/>
        </w:rPr>
      </w:pPr>
      <w:r w:rsidRPr="00E859C8">
        <w:rPr>
          <w:szCs w:val="24"/>
        </w:rPr>
        <w:t xml:space="preserve">From </w:t>
      </w:r>
      <w:r>
        <w:rPr>
          <w:szCs w:val="24"/>
        </w:rPr>
        <w:t>16</w:t>
      </w:r>
      <w:r w:rsidRPr="00E859C8">
        <w:rPr>
          <w:szCs w:val="24"/>
        </w:rPr>
        <w:t xml:space="preserve"> </w:t>
      </w:r>
      <w:r>
        <w:rPr>
          <w:szCs w:val="24"/>
        </w:rPr>
        <w:t>July 2012</w:t>
      </w:r>
      <w:r w:rsidR="008D0182">
        <w:rPr>
          <w:szCs w:val="24"/>
        </w:rPr>
        <w:t xml:space="preserve"> </w:t>
      </w:r>
      <w:r w:rsidR="00202569">
        <w:rPr>
          <w:szCs w:val="24"/>
        </w:rPr>
        <w:t>–</w:t>
      </w:r>
      <w:r w:rsidR="008D0182">
        <w:rPr>
          <w:szCs w:val="24"/>
        </w:rPr>
        <w:t xml:space="preserve"> </w:t>
      </w:r>
      <w:r>
        <w:rPr>
          <w:szCs w:val="24"/>
        </w:rPr>
        <w:t>13 August 2012</w:t>
      </w:r>
      <w:r w:rsidRPr="00E859C8">
        <w:rPr>
          <w:szCs w:val="24"/>
        </w:rPr>
        <w:t xml:space="preserve">, Mr </w:t>
      </w:r>
      <w:r>
        <w:t xml:space="preserve">AM </w:t>
      </w:r>
      <w:r w:rsidRPr="00E859C8">
        <w:rPr>
          <w:szCs w:val="24"/>
        </w:rPr>
        <w:t xml:space="preserve">was detained </w:t>
      </w:r>
      <w:r>
        <w:rPr>
          <w:szCs w:val="24"/>
        </w:rPr>
        <w:t>by the Commonwealth pursuant to s </w:t>
      </w:r>
      <w:r w:rsidRPr="00E859C8">
        <w:rPr>
          <w:szCs w:val="24"/>
        </w:rPr>
        <w:t>189(</w:t>
      </w:r>
      <w:r>
        <w:rPr>
          <w:szCs w:val="24"/>
        </w:rPr>
        <w:t>3) of the Migration Act. From 13 August 2012</w:t>
      </w:r>
      <w:r w:rsidRPr="00E859C8">
        <w:rPr>
          <w:szCs w:val="24"/>
        </w:rPr>
        <w:t xml:space="preserve"> onwards</w:t>
      </w:r>
      <w:r w:rsidR="00C527B7">
        <w:rPr>
          <w:szCs w:val="24"/>
        </w:rPr>
        <w:t>,</w:t>
      </w:r>
      <w:r w:rsidRPr="00E859C8">
        <w:rPr>
          <w:szCs w:val="24"/>
        </w:rPr>
        <w:t xml:space="preserve"> he has been detained </w:t>
      </w:r>
      <w:r>
        <w:rPr>
          <w:szCs w:val="24"/>
        </w:rPr>
        <w:t>pursuant to</w:t>
      </w:r>
      <w:r w:rsidRPr="00E859C8">
        <w:rPr>
          <w:szCs w:val="24"/>
        </w:rPr>
        <w:t xml:space="preserve"> </w:t>
      </w:r>
      <w:r>
        <w:rPr>
          <w:szCs w:val="24"/>
        </w:rPr>
        <w:t>s </w:t>
      </w:r>
      <w:r w:rsidRPr="00E859C8">
        <w:rPr>
          <w:szCs w:val="24"/>
        </w:rPr>
        <w:t>189(1) of the Migration Act.</w:t>
      </w:r>
    </w:p>
    <w:p w:rsidR="008F3A9F" w:rsidRPr="00B26E1B" w:rsidRDefault="008F3A9F" w:rsidP="008F3A9F">
      <w:pPr>
        <w:numPr>
          <w:ilvl w:val="0"/>
          <w:numId w:val="29"/>
        </w:numPr>
        <w:tabs>
          <w:tab w:val="clear" w:pos="720"/>
          <w:tab w:val="num" w:pos="1080"/>
        </w:tabs>
        <w:spacing w:before="240" w:after="240"/>
        <w:rPr>
          <w:szCs w:val="24"/>
        </w:rPr>
      </w:pPr>
      <w:r>
        <w:rPr>
          <w:szCs w:val="24"/>
        </w:rPr>
        <w:t xml:space="preserve">As he arrived in Australia by </w:t>
      </w:r>
      <w:r>
        <w:t xml:space="preserve">boat without a valid visa, Mr AM was an ‘unlawful non-citizen’, and therefore the Migration Act required that he be detained. </w:t>
      </w:r>
    </w:p>
    <w:p w:rsidR="008F3A9F" w:rsidRDefault="008F3A9F" w:rsidP="008F3A9F">
      <w:pPr>
        <w:numPr>
          <w:ilvl w:val="0"/>
          <w:numId w:val="29"/>
        </w:numPr>
        <w:spacing w:before="240" w:after="240"/>
        <w:rPr>
          <w:szCs w:val="24"/>
        </w:rPr>
      </w:pPr>
      <w:r>
        <w:rPr>
          <w:szCs w:val="24"/>
        </w:rPr>
        <w:t>While the Migration Act requires the detention of unlawful non-citizens</w:t>
      </w:r>
      <w:r w:rsidRPr="00E859C8">
        <w:rPr>
          <w:szCs w:val="24"/>
        </w:rPr>
        <w:t xml:space="preserve">, there are a number of powers that the Minister </w:t>
      </w:r>
      <w:r>
        <w:rPr>
          <w:szCs w:val="24"/>
        </w:rPr>
        <w:t xml:space="preserve">can exercise to detain Mr </w:t>
      </w:r>
      <w:r>
        <w:t xml:space="preserve">AM </w:t>
      </w:r>
      <w:r w:rsidRPr="00E859C8">
        <w:rPr>
          <w:szCs w:val="24"/>
        </w:rPr>
        <w:t xml:space="preserve">in a </w:t>
      </w:r>
      <w:r>
        <w:rPr>
          <w:szCs w:val="24"/>
        </w:rPr>
        <w:t xml:space="preserve">manner </w:t>
      </w:r>
      <w:r w:rsidRPr="00E859C8">
        <w:rPr>
          <w:szCs w:val="24"/>
        </w:rPr>
        <w:t>le</w:t>
      </w:r>
      <w:r>
        <w:rPr>
          <w:szCs w:val="24"/>
        </w:rPr>
        <w:t>ss restrictive than a</w:t>
      </w:r>
      <w:r w:rsidRPr="00E859C8">
        <w:rPr>
          <w:szCs w:val="24"/>
        </w:rPr>
        <w:t xml:space="preserve"> </w:t>
      </w:r>
      <w:r>
        <w:rPr>
          <w:szCs w:val="24"/>
        </w:rPr>
        <w:t xml:space="preserve">closed </w:t>
      </w:r>
      <w:r w:rsidRPr="00E859C8">
        <w:rPr>
          <w:szCs w:val="24"/>
        </w:rPr>
        <w:t xml:space="preserve">immigration detention </w:t>
      </w:r>
      <w:r>
        <w:rPr>
          <w:szCs w:val="24"/>
        </w:rPr>
        <w:t>facility</w:t>
      </w:r>
      <w:r w:rsidRPr="00E859C8">
        <w:rPr>
          <w:szCs w:val="24"/>
        </w:rPr>
        <w:t>.</w:t>
      </w:r>
      <w:r>
        <w:rPr>
          <w:szCs w:val="24"/>
        </w:rPr>
        <w:t xml:space="preserve"> Specifically, the Minister could have granted him a temporary visa under s 195A of the Migration Act or made a residence determination pursuant to s </w:t>
      </w:r>
      <w:r w:rsidRPr="00E859C8">
        <w:rPr>
          <w:szCs w:val="24"/>
        </w:rPr>
        <w:t>197AB of the Migration Act</w:t>
      </w:r>
      <w:r>
        <w:rPr>
          <w:szCs w:val="24"/>
        </w:rPr>
        <w:t xml:space="preserve">. </w:t>
      </w:r>
    </w:p>
    <w:p w:rsidR="008F3A9F" w:rsidRPr="00B9721A" w:rsidRDefault="008F3A9F" w:rsidP="008F3A9F">
      <w:pPr>
        <w:numPr>
          <w:ilvl w:val="0"/>
          <w:numId w:val="29"/>
        </w:numPr>
        <w:spacing w:before="240" w:after="240"/>
        <w:rPr>
          <w:szCs w:val="24"/>
        </w:rPr>
      </w:pPr>
      <w:r>
        <w:t xml:space="preserve">I consider two acts of the Commonwealth as relevant to this inquiry: </w:t>
      </w:r>
    </w:p>
    <w:p w:rsidR="008F3A9F" w:rsidRDefault="008F3A9F" w:rsidP="008F3A9F">
      <w:pPr>
        <w:pStyle w:val="Paragrafoelenco"/>
        <w:numPr>
          <w:ilvl w:val="0"/>
          <w:numId w:val="42"/>
        </w:numPr>
        <w:spacing w:before="240" w:after="240"/>
        <w:rPr>
          <w:szCs w:val="24"/>
        </w:rPr>
      </w:pPr>
      <w:r>
        <w:t xml:space="preserve">the department’s failure to refer Mr AM’s circumstances to the Minister for attention under </w:t>
      </w:r>
      <w:r w:rsidRPr="009E1F3A">
        <w:rPr>
          <w:szCs w:val="24"/>
        </w:rPr>
        <w:t>s 195A of the Migration Act from December 2012 until August 2016,</w:t>
      </w:r>
      <w:r w:rsidR="00202569">
        <w:rPr>
          <w:szCs w:val="24"/>
        </w:rPr>
        <w:t xml:space="preserve"> and</w:t>
      </w:r>
    </w:p>
    <w:p w:rsidR="008F3A9F" w:rsidRPr="009E1F3A" w:rsidRDefault="008F3A9F" w:rsidP="008F3A9F">
      <w:pPr>
        <w:pStyle w:val="Paragrafoelenco"/>
        <w:spacing w:before="240" w:after="240"/>
        <w:ind w:left="1800"/>
        <w:rPr>
          <w:szCs w:val="24"/>
        </w:rPr>
      </w:pPr>
    </w:p>
    <w:p w:rsidR="008F3A9F" w:rsidRPr="009E1F3A" w:rsidRDefault="008F3A9F" w:rsidP="008F3A9F">
      <w:pPr>
        <w:pStyle w:val="Paragrafoelenco"/>
        <w:numPr>
          <w:ilvl w:val="0"/>
          <w:numId w:val="42"/>
        </w:numPr>
        <w:spacing w:before="240" w:after="240"/>
        <w:rPr>
          <w:szCs w:val="24"/>
        </w:rPr>
      </w:pPr>
      <w:r w:rsidRPr="009E1F3A">
        <w:rPr>
          <w:szCs w:val="24"/>
        </w:rPr>
        <w:t>the department’s failure to refer Mr AM’s case to the Minister under s 197AB of the Migration Act</w:t>
      </w:r>
      <w:r>
        <w:rPr>
          <w:szCs w:val="24"/>
        </w:rPr>
        <w:t>.</w:t>
      </w:r>
    </w:p>
    <w:p w:rsidR="008F3A9F" w:rsidRPr="00932440" w:rsidRDefault="008F3A9F" w:rsidP="008F3A9F">
      <w:pPr>
        <w:pStyle w:val="Titolo1"/>
      </w:pPr>
      <w:bookmarkStart w:id="73" w:name="_Toc514145975"/>
      <w:bookmarkStart w:id="74" w:name="_Toc452472698"/>
      <w:bookmarkStart w:id="75" w:name="_Toc487445605"/>
      <w:bookmarkStart w:id="76" w:name="_Toc487531390"/>
      <w:bookmarkStart w:id="77" w:name="_Toc487531409"/>
      <w:bookmarkStart w:id="78" w:name="_Toc487531479"/>
      <w:bookmarkStart w:id="79" w:name="_Toc487531599"/>
      <w:r>
        <w:t>Department’s failure to refer Mr AM’s circumstances to the Minister under s 195A of the Migration Act</w:t>
      </w:r>
      <w:bookmarkEnd w:id="73"/>
      <w:bookmarkEnd w:id="74"/>
      <w:bookmarkEnd w:id="75"/>
      <w:bookmarkEnd w:id="76"/>
      <w:bookmarkEnd w:id="77"/>
      <w:bookmarkEnd w:id="78"/>
      <w:bookmarkEnd w:id="79"/>
    </w:p>
    <w:p w:rsidR="008F3A9F" w:rsidRDefault="008F3A9F" w:rsidP="008F3A9F">
      <w:pPr>
        <w:numPr>
          <w:ilvl w:val="0"/>
          <w:numId w:val="29"/>
        </w:numPr>
        <w:spacing w:before="240" w:after="240"/>
        <w:rPr>
          <w:szCs w:val="24"/>
        </w:rPr>
      </w:pPr>
      <w:r>
        <w:rPr>
          <w:szCs w:val="24"/>
        </w:rPr>
        <w:t>Pursuant to s 195A of the Migration Act</w:t>
      </w:r>
      <w:r w:rsidRPr="00E859C8">
        <w:rPr>
          <w:szCs w:val="24"/>
        </w:rPr>
        <w:t xml:space="preserve">, the Minister may grant a visa to a person detained under </w:t>
      </w:r>
      <w:r>
        <w:rPr>
          <w:szCs w:val="24"/>
        </w:rPr>
        <w:t>s 189 of the Migration Act if he or she forms the view that it is in the public interest to do so (whether or not the person has applied for the visa). The Minister regularly uses this power to grant bridging visas to people in immigration detention.</w:t>
      </w:r>
    </w:p>
    <w:p w:rsidR="008F3A9F" w:rsidRDefault="008F3A9F" w:rsidP="008F3A9F">
      <w:pPr>
        <w:numPr>
          <w:ilvl w:val="0"/>
          <w:numId w:val="29"/>
        </w:numPr>
        <w:spacing w:before="240" w:after="240"/>
        <w:rPr>
          <w:szCs w:val="24"/>
        </w:rPr>
      </w:pPr>
      <w:r>
        <w:rPr>
          <w:szCs w:val="24"/>
        </w:rPr>
        <w:t>Successive Ministers have issued guidelines about the exercise of the discretion under s 195A and the types of matters that should be referred to the Minister by the department. On 24 March 2012, the Hon</w:t>
      </w:r>
      <w:r w:rsidR="00485A06">
        <w:rPr>
          <w:szCs w:val="24"/>
        </w:rPr>
        <w:t>.</w:t>
      </w:r>
      <w:r>
        <w:rPr>
          <w:szCs w:val="24"/>
        </w:rPr>
        <w:t xml:space="preserve"> Chris Bowen MP, then Minister for Immigration and Citizenship issued a set of guidelines (the 2012 Guidelines). These applied until 29 April 2016 when the Hon</w:t>
      </w:r>
      <w:r w:rsidR="00485A06">
        <w:rPr>
          <w:szCs w:val="24"/>
        </w:rPr>
        <w:t>.</w:t>
      </w:r>
      <w:r>
        <w:rPr>
          <w:szCs w:val="24"/>
        </w:rPr>
        <w:t xml:space="preserve"> Peter Dutton MP, Minister for Immigration and Border</w:t>
      </w:r>
      <w:r w:rsidR="00485A06">
        <w:rPr>
          <w:szCs w:val="24"/>
        </w:rPr>
        <w:t xml:space="preserve"> Protection</w:t>
      </w:r>
      <w:r>
        <w:rPr>
          <w:szCs w:val="24"/>
        </w:rPr>
        <w:t xml:space="preserve">, issued another set of guidelines (the 2016 Guidelines). </w:t>
      </w:r>
    </w:p>
    <w:p w:rsidR="008F3A9F" w:rsidRDefault="008F3A9F" w:rsidP="008F3A9F">
      <w:pPr>
        <w:numPr>
          <w:ilvl w:val="0"/>
          <w:numId w:val="29"/>
        </w:numPr>
        <w:spacing w:before="240" w:after="240"/>
        <w:rPr>
          <w:szCs w:val="24"/>
        </w:rPr>
      </w:pPr>
      <w:r w:rsidRPr="00A17FCD">
        <w:rPr>
          <w:szCs w:val="24"/>
        </w:rPr>
        <w:t xml:space="preserve">It is clear from the material </w:t>
      </w:r>
      <w:r>
        <w:rPr>
          <w:szCs w:val="24"/>
        </w:rPr>
        <w:t>provided to the Commission by the department that, at numerous</w:t>
      </w:r>
      <w:r w:rsidRPr="00A17FCD">
        <w:rPr>
          <w:szCs w:val="24"/>
        </w:rPr>
        <w:t xml:space="preserve"> </w:t>
      </w:r>
      <w:r>
        <w:rPr>
          <w:szCs w:val="24"/>
        </w:rPr>
        <w:t xml:space="preserve">times over the past 5 years during Mr AM’s detention, the department has given consideration </w:t>
      </w:r>
      <w:r w:rsidRPr="00A17FCD">
        <w:rPr>
          <w:szCs w:val="24"/>
        </w:rPr>
        <w:t xml:space="preserve">to referring Mr </w:t>
      </w:r>
      <w:r>
        <w:t xml:space="preserve">AM’s circumstances to the Minister </w:t>
      </w:r>
      <w:r>
        <w:rPr>
          <w:szCs w:val="24"/>
        </w:rPr>
        <w:t xml:space="preserve">under s 195A. For example, </w:t>
      </w:r>
      <w:r w:rsidRPr="002E3CD2">
        <w:rPr>
          <w:szCs w:val="24"/>
        </w:rPr>
        <w:t>a Case Rev</w:t>
      </w:r>
      <w:r>
        <w:rPr>
          <w:szCs w:val="24"/>
        </w:rPr>
        <w:t>iew dated 15 January 2013 stated:</w:t>
      </w:r>
    </w:p>
    <w:p w:rsidR="008F3A9F" w:rsidRPr="006F2033" w:rsidRDefault="008F3A9F" w:rsidP="008F3A9F">
      <w:pPr>
        <w:spacing w:before="240" w:after="240"/>
        <w:ind w:left="1701"/>
        <w:rPr>
          <w:sz w:val="22"/>
          <w:szCs w:val="22"/>
        </w:rPr>
      </w:pPr>
      <w:r w:rsidRPr="006F2033">
        <w:rPr>
          <w:sz w:val="22"/>
          <w:szCs w:val="22"/>
        </w:rPr>
        <w:t xml:space="preserve">[Mr </w:t>
      </w:r>
      <w:r>
        <w:rPr>
          <w:sz w:val="22"/>
          <w:szCs w:val="22"/>
        </w:rPr>
        <w:t>AM</w:t>
      </w:r>
      <w:r w:rsidRPr="006F2033">
        <w:rPr>
          <w:sz w:val="22"/>
          <w:szCs w:val="22"/>
        </w:rPr>
        <w:t>] is currently being considered for rel</w:t>
      </w:r>
      <w:r>
        <w:rPr>
          <w:sz w:val="22"/>
          <w:szCs w:val="22"/>
        </w:rPr>
        <w:t>ease into the community on a BVE.</w:t>
      </w:r>
    </w:p>
    <w:p w:rsidR="008F3A9F" w:rsidRPr="006F2033" w:rsidRDefault="008F3A9F" w:rsidP="008F3A9F">
      <w:pPr>
        <w:spacing w:before="240" w:after="240"/>
        <w:ind w:left="1701"/>
        <w:rPr>
          <w:sz w:val="22"/>
          <w:szCs w:val="22"/>
        </w:rPr>
      </w:pPr>
      <w:r>
        <w:rPr>
          <w:sz w:val="22"/>
          <w:szCs w:val="22"/>
        </w:rPr>
        <w:t>I</w:t>
      </w:r>
      <w:r w:rsidRPr="006F2033">
        <w:rPr>
          <w:sz w:val="22"/>
          <w:szCs w:val="22"/>
        </w:rPr>
        <w:t xml:space="preserve">t is expected that [Mr </w:t>
      </w:r>
      <w:r>
        <w:rPr>
          <w:sz w:val="22"/>
          <w:szCs w:val="22"/>
        </w:rPr>
        <w:t>AM</w:t>
      </w:r>
      <w:r w:rsidRPr="006F2033">
        <w:rPr>
          <w:sz w:val="22"/>
          <w:szCs w:val="22"/>
        </w:rPr>
        <w:t xml:space="preserve">] will be released on a BVE in the future where he will lodge </w:t>
      </w:r>
      <w:r>
        <w:rPr>
          <w:sz w:val="22"/>
          <w:szCs w:val="22"/>
        </w:rPr>
        <w:t>his protection visa application.</w:t>
      </w:r>
    </w:p>
    <w:p w:rsidR="008F3A9F" w:rsidRPr="006F2033" w:rsidRDefault="008F3A9F" w:rsidP="008F3A9F">
      <w:pPr>
        <w:spacing w:before="240" w:after="240"/>
        <w:ind w:left="1701"/>
        <w:rPr>
          <w:sz w:val="22"/>
          <w:szCs w:val="22"/>
        </w:rPr>
      </w:pPr>
      <w:r w:rsidRPr="006F2033">
        <w:rPr>
          <w:sz w:val="22"/>
          <w:szCs w:val="22"/>
        </w:rPr>
        <w:t>The current pla</w:t>
      </w:r>
      <w:r>
        <w:rPr>
          <w:sz w:val="22"/>
          <w:szCs w:val="22"/>
        </w:rPr>
        <w:t>cement at YHIDC is appropriate. [H]</w:t>
      </w:r>
      <w:proofErr w:type="spellStart"/>
      <w:r w:rsidRPr="006F2033">
        <w:rPr>
          <w:sz w:val="22"/>
          <w:szCs w:val="22"/>
        </w:rPr>
        <w:t>owever</w:t>
      </w:r>
      <w:proofErr w:type="spellEnd"/>
      <w:r w:rsidRPr="006F2033">
        <w:rPr>
          <w:sz w:val="22"/>
          <w:szCs w:val="22"/>
        </w:rPr>
        <w:t xml:space="preserve"> in line with Department Detention Values the client is being considered fo</w:t>
      </w:r>
      <w:r>
        <w:rPr>
          <w:sz w:val="22"/>
          <w:szCs w:val="22"/>
        </w:rPr>
        <w:t>r the grant of Bridging Visa E.</w:t>
      </w:r>
    </w:p>
    <w:p w:rsidR="008F3A9F" w:rsidRDefault="008F3A9F" w:rsidP="008F3A9F">
      <w:pPr>
        <w:pStyle w:val="Paragrafoelenco"/>
        <w:numPr>
          <w:ilvl w:val="0"/>
          <w:numId w:val="29"/>
        </w:numPr>
        <w:spacing w:before="240" w:after="240"/>
        <w:rPr>
          <w:szCs w:val="24"/>
        </w:rPr>
      </w:pPr>
      <w:r w:rsidRPr="002E3CD2">
        <w:rPr>
          <w:szCs w:val="24"/>
        </w:rPr>
        <w:t>In a</w:t>
      </w:r>
      <w:r>
        <w:rPr>
          <w:szCs w:val="24"/>
        </w:rPr>
        <w:t xml:space="preserve"> further</w:t>
      </w:r>
      <w:r w:rsidRPr="002E3CD2">
        <w:rPr>
          <w:szCs w:val="24"/>
        </w:rPr>
        <w:t xml:space="preserve"> Case Review dated 19 February 2013</w:t>
      </w:r>
      <w:r w:rsidR="00485A06">
        <w:rPr>
          <w:szCs w:val="24"/>
        </w:rPr>
        <w:t>,</w:t>
      </w:r>
      <w:r w:rsidRPr="002E3CD2">
        <w:rPr>
          <w:szCs w:val="24"/>
        </w:rPr>
        <w:t xml:space="preserve"> </w:t>
      </w:r>
      <w:r>
        <w:rPr>
          <w:szCs w:val="24"/>
        </w:rPr>
        <w:t>the reviewer states</w:t>
      </w:r>
      <w:r w:rsidRPr="002E3CD2">
        <w:rPr>
          <w:szCs w:val="24"/>
        </w:rPr>
        <w:t xml:space="preserve">: </w:t>
      </w:r>
    </w:p>
    <w:p w:rsidR="008F3A9F" w:rsidRPr="00A44A60" w:rsidRDefault="008F3A9F" w:rsidP="008F3A9F">
      <w:pPr>
        <w:pStyle w:val="Paragrafoelenco"/>
        <w:spacing w:before="240" w:after="240"/>
        <w:rPr>
          <w:sz w:val="22"/>
          <w:szCs w:val="22"/>
        </w:rPr>
      </w:pPr>
    </w:p>
    <w:p w:rsidR="008F3A9F" w:rsidRPr="00A44A60" w:rsidRDefault="008F3A9F" w:rsidP="008F3A9F">
      <w:pPr>
        <w:pStyle w:val="Paragrafoelenco"/>
        <w:spacing w:before="240" w:after="240"/>
        <w:ind w:left="1701"/>
        <w:rPr>
          <w:sz w:val="22"/>
          <w:szCs w:val="22"/>
        </w:rPr>
      </w:pPr>
      <w:r w:rsidRPr="00A44A60">
        <w:rPr>
          <w:sz w:val="22"/>
          <w:szCs w:val="22"/>
        </w:rPr>
        <w:t>An email has been sent to S195A requesting [redacted]…that he be considered ASAP</w:t>
      </w:r>
      <w:r>
        <w:rPr>
          <w:sz w:val="22"/>
          <w:szCs w:val="22"/>
        </w:rPr>
        <w:t>.</w:t>
      </w:r>
    </w:p>
    <w:p w:rsidR="008F3A9F" w:rsidRPr="00A44A60" w:rsidRDefault="008F3A9F" w:rsidP="008F3A9F">
      <w:pPr>
        <w:pStyle w:val="Paragrafoelenco"/>
        <w:spacing w:before="240" w:after="240"/>
        <w:ind w:left="1440"/>
        <w:rPr>
          <w:sz w:val="22"/>
          <w:szCs w:val="22"/>
        </w:rPr>
      </w:pPr>
    </w:p>
    <w:p w:rsidR="008F3A9F" w:rsidRDefault="008F3A9F" w:rsidP="008F3A9F">
      <w:pPr>
        <w:pStyle w:val="Paragrafoelenco"/>
        <w:spacing w:before="240" w:after="240"/>
        <w:ind w:left="1701"/>
        <w:rPr>
          <w:sz w:val="22"/>
          <w:szCs w:val="22"/>
        </w:rPr>
      </w:pPr>
      <w:r w:rsidRPr="00A44A60">
        <w:rPr>
          <w:sz w:val="22"/>
          <w:szCs w:val="22"/>
        </w:rPr>
        <w:t>An email has been sent to the 195a team request</w:t>
      </w:r>
      <w:r>
        <w:rPr>
          <w:sz w:val="22"/>
          <w:szCs w:val="22"/>
        </w:rPr>
        <w:t>ing that they triage the client</w:t>
      </w:r>
      <w:r w:rsidRPr="00A44A60">
        <w:rPr>
          <w:sz w:val="22"/>
          <w:szCs w:val="22"/>
        </w:rPr>
        <w:t xml:space="preserve">. </w:t>
      </w:r>
    </w:p>
    <w:p w:rsidR="008F3A9F" w:rsidRPr="00E8427B" w:rsidRDefault="008F3A9F" w:rsidP="008F3A9F">
      <w:pPr>
        <w:pStyle w:val="Paragrafoelenco"/>
        <w:spacing w:before="240" w:after="240"/>
        <w:ind w:left="1701"/>
        <w:rPr>
          <w:sz w:val="22"/>
          <w:szCs w:val="22"/>
        </w:rPr>
      </w:pPr>
    </w:p>
    <w:p w:rsidR="008F3A9F" w:rsidRDefault="008F3A9F" w:rsidP="008F3A9F">
      <w:pPr>
        <w:numPr>
          <w:ilvl w:val="0"/>
          <w:numId w:val="29"/>
        </w:numPr>
        <w:spacing w:before="240" w:after="240"/>
        <w:rPr>
          <w:szCs w:val="24"/>
        </w:rPr>
      </w:pPr>
      <w:r>
        <w:rPr>
          <w:szCs w:val="24"/>
        </w:rPr>
        <w:t xml:space="preserve">It also appears that three factors contributed to a significant delay in this referral occurring: </w:t>
      </w:r>
    </w:p>
    <w:p w:rsidR="008F3A9F" w:rsidRPr="00E8427B" w:rsidRDefault="008F3A9F" w:rsidP="008F3A9F">
      <w:pPr>
        <w:pStyle w:val="Paragrafoelenco"/>
        <w:numPr>
          <w:ilvl w:val="0"/>
          <w:numId w:val="35"/>
        </w:numPr>
        <w:spacing w:before="240" w:after="240"/>
        <w:ind w:left="1701" w:hanging="425"/>
        <w:contextualSpacing w:val="0"/>
        <w:rPr>
          <w:szCs w:val="24"/>
        </w:rPr>
      </w:pPr>
      <w:r>
        <w:rPr>
          <w:szCs w:val="24"/>
        </w:rPr>
        <w:t>Mr AM’s</w:t>
      </w:r>
      <w:r w:rsidRPr="00E8427B">
        <w:rPr>
          <w:szCs w:val="24"/>
        </w:rPr>
        <w:t xml:space="preserve"> categorisation as a ‘Category 2 (behavioural detainee)’ </w:t>
      </w:r>
    </w:p>
    <w:p w:rsidR="008F3A9F" w:rsidRDefault="008F3A9F" w:rsidP="008F3A9F">
      <w:pPr>
        <w:pStyle w:val="Paragrafoelenco"/>
        <w:numPr>
          <w:ilvl w:val="0"/>
          <w:numId w:val="35"/>
        </w:numPr>
        <w:spacing w:before="120" w:after="120"/>
        <w:ind w:left="1701" w:hanging="425"/>
        <w:contextualSpacing w:val="0"/>
        <w:rPr>
          <w:szCs w:val="24"/>
        </w:rPr>
      </w:pPr>
      <w:r w:rsidRPr="00433612">
        <w:rPr>
          <w:szCs w:val="24"/>
        </w:rPr>
        <w:t xml:space="preserve">the failure of </w:t>
      </w:r>
      <w:r>
        <w:rPr>
          <w:szCs w:val="24"/>
        </w:rPr>
        <w:t>Mr AM’s</w:t>
      </w:r>
      <w:r w:rsidRPr="00433612">
        <w:rPr>
          <w:szCs w:val="24"/>
        </w:rPr>
        <w:t xml:space="preserve"> </w:t>
      </w:r>
      <w:r>
        <w:rPr>
          <w:szCs w:val="24"/>
        </w:rPr>
        <w:t xml:space="preserve">PV </w:t>
      </w:r>
      <w:r w:rsidRPr="00433612">
        <w:rPr>
          <w:szCs w:val="24"/>
        </w:rPr>
        <w:t>application at the primary and merits review stages, resulting in him being considered ‘finally determined’</w:t>
      </w:r>
      <w:r>
        <w:rPr>
          <w:szCs w:val="24"/>
        </w:rPr>
        <w:t>, and so, according to the department, ineligible for consideration under s 195A, and</w:t>
      </w:r>
    </w:p>
    <w:p w:rsidR="008F3A9F" w:rsidRPr="00E8427B" w:rsidRDefault="008F3A9F" w:rsidP="008F3A9F">
      <w:pPr>
        <w:pStyle w:val="Paragrafoelenco"/>
        <w:numPr>
          <w:ilvl w:val="0"/>
          <w:numId w:val="35"/>
        </w:numPr>
        <w:spacing w:before="120" w:after="120"/>
        <w:ind w:left="1701" w:hanging="425"/>
        <w:contextualSpacing w:val="0"/>
        <w:rPr>
          <w:szCs w:val="24"/>
        </w:rPr>
      </w:pPr>
      <w:r w:rsidRPr="00E8427B">
        <w:rPr>
          <w:szCs w:val="24"/>
        </w:rPr>
        <w:t xml:space="preserve">the length of time between Mr AM’s judicial review hearing at the FCC and the handing down of its decision. </w:t>
      </w:r>
    </w:p>
    <w:p w:rsidR="008F3A9F" w:rsidRDefault="008F3A9F" w:rsidP="004C21CD">
      <w:pPr>
        <w:pStyle w:val="Titolo2"/>
        <w:tabs>
          <w:tab w:val="num" w:pos="1135"/>
        </w:tabs>
      </w:pPr>
      <w:bookmarkStart w:id="80" w:name="_Toc514145976"/>
      <w:r w:rsidRPr="00E8427B">
        <w:rPr>
          <w:i w:val="0"/>
        </w:rPr>
        <w:t>‘Category 2 (behavioural detainee)’</w:t>
      </w:r>
      <w:bookmarkStart w:id="81" w:name="_Toc498937203"/>
      <w:bookmarkStart w:id="82" w:name="_Toc498937204"/>
      <w:bookmarkStart w:id="83" w:name="_Toc498937205"/>
      <w:bookmarkStart w:id="84" w:name="_Toc498937206"/>
      <w:bookmarkStart w:id="85" w:name="_Toc498937207"/>
      <w:bookmarkStart w:id="86" w:name="_Toc498937208"/>
      <w:bookmarkStart w:id="87" w:name="_Toc498937209"/>
      <w:bookmarkStart w:id="88" w:name="_Toc498937210"/>
      <w:bookmarkStart w:id="89" w:name="_Toc498937211"/>
      <w:bookmarkEnd w:id="80"/>
      <w:bookmarkEnd w:id="81"/>
      <w:bookmarkEnd w:id="82"/>
      <w:bookmarkEnd w:id="83"/>
      <w:bookmarkEnd w:id="84"/>
      <w:bookmarkEnd w:id="85"/>
      <w:bookmarkEnd w:id="86"/>
      <w:bookmarkEnd w:id="87"/>
      <w:bookmarkEnd w:id="88"/>
      <w:bookmarkEnd w:id="89"/>
    </w:p>
    <w:p w:rsidR="008F3A9F" w:rsidRPr="00C442E6" w:rsidRDefault="008F3A9F" w:rsidP="008F3A9F">
      <w:pPr>
        <w:pStyle w:val="Paragrafoelenco"/>
        <w:numPr>
          <w:ilvl w:val="0"/>
          <w:numId w:val="29"/>
        </w:numPr>
        <w:spacing w:before="240" w:after="240"/>
        <w:jc w:val="both"/>
        <w:rPr>
          <w:szCs w:val="24"/>
        </w:rPr>
      </w:pPr>
      <w:r>
        <w:rPr>
          <w:szCs w:val="24"/>
        </w:rPr>
        <w:t>Despite apparent inclination within the department to refer Mr AM’s case to the Minister under s 195A, his categorisation as a ‘Category 2 (behavioural detainee)’ appears to have delayed such a referral. For example, a</w:t>
      </w:r>
      <w:r w:rsidRPr="00C442E6">
        <w:rPr>
          <w:szCs w:val="24"/>
        </w:rPr>
        <w:t xml:space="preserve"> Case Review dated </w:t>
      </w:r>
      <w:proofErr w:type="gramStart"/>
      <w:r w:rsidRPr="00C442E6">
        <w:rPr>
          <w:szCs w:val="24"/>
        </w:rPr>
        <w:t>13</w:t>
      </w:r>
      <w:r>
        <w:rPr>
          <w:szCs w:val="24"/>
        </w:rPr>
        <w:t> </w:t>
      </w:r>
      <w:r w:rsidRPr="00C442E6">
        <w:rPr>
          <w:szCs w:val="24"/>
        </w:rPr>
        <w:t xml:space="preserve"> April</w:t>
      </w:r>
      <w:proofErr w:type="gramEnd"/>
      <w:r w:rsidRPr="00C442E6">
        <w:rPr>
          <w:szCs w:val="24"/>
        </w:rPr>
        <w:t xml:space="preserve"> 2013 </w:t>
      </w:r>
      <w:r>
        <w:rPr>
          <w:szCs w:val="24"/>
        </w:rPr>
        <w:t>stated:</w:t>
      </w:r>
      <w:r w:rsidRPr="00C442E6">
        <w:rPr>
          <w:szCs w:val="24"/>
        </w:rPr>
        <w:t xml:space="preserve"> </w:t>
      </w:r>
    </w:p>
    <w:p w:rsidR="008F3A9F" w:rsidRPr="00C442E6" w:rsidRDefault="008F3A9F" w:rsidP="008F3A9F">
      <w:pPr>
        <w:spacing w:before="240" w:after="240"/>
        <w:ind w:left="1701"/>
        <w:jc w:val="both"/>
        <w:rPr>
          <w:sz w:val="22"/>
          <w:szCs w:val="22"/>
        </w:rPr>
      </w:pPr>
      <w:r w:rsidRPr="00C442E6">
        <w:rPr>
          <w:sz w:val="22"/>
          <w:szCs w:val="22"/>
        </w:rPr>
        <w:t>BVE Team advised client is currently not a candidate for BVE processing due to the following: Currently, client is part of the cohort of clients who fall within one of the behavioural categories. BVE team is currently waiting on advice from the Minister’s Office.</w:t>
      </w:r>
    </w:p>
    <w:p w:rsidR="001C5E5B" w:rsidRDefault="001C5E5B">
      <w:pPr>
        <w:rPr>
          <w:szCs w:val="24"/>
        </w:rPr>
      </w:pPr>
      <w:r>
        <w:rPr>
          <w:szCs w:val="24"/>
        </w:rPr>
        <w:br w:type="page"/>
      </w:r>
    </w:p>
    <w:p w:rsidR="008F3A9F" w:rsidRPr="00C442E6" w:rsidRDefault="008F3A9F" w:rsidP="008F3A9F">
      <w:pPr>
        <w:pStyle w:val="Paragrafoelenco"/>
        <w:numPr>
          <w:ilvl w:val="0"/>
          <w:numId w:val="29"/>
        </w:numPr>
        <w:spacing w:before="240" w:after="240"/>
        <w:rPr>
          <w:szCs w:val="24"/>
        </w:rPr>
      </w:pPr>
      <w:r w:rsidRPr="00C442E6">
        <w:rPr>
          <w:szCs w:val="24"/>
        </w:rPr>
        <w:t>This is expanded upon in a Case Review dated 18 May 2013:</w:t>
      </w:r>
    </w:p>
    <w:p w:rsidR="008F3A9F" w:rsidRPr="00C442E6" w:rsidRDefault="008F3A9F" w:rsidP="008F3A9F">
      <w:pPr>
        <w:spacing w:before="240" w:after="240"/>
        <w:ind w:left="1701"/>
        <w:rPr>
          <w:sz w:val="22"/>
          <w:szCs w:val="22"/>
        </w:rPr>
      </w:pPr>
      <w:r w:rsidRPr="00C442E6">
        <w:rPr>
          <w:sz w:val="22"/>
          <w:szCs w:val="22"/>
        </w:rPr>
        <w:t>Client is part of a cohort of clients who fall within one of the behavioural categories. Previously excluded from BVE consideration due to this.</w:t>
      </w:r>
    </w:p>
    <w:p w:rsidR="008F3A9F" w:rsidRPr="00C442E6" w:rsidRDefault="008F3A9F" w:rsidP="008F3A9F">
      <w:pPr>
        <w:spacing w:before="240" w:after="240"/>
        <w:ind w:left="1701"/>
        <w:rPr>
          <w:sz w:val="22"/>
          <w:szCs w:val="22"/>
        </w:rPr>
      </w:pPr>
      <w:r w:rsidRPr="00C442E6">
        <w:rPr>
          <w:sz w:val="22"/>
          <w:szCs w:val="22"/>
        </w:rPr>
        <w:t>Client is currently not a candidate for BVE proc</w:t>
      </w:r>
      <w:r>
        <w:rPr>
          <w:sz w:val="22"/>
          <w:szCs w:val="22"/>
        </w:rPr>
        <w:t>essing due to falling within a ‘behaviour category’</w:t>
      </w:r>
      <w:r w:rsidRPr="00C442E6">
        <w:rPr>
          <w:sz w:val="22"/>
          <w:szCs w:val="22"/>
        </w:rPr>
        <w:t xml:space="preserve">. On the 17/05/13 </w:t>
      </w:r>
      <w:proofErr w:type="spellStart"/>
      <w:r w:rsidRPr="00C442E6">
        <w:rPr>
          <w:sz w:val="22"/>
          <w:szCs w:val="22"/>
        </w:rPr>
        <w:t>clients</w:t>
      </w:r>
      <w:proofErr w:type="spellEnd"/>
      <w:r w:rsidRPr="00C442E6">
        <w:rPr>
          <w:sz w:val="22"/>
          <w:szCs w:val="22"/>
        </w:rPr>
        <w:t xml:space="preserve"> case along with other </w:t>
      </w:r>
      <w:proofErr w:type="gramStart"/>
      <w:r w:rsidRPr="00C442E6">
        <w:rPr>
          <w:sz w:val="22"/>
          <w:szCs w:val="22"/>
        </w:rPr>
        <w:t>PRE 13 August clients</w:t>
      </w:r>
      <w:proofErr w:type="gramEnd"/>
      <w:r w:rsidRPr="00C442E6">
        <w:rPr>
          <w:sz w:val="22"/>
          <w:szCs w:val="22"/>
        </w:rPr>
        <w:t xml:space="preserve"> were escalated. On the 8/05/13 s195a team advised that BVE team will be drafting the s195a behavioural submissions with a view to progressing these clients that were previously excluded as behavioural clients to the Minister’s Office.</w:t>
      </w:r>
    </w:p>
    <w:p w:rsidR="008F3A9F" w:rsidRDefault="008F3A9F" w:rsidP="008F3A9F">
      <w:pPr>
        <w:pStyle w:val="SubmissionNormal"/>
        <w:numPr>
          <w:ilvl w:val="0"/>
          <w:numId w:val="29"/>
        </w:numPr>
      </w:pPr>
      <w:r>
        <w:t xml:space="preserve">An undated email from a Senior Case Manager provided to the Commission by the department, indicated that Mr AM was assessed by the department as a ‘Category 2 (behavioural detainee)’. </w:t>
      </w:r>
    </w:p>
    <w:p w:rsidR="008F3A9F" w:rsidRPr="00B415E6" w:rsidRDefault="008F3A9F" w:rsidP="008F3A9F">
      <w:pPr>
        <w:pStyle w:val="Paragrafoelenco"/>
        <w:numPr>
          <w:ilvl w:val="0"/>
          <w:numId w:val="29"/>
        </w:numPr>
        <w:spacing w:before="240" w:after="240"/>
        <w:rPr>
          <w:szCs w:val="24"/>
        </w:rPr>
      </w:pPr>
      <w:r>
        <w:rPr>
          <w:szCs w:val="24"/>
        </w:rPr>
        <w:t>In its response to my preliminary view, provided on 1 September 2017, the department defined the scope of this Category 2 (behavioural detainee) category</w:t>
      </w:r>
      <w:r w:rsidRPr="00D2248B">
        <w:rPr>
          <w:szCs w:val="24"/>
        </w:rPr>
        <w:t xml:space="preserve"> </w:t>
      </w:r>
      <w:r>
        <w:rPr>
          <w:szCs w:val="24"/>
        </w:rPr>
        <w:t xml:space="preserve">into which </w:t>
      </w:r>
      <w:r w:rsidRPr="00D2248B">
        <w:rPr>
          <w:szCs w:val="24"/>
        </w:rPr>
        <w:t xml:space="preserve">Mr </w:t>
      </w:r>
      <w:r>
        <w:t>AM fell. The department stated:</w:t>
      </w:r>
    </w:p>
    <w:p w:rsidR="008F3A9F" w:rsidRDefault="008F3A9F" w:rsidP="008F3A9F">
      <w:pPr>
        <w:pStyle w:val="Paragrafoelenco"/>
        <w:spacing w:before="240" w:after="240"/>
        <w:rPr>
          <w:szCs w:val="24"/>
        </w:rPr>
      </w:pPr>
    </w:p>
    <w:p w:rsidR="008F3A9F" w:rsidRPr="005B4F79" w:rsidRDefault="008F3A9F" w:rsidP="008F3A9F">
      <w:pPr>
        <w:pStyle w:val="Paragrafoelenco"/>
        <w:spacing w:before="240" w:after="240"/>
        <w:ind w:left="1440"/>
        <w:rPr>
          <w:sz w:val="22"/>
          <w:szCs w:val="22"/>
        </w:rPr>
      </w:pPr>
      <w:r w:rsidRPr="005B4F79">
        <w:rPr>
          <w:sz w:val="22"/>
          <w:szCs w:val="22"/>
        </w:rPr>
        <w:t>In line with section 195A triage procedures and guidelines in 2013, Mr AM was assessed as a Category 2 (behavioural detainee) as he had been the subject of an Australian Federal Police Investigation. The definition for Category 2 (behavioural detainee) is:</w:t>
      </w:r>
    </w:p>
    <w:p w:rsidR="008F3A9F" w:rsidRPr="005B4F79" w:rsidRDefault="008F3A9F" w:rsidP="008F3A9F">
      <w:pPr>
        <w:pStyle w:val="SubmissionNormal"/>
        <w:numPr>
          <w:ilvl w:val="0"/>
          <w:numId w:val="34"/>
        </w:numPr>
        <w:ind w:hanging="502"/>
        <w:rPr>
          <w:sz w:val="22"/>
          <w:szCs w:val="22"/>
        </w:rPr>
      </w:pPr>
      <w:r w:rsidRPr="005B4F79">
        <w:rPr>
          <w:sz w:val="22"/>
          <w:szCs w:val="22"/>
        </w:rPr>
        <w:t>Detainees who were previously of interest to the AFP or local police, Detention Intelligence, Intelligence Analysis Section or National Security and Serious Crimes Reporting Team (and are now cleared for BVE consideration). These detainees must never have been convicted of an offence (in Australia or overseas)</w:t>
      </w:r>
      <w:r w:rsidR="00DF1B1D">
        <w:rPr>
          <w:sz w:val="22"/>
          <w:szCs w:val="22"/>
        </w:rPr>
        <w:t>.</w:t>
      </w:r>
    </w:p>
    <w:p w:rsidR="008F3A9F" w:rsidRPr="005B4F79" w:rsidRDefault="008F3A9F" w:rsidP="008F3A9F">
      <w:pPr>
        <w:pStyle w:val="SubmissionNormal"/>
        <w:numPr>
          <w:ilvl w:val="0"/>
          <w:numId w:val="34"/>
        </w:numPr>
        <w:ind w:hanging="502"/>
        <w:rPr>
          <w:sz w:val="22"/>
          <w:szCs w:val="22"/>
        </w:rPr>
      </w:pPr>
      <w:r w:rsidRPr="005B4F79">
        <w:rPr>
          <w:sz w:val="22"/>
          <w:szCs w:val="22"/>
        </w:rPr>
        <w:t>Detainees who were involved in a major/serious/critical behavioural incident in detention more than three months ago (whether or not they were referred to the AFP/local police). The incident must be finalised (and they cannot have had a criminal conviction). The date of the detainee’s last major/critical incident must be at least three months ago.</w:t>
      </w:r>
    </w:p>
    <w:p w:rsidR="008F3A9F" w:rsidRDefault="008F3A9F" w:rsidP="008F3A9F">
      <w:pPr>
        <w:pStyle w:val="SubmissionNormal"/>
        <w:numPr>
          <w:ilvl w:val="0"/>
          <w:numId w:val="29"/>
        </w:numPr>
      </w:pPr>
      <w:r>
        <w:t>Based on the definition above, it is my understanding that Mr AM was categorised as a ‘Category 2 (behavioural detainee)’ because of his admission that he steered the boat for part of the journey to Christmas Island. This statement attracted the interest of the AFP in 2012 which resulted in the issuance of a CJC in October 2012. The CJC was cancelled two months later for lack of evidence. Despite the cancellation of the CJC in December 2012, it appears that Mr AM’s categorisation as a ‘Category 2 (behavioural detainee)’ persisted and delayed his consideration for referral under s</w:t>
      </w:r>
      <w:r w:rsidRPr="00904E74">
        <w:t> </w:t>
      </w:r>
      <w:r>
        <w:t xml:space="preserve">195A of the Migration Act until August 2016. </w:t>
      </w:r>
    </w:p>
    <w:p w:rsidR="008F3A9F" w:rsidRPr="00AD3D8D" w:rsidRDefault="008F3A9F" w:rsidP="008F3A9F">
      <w:pPr>
        <w:pStyle w:val="SubmissionNormal"/>
        <w:numPr>
          <w:ilvl w:val="0"/>
          <w:numId w:val="29"/>
        </w:numPr>
      </w:pPr>
      <w:r>
        <w:t xml:space="preserve">The department’s response explains that, </w:t>
      </w:r>
      <w:r w:rsidRPr="00AD3D8D">
        <w:t xml:space="preserve">as a result of Mr </w:t>
      </w:r>
      <w:r>
        <w:t xml:space="preserve">AM’s categorisation, </w:t>
      </w:r>
      <w:r w:rsidRPr="00AD3D8D">
        <w:t>he ‘was required to be referre</w:t>
      </w:r>
      <w:r>
        <w:t>d on a submission tailored for “behavioural detainees”</w:t>
      </w:r>
      <w:r w:rsidRPr="00AD3D8D">
        <w:t xml:space="preserve"> for the Minister’s consideration’.</w:t>
      </w:r>
    </w:p>
    <w:p w:rsidR="001C5E5B" w:rsidRDefault="001C5E5B">
      <w:pPr>
        <w:rPr>
          <w:spacing w:val="0"/>
          <w:szCs w:val="24"/>
          <w:lang w:eastAsia="en-AU"/>
        </w:rPr>
      </w:pPr>
      <w:r>
        <w:br w:type="page"/>
      </w:r>
    </w:p>
    <w:p w:rsidR="008F3A9F" w:rsidRPr="00C442E6" w:rsidRDefault="008F3A9F" w:rsidP="008F3A9F">
      <w:pPr>
        <w:pStyle w:val="SubmissionNormal"/>
        <w:numPr>
          <w:ilvl w:val="0"/>
          <w:numId w:val="29"/>
        </w:numPr>
      </w:pPr>
      <w:r>
        <w:t>As early as 6 August 2013</w:t>
      </w:r>
      <w:r w:rsidR="003C213D">
        <w:t>,</w:t>
      </w:r>
      <w:r>
        <w:t xml:space="preserve"> the d</w:t>
      </w:r>
      <w:r w:rsidRPr="00C442E6">
        <w:t xml:space="preserve">epartment expressed its desire to remove persons in Mr </w:t>
      </w:r>
      <w:r>
        <w:t>AM</w:t>
      </w:r>
      <w:r w:rsidRPr="00C442E6">
        <w:t xml:space="preserve">’s position into less </w:t>
      </w:r>
      <w:r>
        <w:t xml:space="preserve">restrictive forms of detention. </w:t>
      </w:r>
      <w:r w:rsidRPr="00C442E6">
        <w:t>This is apparent from an email between departmental staff, pro</w:t>
      </w:r>
      <w:r>
        <w:t>vided to the Commission by the department, where the officer stated:</w:t>
      </w:r>
    </w:p>
    <w:p w:rsidR="008F3A9F" w:rsidRPr="00C442E6" w:rsidRDefault="008F3A9F" w:rsidP="008F3A9F">
      <w:pPr>
        <w:pStyle w:val="SubmissionNormal"/>
        <w:numPr>
          <w:ilvl w:val="0"/>
          <w:numId w:val="0"/>
        </w:numPr>
        <w:ind w:left="1701"/>
        <w:rPr>
          <w:sz w:val="22"/>
          <w:szCs w:val="22"/>
        </w:rPr>
      </w:pPr>
      <w:r w:rsidRPr="00C442E6">
        <w:rPr>
          <w:sz w:val="22"/>
          <w:szCs w:val="22"/>
        </w:rPr>
        <w:t>As many of you are aware, there has been some delay w</w:t>
      </w:r>
      <w:r>
        <w:rPr>
          <w:sz w:val="22"/>
          <w:szCs w:val="22"/>
        </w:rPr>
        <w:t>ith referring Category 2 and 3 ‘behavioural’</w:t>
      </w:r>
      <w:r w:rsidRPr="00C442E6">
        <w:rPr>
          <w:sz w:val="22"/>
          <w:szCs w:val="22"/>
        </w:rPr>
        <w:t xml:space="preserve"> clients to the Minister for his consideration to grant BVEs under s 195A. We are now in a position to refer these clients and are keen to move quickly with the relevant submissions, given the length of time some have now been in held detention. </w:t>
      </w:r>
    </w:p>
    <w:p w:rsidR="008F3A9F" w:rsidRDefault="008F3A9F" w:rsidP="008F3A9F">
      <w:pPr>
        <w:pStyle w:val="SubmissionNormal"/>
        <w:numPr>
          <w:ilvl w:val="0"/>
          <w:numId w:val="29"/>
        </w:numPr>
      </w:pPr>
      <w:r>
        <w:t>While I acknowledge the d</w:t>
      </w:r>
      <w:r w:rsidRPr="00C442E6">
        <w:t xml:space="preserve">epartment’s attempts to have Mr </w:t>
      </w:r>
      <w:r>
        <w:t>AM</w:t>
      </w:r>
      <w:r w:rsidRPr="00C442E6">
        <w:t>’s case referred to the Minister, it was not until 2 August 2016 that such a referral was</w:t>
      </w:r>
      <w:r>
        <w:t xml:space="preserve"> actually</w:t>
      </w:r>
      <w:r w:rsidRPr="00C442E6">
        <w:t xml:space="preserve"> made, almost 3 years after the</w:t>
      </w:r>
      <w:r>
        <w:t xml:space="preserve"> above email of 6 August 2013</w:t>
      </w:r>
      <w:r w:rsidRPr="00C442E6">
        <w:t>.</w:t>
      </w:r>
    </w:p>
    <w:p w:rsidR="008F3A9F" w:rsidRDefault="008F3A9F" w:rsidP="008F3A9F">
      <w:pPr>
        <w:pStyle w:val="SubmissionNormal"/>
        <w:numPr>
          <w:ilvl w:val="0"/>
          <w:numId w:val="29"/>
        </w:numPr>
      </w:pPr>
      <w:r>
        <w:t xml:space="preserve">Recalling the authority of the General Comment on article 9 of the ICCPR above, I accept that, prior to the cancellation of the CJC in December 2012, Mr AM’s detention may not have been ‘arbitrary’. I do not have the material before me to make findings on this issue. In principle, however, detention for the purpose of investigating a crime, or determining whether an individual poses a threat to national security, might be reasonable, necessary and proportionate in the circumstances. However, Mr AM’s CJC was cancelled in December 2012 and there is no suggestion of other security concerns. </w:t>
      </w:r>
    </w:p>
    <w:p w:rsidR="008F3A9F" w:rsidRPr="00C442E6" w:rsidRDefault="008F3A9F" w:rsidP="008F3A9F">
      <w:pPr>
        <w:pStyle w:val="Paragrafoelenco"/>
        <w:numPr>
          <w:ilvl w:val="0"/>
          <w:numId w:val="29"/>
        </w:numPr>
        <w:spacing w:before="240" w:after="240"/>
        <w:rPr>
          <w:szCs w:val="24"/>
        </w:rPr>
      </w:pPr>
      <w:r>
        <w:t xml:space="preserve">In </w:t>
      </w:r>
      <w:r w:rsidRPr="00C442E6">
        <w:t xml:space="preserve">a Case Review dated 15 January 2013, Mr </w:t>
      </w:r>
      <w:r>
        <w:t>AM was</w:t>
      </w:r>
      <w:r w:rsidRPr="00C442E6">
        <w:t xml:space="preserve"> described as having ‘a low security rating</w:t>
      </w:r>
      <w:r w:rsidR="003C213D">
        <w:t>’</w:t>
      </w:r>
      <w:r w:rsidRPr="00C442E6">
        <w:t xml:space="preserve"> and </w:t>
      </w:r>
      <w:r w:rsidR="003C213D">
        <w:t>found to be</w:t>
      </w:r>
      <w:r w:rsidR="003C213D" w:rsidRPr="00C442E6">
        <w:t xml:space="preserve"> </w:t>
      </w:r>
      <w:r w:rsidR="00952077">
        <w:t>‘</w:t>
      </w:r>
      <w:r w:rsidRPr="00C442E6">
        <w:t xml:space="preserve">suitable for consideration of a less restrictive </w:t>
      </w:r>
      <w:proofErr w:type="gramStart"/>
      <w:r w:rsidRPr="00C442E6">
        <w:t>placement, if</w:t>
      </w:r>
      <w:proofErr w:type="gramEnd"/>
      <w:r w:rsidRPr="00C442E6">
        <w:t xml:space="preserve"> this becomes available’. The only ‘incident</w:t>
      </w:r>
      <w:r>
        <w:t>s</w:t>
      </w:r>
      <w:r w:rsidRPr="00C442E6">
        <w:t xml:space="preserve"> of concern’ noted in his formal case reviews commencing 7 months into his detention and ending 42 months into his detention </w:t>
      </w:r>
      <w:r>
        <w:t xml:space="preserve">are a mobile phone contraband issue and </w:t>
      </w:r>
      <w:r w:rsidRPr="00C442E6">
        <w:t xml:space="preserve">a refusal of food and fluid in his 30 Month Review dated 22 January 2015. There are no documented incidents of violence in detention. </w:t>
      </w:r>
    </w:p>
    <w:p w:rsidR="008F3A9F" w:rsidRPr="00714082" w:rsidRDefault="008F3A9F" w:rsidP="008F3A9F">
      <w:pPr>
        <w:pStyle w:val="Paragrafoelenco"/>
        <w:rPr>
          <w:i/>
        </w:rPr>
      </w:pPr>
    </w:p>
    <w:p w:rsidR="008F3A9F" w:rsidRPr="00E8427B" w:rsidRDefault="008F3A9F" w:rsidP="008F3A9F">
      <w:pPr>
        <w:pStyle w:val="Paragrafoelenco"/>
        <w:numPr>
          <w:ilvl w:val="0"/>
          <w:numId w:val="29"/>
        </w:numPr>
        <w:rPr>
          <w:i/>
        </w:rPr>
      </w:pPr>
      <w:r>
        <w:t xml:space="preserve">I am not satisfied that, because </w:t>
      </w:r>
      <w:r w:rsidRPr="00A678D6">
        <w:rPr>
          <w:spacing w:val="0"/>
          <w:szCs w:val="24"/>
          <w:lang w:eastAsia="en-AU"/>
        </w:rPr>
        <w:t xml:space="preserve">Mr </w:t>
      </w:r>
      <w:r>
        <w:rPr>
          <w:spacing w:val="0"/>
          <w:szCs w:val="24"/>
          <w:lang w:eastAsia="en-AU"/>
        </w:rPr>
        <w:t>AM</w:t>
      </w:r>
      <w:r>
        <w:t xml:space="preserve"> was once a person ‘of interest’ to the </w:t>
      </w:r>
      <w:r w:rsidR="003C213D">
        <w:t>AFP</w:t>
      </w:r>
      <w:r>
        <w:t xml:space="preserve"> and therefore a ‘Category 2 (behavioural detainee)’, this could sufficiently justify a </w:t>
      </w:r>
      <w:proofErr w:type="gramStart"/>
      <w:r>
        <w:t>three and a half year</w:t>
      </w:r>
      <w:proofErr w:type="gramEnd"/>
      <w:r>
        <w:t xml:space="preserve"> delay in referring his matter to the Minister such as to prevent his detention from becoming ‘arbitrary’ under article 9 of the ICCPR. </w:t>
      </w:r>
    </w:p>
    <w:p w:rsidR="008F3A9F" w:rsidRPr="005D0BD9" w:rsidRDefault="008F3A9F" w:rsidP="00C420CF">
      <w:pPr>
        <w:pStyle w:val="Titolo2"/>
        <w:tabs>
          <w:tab w:val="num" w:pos="1135"/>
        </w:tabs>
      </w:pPr>
      <w:bookmarkStart w:id="90" w:name="_Toc514145977"/>
      <w:r w:rsidRPr="005D0BD9">
        <w:t>Finding 1: Category 2 detainees</w:t>
      </w:r>
      <w:bookmarkEnd w:id="90"/>
    </w:p>
    <w:p w:rsidR="008F3A9F" w:rsidRDefault="008F3A9F" w:rsidP="008F3A9F"/>
    <w:p w:rsidR="008F3A9F" w:rsidRPr="00E8427B" w:rsidRDefault="008F3A9F" w:rsidP="008F3A9F">
      <w:pPr>
        <w:pStyle w:val="Paragrafoelenco"/>
        <w:numPr>
          <w:ilvl w:val="0"/>
          <w:numId w:val="29"/>
        </w:numPr>
      </w:pPr>
      <w:r>
        <w:t xml:space="preserve">On the material before me, it appears that, once a person has previously been ‘of interest’ to the AFP, local police, Detention Intelligence, Intelligence Analysis Section or the National Security and Serious Crimes Reporting Team, they may always be subject to this Category 2 designation. This appears to be regardless of when, and in what circumstances, interest from the authorities ceased. </w:t>
      </w:r>
    </w:p>
    <w:p w:rsidR="008F3A9F" w:rsidRDefault="008F3A9F" w:rsidP="008F3A9F">
      <w:pPr>
        <w:pStyle w:val="Paragrafoelenco"/>
      </w:pPr>
    </w:p>
    <w:p w:rsidR="008F3A9F" w:rsidRDefault="008F3A9F" w:rsidP="008F3A9F">
      <w:pPr>
        <w:pStyle w:val="Paragrafoelenco"/>
        <w:numPr>
          <w:ilvl w:val="0"/>
          <w:numId w:val="29"/>
        </w:numPr>
      </w:pPr>
      <w:r>
        <w:t xml:space="preserve">I find that the categorisation of Mr AM as a ‘Category 2 (behavioural detainee)’, based on a CJC that was cancelled within two months, appears to have delayed the department’s consideration of him for referral to the Minister under s 195A for over three years. This rendered Mr AM’s detention ‘arbitrary’, contrary to article 9 of the ICCPR. </w:t>
      </w:r>
    </w:p>
    <w:p w:rsidR="008F3A9F" w:rsidRPr="00E8427B" w:rsidRDefault="008F3A9F" w:rsidP="00C420CF">
      <w:pPr>
        <w:pStyle w:val="Titolo2"/>
        <w:tabs>
          <w:tab w:val="num" w:pos="1135"/>
        </w:tabs>
        <w:rPr>
          <w:i w:val="0"/>
        </w:rPr>
      </w:pPr>
      <w:r w:rsidRPr="00E8427B">
        <w:t xml:space="preserve"> </w:t>
      </w:r>
      <w:bookmarkStart w:id="91" w:name="_Toc514145978"/>
      <w:r w:rsidRPr="00E8427B">
        <w:t>‘Finally determined’</w:t>
      </w:r>
      <w:bookmarkEnd w:id="91"/>
      <w:r w:rsidRPr="00E8427B">
        <w:t xml:space="preserve"> </w:t>
      </w:r>
    </w:p>
    <w:p w:rsidR="008F3A9F" w:rsidRPr="00C442E6" w:rsidRDefault="008F3A9F" w:rsidP="008F3A9F">
      <w:pPr>
        <w:pStyle w:val="SubmissionNormal"/>
        <w:numPr>
          <w:ilvl w:val="0"/>
          <w:numId w:val="29"/>
        </w:numPr>
      </w:pPr>
      <w:r w:rsidRPr="00C442E6">
        <w:t>In its response to the Commission</w:t>
      </w:r>
      <w:r>
        <w:t>’s preliminary view</w:t>
      </w:r>
      <w:r w:rsidRPr="00C442E6">
        <w:t>, t</w:t>
      </w:r>
      <w:r>
        <w:t>he d</w:t>
      </w:r>
      <w:r w:rsidRPr="00C442E6">
        <w:t xml:space="preserve">epartment </w:t>
      </w:r>
      <w:r>
        <w:t>stated</w:t>
      </w:r>
      <w:r w:rsidRPr="00C442E6">
        <w:t xml:space="preserve"> that Mr </w:t>
      </w:r>
      <w:r>
        <w:t>AM</w:t>
      </w:r>
      <w:r w:rsidRPr="00C442E6">
        <w:t xml:space="preserve"> was considered ‘finally determined’ after the negative outcome of his protection visa application at both the primary (21 August 2013) and merits review stage (24</w:t>
      </w:r>
      <w:r w:rsidRPr="000D2232">
        <w:rPr>
          <w:rFonts w:cs="Arial"/>
          <w:sz w:val="22"/>
          <w:szCs w:val="22"/>
          <w:lang w:val="en"/>
        </w:rPr>
        <w:t> </w:t>
      </w:r>
      <w:r w:rsidRPr="00C442E6">
        <w:t xml:space="preserve">February 2014). </w:t>
      </w:r>
      <w:r>
        <w:t xml:space="preserve">The department stated that, </w:t>
      </w:r>
      <w:r w:rsidRPr="00C442E6">
        <w:t>as</w:t>
      </w:r>
      <w:r>
        <w:t xml:space="preserve"> a result of this determination, </w:t>
      </w:r>
      <w:r w:rsidRPr="00C442E6">
        <w:t xml:space="preserve">‘Mr </w:t>
      </w:r>
      <w:r>
        <w:t>AM</w:t>
      </w:r>
      <w:r w:rsidRPr="00C442E6">
        <w:t xml:space="preserve"> was consequently not eligible to be considered for referral for the Minister’s consideration’</w:t>
      </w:r>
      <w:r>
        <w:t xml:space="preserve"> under s</w:t>
      </w:r>
      <w:r w:rsidRPr="000D2232">
        <w:rPr>
          <w:rFonts w:cs="Arial"/>
          <w:sz w:val="22"/>
          <w:szCs w:val="22"/>
          <w:lang w:val="en"/>
        </w:rPr>
        <w:t> </w:t>
      </w:r>
      <w:r>
        <w:t>195A</w:t>
      </w:r>
      <w:r w:rsidRPr="00C442E6">
        <w:t xml:space="preserve">. </w:t>
      </w:r>
    </w:p>
    <w:p w:rsidR="008F3A9F" w:rsidRPr="00180E5C" w:rsidRDefault="008F3A9F" w:rsidP="008F3A9F">
      <w:pPr>
        <w:pStyle w:val="SubmissionNormal"/>
        <w:numPr>
          <w:ilvl w:val="0"/>
          <w:numId w:val="29"/>
        </w:numPr>
      </w:pPr>
      <w:r w:rsidRPr="00C442E6">
        <w:t>Section 5(9) of the Migration Act defines the term</w:t>
      </w:r>
      <w:r>
        <w:t xml:space="preserve"> ‘finally determined’ as </w:t>
      </w:r>
      <w:r w:rsidRPr="00180E5C">
        <w:t xml:space="preserve">follows: </w:t>
      </w:r>
    </w:p>
    <w:p w:rsidR="008F3A9F" w:rsidRPr="00180E5C" w:rsidRDefault="008F3A9F" w:rsidP="008F3A9F">
      <w:pPr>
        <w:keepNext/>
        <w:spacing w:before="100" w:beforeAutospacing="1" w:after="100" w:afterAutospacing="1"/>
        <w:ind w:left="1440"/>
        <w:rPr>
          <w:rFonts w:cs="Arial"/>
          <w:sz w:val="22"/>
          <w:szCs w:val="22"/>
          <w:lang w:val="en"/>
        </w:rPr>
      </w:pPr>
      <w:r w:rsidRPr="00180E5C">
        <w:rPr>
          <w:rFonts w:cs="Arial"/>
          <w:sz w:val="22"/>
          <w:szCs w:val="22"/>
          <w:lang w:val="en"/>
        </w:rPr>
        <w:t xml:space="preserve">For the purposes of this Act, subject to </w:t>
      </w:r>
      <w:hyperlink r:id="rId10" w:anchor="subsection" w:history="1">
        <w:r w:rsidRPr="00180E5C">
          <w:rPr>
            <w:rFonts w:cs="Arial"/>
            <w:sz w:val="22"/>
            <w:szCs w:val="22"/>
            <w:u w:val="single"/>
            <w:lang w:val="en"/>
          </w:rPr>
          <w:t>subsection</w:t>
        </w:r>
      </w:hyperlink>
      <w:r w:rsidRPr="00180E5C">
        <w:rPr>
          <w:rFonts w:cs="Arial"/>
          <w:sz w:val="22"/>
          <w:szCs w:val="22"/>
          <w:lang w:val="en"/>
        </w:rPr>
        <w:t xml:space="preserve"> (9A), an application under this Act is </w:t>
      </w:r>
      <w:r w:rsidRPr="00180E5C">
        <w:rPr>
          <w:rFonts w:cs="Arial"/>
          <w:b/>
          <w:bCs/>
          <w:i/>
          <w:iCs/>
          <w:sz w:val="22"/>
          <w:szCs w:val="22"/>
          <w:lang w:val="en"/>
        </w:rPr>
        <w:t xml:space="preserve">finally determined </w:t>
      </w:r>
      <w:r w:rsidRPr="00180E5C">
        <w:rPr>
          <w:rFonts w:cs="Arial"/>
          <w:sz w:val="22"/>
          <w:szCs w:val="22"/>
          <w:lang w:val="en"/>
        </w:rPr>
        <w:t xml:space="preserve">when: </w:t>
      </w:r>
    </w:p>
    <w:p w:rsidR="008F3A9F" w:rsidRPr="00180E5C" w:rsidRDefault="008F3A9F" w:rsidP="008F3A9F">
      <w:pPr>
        <w:spacing w:before="100" w:beforeAutospacing="1" w:after="100" w:afterAutospacing="1"/>
        <w:ind w:left="2880" w:hanging="825"/>
        <w:rPr>
          <w:rFonts w:cs="Arial"/>
          <w:sz w:val="22"/>
          <w:szCs w:val="22"/>
          <w:lang w:val="en"/>
        </w:rPr>
      </w:pPr>
      <w:bookmarkStart w:id="92" w:name="paragraph"/>
      <w:r w:rsidRPr="00180E5C">
        <w:rPr>
          <w:rFonts w:cs="Arial"/>
          <w:sz w:val="22"/>
          <w:szCs w:val="22"/>
          <w:lang w:val="en"/>
        </w:rPr>
        <w:t xml:space="preserve">(a) </w:t>
      </w:r>
      <w:r w:rsidRPr="00180E5C">
        <w:rPr>
          <w:rFonts w:cs="Arial"/>
          <w:sz w:val="22"/>
          <w:szCs w:val="22"/>
          <w:lang w:val="en"/>
        </w:rPr>
        <w:tab/>
        <w:t xml:space="preserve">a decision that has been made in respect of the application is not, or is no longer, subject to any form of review under Part 5 or 7; or </w:t>
      </w:r>
    </w:p>
    <w:p w:rsidR="008F3A9F" w:rsidRPr="00180E5C" w:rsidRDefault="008F3A9F" w:rsidP="008F3A9F">
      <w:pPr>
        <w:spacing w:before="100" w:beforeAutospacing="1" w:after="100" w:afterAutospacing="1"/>
        <w:ind w:left="2880" w:hanging="825"/>
        <w:rPr>
          <w:rFonts w:cs="Arial"/>
          <w:sz w:val="22"/>
          <w:szCs w:val="22"/>
          <w:lang w:val="en"/>
        </w:rPr>
      </w:pPr>
      <w:r w:rsidRPr="00180E5C">
        <w:rPr>
          <w:rFonts w:cs="Arial"/>
          <w:sz w:val="22"/>
          <w:szCs w:val="22"/>
          <w:lang w:val="en"/>
        </w:rPr>
        <w:t xml:space="preserve">(b) </w:t>
      </w:r>
      <w:r w:rsidRPr="00180E5C">
        <w:rPr>
          <w:rFonts w:cs="Arial"/>
          <w:sz w:val="22"/>
          <w:szCs w:val="22"/>
          <w:lang w:val="en"/>
        </w:rPr>
        <w:tab/>
        <w:t xml:space="preserve">a decision that has been made in respect of the application was subject to some form of review under Part 5 or 7, but the period within which such a review could be instituted has ended without a review having been instituted as prescribed; or </w:t>
      </w:r>
    </w:p>
    <w:p w:rsidR="008F3A9F" w:rsidRPr="00180E5C" w:rsidRDefault="008F3A9F" w:rsidP="008F3A9F">
      <w:pPr>
        <w:spacing w:before="100" w:beforeAutospacing="1" w:after="100" w:afterAutospacing="1"/>
        <w:ind w:left="2940" w:hanging="885"/>
        <w:rPr>
          <w:rFonts w:cs="Arial"/>
          <w:sz w:val="22"/>
          <w:szCs w:val="22"/>
          <w:lang w:val="en"/>
        </w:rPr>
      </w:pPr>
      <w:r w:rsidRPr="00180E5C">
        <w:rPr>
          <w:rFonts w:cs="Arial"/>
          <w:sz w:val="22"/>
          <w:szCs w:val="22"/>
          <w:lang w:val="en"/>
        </w:rPr>
        <w:t>(c)</w:t>
      </w:r>
      <w:r w:rsidRPr="00180E5C">
        <w:rPr>
          <w:rFonts w:cs="Arial"/>
          <w:sz w:val="22"/>
          <w:szCs w:val="22"/>
          <w:lang w:val="en"/>
        </w:rPr>
        <w:tab/>
        <w:t>in relation to an application for a protection visa by an exclu</w:t>
      </w:r>
      <w:r>
        <w:rPr>
          <w:rFonts w:cs="Arial"/>
          <w:sz w:val="22"/>
          <w:szCs w:val="22"/>
          <w:lang w:val="en"/>
        </w:rPr>
        <w:t xml:space="preserve">ded fast track review applicant — </w:t>
      </w:r>
      <w:r w:rsidRPr="00180E5C">
        <w:rPr>
          <w:rFonts w:cs="Arial"/>
          <w:sz w:val="22"/>
          <w:szCs w:val="22"/>
          <w:lang w:val="en"/>
        </w:rPr>
        <w:t xml:space="preserve">a decision has been made in respect of the application. </w:t>
      </w:r>
    </w:p>
    <w:bookmarkEnd w:id="92"/>
    <w:p w:rsidR="008F3A9F" w:rsidRPr="002B636B" w:rsidRDefault="008F3A9F" w:rsidP="008F3A9F">
      <w:pPr>
        <w:pStyle w:val="Paragrafoelenco"/>
        <w:numPr>
          <w:ilvl w:val="0"/>
          <w:numId w:val="29"/>
        </w:numPr>
        <w:spacing w:before="240" w:after="240"/>
        <w:rPr>
          <w:szCs w:val="24"/>
        </w:rPr>
      </w:pPr>
      <w:r w:rsidRPr="00C442E6">
        <w:t xml:space="preserve">Parts 5 and 7 of the Migration Act provide for review of certain decisions by the Migration and Refugee division of the AAT. </w:t>
      </w:r>
      <w:r>
        <w:t xml:space="preserve">It appears that, under the Migration Act, an individual’s visa application can be </w:t>
      </w:r>
      <w:r w:rsidRPr="00C442E6">
        <w:t xml:space="preserve">classified as ‘finally determined’ </w:t>
      </w:r>
      <w:r w:rsidRPr="00C60D30">
        <w:rPr>
          <w:i/>
        </w:rPr>
        <w:t>even if</w:t>
      </w:r>
      <w:r>
        <w:t xml:space="preserve"> judicial </w:t>
      </w:r>
      <w:r w:rsidRPr="00C442E6">
        <w:t xml:space="preserve">review </w:t>
      </w:r>
      <w:r>
        <w:t xml:space="preserve">proceedings have been initiated </w:t>
      </w:r>
      <w:r w:rsidRPr="00C442E6">
        <w:t xml:space="preserve">in either the </w:t>
      </w:r>
      <w:r>
        <w:t>FCC or Federal Court of Australia</w:t>
      </w:r>
      <w:r w:rsidRPr="00C442E6">
        <w:t xml:space="preserve">. </w:t>
      </w:r>
    </w:p>
    <w:p w:rsidR="008F3A9F" w:rsidRPr="002B636B" w:rsidRDefault="008F3A9F" w:rsidP="008F3A9F">
      <w:pPr>
        <w:pStyle w:val="Paragrafoelenco"/>
        <w:spacing w:before="240" w:after="240"/>
        <w:rPr>
          <w:szCs w:val="24"/>
        </w:rPr>
      </w:pPr>
    </w:p>
    <w:p w:rsidR="008F3A9F" w:rsidRPr="00BD08C1" w:rsidRDefault="008F3A9F" w:rsidP="008F3A9F">
      <w:pPr>
        <w:pStyle w:val="Paragrafoelenco"/>
        <w:numPr>
          <w:ilvl w:val="0"/>
          <w:numId w:val="29"/>
        </w:numPr>
        <w:spacing w:before="240" w:after="240"/>
        <w:rPr>
          <w:szCs w:val="24"/>
        </w:rPr>
      </w:pPr>
      <w:r w:rsidRPr="00C442E6">
        <w:t xml:space="preserve">The result of being classified as ‘finally determined’ under the </w:t>
      </w:r>
      <w:r>
        <w:t xml:space="preserve">Migration </w:t>
      </w:r>
      <w:r w:rsidRPr="00C442E6">
        <w:t xml:space="preserve">Act </w:t>
      </w:r>
      <w:r>
        <w:t xml:space="preserve">appears to be that, from at least 24 February 2014, the department considered </w:t>
      </w:r>
      <w:r w:rsidRPr="00C442E6">
        <w:t xml:space="preserve">Mr </w:t>
      </w:r>
      <w:r>
        <w:t>AM to be ineligible for place</w:t>
      </w:r>
      <w:r w:rsidRPr="00C442E6">
        <w:t>ment in less restrictive detention</w:t>
      </w:r>
      <w:r>
        <w:t xml:space="preserve"> while he awaited the outcome of his judicial review application. </w:t>
      </w:r>
    </w:p>
    <w:p w:rsidR="008F3A9F" w:rsidRPr="00BD08C1" w:rsidRDefault="008F3A9F" w:rsidP="008F3A9F">
      <w:pPr>
        <w:pStyle w:val="Paragrafoelenco"/>
        <w:rPr>
          <w:szCs w:val="24"/>
        </w:rPr>
      </w:pPr>
    </w:p>
    <w:p w:rsidR="008F3A9F" w:rsidRPr="00C442E6" w:rsidRDefault="008F3A9F" w:rsidP="008F3A9F">
      <w:pPr>
        <w:pStyle w:val="Paragrafoelenco"/>
        <w:numPr>
          <w:ilvl w:val="0"/>
          <w:numId w:val="29"/>
        </w:numPr>
        <w:spacing w:before="240" w:after="240"/>
        <w:rPr>
          <w:szCs w:val="24"/>
        </w:rPr>
      </w:pPr>
      <w:r w:rsidRPr="00C442E6">
        <w:t>In a Case Review dated 4 March 2014,</w:t>
      </w:r>
      <w:r>
        <w:t xml:space="preserve"> it stated</w:t>
      </w:r>
      <w:r w:rsidRPr="00C442E6">
        <w:t xml:space="preserve"> that </w:t>
      </w:r>
      <w:r w:rsidRPr="00C442E6">
        <w:rPr>
          <w:szCs w:val="24"/>
        </w:rPr>
        <w:t xml:space="preserve">Mr </w:t>
      </w:r>
      <w:r>
        <w:t>AM</w:t>
      </w:r>
      <w:r w:rsidRPr="00C442E6">
        <w:t xml:space="preserve"> is </w:t>
      </w:r>
      <w:r w:rsidRPr="00C442E6">
        <w:rPr>
          <w:szCs w:val="24"/>
        </w:rPr>
        <w:t>‘currently under consideration for BVE Group 200’ and that he ‘</w:t>
      </w:r>
      <w:r w:rsidRPr="00C442E6">
        <w:t xml:space="preserve">is currently waiting for consideration for a BVE’. </w:t>
      </w:r>
    </w:p>
    <w:p w:rsidR="008F3A9F" w:rsidRPr="00C442E6" w:rsidRDefault="008F3A9F" w:rsidP="008F3A9F">
      <w:pPr>
        <w:pStyle w:val="SubmissionNormal"/>
        <w:numPr>
          <w:ilvl w:val="0"/>
          <w:numId w:val="29"/>
        </w:numPr>
      </w:pPr>
      <w:r w:rsidRPr="00C442E6">
        <w:t xml:space="preserve">However, in a Case Review dated 31 March </w:t>
      </w:r>
      <w:r>
        <w:t>2014, it stated</w:t>
      </w:r>
      <w:r w:rsidRPr="00C442E6">
        <w:t xml:space="preserve"> that he was ‘removed from BVE Group 200’. As discussed above, it appears </w:t>
      </w:r>
      <w:r>
        <w:t xml:space="preserve">that </w:t>
      </w:r>
      <w:r w:rsidRPr="00C442E6">
        <w:t xml:space="preserve">this was because he was considered </w:t>
      </w:r>
      <w:r>
        <w:t>by the d</w:t>
      </w:r>
      <w:r w:rsidRPr="00C442E6">
        <w:t xml:space="preserve">epartment </w:t>
      </w:r>
      <w:r>
        <w:t>to be</w:t>
      </w:r>
      <w:r w:rsidRPr="00C442E6">
        <w:t xml:space="preserve"> ‘finally determined’ as at 24 February 2014. </w:t>
      </w:r>
      <w:r>
        <w:t xml:space="preserve">I note the concerns of a </w:t>
      </w:r>
      <w:r w:rsidR="006E7B9D">
        <w:t>c</w:t>
      </w:r>
      <w:r>
        <w:t xml:space="preserve">ase </w:t>
      </w:r>
      <w:r w:rsidR="006E7B9D">
        <w:t>m</w:t>
      </w:r>
      <w:r w:rsidRPr="00C442E6">
        <w:t>anager at Wickham Point I</w:t>
      </w:r>
      <w:r w:rsidR="006E7B9D">
        <w:t xml:space="preserve">mmigration </w:t>
      </w:r>
      <w:r w:rsidRPr="00C442E6">
        <w:t>D</w:t>
      </w:r>
      <w:r w:rsidR="006E7B9D">
        <w:t xml:space="preserve">etention </w:t>
      </w:r>
      <w:r w:rsidRPr="00C442E6">
        <w:t>C</w:t>
      </w:r>
      <w:r w:rsidR="006E7B9D">
        <w:t>entre, in a Case Review</w:t>
      </w:r>
      <w:r w:rsidRPr="00C442E6">
        <w:t xml:space="preserve"> dated 1 June 2015</w:t>
      </w:r>
      <w:r w:rsidR="006E7B9D">
        <w:t>,</w:t>
      </w:r>
      <w:r w:rsidRPr="00C442E6">
        <w:t xml:space="preserve"> regarding the length </w:t>
      </w:r>
      <w:r w:rsidR="006E7B9D">
        <w:t xml:space="preserve">of </w:t>
      </w:r>
      <w:r w:rsidRPr="00C442E6">
        <w:t xml:space="preserve">Mr </w:t>
      </w:r>
      <w:r>
        <w:t>AM</w:t>
      </w:r>
      <w:r w:rsidRPr="00C442E6">
        <w:t>’s de</w:t>
      </w:r>
      <w:r>
        <w:t>tention. The case manager stated</w:t>
      </w:r>
      <w:r w:rsidRPr="00C442E6">
        <w:t>:</w:t>
      </w:r>
    </w:p>
    <w:p w:rsidR="008F3A9F" w:rsidRDefault="008F3A9F" w:rsidP="008F3A9F">
      <w:pPr>
        <w:pStyle w:val="SubmissionNormal"/>
        <w:numPr>
          <w:ilvl w:val="0"/>
          <w:numId w:val="0"/>
        </w:numPr>
        <w:ind w:left="1701"/>
        <w:rPr>
          <w:sz w:val="22"/>
          <w:szCs w:val="22"/>
        </w:rPr>
      </w:pPr>
      <w:r>
        <w:rPr>
          <w:sz w:val="22"/>
          <w:szCs w:val="22"/>
        </w:rPr>
        <w:t xml:space="preserve">… I am quite concerned about the extended timeframe that this client has been subject to pending a JR outcome. </w:t>
      </w:r>
    </w:p>
    <w:p w:rsidR="008F3A9F" w:rsidRDefault="008F3A9F" w:rsidP="008F3A9F">
      <w:pPr>
        <w:pStyle w:val="SubmissionNormal"/>
        <w:numPr>
          <w:ilvl w:val="0"/>
          <w:numId w:val="0"/>
        </w:numPr>
        <w:ind w:left="1701"/>
        <w:rPr>
          <w:sz w:val="22"/>
          <w:szCs w:val="22"/>
        </w:rPr>
      </w:pPr>
      <w:r>
        <w:rPr>
          <w:sz w:val="22"/>
          <w:szCs w:val="22"/>
        </w:rPr>
        <w:t xml:space="preserve">Could you please advise the best way to expedite an outcome in this situation? </w:t>
      </w:r>
      <w:r w:rsidRPr="00C442E6">
        <w:rPr>
          <w:sz w:val="22"/>
          <w:szCs w:val="22"/>
        </w:rPr>
        <w:t>I am very worried that we are entering arbitrary detention territory.</w:t>
      </w:r>
    </w:p>
    <w:p w:rsidR="008F3A9F" w:rsidRPr="00C21B95" w:rsidRDefault="008F3A9F" w:rsidP="008F3A9F">
      <w:pPr>
        <w:pStyle w:val="SubmissionNormal"/>
        <w:numPr>
          <w:ilvl w:val="0"/>
          <w:numId w:val="29"/>
        </w:numPr>
      </w:pPr>
      <w:r w:rsidRPr="00C21B95">
        <w:t xml:space="preserve">In another email </w:t>
      </w:r>
      <w:r w:rsidR="008719B3">
        <w:t>dated</w:t>
      </w:r>
      <w:r w:rsidR="008719B3" w:rsidRPr="00C21B95">
        <w:t xml:space="preserve"> </w:t>
      </w:r>
      <w:r w:rsidRPr="00C21B95">
        <w:t>1 June 2015</w:t>
      </w:r>
      <w:r>
        <w:t>,</w:t>
      </w:r>
      <w:r w:rsidRPr="00C21B95">
        <w:t xml:space="preserve"> a d</w:t>
      </w:r>
      <w:r>
        <w:t xml:space="preserve">epartment </w:t>
      </w:r>
      <w:r w:rsidR="008719B3">
        <w:t>c</w:t>
      </w:r>
      <w:r>
        <w:t xml:space="preserve">ase </w:t>
      </w:r>
      <w:r w:rsidR="008719B3">
        <w:t>m</w:t>
      </w:r>
      <w:r>
        <w:t>anager indicated</w:t>
      </w:r>
      <w:r w:rsidRPr="00C21B95">
        <w:t xml:space="preserve"> that they had contacted ‘Litigation’ within the department for an update on Mr </w:t>
      </w:r>
      <w:r>
        <w:t>AM</w:t>
      </w:r>
      <w:r w:rsidRPr="00C21B95">
        <w:t>’s judicial review jud</w:t>
      </w:r>
      <w:r>
        <w:t>gment, and L</w:t>
      </w:r>
      <w:r w:rsidRPr="00C21B95">
        <w:t>itigation responded accordingly:</w:t>
      </w:r>
    </w:p>
    <w:p w:rsidR="008F3A9F" w:rsidRDefault="008F3A9F" w:rsidP="008F3A9F">
      <w:pPr>
        <w:pStyle w:val="SubmissionNormal"/>
        <w:numPr>
          <w:ilvl w:val="0"/>
          <w:numId w:val="0"/>
        </w:numPr>
        <w:ind w:left="1701"/>
        <w:rPr>
          <w:sz w:val="22"/>
          <w:szCs w:val="22"/>
        </w:rPr>
      </w:pPr>
      <w:r>
        <w:rPr>
          <w:sz w:val="22"/>
          <w:szCs w:val="22"/>
        </w:rPr>
        <w:t xml:space="preserve">Our solicitors have responded that there is no indication when judgment is likely to be handed down. They noted that the judge who heard Mr [AM]’s matter has a number of outstanding judgments, including once </w:t>
      </w:r>
      <w:r w:rsidR="00614071">
        <w:rPr>
          <w:sz w:val="22"/>
          <w:szCs w:val="22"/>
        </w:rPr>
        <w:t xml:space="preserve">[sic] </w:t>
      </w:r>
      <w:r>
        <w:rPr>
          <w:sz w:val="22"/>
          <w:szCs w:val="22"/>
        </w:rPr>
        <w:t xml:space="preserve">that has been reserved for more than a year. Unfortunately, that may mean it may be some time before the judgment is delivered. </w:t>
      </w:r>
    </w:p>
    <w:p w:rsidR="008F3A9F" w:rsidRDefault="008F3A9F" w:rsidP="008F3A9F">
      <w:pPr>
        <w:pStyle w:val="SubmissionNormal"/>
        <w:numPr>
          <w:ilvl w:val="0"/>
          <w:numId w:val="29"/>
        </w:numPr>
      </w:pPr>
      <w:r w:rsidRPr="00EA1F01">
        <w:t xml:space="preserve">These emails </w:t>
      </w:r>
      <w:r>
        <w:t>suggest that the d</w:t>
      </w:r>
      <w:r w:rsidRPr="00EA1F01">
        <w:t xml:space="preserve">epartment </w:t>
      </w:r>
      <w:r>
        <w:t xml:space="preserve">knew of the likelihood of continuing delays </w:t>
      </w:r>
      <w:r w:rsidRPr="00EA1F01">
        <w:t xml:space="preserve">in the </w:t>
      </w:r>
      <w:r>
        <w:t xml:space="preserve">finalisation of Mr AM’s judicial review before the FCC. </w:t>
      </w:r>
    </w:p>
    <w:p w:rsidR="008F3A9F" w:rsidRDefault="008F3A9F" w:rsidP="008F3A9F">
      <w:pPr>
        <w:pStyle w:val="Paragrafoelenco"/>
        <w:numPr>
          <w:ilvl w:val="0"/>
          <w:numId w:val="29"/>
        </w:numPr>
        <w:spacing w:before="240" w:after="240"/>
        <w:rPr>
          <w:szCs w:val="24"/>
        </w:rPr>
      </w:pPr>
      <w:r>
        <w:t xml:space="preserve">While the department has stated that Mr AM’s status as ‘finally determined’ prevented his referral to the Minister under s 195A, I note </w:t>
      </w:r>
      <w:r w:rsidRPr="00C442E6">
        <w:t xml:space="preserve">that </w:t>
      </w:r>
      <w:r w:rsidRPr="00C442E6">
        <w:rPr>
          <w:szCs w:val="24"/>
        </w:rPr>
        <w:t xml:space="preserve">neither the 2012 </w:t>
      </w:r>
      <w:r>
        <w:rPr>
          <w:szCs w:val="24"/>
        </w:rPr>
        <w:t xml:space="preserve">Guidelines </w:t>
      </w:r>
      <w:r w:rsidRPr="00C442E6">
        <w:rPr>
          <w:szCs w:val="24"/>
        </w:rPr>
        <w:t xml:space="preserve">nor </w:t>
      </w:r>
      <w:r>
        <w:rPr>
          <w:szCs w:val="24"/>
        </w:rPr>
        <w:t xml:space="preserve">the </w:t>
      </w:r>
      <w:r w:rsidRPr="00C442E6">
        <w:rPr>
          <w:szCs w:val="24"/>
        </w:rPr>
        <w:t xml:space="preserve">2016 </w:t>
      </w:r>
      <w:r>
        <w:rPr>
          <w:szCs w:val="24"/>
        </w:rPr>
        <w:t xml:space="preserve">Guidelines </w:t>
      </w:r>
      <w:r w:rsidRPr="00C442E6">
        <w:rPr>
          <w:szCs w:val="24"/>
        </w:rPr>
        <w:t xml:space="preserve">indicate </w:t>
      </w:r>
      <w:r>
        <w:rPr>
          <w:szCs w:val="24"/>
        </w:rPr>
        <w:t xml:space="preserve">that such a status renders an individual ineligible for referral. </w:t>
      </w:r>
    </w:p>
    <w:p w:rsidR="008F3A9F" w:rsidRPr="003F26FB" w:rsidRDefault="008F3A9F" w:rsidP="008F3A9F">
      <w:pPr>
        <w:pStyle w:val="Paragrafoelenco"/>
        <w:rPr>
          <w:szCs w:val="24"/>
        </w:rPr>
      </w:pPr>
    </w:p>
    <w:p w:rsidR="008F3A9F" w:rsidRDefault="008F3A9F" w:rsidP="008F3A9F">
      <w:pPr>
        <w:pStyle w:val="Paragrafoelenco"/>
        <w:numPr>
          <w:ilvl w:val="0"/>
          <w:numId w:val="29"/>
        </w:numPr>
        <w:spacing w:before="240" w:after="240"/>
        <w:rPr>
          <w:szCs w:val="24"/>
        </w:rPr>
      </w:pPr>
      <w:r>
        <w:rPr>
          <w:szCs w:val="24"/>
        </w:rPr>
        <w:t xml:space="preserve">Indeed, both the </w:t>
      </w:r>
      <w:r w:rsidRPr="004D75CF">
        <w:rPr>
          <w:szCs w:val="24"/>
        </w:rPr>
        <w:t xml:space="preserve">2012 </w:t>
      </w:r>
      <w:r>
        <w:rPr>
          <w:szCs w:val="24"/>
        </w:rPr>
        <w:t xml:space="preserve">and 2016 </w:t>
      </w:r>
      <w:r w:rsidRPr="004D75CF">
        <w:rPr>
          <w:szCs w:val="24"/>
        </w:rPr>
        <w:t>Guidelines on s 195A</w:t>
      </w:r>
      <w:r>
        <w:rPr>
          <w:szCs w:val="24"/>
        </w:rPr>
        <w:t xml:space="preserve"> state </w:t>
      </w:r>
      <w:r w:rsidRPr="004D75CF">
        <w:rPr>
          <w:szCs w:val="24"/>
        </w:rPr>
        <w:t xml:space="preserve">that cases should be </w:t>
      </w:r>
      <w:r>
        <w:rPr>
          <w:szCs w:val="24"/>
        </w:rPr>
        <w:t xml:space="preserve">actively </w:t>
      </w:r>
      <w:r w:rsidRPr="004D75CF">
        <w:rPr>
          <w:szCs w:val="24"/>
        </w:rPr>
        <w:t>referred to the Minister ‘if the person has no outstanding primary or merits review processes in relation to their claims to remain in Australia but removal is not reasonably practical’</w:t>
      </w:r>
      <w:r>
        <w:rPr>
          <w:szCs w:val="24"/>
        </w:rPr>
        <w:t>.</w:t>
      </w:r>
    </w:p>
    <w:p w:rsidR="008F3A9F" w:rsidRPr="004D75CF" w:rsidRDefault="008F3A9F" w:rsidP="008F3A9F">
      <w:pPr>
        <w:pStyle w:val="Paragrafoelenco"/>
        <w:rPr>
          <w:szCs w:val="24"/>
        </w:rPr>
      </w:pPr>
    </w:p>
    <w:p w:rsidR="008F3A9F" w:rsidRPr="004468ED" w:rsidRDefault="008F3A9F" w:rsidP="008F3A9F">
      <w:pPr>
        <w:pStyle w:val="Paragrafoelenco"/>
        <w:numPr>
          <w:ilvl w:val="0"/>
          <w:numId w:val="29"/>
        </w:numPr>
        <w:spacing w:before="240" w:after="240"/>
        <w:rPr>
          <w:szCs w:val="24"/>
        </w:rPr>
      </w:pPr>
      <w:r w:rsidRPr="004D75CF">
        <w:rPr>
          <w:szCs w:val="24"/>
        </w:rPr>
        <w:t xml:space="preserve">In my view, </w:t>
      </w:r>
      <w:r>
        <w:rPr>
          <w:szCs w:val="24"/>
        </w:rPr>
        <w:t xml:space="preserve">removing a person who has ongoing judicial review proceedings in Australia would not be ‘reasonably practical’ because, in the context of an application for a </w:t>
      </w:r>
      <w:r w:rsidR="000B20D1">
        <w:rPr>
          <w:szCs w:val="24"/>
        </w:rPr>
        <w:t>PV</w:t>
      </w:r>
      <w:r>
        <w:rPr>
          <w:szCs w:val="24"/>
        </w:rPr>
        <w:t xml:space="preserve">, such removal would render the judicial review process largely nugatory. This view is consistent with what I understand the general practice of the department to be — that detainees are not usually removed until all legal appeal avenues have been exhausted or abandoned. Consequently, </w:t>
      </w:r>
      <w:r w:rsidRPr="00C442E6">
        <w:t xml:space="preserve">Mr </w:t>
      </w:r>
      <w:r>
        <w:t>AM may have met the guidelines for referral to the Minister in March 2014 when he filed his application for judicial review in the FCC.</w:t>
      </w:r>
    </w:p>
    <w:p w:rsidR="008F3A9F" w:rsidRDefault="008F3A9F" w:rsidP="008F3A9F">
      <w:pPr>
        <w:pStyle w:val="Paragrafoelenco"/>
      </w:pPr>
    </w:p>
    <w:p w:rsidR="008F3A9F" w:rsidRDefault="008F3A9F" w:rsidP="008F3A9F">
      <w:pPr>
        <w:pStyle w:val="Paragrafoelenco"/>
        <w:numPr>
          <w:ilvl w:val="0"/>
          <w:numId w:val="29"/>
        </w:numPr>
        <w:spacing w:before="240" w:after="240"/>
      </w:pPr>
      <w:r>
        <w:t xml:space="preserve">I accept that the </w:t>
      </w:r>
      <w:proofErr w:type="gramStart"/>
      <w:r>
        <w:t>20</w:t>
      </w:r>
      <w:r w:rsidR="00D33A7C">
        <w:t xml:space="preserve"> </w:t>
      </w:r>
      <w:r>
        <w:t>month</w:t>
      </w:r>
      <w:proofErr w:type="gramEnd"/>
      <w:r>
        <w:t xml:space="preserve"> delay in the FCC handing down its judicial review decision in Mr AM’s matter was beyond the control of the department. However, I am satisfied that, given the department’s knowledge that judicial review proceedings can be lengthy, a policy that — without an individualised risk assessment — prevents people who are ‘finally determined’ from being referred for consideration under s 195A of the Migration Act, is inconsistent with, or contrary to, article 9 of the ICCPR. </w:t>
      </w:r>
    </w:p>
    <w:p w:rsidR="008F3A9F" w:rsidRDefault="008F3A9F" w:rsidP="00C420CF">
      <w:pPr>
        <w:pStyle w:val="Titolo2"/>
        <w:tabs>
          <w:tab w:val="num" w:pos="1135"/>
        </w:tabs>
      </w:pPr>
      <w:bookmarkStart w:id="93" w:name="_Toc514145979"/>
      <w:r>
        <w:t>Finding 2: ‘finally determined’</w:t>
      </w:r>
      <w:bookmarkEnd w:id="93"/>
    </w:p>
    <w:p w:rsidR="008F3A9F" w:rsidRDefault="008F3A9F" w:rsidP="008F3A9F"/>
    <w:p w:rsidR="008F3A9F" w:rsidRDefault="008F3A9F" w:rsidP="008F3A9F">
      <w:pPr>
        <w:pStyle w:val="Paragrafoelenco"/>
        <w:numPr>
          <w:ilvl w:val="0"/>
          <w:numId w:val="29"/>
        </w:numPr>
      </w:pPr>
      <w:r>
        <w:t xml:space="preserve">Based on the material before me, I find that the failure of the department to refer Mr AM to the Minister because of his status as ‘finally determined’ between 2014 and 2016 resulted in Mr AM’s detention becoming ‘arbitrary’. </w:t>
      </w:r>
    </w:p>
    <w:p w:rsidR="008F3A9F" w:rsidRPr="00932440" w:rsidRDefault="008F3A9F" w:rsidP="008F3A9F">
      <w:pPr>
        <w:pStyle w:val="Titolo1"/>
      </w:pPr>
      <w:bookmarkStart w:id="94" w:name="_Toc514145980"/>
      <w:bookmarkStart w:id="95" w:name="_Toc487445607"/>
      <w:bookmarkStart w:id="96" w:name="_Toc487531392"/>
      <w:bookmarkStart w:id="97" w:name="_Toc487531411"/>
      <w:bookmarkStart w:id="98" w:name="_Toc487531481"/>
      <w:bookmarkStart w:id="99" w:name="_Toc487531601"/>
      <w:r>
        <w:rPr>
          <w:szCs w:val="24"/>
        </w:rPr>
        <w:t>D</w:t>
      </w:r>
      <w:r w:rsidRPr="006D3750">
        <w:rPr>
          <w:szCs w:val="24"/>
        </w:rPr>
        <w:t xml:space="preserve">epartment’s failure to </w:t>
      </w:r>
      <w:r>
        <w:rPr>
          <w:szCs w:val="24"/>
        </w:rPr>
        <w:t>refer Mr AM’s circumstances to the Minister</w:t>
      </w:r>
      <w:r w:rsidRPr="006D3750">
        <w:rPr>
          <w:szCs w:val="24"/>
        </w:rPr>
        <w:t xml:space="preserve"> under s 197AB of the </w:t>
      </w:r>
      <w:r>
        <w:rPr>
          <w:szCs w:val="24"/>
        </w:rPr>
        <w:t xml:space="preserve">Migration </w:t>
      </w:r>
      <w:r w:rsidRPr="006D3750">
        <w:rPr>
          <w:szCs w:val="24"/>
        </w:rPr>
        <w:t>Act</w:t>
      </w:r>
      <w:bookmarkEnd w:id="94"/>
      <w:bookmarkEnd w:id="95"/>
      <w:bookmarkEnd w:id="96"/>
      <w:bookmarkEnd w:id="97"/>
      <w:bookmarkEnd w:id="98"/>
      <w:bookmarkEnd w:id="99"/>
    </w:p>
    <w:p w:rsidR="008F3A9F" w:rsidRPr="00314697" w:rsidRDefault="008F3A9F" w:rsidP="008F3A9F">
      <w:pPr>
        <w:pStyle w:val="Paragrafoelenco"/>
        <w:numPr>
          <w:ilvl w:val="0"/>
          <w:numId w:val="29"/>
        </w:numPr>
        <w:spacing w:before="240" w:after="240"/>
        <w:rPr>
          <w:szCs w:val="24"/>
        </w:rPr>
      </w:pPr>
      <w:r w:rsidRPr="00314697">
        <w:rPr>
          <w:szCs w:val="24"/>
        </w:rPr>
        <w:t xml:space="preserve">In assessing the less restrictive options available to the Commonwealth in cases of immigration detention, it is also important to note the </w:t>
      </w:r>
      <w:r>
        <w:rPr>
          <w:szCs w:val="24"/>
        </w:rPr>
        <w:t>‘</w:t>
      </w:r>
      <w:r w:rsidRPr="00314697">
        <w:rPr>
          <w:szCs w:val="24"/>
        </w:rPr>
        <w:t>residence determination</w:t>
      </w:r>
      <w:r>
        <w:rPr>
          <w:szCs w:val="24"/>
        </w:rPr>
        <w:t>’</w:t>
      </w:r>
      <w:r w:rsidRPr="00314697">
        <w:rPr>
          <w:szCs w:val="24"/>
        </w:rPr>
        <w:t xml:space="preserve"> powers. Section 197AB of the Migration Act provides:</w:t>
      </w:r>
    </w:p>
    <w:p w:rsidR="008F3A9F" w:rsidRPr="00E859C8" w:rsidRDefault="008F3A9F" w:rsidP="008F3A9F">
      <w:pPr>
        <w:spacing w:before="240" w:after="240"/>
        <w:ind w:left="1701"/>
        <w:rPr>
          <w:sz w:val="22"/>
          <w:szCs w:val="22"/>
        </w:rPr>
      </w:pPr>
      <w:r w:rsidRPr="00E859C8">
        <w:rPr>
          <w:sz w:val="22"/>
          <w:szCs w:val="22"/>
        </w:rPr>
        <w:t>If the Minister thinks that it is in the public interest to do so, the Minister may make a determination (a residence determination) to the effect that one or more specified persons to whom this subdivision applies are to reside at a specified place, instead of being detained at a place covered by the definition of immigration detention in subsection 5(1).</w:t>
      </w:r>
    </w:p>
    <w:p w:rsidR="008F3A9F" w:rsidRPr="00E859C8" w:rsidRDefault="008F3A9F" w:rsidP="008F3A9F">
      <w:pPr>
        <w:numPr>
          <w:ilvl w:val="0"/>
          <w:numId w:val="29"/>
        </w:numPr>
        <w:spacing w:before="240" w:after="240"/>
        <w:rPr>
          <w:szCs w:val="24"/>
        </w:rPr>
      </w:pPr>
      <w:r w:rsidRPr="00E859C8">
        <w:rPr>
          <w:szCs w:val="24"/>
        </w:rPr>
        <w:t>Further, the definition of ‘immigration detention’ includes ‘being held by, or on behalf of, an officer in another place approved by the Minister in writing</w:t>
      </w:r>
      <w:r>
        <w:rPr>
          <w:szCs w:val="24"/>
        </w:rPr>
        <w:t>’</w:t>
      </w:r>
      <w:r w:rsidRPr="00E859C8">
        <w:rPr>
          <w:szCs w:val="24"/>
        </w:rPr>
        <w:t xml:space="preserve">. </w:t>
      </w:r>
    </w:p>
    <w:p w:rsidR="008F3A9F" w:rsidRDefault="008F3A9F" w:rsidP="008F3A9F">
      <w:pPr>
        <w:numPr>
          <w:ilvl w:val="0"/>
          <w:numId w:val="29"/>
        </w:numPr>
        <w:spacing w:before="240" w:after="240"/>
        <w:rPr>
          <w:szCs w:val="24"/>
        </w:rPr>
      </w:pPr>
      <w:r>
        <w:rPr>
          <w:rFonts w:cs="Arial"/>
        </w:rPr>
        <w:t xml:space="preserve">Section 197AB of the Migration Act permits the Minister, where he thinks that it is in the public interest to do so, to make a residence determination to allow a person to reside in a specified place instead of being detained in closed immigration detention. A ‘specified place’ may be a place in the community. This is commonly referred to as ‘community detention’. </w:t>
      </w:r>
      <w:r>
        <w:rPr>
          <w:szCs w:val="24"/>
        </w:rPr>
        <w:t>Further, it i</w:t>
      </w:r>
      <w:r w:rsidRPr="00E859C8">
        <w:rPr>
          <w:szCs w:val="24"/>
        </w:rPr>
        <w:t xml:space="preserve">s open to the Minister to exercise the power conferred by </w:t>
      </w:r>
      <w:r>
        <w:rPr>
          <w:szCs w:val="24"/>
        </w:rPr>
        <w:t>s </w:t>
      </w:r>
      <w:r w:rsidRPr="00E859C8">
        <w:rPr>
          <w:szCs w:val="24"/>
        </w:rPr>
        <w:t xml:space="preserve">197AB subject to additional conditions: see </w:t>
      </w:r>
      <w:r>
        <w:rPr>
          <w:szCs w:val="24"/>
        </w:rPr>
        <w:t>s </w:t>
      </w:r>
      <w:r w:rsidRPr="00E859C8">
        <w:rPr>
          <w:szCs w:val="24"/>
        </w:rPr>
        <w:t>197AB(2)(b) of the Migration Act.</w:t>
      </w:r>
    </w:p>
    <w:p w:rsidR="008F3A9F" w:rsidRDefault="008F3A9F" w:rsidP="0010634D">
      <w:pPr>
        <w:pStyle w:val="Paragrafoelenco"/>
        <w:numPr>
          <w:ilvl w:val="0"/>
          <w:numId w:val="29"/>
        </w:numPr>
        <w:spacing w:before="240" w:after="240"/>
      </w:pPr>
      <w:r>
        <w:t>Similar to the guidelines issued under s 195A of the Migration Act, there are guidelines explaining the circumstances in which the Minister might consider exercising his powers under s 197AB of the Migration Act to make a residence determination.</w:t>
      </w:r>
    </w:p>
    <w:p w:rsidR="008F3A9F" w:rsidRDefault="008F3A9F" w:rsidP="00D33A7C">
      <w:pPr>
        <w:pStyle w:val="Paragrafoelenco"/>
        <w:spacing w:before="240" w:after="240"/>
        <w:ind w:hanging="720"/>
      </w:pPr>
    </w:p>
    <w:p w:rsidR="008F3A9F" w:rsidRDefault="008F3A9F" w:rsidP="0010634D">
      <w:pPr>
        <w:pStyle w:val="Paragrafoelenco"/>
        <w:numPr>
          <w:ilvl w:val="0"/>
          <w:numId w:val="29"/>
        </w:numPr>
        <w:spacing w:before="240" w:after="240"/>
      </w:pPr>
      <w:r>
        <w:t xml:space="preserve">Mr AM </w:t>
      </w:r>
      <w:r w:rsidR="0010634D">
        <w:t xml:space="preserve">has spent </w:t>
      </w:r>
      <w:r>
        <w:t>over five years in immigration detention</w:t>
      </w:r>
      <w:r w:rsidR="0010634D">
        <w:t>. In that time</w:t>
      </w:r>
      <w:r>
        <w:t xml:space="preserve"> there have been five different sets of guidelines about </w:t>
      </w:r>
      <w:r w:rsidR="0010634D">
        <w:t xml:space="preserve">s </w:t>
      </w:r>
      <w:r>
        <w:t>197AB, made by four successive Ministers, which have applied to his circumstances. On 1 September 2009, the Hon</w:t>
      </w:r>
      <w:r w:rsidR="00EE4C23">
        <w:t>.</w:t>
      </w:r>
      <w:r>
        <w:t xml:space="preserve"> Chris Evans MP, then Minister for Immigration and Citizenship</w:t>
      </w:r>
      <w:r w:rsidR="006F7921">
        <w:t>,</w:t>
      </w:r>
      <w:r>
        <w:t xml:space="preserve"> made a set of guidelines (the 2009 guidelines). These applied until the Hon</w:t>
      </w:r>
      <w:r w:rsidR="00EE4C23">
        <w:t>.</w:t>
      </w:r>
      <w:r>
        <w:t xml:space="preserve"> Brendan O’Connor MP, then Minister for Immigration and Citizenship, issued his own set of guidelines on 30</w:t>
      </w:r>
      <w:r w:rsidRPr="00AC744F">
        <w:t> </w:t>
      </w:r>
      <w:r>
        <w:t xml:space="preserve">May 2013 (the 2013 guidelines). In 2014, </w:t>
      </w:r>
      <w:r w:rsidR="00D33A7C">
        <w:t xml:space="preserve">the </w:t>
      </w:r>
      <w:r>
        <w:t>Hon</w:t>
      </w:r>
      <w:r w:rsidR="001F7AFC">
        <w:t>.</w:t>
      </w:r>
      <w:r>
        <w:t xml:space="preserve"> Scott Morrison MP</w:t>
      </w:r>
      <w:r w:rsidR="003403AE">
        <w:t>, then Minister for Immigration and Border Protection,</w:t>
      </w:r>
      <w:r>
        <w:t xml:space="preserve"> issued a further set of guidelines (the 2014 Guidelines) and, in 2015, the Hon</w:t>
      </w:r>
      <w:r w:rsidR="00BB2966">
        <w:t>.</w:t>
      </w:r>
      <w:r>
        <w:t xml:space="preserve"> Peter Dutton MP issued another set of guidelines (the 2015 Guidelines). On 29 April 2016, </w:t>
      </w:r>
      <w:r>
        <w:rPr>
          <w:szCs w:val="24"/>
        </w:rPr>
        <w:t>the Hon</w:t>
      </w:r>
      <w:r w:rsidR="00BB2966">
        <w:rPr>
          <w:szCs w:val="24"/>
        </w:rPr>
        <w:t>.</w:t>
      </w:r>
      <w:r>
        <w:rPr>
          <w:szCs w:val="24"/>
        </w:rPr>
        <w:t xml:space="preserve"> Peter Dutton MP reissued his guidelines (the 2016 Guidelines).</w:t>
      </w:r>
    </w:p>
    <w:p w:rsidR="008F3A9F" w:rsidRPr="00B36442" w:rsidRDefault="008F3A9F" w:rsidP="008F3A9F">
      <w:pPr>
        <w:pStyle w:val="SubmissionNormal"/>
        <w:numPr>
          <w:ilvl w:val="0"/>
          <w:numId w:val="29"/>
        </w:numPr>
        <w:rPr>
          <w:rFonts w:cs="Arial"/>
        </w:rPr>
      </w:pPr>
      <w:r>
        <w:t>I note that, since the commencement of the 2014 Guidelines, under the heading ‘Cases generally not to be referred for my consideration under s 197AB’, the Ministers’ guidelines have included persons who are c</w:t>
      </w:r>
      <w:r w:rsidR="007D52CC">
        <w:t>onsidered ‘finally determined’.</w:t>
      </w:r>
    </w:p>
    <w:p w:rsidR="008F3A9F" w:rsidRPr="00B36442" w:rsidRDefault="008F3A9F" w:rsidP="008F3A9F">
      <w:pPr>
        <w:pStyle w:val="SubmissionNormal"/>
        <w:numPr>
          <w:ilvl w:val="0"/>
          <w:numId w:val="29"/>
        </w:numPr>
        <w:rPr>
          <w:rFonts w:cs="Arial"/>
        </w:rPr>
      </w:pPr>
      <w:r>
        <w:t>However, this section is qualified by the statement that the department may refer people to the Minister who are finally determined in ‘exceptional circumstances’. I consider that ‘exceptional circumstances’ exist in this case to permit a referral to the minister under s</w:t>
      </w:r>
      <w:r w:rsidR="00F070C9">
        <w:t xml:space="preserve"> </w:t>
      </w:r>
      <w:r>
        <w:t>197</w:t>
      </w:r>
      <w:r w:rsidR="007D52CC">
        <w:t>AB. I discuss my finding below.</w:t>
      </w:r>
    </w:p>
    <w:p w:rsidR="008F3A9F" w:rsidRPr="00FB72AC" w:rsidRDefault="008F3A9F" w:rsidP="008F3A9F">
      <w:pPr>
        <w:pStyle w:val="SubmissionNormal"/>
        <w:numPr>
          <w:ilvl w:val="0"/>
          <w:numId w:val="29"/>
        </w:numPr>
        <w:rPr>
          <w:rFonts w:cs="Arial"/>
        </w:rPr>
      </w:pPr>
      <w:r>
        <w:t>I also note that, prior to February 2014, the s 197AB guidelines did not include any requirement that exceptional circumstances exist before finally determined persons mig</w:t>
      </w:r>
      <w:r w:rsidR="007D52CC">
        <w:t>ht be referred to the Minister.</w:t>
      </w:r>
    </w:p>
    <w:p w:rsidR="008F3A9F" w:rsidRPr="00E432E0" w:rsidRDefault="008F3A9F" w:rsidP="008F3A9F">
      <w:pPr>
        <w:pStyle w:val="SubmissionNormal"/>
        <w:numPr>
          <w:ilvl w:val="0"/>
          <w:numId w:val="29"/>
        </w:numPr>
        <w:spacing w:before="0" w:after="0"/>
        <w:contextualSpacing/>
        <w:rPr>
          <w:rFonts w:cs="Arial"/>
        </w:rPr>
      </w:pPr>
      <w:r>
        <w:rPr>
          <w:rFonts w:cs="Arial"/>
        </w:rPr>
        <w:t xml:space="preserve">It appears that, over the past five years, the department has given some thought to referring Mr </w:t>
      </w:r>
      <w:r>
        <w:t xml:space="preserve">AM to the Minister for consideration of community detention. For example, in his first Case Review dated 27 September 2012, </w:t>
      </w:r>
      <w:r w:rsidR="009D2998">
        <w:t xml:space="preserve">the department </w:t>
      </w:r>
      <w:r>
        <w:t>stated:</w:t>
      </w:r>
    </w:p>
    <w:p w:rsidR="00F3026B" w:rsidRDefault="00F3026B" w:rsidP="008F3A9F">
      <w:pPr>
        <w:pStyle w:val="SubmissionNormal"/>
        <w:numPr>
          <w:ilvl w:val="0"/>
          <w:numId w:val="0"/>
        </w:numPr>
        <w:spacing w:before="0" w:after="0"/>
        <w:ind w:left="1701"/>
        <w:contextualSpacing/>
        <w:rPr>
          <w:sz w:val="22"/>
          <w:szCs w:val="22"/>
        </w:rPr>
      </w:pPr>
    </w:p>
    <w:p w:rsidR="008F3A9F" w:rsidRPr="00E432E0" w:rsidRDefault="008F3A9F" w:rsidP="008F3A9F">
      <w:pPr>
        <w:pStyle w:val="SubmissionNormal"/>
        <w:numPr>
          <w:ilvl w:val="0"/>
          <w:numId w:val="0"/>
        </w:numPr>
        <w:spacing w:before="0" w:after="0"/>
        <w:ind w:left="1701"/>
        <w:contextualSpacing/>
        <w:rPr>
          <w:rFonts w:cs="Arial"/>
          <w:sz w:val="22"/>
          <w:szCs w:val="22"/>
        </w:rPr>
      </w:pPr>
      <w:r w:rsidRPr="00E432E0">
        <w:rPr>
          <w:sz w:val="22"/>
          <w:szCs w:val="22"/>
        </w:rPr>
        <w:t xml:space="preserve">No evidence that Mr </w:t>
      </w:r>
      <w:r>
        <w:rPr>
          <w:sz w:val="22"/>
          <w:szCs w:val="22"/>
        </w:rPr>
        <w:t>[AM]</w:t>
      </w:r>
      <w:r w:rsidRPr="00E432E0">
        <w:rPr>
          <w:sz w:val="22"/>
          <w:szCs w:val="22"/>
        </w:rPr>
        <w:t xml:space="preserve"> has needs that cannot be catered for at Wickham Point Immigration Facility. He has not displayed vulnerabilities that suggest a less restrictive placement or c</w:t>
      </w:r>
      <w:r w:rsidR="007D52CC">
        <w:rPr>
          <w:sz w:val="22"/>
          <w:szCs w:val="22"/>
        </w:rPr>
        <w:t>ommunity detention is required.</w:t>
      </w:r>
    </w:p>
    <w:p w:rsidR="008F3A9F" w:rsidRDefault="008F3A9F" w:rsidP="008F3A9F">
      <w:pPr>
        <w:pStyle w:val="SubmissionNormal"/>
        <w:numPr>
          <w:ilvl w:val="0"/>
          <w:numId w:val="29"/>
        </w:numPr>
        <w:rPr>
          <w:rFonts w:cs="Arial"/>
        </w:rPr>
      </w:pPr>
      <w:r>
        <w:rPr>
          <w:rFonts w:cs="Arial"/>
        </w:rPr>
        <w:t>In another Case Review dated 15 January 2013</w:t>
      </w:r>
      <w:r w:rsidR="00C02F60">
        <w:rPr>
          <w:rFonts w:cs="Arial"/>
        </w:rPr>
        <w:t>,</w:t>
      </w:r>
      <w:r>
        <w:rPr>
          <w:rFonts w:cs="Arial"/>
        </w:rPr>
        <w:t xml:space="preserve"> </w:t>
      </w:r>
      <w:r w:rsidR="00C02F60">
        <w:rPr>
          <w:rFonts w:cs="Arial"/>
        </w:rPr>
        <w:t xml:space="preserve">Mr AM’s case manager </w:t>
      </w:r>
      <w:r>
        <w:rPr>
          <w:rFonts w:cs="Arial"/>
        </w:rPr>
        <w:t>stated:</w:t>
      </w:r>
    </w:p>
    <w:p w:rsidR="008F3A9F" w:rsidRDefault="008F3A9F" w:rsidP="008F3A9F">
      <w:pPr>
        <w:pStyle w:val="SubmissionNormal"/>
        <w:numPr>
          <w:ilvl w:val="0"/>
          <w:numId w:val="0"/>
        </w:numPr>
        <w:ind w:left="1701"/>
        <w:rPr>
          <w:rFonts w:cs="Arial"/>
          <w:sz w:val="22"/>
          <w:szCs w:val="22"/>
        </w:rPr>
      </w:pPr>
      <w:r>
        <w:rPr>
          <w:rFonts w:cs="Arial"/>
          <w:sz w:val="22"/>
          <w:szCs w:val="22"/>
        </w:rPr>
        <w:t>A</w:t>
      </w:r>
      <w:r w:rsidRPr="00DB1106">
        <w:rPr>
          <w:rFonts w:cs="Arial"/>
          <w:sz w:val="22"/>
          <w:szCs w:val="22"/>
        </w:rPr>
        <w:t>ll detention alternatives have been considered by myself and previous Case Managers, a referral to community detention has not been initiated</w:t>
      </w:r>
      <w:r>
        <w:rPr>
          <w:rFonts w:cs="Arial"/>
          <w:sz w:val="22"/>
          <w:szCs w:val="22"/>
        </w:rPr>
        <w:t xml:space="preserve"> </w:t>
      </w:r>
      <w:r w:rsidRPr="00DB1106">
        <w:rPr>
          <w:rFonts w:cs="Arial"/>
          <w:sz w:val="22"/>
          <w:szCs w:val="22"/>
        </w:rPr>
        <w:t>…</w:t>
      </w:r>
      <w:r>
        <w:rPr>
          <w:rFonts w:cs="Arial"/>
          <w:sz w:val="22"/>
          <w:szCs w:val="22"/>
        </w:rPr>
        <w:t xml:space="preserve"> t</w:t>
      </w:r>
      <w:r w:rsidRPr="00DB1106">
        <w:rPr>
          <w:rFonts w:cs="Arial"/>
          <w:sz w:val="22"/>
          <w:szCs w:val="22"/>
        </w:rPr>
        <w:t xml:space="preserve">he client does not meet the criteria to be referred for Community Detention under s197AB. He has a low security rating and would be suitable for consideration of a less restrictive </w:t>
      </w:r>
      <w:proofErr w:type="gramStart"/>
      <w:r w:rsidRPr="00DB1106">
        <w:rPr>
          <w:rFonts w:cs="Arial"/>
          <w:sz w:val="22"/>
          <w:szCs w:val="22"/>
        </w:rPr>
        <w:t>placement, if</w:t>
      </w:r>
      <w:proofErr w:type="gramEnd"/>
      <w:r w:rsidRPr="00DB1106">
        <w:rPr>
          <w:rFonts w:cs="Arial"/>
          <w:sz w:val="22"/>
          <w:szCs w:val="22"/>
        </w:rPr>
        <w:t xml:space="preserve"> this becomes available</w:t>
      </w:r>
      <w:r w:rsidR="007D52CC">
        <w:rPr>
          <w:rFonts w:cs="Arial"/>
          <w:sz w:val="22"/>
          <w:szCs w:val="22"/>
        </w:rPr>
        <w:t>.</w:t>
      </w:r>
    </w:p>
    <w:p w:rsidR="008F3A9F" w:rsidRPr="004172F9" w:rsidRDefault="008F3A9F" w:rsidP="008F3A9F">
      <w:pPr>
        <w:pStyle w:val="SubmissionNormal"/>
        <w:numPr>
          <w:ilvl w:val="0"/>
          <w:numId w:val="29"/>
        </w:numPr>
        <w:rPr>
          <w:rFonts w:cs="Arial"/>
        </w:rPr>
      </w:pPr>
      <w:r w:rsidRPr="004172F9">
        <w:rPr>
          <w:rFonts w:cs="Arial"/>
        </w:rPr>
        <w:t xml:space="preserve">It does not appear that referral under </w:t>
      </w:r>
      <w:r>
        <w:rPr>
          <w:rFonts w:cs="Arial"/>
        </w:rPr>
        <w:t>s </w:t>
      </w:r>
      <w:r w:rsidRPr="004172F9">
        <w:rPr>
          <w:rFonts w:cs="Arial"/>
        </w:rPr>
        <w:t>197AB of the Migration Act was contemplated again until 2014 when, in a further C</w:t>
      </w:r>
      <w:r>
        <w:rPr>
          <w:rFonts w:cs="Arial"/>
        </w:rPr>
        <w:t xml:space="preserve">ase Review dated 9 January 2014, </w:t>
      </w:r>
      <w:r w:rsidRPr="004172F9">
        <w:rPr>
          <w:rFonts w:cs="Arial"/>
        </w:rPr>
        <w:t xml:space="preserve">it </w:t>
      </w:r>
      <w:r>
        <w:rPr>
          <w:rFonts w:cs="Arial"/>
        </w:rPr>
        <w:t>is stated</w:t>
      </w:r>
      <w:r w:rsidRPr="004172F9">
        <w:rPr>
          <w:rFonts w:cs="Arial"/>
        </w:rPr>
        <w:t xml:space="preserve"> ‘the detainee does not meet guidelines for residence determination under s197AB. CM to reassess the detainee’s circumstances regularly to ensure that placement remains appropriate</w:t>
      </w:r>
      <w:r>
        <w:rPr>
          <w:rFonts w:cs="Arial"/>
        </w:rPr>
        <w:t>’.</w:t>
      </w:r>
    </w:p>
    <w:p w:rsidR="008F3A9F" w:rsidRDefault="00420E90" w:rsidP="008F3A9F">
      <w:pPr>
        <w:pStyle w:val="SubmissionNormal"/>
        <w:numPr>
          <w:ilvl w:val="0"/>
          <w:numId w:val="29"/>
        </w:numPr>
        <w:rPr>
          <w:rFonts w:cs="Arial"/>
        </w:rPr>
      </w:pPr>
      <w:r>
        <w:rPr>
          <w:rFonts w:cs="Arial"/>
        </w:rPr>
        <w:t>A</w:t>
      </w:r>
      <w:r w:rsidR="008F3A9F" w:rsidRPr="004172F9">
        <w:rPr>
          <w:rFonts w:cs="Arial"/>
        </w:rPr>
        <w:t xml:space="preserve"> Case Review</w:t>
      </w:r>
      <w:r w:rsidR="008F3A9F">
        <w:rPr>
          <w:rFonts w:cs="Arial"/>
        </w:rPr>
        <w:t xml:space="preserve"> dated 7 March 2016 stated</w:t>
      </w:r>
      <w:r w:rsidR="008F3A9F" w:rsidRPr="004172F9">
        <w:rPr>
          <w:rFonts w:cs="Arial"/>
        </w:rPr>
        <w:t xml:space="preserve"> ‘DSRO has not become aware of any vulnerability that requires urgent change of placement as his health and welfare can be managed by services at Wickham Point APOD’. </w:t>
      </w:r>
    </w:p>
    <w:p w:rsidR="008F3A9F" w:rsidRDefault="008F3A9F" w:rsidP="008F3A9F">
      <w:pPr>
        <w:numPr>
          <w:ilvl w:val="0"/>
          <w:numId w:val="29"/>
        </w:numPr>
        <w:spacing w:before="240" w:after="240"/>
      </w:pPr>
      <w:r>
        <w:t>When the Commission asked the department the reason for Mr AM’s detention in an immigration detention centre, the department responded on 27 June 2016 that:</w:t>
      </w:r>
    </w:p>
    <w:p w:rsidR="008F3A9F" w:rsidRPr="006068FD" w:rsidRDefault="008F3A9F" w:rsidP="008F3A9F">
      <w:pPr>
        <w:numPr>
          <w:ilvl w:val="0"/>
          <w:numId w:val="29"/>
        </w:numPr>
        <w:spacing w:before="240" w:after="240"/>
        <w:rPr>
          <w:szCs w:val="24"/>
        </w:rPr>
      </w:pPr>
      <w:r w:rsidRPr="006068FD">
        <w:rPr>
          <w:szCs w:val="24"/>
        </w:rPr>
        <w:t>Mr [AM] arrived on Christmas Island as an Offshore Entry Person and is, therefore, not immigration cleared. Mr [AM]’s continued detention is considered appropriate as he has been found not to engage Australia’s protection obligations. The department also advised that:</w:t>
      </w:r>
    </w:p>
    <w:p w:rsidR="008F3A9F" w:rsidRPr="00D338A9" w:rsidRDefault="008F3A9F" w:rsidP="008F3A9F">
      <w:pPr>
        <w:spacing w:before="240" w:after="240"/>
        <w:ind w:left="1701"/>
        <w:rPr>
          <w:sz w:val="22"/>
          <w:szCs w:val="22"/>
        </w:rPr>
      </w:pPr>
      <w:r w:rsidRPr="00D338A9">
        <w:rPr>
          <w:sz w:val="22"/>
          <w:szCs w:val="22"/>
        </w:rPr>
        <w:t xml:space="preserve">Mr </w:t>
      </w:r>
      <w:r>
        <w:rPr>
          <w:sz w:val="22"/>
          <w:szCs w:val="22"/>
        </w:rPr>
        <w:t>[AM]</w:t>
      </w:r>
      <w:r w:rsidRPr="00D338A9">
        <w:rPr>
          <w:sz w:val="22"/>
          <w:szCs w:val="22"/>
        </w:rPr>
        <w:t>’s detention has been reviewed on 41 occasions under case management processes by Case Management and at Detention Review Committee meetings</w:t>
      </w:r>
      <w:r>
        <w:rPr>
          <w:sz w:val="22"/>
          <w:szCs w:val="22"/>
        </w:rPr>
        <w:t xml:space="preserve"> … Mr [AM] has also had his detention reviewed by a senior officer.</w:t>
      </w:r>
      <w:r w:rsidRPr="00D338A9">
        <w:rPr>
          <w:sz w:val="22"/>
          <w:szCs w:val="22"/>
        </w:rPr>
        <w:t xml:space="preserve"> </w:t>
      </w:r>
    </w:p>
    <w:p w:rsidR="008F3A9F" w:rsidRDefault="008F3A9F" w:rsidP="008F3A9F">
      <w:pPr>
        <w:numPr>
          <w:ilvl w:val="0"/>
          <w:numId w:val="29"/>
        </w:numPr>
        <w:spacing w:before="240" w:after="240"/>
      </w:pPr>
      <w:r>
        <w:t>The Commission asked the d</w:t>
      </w:r>
      <w:r w:rsidRPr="00ED0FB5">
        <w:t xml:space="preserve">epartment whether alternative, less restrictive detention options had been considered for Mr </w:t>
      </w:r>
      <w:r>
        <w:t xml:space="preserve">AM. </w:t>
      </w:r>
      <w:r w:rsidRPr="00ED0FB5">
        <w:t xml:space="preserve">The </w:t>
      </w:r>
      <w:r>
        <w:t>d</w:t>
      </w:r>
      <w:r w:rsidRPr="00ED0FB5">
        <w:t xml:space="preserve">epartment responded on </w:t>
      </w:r>
      <w:r>
        <w:t xml:space="preserve">27 June 2016 that: </w:t>
      </w:r>
    </w:p>
    <w:p w:rsidR="008F3A9F" w:rsidRDefault="008F3A9F" w:rsidP="008F3A9F">
      <w:pPr>
        <w:spacing w:before="240" w:after="240"/>
        <w:ind w:left="1701"/>
        <w:rPr>
          <w:sz w:val="22"/>
          <w:szCs w:val="22"/>
        </w:rPr>
      </w:pPr>
      <w:r>
        <w:rPr>
          <w:sz w:val="22"/>
          <w:szCs w:val="22"/>
        </w:rPr>
        <w:t xml:space="preserve">To date, </w:t>
      </w:r>
      <w:r w:rsidRPr="00D338A9">
        <w:rPr>
          <w:sz w:val="22"/>
          <w:szCs w:val="22"/>
        </w:rPr>
        <w:t xml:space="preserve">Mr </w:t>
      </w:r>
      <w:r>
        <w:rPr>
          <w:sz w:val="22"/>
          <w:szCs w:val="22"/>
        </w:rPr>
        <w:t xml:space="preserve">[AM]’s current detention placement is appropriate as he has not demonstrated circumstances to warrant referral for residence determination. The latest case review dated 8 June 2016 recommended no change to </w:t>
      </w:r>
      <w:r w:rsidRPr="00D338A9">
        <w:rPr>
          <w:sz w:val="22"/>
          <w:szCs w:val="22"/>
        </w:rPr>
        <w:t xml:space="preserve">Mr </w:t>
      </w:r>
      <w:r>
        <w:rPr>
          <w:sz w:val="22"/>
          <w:szCs w:val="22"/>
        </w:rPr>
        <w:t xml:space="preserve">[AM]’s detention placement and that his needs are currently being met in the detention environment. </w:t>
      </w:r>
    </w:p>
    <w:p w:rsidR="008F3A9F" w:rsidRDefault="008F3A9F" w:rsidP="008F3A9F">
      <w:pPr>
        <w:pStyle w:val="Paragrafoelenco"/>
        <w:numPr>
          <w:ilvl w:val="0"/>
          <w:numId w:val="29"/>
        </w:numPr>
        <w:spacing w:before="240" w:after="240"/>
      </w:pPr>
      <w:r>
        <w:t xml:space="preserve">On 1 September 2017, the department confirmed that Mr AM </w:t>
      </w:r>
      <w:r w:rsidR="0078273F">
        <w:t xml:space="preserve">had </w:t>
      </w:r>
      <w:r>
        <w:t xml:space="preserve">not been the subject of a formal assessment for referral to the Minister under s 197AB of the Migration Act. In the abovementioned </w:t>
      </w:r>
      <w:r w:rsidR="00486D85">
        <w:t>c</w:t>
      </w:r>
      <w:r>
        <w:t xml:space="preserve">ase </w:t>
      </w:r>
      <w:r w:rsidR="00486D85">
        <w:t>r</w:t>
      </w:r>
      <w:r>
        <w:t>eviews, and in t</w:t>
      </w:r>
      <w:r w:rsidRPr="00ED0FB5">
        <w:t>he</w:t>
      </w:r>
      <w:r>
        <w:t xml:space="preserve"> department’s email correspondence with my office, </w:t>
      </w:r>
      <w:r w:rsidR="0078273F">
        <w:t>the department has</w:t>
      </w:r>
      <w:r>
        <w:t xml:space="preserve"> said that Mr AM has not ‘displayed vulnerabilities’ or ‘met the criteria’ or ‘met the guidelines’ for community detention. On the material before me, I do not share this conclusion. </w:t>
      </w:r>
    </w:p>
    <w:p w:rsidR="008F3A9F" w:rsidRDefault="008F3A9F" w:rsidP="00C420CF">
      <w:pPr>
        <w:pStyle w:val="Titolo2"/>
        <w:tabs>
          <w:tab w:val="num" w:pos="1135"/>
        </w:tabs>
      </w:pPr>
      <w:bookmarkStart w:id="100" w:name="_Toc514145981"/>
      <w:r>
        <w:t>Torture and trauma</w:t>
      </w:r>
      <w:bookmarkEnd w:id="100"/>
    </w:p>
    <w:p w:rsidR="008F3A9F" w:rsidRDefault="008F3A9F" w:rsidP="008F3A9F">
      <w:pPr>
        <w:pStyle w:val="Paragrafoelenco"/>
      </w:pPr>
    </w:p>
    <w:p w:rsidR="008F3A9F" w:rsidRDefault="008F3A9F" w:rsidP="008F3A9F">
      <w:pPr>
        <w:pStyle w:val="Paragrafoelenco"/>
        <w:numPr>
          <w:ilvl w:val="0"/>
          <w:numId w:val="29"/>
        </w:numPr>
        <w:spacing w:before="240" w:after="240"/>
      </w:pPr>
      <w:r>
        <w:t>In the 2009 guidelines, it stated that, ‘in referring cases to [the Minister] for residence determination, the department is to note that I will give priority to</w:t>
      </w:r>
      <w:r w:rsidR="006068FD">
        <w:t xml:space="preserve"> </w:t>
      </w:r>
      <w:r>
        <w:t>…</w:t>
      </w:r>
      <w:r w:rsidR="006068FD">
        <w:t xml:space="preserve"> </w:t>
      </w:r>
      <w:r>
        <w:t xml:space="preserve">people who may have experienced torture or trauma’. </w:t>
      </w:r>
    </w:p>
    <w:p w:rsidR="008F3A9F" w:rsidRDefault="008F3A9F" w:rsidP="008F3A9F">
      <w:pPr>
        <w:pStyle w:val="Paragrafoelenco"/>
      </w:pPr>
    </w:p>
    <w:p w:rsidR="008F3A9F" w:rsidRDefault="008F3A9F" w:rsidP="008F3A9F">
      <w:pPr>
        <w:pStyle w:val="Paragrafoelenco"/>
        <w:numPr>
          <w:ilvl w:val="0"/>
          <w:numId w:val="29"/>
        </w:numPr>
        <w:spacing w:before="240" w:after="240"/>
      </w:pPr>
      <w:r>
        <w:rPr>
          <w:szCs w:val="24"/>
        </w:rPr>
        <w:t xml:space="preserve">In Mr AM’s 7 Month Case Review, it stated: ‘Mr [AM] has not disclosed any history of torture and trauma’. However, </w:t>
      </w:r>
      <w:r>
        <w:t>in his 13 Month Senior Officer Review dated 22 August 2013, it stated that on 29 July 2013, the International Health and Medical Services provided the department with the following information:</w:t>
      </w:r>
    </w:p>
    <w:p w:rsidR="008F3A9F" w:rsidRDefault="008F3A9F" w:rsidP="008F3A9F">
      <w:pPr>
        <w:pStyle w:val="Paragrafoelenco"/>
      </w:pPr>
    </w:p>
    <w:p w:rsidR="008F3A9F" w:rsidRDefault="008F3A9F" w:rsidP="008F3A9F">
      <w:pPr>
        <w:pStyle w:val="Paragrafoelenco"/>
        <w:ind w:left="1701"/>
        <w:rPr>
          <w:sz w:val="22"/>
          <w:szCs w:val="22"/>
        </w:rPr>
      </w:pPr>
      <w:r w:rsidRPr="00A27D51">
        <w:rPr>
          <w:sz w:val="22"/>
          <w:szCs w:val="22"/>
        </w:rPr>
        <w:t xml:space="preserve">Mr </w:t>
      </w:r>
      <w:r>
        <w:rPr>
          <w:sz w:val="22"/>
          <w:szCs w:val="22"/>
        </w:rPr>
        <w:t>[AM]</w:t>
      </w:r>
      <w:r w:rsidRPr="00A27D51">
        <w:rPr>
          <w:sz w:val="22"/>
          <w:szCs w:val="22"/>
        </w:rPr>
        <w:t>’s</w:t>
      </w:r>
      <w:r>
        <w:rPr>
          <w:sz w:val="22"/>
          <w:szCs w:val="22"/>
        </w:rPr>
        <w:t xml:space="preserve"> has physical and mental health issues for which he is receiving treatment. Mr [AM] has disclosed a history of torture and trauma and has received specialist counselling. The DRCCS recommends that departmental records be updated to reflect who provided the specialist torture and trauma counselling for </w:t>
      </w:r>
      <w:r w:rsidRPr="00A27D51">
        <w:rPr>
          <w:sz w:val="22"/>
          <w:szCs w:val="22"/>
        </w:rPr>
        <w:t xml:space="preserve">Mr </w:t>
      </w:r>
      <w:r>
        <w:rPr>
          <w:sz w:val="22"/>
          <w:szCs w:val="22"/>
        </w:rPr>
        <w:t xml:space="preserve">[AM]. </w:t>
      </w:r>
    </w:p>
    <w:p w:rsidR="008F3A9F" w:rsidRDefault="008F3A9F" w:rsidP="008F3A9F">
      <w:pPr>
        <w:pStyle w:val="Paragrafoelenco"/>
        <w:ind w:left="1440"/>
        <w:rPr>
          <w:sz w:val="22"/>
          <w:szCs w:val="22"/>
        </w:rPr>
      </w:pPr>
    </w:p>
    <w:p w:rsidR="008F3A9F" w:rsidRDefault="008F3A9F" w:rsidP="008F3A9F">
      <w:pPr>
        <w:pStyle w:val="Paragrafoelenco"/>
        <w:numPr>
          <w:ilvl w:val="0"/>
          <w:numId w:val="29"/>
        </w:numPr>
        <w:rPr>
          <w:szCs w:val="24"/>
        </w:rPr>
      </w:pPr>
      <w:r>
        <w:rPr>
          <w:szCs w:val="24"/>
        </w:rPr>
        <w:t xml:space="preserve">It is unclear from the information before me when the department was first made aware that </w:t>
      </w:r>
      <w:r w:rsidRPr="00715979">
        <w:rPr>
          <w:szCs w:val="24"/>
        </w:rPr>
        <w:t xml:space="preserve">Mr </w:t>
      </w:r>
      <w:r>
        <w:rPr>
          <w:szCs w:val="24"/>
        </w:rPr>
        <w:t>AM</w:t>
      </w:r>
      <w:r w:rsidRPr="00715979">
        <w:rPr>
          <w:szCs w:val="24"/>
        </w:rPr>
        <w:t xml:space="preserve"> </w:t>
      </w:r>
      <w:r>
        <w:rPr>
          <w:szCs w:val="24"/>
        </w:rPr>
        <w:t xml:space="preserve">might have </w:t>
      </w:r>
      <w:r w:rsidRPr="00715979">
        <w:rPr>
          <w:szCs w:val="24"/>
        </w:rPr>
        <w:t>had a history of torture and trauma</w:t>
      </w:r>
      <w:r>
        <w:rPr>
          <w:szCs w:val="24"/>
        </w:rPr>
        <w:t xml:space="preserve">. It is also unclear when he began receiving specialist </w:t>
      </w:r>
      <w:r w:rsidRPr="00715979">
        <w:rPr>
          <w:szCs w:val="24"/>
        </w:rPr>
        <w:t xml:space="preserve">torture and trauma counselling. </w:t>
      </w:r>
      <w:r>
        <w:rPr>
          <w:szCs w:val="24"/>
        </w:rPr>
        <w:t xml:space="preserve">If the department knew </w:t>
      </w:r>
      <w:r w:rsidRPr="00715979">
        <w:rPr>
          <w:szCs w:val="24"/>
        </w:rPr>
        <w:t xml:space="preserve">before 30 May 2013, when the new 2013 guidelines came into effect, it is arguable that he did meet the </w:t>
      </w:r>
      <w:r>
        <w:rPr>
          <w:szCs w:val="24"/>
        </w:rPr>
        <w:t>2009 guidelines</w:t>
      </w:r>
      <w:r w:rsidRPr="00715979">
        <w:rPr>
          <w:szCs w:val="24"/>
        </w:rPr>
        <w:t xml:space="preserve"> </w:t>
      </w:r>
      <w:r>
        <w:rPr>
          <w:szCs w:val="24"/>
        </w:rPr>
        <w:t xml:space="preserve">for referral to the Minister as a priority case. </w:t>
      </w:r>
    </w:p>
    <w:p w:rsidR="008F3A9F" w:rsidRPr="000C32C6" w:rsidRDefault="008F3A9F" w:rsidP="008B5D12">
      <w:pPr>
        <w:pStyle w:val="Titolo2"/>
        <w:tabs>
          <w:tab w:val="num" w:pos="1135"/>
        </w:tabs>
      </w:pPr>
      <w:bookmarkStart w:id="101" w:name="_Toc514145982"/>
      <w:r w:rsidRPr="00E8427B">
        <w:t>Mental health issues</w:t>
      </w:r>
      <w:bookmarkEnd w:id="101"/>
    </w:p>
    <w:p w:rsidR="008F3A9F" w:rsidRDefault="008F3A9F" w:rsidP="008F3A9F">
      <w:pPr>
        <w:pStyle w:val="Paragrafoelenco"/>
        <w:rPr>
          <w:szCs w:val="24"/>
        </w:rPr>
      </w:pPr>
    </w:p>
    <w:p w:rsidR="008F3A9F" w:rsidRPr="00C01352" w:rsidRDefault="008F3A9F" w:rsidP="008F3A9F">
      <w:pPr>
        <w:pStyle w:val="Paragrafoelenco"/>
        <w:numPr>
          <w:ilvl w:val="0"/>
          <w:numId w:val="29"/>
        </w:numPr>
        <w:spacing w:before="240" w:after="240"/>
      </w:pPr>
      <w:r w:rsidRPr="00666B86">
        <w:rPr>
          <w:szCs w:val="24"/>
        </w:rPr>
        <w:t xml:space="preserve">When the 2013 guidelines came into effect, survivors of torture and trauma were removed from the category of priority referrals. However, </w:t>
      </w:r>
      <w:r>
        <w:rPr>
          <w:szCs w:val="24"/>
        </w:rPr>
        <w:t xml:space="preserve">the </w:t>
      </w:r>
      <w:r w:rsidRPr="00666B86">
        <w:rPr>
          <w:szCs w:val="24"/>
        </w:rPr>
        <w:t>the</w:t>
      </w:r>
      <w:r>
        <w:rPr>
          <w:szCs w:val="24"/>
        </w:rPr>
        <w:t>n</w:t>
      </w:r>
      <w:r w:rsidRPr="00666B86">
        <w:rPr>
          <w:szCs w:val="24"/>
        </w:rPr>
        <w:t xml:space="preserve"> Minister indicated that he would consider exercising his discretion in favour </w:t>
      </w:r>
      <w:r>
        <w:rPr>
          <w:szCs w:val="24"/>
        </w:rPr>
        <w:t xml:space="preserve">of single adults with ‘diagnosed mental illness’. This was retained, although slightly modified, in the 2014 and 2015 Guidelines which stated that the Minister would consider referrals of single adults if they had ‘ongoing illnesses, including mental health illnesses, requiring ongoing medical intervention’. </w:t>
      </w:r>
    </w:p>
    <w:p w:rsidR="008F3A9F" w:rsidRDefault="008F3A9F" w:rsidP="008F3A9F">
      <w:pPr>
        <w:pStyle w:val="Paragrafoelenco"/>
      </w:pPr>
    </w:p>
    <w:p w:rsidR="001C5E5B" w:rsidRDefault="001C5E5B">
      <w:r>
        <w:br w:type="page"/>
      </w:r>
    </w:p>
    <w:p w:rsidR="008F3A9F" w:rsidRDefault="008F3A9F" w:rsidP="008F3A9F">
      <w:pPr>
        <w:pStyle w:val="Paragrafoelenco"/>
        <w:numPr>
          <w:ilvl w:val="0"/>
          <w:numId w:val="29"/>
        </w:numPr>
        <w:spacing w:before="240" w:after="240"/>
      </w:pPr>
      <w:r>
        <w:t xml:space="preserve">The health sections of </w:t>
      </w:r>
      <w:r w:rsidRPr="00715979">
        <w:rPr>
          <w:szCs w:val="24"/>
        </w:rPr>
        <w:t xml:space="preserve">Mr </w:t>
      </w:r>
      <w:r>
        <w:rPr>
          <w:szCs w:val="24"/>
        </w:rPr>
        <w:t>AM’s</w:t>
      </w:r>
      <w:r w:rsidRPr="00715979">
        <w:rPr>
          <w:szCs w:val="24"/>
        </w:rPr>
        <w:t xml:space="preserve"> </w:t>
      </w:r>
      <w:r w:rsidR="00486D85">
        <w:t>c</w:t>
      </w:r>
      <w:r>
        <w:t xml:space="preserve">ase </w:t>
      </w:r>
      <w:r w:rsidR="00486D85">
        <w:t>r</w:t>
      </w:r>
      <w:r>
        <w:t xml:space="preserve">eviews are heavily </w:t>
      </w:r>
      <w:proofErr w:type="gramStart"/>
      <w:r>
        <w:t>redacted</w:t>
      </w:r>
      <w:proofErr w:type="gramEnd"/>
      <w:r>
        <w:t xml:space="preserve"> and I have little information available to me about his mental health. I note, however, that in Mr </w:t>
      </w:r>
      <w:r>
        <w:rPr>
          <w:szCs w:val="24"/>
        </w:rPr>
        <w:t>AM’s</w:t>
      </w:r>
      <w:r w:rsidRPr="00715979">
        <w:rPr>
          <w:szCs w:val="24"/>
        </w:rPr>
        <w:t xml:space="preserve"> </w:t>
      </w:r>
      <w:r>
        <w:t>complaint to the Commission dated 22 March 2016, and provided to the department on 2 June 2016, he said:</w:t>
      </w:r>
    </w:p>
    <w:p w:rsidR="008F3A9F" w:rsidRDefault="008F3A9F" w:rsidP="008F3A9F">
      <w:pPr>
        <w:pStyle w:val="Paragrafoelenco"/>
      </w:pPr>
    </w:p>
    <w:p w:rsidR="008F3A9F" w:rsidRDefault="008F3A9F" w:rsidP="008F3A9F">
      <w:pPr>
        <w:pStyle w:val="Paragrafoelenco"/>
        <w:spacing w:before="240" w:after="240"/>
        <w:ind w:left="1701"/>
        <w:rPr>
          <w:sz w:val="22"/>
          <w:szCs w:val="22"/>
        </w:rPr>
      </w:pPr>
      <w:r w:rsidRPr="004764E3">
        <w:rPr>
          <w:sz w:val="22"/>
          <w:szCs w:val="22"/>
        </w:rPr>
        <w:t>I am very mentally distressed by my situation. I have lost hope, I feel helpless and suicidal</w:t>
      </w:r>
      <w:r>
        <w:rPr>
          <w:sz w:val="22"/>
          <w:szCs w:val="22"/>
        </w:rPr>
        <w:t xml:space="preserve"> </w:t>
      </w:r>
      <w:r w:rsidRPr="004764E3">
        <w:rPr>
          <w:sz w:val="22"/>
          <w:szCs w:val="22"/>
        </w:rPr>
        <w:t>…</w:t>
      </w:r>
      <w:r>
        <w:rPr>
          <w:sz w:val="22"/>
          <w:szCs w:val="22"/>
        </w:rPr>
        <w:t xml:space="preserve"> </w:t>
      </w:r>
      <w:r w:rsidRPr="004764E3">
        <w:rPr>
          <w:sz w:val="22"/>
          <w:szCs w:val="22"/>
        </w:rPr>
        <w:t>I have seen International He</w:t>
      </w:r>
      <w:r>
        <w:rPr>
          <w:sz w:val="22"/>
          <w:szCs w:val="22"/>
        </w:rPr>
        <w:t>alth</w:t>
      </w:r>
      <w:r w:rsidRPr="004764E3">
        <w:rPr>
          <w:sz w:val="22"/>
          <w:szCs w:val="22"/>
        </w:rPr>
        <w:t xml:space="preserve"> and Medical Services staff about my </w:t>
      </w:r>
      <w:proofErr w:type="gramStart"/>
      <w:r w:rsidRPr="004764E3">
        <w:rPr>
          <w:sz w:val="22"/>
          <w:szCs w:val="22"/>
        </w:rPr>
        <w:t>issues</w:t>
      </w:r>
      <w:proofErr w:type="gramEnd"/>
      <w:r w:rsidRPr="004764E3">
        <w:rPr>
          <w:sz w:val="22"/>
          <w:szCs w:val="22"/>
        </w:rPr>
        <w:t xml:space="preserve"> but this hasn’t helped much. I have only been prescribed sleeping tablets. I haven’t been able to see mental health specialists for ongoing help such as a counsellor, psychologist and/or psychiatrist. Due to this lack of consistent support and the length of my detention, my mental health has been greatly deteriorating.</w:t>
      </w:r>
    </w:p>
    <w:p w:rsidR="008F3A9F" w:rsidRDefault="008F3A9F" w:rsidP="008F3A9F">
      <w:pPr>
        <w:pStyle w:val="Paragrafoelenco"/>
        <w:spacing w:before="240" w:after="240"/>
        <w:ind w:left="1440"/>
        <w:rPr>
          <w:sz w:val="22"/>
          <w:szCs w:val="22"/>
        </w:rPr>
      </w:pPr>
    </w:p>
    <w:p w:rsidR="008F3A9F" w:rsidRDefault="008F3A9F" w:rsidP="008F3A9F">
      <w:pPr>
        <w:pStyle w:val="Paragrafoelenco"/>
        <w:numPr>
          <w:ilvl w:val="0"/>
          <w:numId w:val="29"/>
        </w:numPr>
        <w:spacing w:before="240" w:after="240"/>
      </w:pPr>
      <w:r>
        <w:t>It is also apparent from a partially redacted email dated 13 April 2016 provided to the Commission by the department, that Mr AM’s mental health was a live concern among departmental staff. While the email is redacted, it appears to be from a Detainee Status Resolution Officer to another officer of the department. The Resolution Officer stated:</w:t>
      </w:r>
    </w:p>
    <w:p w:rsidR="008F3A9F" w:rsidRPr="00FE4522" w:rsidRDefault="008F3A9F" w:rsidP="008F3A9F">
      <w:pPr>
        <w:spacing w:before="240" w:after="240"/>
        <w:ind w:left="1701"/>
        <w:rPr>
          <w:sz w:val="22"/>
          <w:szCs w:val="22"/>
        </w:rPr>
      </w:pPr>
      <w:r w:rsidRPr="00FE4522">
        <w:rPr>
          <w:sz w:val="22"/>
          <w:szCs w:val="22"/>
        </w:rPr>
        <w:t xml:space="preserve">The original CCRS referral for MR </w:t>
      </w:r>
      <w:r>
        <w:rPr>
          <w:sz w:val="22"/>
          <w:szCs w:val="22"/>
        </w:rPr>
        <w:t>[AM]</w:t>
      </w:r>
      <w:r w:rsidRPr="00FE4522">
        <w:rPr>
          <w:sz w:val="22"/>
          <w:szCs w:val="22"/>
        </w:rPr>
        <w:t xml:space="preserve"> was in December 2015</w:t>
      </w:r>
      <w:r>
        <w:rPr>
          <w:sz w:val="22"/>
          <w:szCs w:val="22"/>
        </w:rPr>
        <w:t xml:space="preserve"> </w:t>
      </w:r>
      <w:r w:rsidRPr="00FE4522">
        <w:rPr>
          <w:sz w:val="22"/>
          <w:szCs w:val="22"/>
        </w:rPr>
        <w:t>…</w:t>
      </w:r>
      <w:r>
        <w:rPr>
          <w:sz w:val="22"/>
          <w:szCs w:val="22"/>
        </w:rPr>
        <w:t xml:space="preserve"> </w:t>
      </w:r>
      <w:r w:rsidRPr="00FE4522">
        <w:rPr>
          <w:sz w:val="22"/>
          <w:szCs w:val="22"/>
        </w:rPr>
        <w:t>and his decline in Mental Health has exacerbated since this time.</w:t>
      </w:r>
    </w:p>
    <w:p w:rsidR="008F3A9F" w:rsidRDefault="008F3A9F" w:rsidP="008F3A9F">
      <w:pPr>
        <w:spacing w:before="240" w:after="240"/>
        <w:ind w:left="1701"/>
      </w:pPr>
      <w:r w:rsidRPr="00FE4522">
        <w:rPr>
          <w:sz w:val="22"/>
          <w:szCs w:val="22"/>
        </w:rPr>
        <w:t xml:space="preserve">If </w:t>
      </w:r>
      <w:proofErr w:type="gramStart"/>
      <w:r w:rsidRPr="00FE4522">
        <w:rPr>
          <w:sz w:val="22"/>
          <w:szCs w:val="22"/>
        </w:rPr>
        <w:t>possible</w:t>
      </w:r>
      <w:proofErr w:type="gramEnd"/>
      <w:r w:rsidRPr="00FE4522">
        <w:rPr>
          <w:sz w:val="22"/>
          <w:szCs w:val="22"/>
        </w:rPr>
        <w:t xml:space="preserve"> can you escalate this case at your end?</w:t>
      </w:r>
    </w:p>
    <w:p w:rsidR="008F3A9F" w:rsidRDefault="008F3A9F" w:rsidP="008F3A9F">
      <w:pPr>
        <w:pStyle w:val="Paragrafoelenco"/>
        <w:numPr>
          <w:ilvl w:val="0"/>
          <w:numId w:val="29"/>
        </w:numPr>
        <w:spacing w:before="240" w:after="240"/>
      </w:pPr>
      <w:r>
        <w:t>Additionally, a guideline assessment decision of 18 May 2016 stated:</w:t>
      </w:r>
    </w:p>
    <w:p w:rsidR="008F3A9F" w:rsidRPr="00164D97" w:rsidRDefault="008F3A9F" w:rsidP="008F3A9F">
      <w:pPr>
        <w:spacing w:before="240" w:after="240"/>
        <w:ind w:left="1701"/>
        <w:rPr>
          <w:sz w:val="22"/>
          <w:szCs w:val="22"/>
        </w:rPr>
      </w:pPr>
      <w:r w:rsidRPr="00164D97">
        <w:rPr>
          <w:sz w:val="22"/>
          <w:szCs w:val="22"/>
        </w:rPr>
        <w:t xml:space="preserve">Mr </w:t>
      </w:r>
      <w:r>
        <w:rPr>
          <w:sz w:val="22"/>
          <w:szCs w:val="22"/>
        </w:rPr>
        <w:t>[AM]</w:t>
      </w:r>
      <w:r w:rsidRPr="00164D97">
        <w:rPr>
          <w:sz w:val="22"/>
          <w:szCs w:val="22"/>
        </w:rPr>
        <w:t xml:space="preserve"> has a history of mental health issues associated with the length of time he has been in held immigration detention and has been diagnosed with an Adjustment disorder. He engages with members of the mental health team for assessment and supportive counselling and is compliant with his current antidepressant medication regime. </w:t>
      </w:r>
    </w:p>
    <w:p w:rsidR="008F3A9F" w:rsidRDefault="008F3A9F" w:rsidP="008F3A9F">
      <w:pPr>
        <w:pStyle w:val="Paragrafoelenco"/>
        <w:numPr>
          <w:ilvl w:val="0"/>
          <w:numId w:val="29"/>
        </w:numPr>
        <w:spacing w:before="240" w:after="240"/>
      </w:pPr>
      <w:r>
        <w:t xml:space="preserve">Based on the documentation before me, it appears that, at some stage over the past </w:t>
      </w:r>
      <w:r w:rsidRPr="00B36442">
        <w:t>64 months</w:t>
      </w:r>
      <w:r>
        <w:t xml:space="preserve">, </w:t>
      </w:r>
      <w:r w:rsidRPr="00715979">
        <w:rPr>
          <w:szCs w:val="24"/>
        </w:rPr>
        <w:t xml:space="preserve">Mr </w:t>
      </w:r>
      <w:r>
        <w:rPr>
          <w:szCs w:val="24"/>
        </w:rPr>
        <w:t xml:space="preserve">AM may have become a person with a ‘diagnosed mental illness’ or a ‘mental health illness requiring ongoing medical intervention’ appropriate for referral under the 2013 or subsequent guidelines. </w:t>
      </w:r>
      <w:r>
        <w:t xml:space="preserve">  </w:t>
      </w:r>
    </w:p>
    <w:p w:rsidR="008F3A9F" w:rsidRDefault="008F3A9F" w:rsidP="008B5D12">
      <w:pPr>
        <w:pStyle w:val="Titolo2"/>
        <w:tabs>
          <w:tab w:val="num" w:pos="1135"/>
        </w:tabs>
      </w:pPr>
      <w:bookmarkStart w:id="102" w:name="_Toc514145983"/>
      <w:r>
        <w:t>Unique or Exceptional Circumstances</w:t>
      </w:r>
      <w:bookmarkEnd w:id="102"/>
    </w:p>
    <w:p w:rsidR="008F3A9F" w:rsidRDefault="008F3A9F" w:rsidP="008F3A9F">
      <w:pPr>
        <w:numPr>
          <w:ilvl w:val="0"/>
          <w:numId w:val="29"/>
        </w:numPr>
        <w:spacing w:before="240" w:after="240"/>
      </w:pPr>
      <w:r>
        <w:rPr>
          <w:szCs w:val="24"/>
        </w:rPr>
        <w:t xml:space="preserve">A provision permitting the referral of a detainee to the Minister under s 197AB in ‘unique or exceptional circumstances’ is found in each set of guidelines applying to Mr AM’s circumstances, until the 2016 guidelines. In the 2016 guidelines, the phrase ‘unique or extraordinary circumstances’ is replaced by the phrase ‘compelling and compassionate circumstances’. </w:t>
      </w:r>
    </w:p>
    <w:p w:rsidR="001C5E5B" w:rsidRDefault="001C5E5B">
      <w:r>
        <w:br w:type="page"/>
      </w:r>
    </w:p>
    <w:p w:rsidR="008F3A9F" w:rsidRDefault="008F3A9F" w:rsidP="008F3A9F">
      <w:pPr>
        <w:numPr>
          <w:ilvl w:val="0"/>
          <w:numId w:val="29"/>
        </w:numPr>
        <w:spacing w:before="240" w:after="240"/>
      </w:pPr>
      <w:r>
        <w:t xml:space="preserve">The phrase ‘unique or exceptional circumstances’ is not defined in the residence determination </w:t>
      </w:r>
      <w:proofErr w:type="gramStart"/>
      <w:r>
        <w:t>guidelines,</w:t>
      </w:r>
      <w:proofErr w:type="gramEnd"/>
      <w:r>
        <w:t xml:space="preserve"> however it is defined in similar guidelines relating to the Minister’s power to grant visas in the public interest.</w:t>
      </w:r>
      <w:r>
        <w:rPr>
          <w:rStyle w:val="Rimandonotadichiusura"/>
        </w:rPr>
        <w:endnoteReference w:id="11"/>
      </w:r>
      <w:r>
        <w:t xml:space="preserve"> In those guidelines, factors that are relevant to an assessment of unique or exceptional circumstances include:</w:t>
      </w:r>
    </w:p>
    <w:p w:rsidR="008F3A9F" w:rsidRPr="002A4AB0" w:rsidRDefault="008F3A9F" w:rsidP="008F3A9F">
      <w:pPr>
        <w:pStyle w:val="Paragrafoelenco"/>
        <w:numPr>
          <w:ilvl w:val="0"/>
          <w:numId w:val="33"/>
        </w:numPr>
        <w:spacing w:before="120" w:after="120"/>
        <w:ind w:left="1701" w:hanging="261"/>
        <w:contextualSpacing w:val="0"/>
        <w:rPr>
          <w:szCs w:val="24"/>
        </w:rPr>
      </w:pPr>
      <w:r w:rsidRPr="00127C3F">
        <w:rPr>
          <w:szCs w:val="24"/>
        </w:rPr>
        <w:t xml:space="preserve">circumstances </w:t>
      </w:r>
      <w:r>
        <w:rPr>
          <w:szCs w:val="24"/>
        </w:rPr>
        <w:t>that may bring Australia’s obligations as a party to the ICCPR into consideration</w:t>
      </w:r>
    </w:p>
    <w:p w:rsidR="008F3A9F" w:rsidRDefault="008F3A9F" w:rsidP="008F3A9F">
      <w:pPr>
        <w:pStyle w:val="Paragrafoelenco"/>
        <w:numPr>
          <w:ilvl w:val="0"/>
          <w:numId w:val="33"/>
        </w:numPr>
        <w:spacing w:before="120" w:after="120"/>
        <w:ind w:left="1701" w:hanging="261"/>
        <w:contextualSpacing w:val="0"/>
        <w:rPr>
          <w:szCs w:val="24"/>
        </w:rPr>
      </w:pPr>
      <w:r>
        <w:rPr>
          <w:szCs w:val="24"/>
        </w:rPr>
        <w:t xml:space="preserve">the length of time the person has been present in Australia (including time spent in detention), and </w:t>
      </w:r>
    </w:p>
    <w:p w:rsidR="008F3A9F" w:rsidRPr="00D01815" w:rsidRDefault="008F3A9F" w:rsidP="008F3A9F">
      <w:pPr>
        <w:pStyle w:val="Paragrafoelenco"/>
        <w:numPr>
          <w:ilvl w:val="0"/>
          <w:numId w:val="33"/>
        </w:numPr>
        <w:spacing w:before="120" w:after="120"/>
        <w:ind w:left="1701" w:hanging="261"/>
        <w:contextualSpacing w:val="0"/>
        <w:rPr>
          <w:szCs w:val="24"/>
        </w:rPr>
      </w:pPr>
      <w:r w:rsidRPr="00D01815">
        <w:rPr>
          <w:szCs w:val="24"/>
        </w:rPr>
        <w:t xml:space="preserve">compassionate circumstances regarding the age and/or health and/or psychological state of the person such that a failure to recognise them would result in irreparable harm and continuing hardship to the person. </w:t>
      </w:r>
    </w:p>
    <w:p w:rsidR="008F3A9F" w:rsidRDefault="008F3A9F" w:rsidP="008F3A9F">
      <w:pPr>
        <w:numPr>
          <w:ilvl w:val="0"/>
          <w:numId w:val="29"/>
        </w:numPr>
        <w:spacing w:before="240" w:after="240"/>
      </w:pPr>
      <w:r>
        <w:t xml:space="preserve">Viewed cumulatively, I consider the following factors relevant to my assessment that Mr AM’s case has ‘unique or exceptional circumstances’: </w:t>
      </w:r>
    </w:p>
    <w:p w:rsidR="008F3A9F" w:rsidRDefault="008F3A9F" w:rsidP="008F3A9F">
      <w:pPr>
        <w:numPr>
          <w:ilvl w:val="1"/>
          <w:numId w:val="29"/>
        </w:numPr>
        <w:tabs>
          <w:tab w:val="clear" w:pos="1440"/>
          <w:tab w:val="num" w:pos="1701"/>
        </w:tabs>
        <w:spacing w:before="240" w:after="240"/>
        <w:ind w:left="1701" w:hanging="283"/>
      </w:pPr>
      <w:r>
        <w:t xml:space="preserve">he has disclosed a history of torture and trauma </w:t>
      </w:r>
    </w:p>
    <w:p w:rsidR="008F3A9F" w:rsidRDefault="008F3A9F" w:rsidP="008F3A9F">
      <w:pPr>
        <w:numPr>
          <w:ilvl w:val="1"/>
          <w:numId w:val="29"/>
        </w:numPr>
        <w:tabs>
          <w:tab w:val="clear" w:pos="1440"/>
          <w:tab w:val="num" w:pos="1701"/>
        </w:tabs>
        <w:spacing w:before="240" w:after="240"/>
        <w:ind w:left="1701" w:hanging="283"/>
      </w:pPr>
      <w:r>
        <w:t>he has been detained in an immigration detention centre for over 5 years</w:t>
      </w:r>
    </w:p>
    <w:p w:rsidR="008F3A9F" w:rsidRDefault="008F3A9F" w:rsidP="008F3A9F">
      <w:pPr>
        <w:numPr>
          <w:ilvl w:val="1"/>
          <w:numId w:val="29"/>
        </w:numPr>
        <w:tabs>
          <w:tab w:val="clear" w:pos="1440"/>
          <w:tab w:val="num" w:pos="1701"/>
        </w:tabs>
        <w:spacing w:before="240" w:after="240"/>
        <w:ind w:left="1701" w:hanging="283"/>
      </w:pPr>
      <w:r>
        <w:t>he has indicated that his lengthy detention has caused him to feel helpless and suicidal</w:t>
      </w:r>
      <w:r w:rsidR="005019BE">
        <w:t xml:space="preserve">, and </w:t>
      </w:r>
    </w:p>
    <w:p w:rsidR="008F3A9F" w:rsidRPr="009174BC" w:rsidRDefault="008F3A9F" w:rsidP="008F3A9F">
      <w:pPr>
        <w:numPr>
          <w:ilvl w:val="1"/>
          <w:numId w:val="29"/>
        </w:numPr>
        <w:tabs>
          <w:tab w:val="clear" w:pos="1440"/>
          <w:tab w:val="num" w:pos="1701"/>
        </w:tabs>
        <w:spacing w:before="240" w:after="240"/>
        <w:ind w:left="1701" w:hanging="283"/>
      </w:pPr>
      <w:r>
        <w:t>the department has expressed concerns about the deterioration in Mr AM’s mental health caused by his prolonged detention.</w:t>
      </w:r>
    </w:p>
    <w:p w:rsidR="008F3A9F" w:rsidRDefault="008F3A9F" w:rsidP="004E0F4D">
      <w:pPr>
        <w:pStyle w:val="Titolo2"/>
        <w:tabs>
          <w:tab w:val="num" w:pos="1135"/>
        </w:tabs>
      </w:pPr>
      <w:bookmarkStart w:id="103" w:name="_Toc514145984"/>
      <w:r>
        <w:t>Finding 3: 197AB</w:t>
      </w:r>
      <w:bookmarkEnd w:id="103"/>
    </w:p>
    <w:p w:rsidR="008F3A9F" w:rsidRDefault="008F3A9F" w:rsidP="008F3A9F">
      <w:pPr>
        <w:pStyle w:val="Paragrafoelenco"/>
        <w:numPr>
          <w:ilvl w:val="0"/>
          <w:numId w:val="29"/>
        </w:numPr>
        <w:spacing w:before="240" w:after="240"/>
        <w:contextualSpacing w:val="0"/>
      </w:pPr>
      <w:r>
        <w:t>I find that the circumstances of Mr AM’s case permitted a referral to the Minister for consideration of exercising his power under s 197AB and that the failure of the department to make such a referral resulted in Mr AM’s continued detention becoming ‘arbitrary’, contrary to article 9(1) of the ICCPR.</w:t>
      </w:r>
    </w:p>
    <w:p w:rsidR="008F3A9F" w:rsidRPr="00BC1333" w:rsidRDefault="008F3A9F" w:rsidP="008F3A9F">
      <w:pPr>
        <w:pStyle w:val="Titolo1"/>
      </w:pPr>
      <w:bookmarkStart w:id="104" w:name="_Toc498937221"/>
      <w:bookmarkStart w:id="105" w:name="_Toc498937222"/>
      <w:bookmarkStart w:id="106" w:name="_Toc498937223"/>
      <w:bookmarkStart w:id="107" w:name="_Toc498937224"/>
      <w:bookmarkStart w:id="108" w:name="_Toc498937225"/>
      <w:bookmarkStart w:id="109" w:name="_Toc498937226"/>
      <w:bookmarkStart w:id="110" w:name="_Toc498937227"/>
      <w:bookmarkStart w:id="111" w:name="_Ref472516244"/>
      <w:bookmarkStart w:id="112" w:name="_Toc473014822"/>
      <w:bookmarkStart w:id="113" w:name="_Toc514145985"/>
      <w:bookmarkEnd w:id="104"/>
      <w:bookmarkEnd w:id="105"/>
      <w:bookmarkEnd w:id="106"/>
      <w:bookmarkEnd w:id="107"/>
      <w:bookmarkEnd w:id="108"/>
      <w:bookmarkEnd w:id="109"/>
      <w:bookmarkEnd w:id="110"/>
      <w:r>
        <w:t>Recommendations</w:t>
      </w:r>
      <w:bookmarkEnd w:id="111"/>
      <w:bookmarkEnd w:id="112"/>
      <w:bookmarkEnd w:id="113"/>
    </w:p>
    <w:p w:rsidR="008F3A9F" w:rsidRPr="00CA56D2" w:rsidRDefault="008F3A9F" w:rsidP="008F3A9F">
      <w:pPr>
        <w:pStyle w:val="Paragrafoelenco"/>
        <w:numPr>
          <w:ilvl w:val="0"/>
          <w:numId w:val="29"/>
        </w:numPr>
        <w:spacing w:before="240" w:after="240"/>
      </w:pPr>
      <w:r w:rsidRPr="00CA56D2">
        <w:rPr>
          <w:rFonts w:cs="Arial"/>
          <w:szCs w:val="24"/>
        </w:rPr>
        <w:t xml:space="preserve">For the reasons above, I have found that the Commonwealth’s failure </w:t>
      </w:r>
      <w:r>
        <w:rPr>
          <w:rFonts w:cs="Arial"/>
          <w:szCs w:val="24"/>
        </w:rPr>
        <w:t xml:space="preserve">to make timely referrals to the Minister for consideration of </w:t>
      </w:r>
      <w:r w:rsidRPr="00CA56D2">
        <w:rPr>
          <w:rFonts w:cs="Arial"/>
          <w:szCs w:val="24"/>
        </w:rPr>
        <w:t>alternatives to closed detention</w:t>
      </w:r>
      <w:r>
        <w:rPr>
          <w:rFonts w:cs="Arial"/>
          <w:szCs w:val="24"/>
        </w:rPr>
        <w:t xml:space="preserve"> under s 195A or 197AB</w:t>
      </w:r>
      <w:r w:rsidRPr="00CA56D2">
        <w:rPr>
          <w:rFonts w:cs="Arial"/>
          <w:szCs w:val="24"/>
        </w:rPr>
        <w:t xml:space="preserve"> </w:t>
      </w:r>
      <w:r>
        <w:rPr>
          <w:rFonts w:cs="Arial"/>
          <w:szCs w:val="24"/>
        </w:rPr>
        <w:t xml:space="preserve">of the Migration Act </w:t>
      </w:r>
      <w:r w:rsidRPr="00CA56D2">
        <w:rPr>
          <w:rFonts w:cs="Arial"/>
          <w:szCs w:val="24"/>
        </w:rPr>
        <w:t xml:space="preserve">was inconsistent with </w:t>
      </w:r>
      <w:r>
        <w:rPr>
          <w:rFonts w:cs="Arial"/>
          <w:szCs w:val="24"/>
        </w:rPr>
        <w:t xml:space="preserve">Mr AM’s rights under </w:t>
      </w:r>
      <w:r w:rsidRPr="00CA56D2">
        <w:rPr>
          <w:rFonts w:cs="Arial"/>
          <w:szCs w:val="24"/>
        </w:rPr>
        <w:t xml:space="preserve">article </w:t>
      </w:r>
      <w:r>
        <w:rPr>
          <w:rFonts w:cs="Arial"/>
          <w:szCs w:val="24"/>
        </w:rPr>
        <w:t>9</w:t>
      </w:r>
      <w:r w:rsidRPr="00CA56D2">
        <w:rPr>
          <w:rFonts w:cs="Arial"/>
          <w:szCs w:val="24"/>
        </w:rPr>
        <w:t xml:space="preserve"> of the ICCPR. </w:t>
      </w:r>
      <w:bookmarkStart w:id="114" w:name="_Toc438218056"/>
    </w:p>
    <w:p w:rsidR="008F3A9F" w:rsidRPr="00CA56D2" w:rsidRDefault="008F3A9F" w:rsidP="008F3A9F">
      <w:pPr>
        <w:pStyle w:val="Paragrafoelenco"/>
        <w:spacing w:before="240" w:after="240"/>
      </w:pPr>
    </w:p>
    <w:p w:rsidR="008F3A9F" w:rsidRPr="009E1A44" w:rsidRDefault="008F3A9F" w:rsidP="008F3A9F">
      <w:pPr>
        <w:pStyle w:val="Paragrafoelenco"/>
        <w:numPr>
          <w:ilvl w:val="0"/>
          <w:numId w:val="29"/>
        </w:numPr>
        <w:spacing w:before="240" w:after="240"/>
      </w:pPr>
      <w:r w:rsidRPr="00CA56D2">
        <w:rPr>
          <w:rFonts w:cs="Arial"/>
          <w:szCs w:val="24"/>
        </w:rPr>
        <w:t>Where, after conducting an inquiry, the Commission finds that an act or practice engaged in by a</w:t>
      </w:r>
      <w:r>
        <w:rPr>
          <w:rFonts w:cs="Arial"/>
          <w:szCs w:val="24"/>
        </w:rPr>
        <w:t xml:space="preserve"> respondent is inconsistent with, or contrary to, </w:t>
      </w:r>
      <w:r w:rsidRPr="00CA56D2">
        <w:rPr>
          <w:rFonts w:cs="Arial"/>
          <w:szCs w:val="24"/>
        </w:rPr>
        <w:t>any human right, the Commission is required to serve notice on the respondent setting out its findings and reasons for those findings.</w:t>
      </w:r>
      <w:r w:rsidRPr="007650BD">
        <w:rPr>
          <w:rStyle w:val="Rimandonotadichiusura"/>
          <w:szCs w:val="24"/>
        </w:rPr>
        <w:endnoteReference w:id="12"/>
      </w:r>
      <w:r w:rsidRPr="00CA56D2">
        <w:rPr>
          <w:szCs w:val="24"/>
        </w:rPr>
        <w:t xml:space="preserve"> </w:t>
      </w:r>
      <w:r w:rsidRPr="00CA56D2">
        <w:rPr>
          <w:rFonts w:cs="Arial"/>
          <w:szCs w:val="24"/>
        </w:rPr>
        <w:t>The Commission may include in the notice any recommendation for preventing a repetition of the act or a continuation of the practice.</w:t>
      </w:r>
      <w:r w:rsidRPr="007650BD">
        <w:rPr>
          <w:rStyle w:val="Rimandonotadichiusura"/>
          <w:szCs w:val="24"/>
        </w:rPr>
        <w:endnoteReference w:id="13"/>
      </w:r>
      <w:r>
        <w:rPr>
          <w:rFonts w:cs="Arial"/>
          <w:szCs w:val="24"/>
        </w:rPr>
        <w:t xml:space="preserve"> </w:t>
      </w:r>
      <w:r w:rsidRPr="006E1A9A">
        <w:rPr>
          <w:szCs w:val="24"/>
        </w:rPr>
        <w:t xml:space="preserve">The Commission may also recommend </w:t>
      </w:r>
      <w:r>
        <w:rPr>
          <w:szCs w:val="24"/>
        </w:rPr>
        <w:t>o</w:t>
      </w:r>
      <w:r w:rsidRPr="006E1A9A">
        <w:rPr>
          <w:szCs w:val="24"/>
        </w:rPr>
        <w:t>ther action to remedy or reduce the loss or damage suffered by a person.</w:t>
      </w:r>
      <w:r w:rsidRPr="0003323A">
        <w:rPr>
          <w:rStyle w:val="Rimandonotadichiusura"/>
          <w:szCs w:val="24"/>
        </w:rPr>
        <w:endnoteReference w:id="14"/>
      </w:r>
    </w:p>
    <w:p w:rsidR="008F3A9F" w:rsidRDefault="008F3A9F" w:rsidP="008F3A9F">
      <w:pPr>
        <w:pStyle w:val="Paragrafoelenco"/>
      </w:pPr>
    </w:p>
    <w:p w:rsidR="001C5E5B" w:rsidRDefault="001C5E5B">
      <w:r>
        <w:br w:type="page"/>
      </w:r>
    </w:p>
    <w:p w:rsidR="008F3A9F" w:rsidRDefault="008F3A9F" w:rsidP="008F3A9F">
      <w:pPr>
        <w:pStyle w:val="Paragrafoelenco"/>
        <w:numPr>
          <w:ilvl w:val="0"/>
          <w:numId w:val="29"/>
        </w:numPr>
        <w:spacing w:before="240" w:after="240"/>
      </w:pPr>
      <w:r>
        <w:t>In an effort to ensure that Mr AM, and individuals in similar circumstances, are not held indefinitely in immigration detention without due consideration of their individual circumstances and period of detention, as well as what risk they may pose if placed in a less restrictive environment, I make the following recommendations:</w:t>
      </w:r>
    </w:p>
    <w:p w:rsidR="008F3A9F" w:rsidRPr="004E0F4D" w:rsidRDefault="004E0F4D" w:rsidP="004E0F4D">
      <w:pPr>
        <w:spacing w:before="240" w:after="240"/>
        <w:ind w:left="1440"/>
        <w:rPr>
          <w:b/>
          <w:sz w:val="22"/>
          <w:szCs w:val="22"/>
        </w:rPr>
      </w:pPr>
      <w:r>
        <w:rPr>
          <w:b/>
          <w:sz w:val="22"/>
          <w:szCs w:val="22"/>
        </w:rPr>
        <w:t>Recommendation 1</w:t>
      </w:r>
    </w:p>
    <w:p w:rsidR="008F3A9F" w:rsidRPr="004E0F4D" w:rsidRDefault="008F3A9F" w:rsidP="004E0F4D">
      <w:pPr>
        <w:spacing w:before="240" w:after="240"/>
        <w:ind w:left="1440"/>
        <w:rPr>
          <w:sz w:val="22"/>
          <w:szCs w:val="22"/>
        </w:rPr>
      </w:pPr>
      <w:r w:rsidRPr="004E0F4D">
        <w:rPr>
          <w:sz w:val="22"/>
          <w:szCs w:val="22"/>
        </w:rPr>
        <w:t>The Minister indicate to his department that categorisation as a ‘Category 2 behavioural detainee’ should not be a reason for delay in referral under s 195A of the Migration Act — unless an individualised assessment suggests that continuing detention in a closed facility is reasonabl</w:t>
      </w:r>
      <w:r w:rsidR="007D52CC">
        <w:rPr>
          <w:sz w:val="22"/>
          <w:szCs w:val="22"/>
        </w:rPr>
        <w:t>e, necessary and proportionate.</w:t>
      </w:r>
    </w:p>
    <w:p w:rsidR="008F3A9F" w:rsidRPr="004E0F4D" w:rsidRDefault="008F3A9F" w:rsidP="004E0F4D">
      <w:pPr>
        <w:spacing w:before="240" w:after="240"/>
        <w:ind w:left="1440"/>
        <w:rPr>
          <w:b/>
          <w:sz w:val="22"/>
          <w:szCs w:val="22"/>
        </w:rPr>
      </w:pPr>
      <w:r w:rsidRPr="004E0F4D">
        <w:rPr>
          <w:b/>
          <w:sz w:val="22"/>
          <w:szCs w:val="22"/>
        </w:rPr>
        <w:t>Recommendation 2</w:t>
      </w:r>
    </w:p>
    <w:p w:rsidR="008F3A9F" w:rsidRPr="004E0F4D" w:rsidRDefault="008F3A9F" w:rsidP="004E0F4D">
      <w:pPr>
        <w:spacing w:before="240" w:after="240"/>
        <w:ind w:left="1440"/>
        <w:rPr>
          <w:sz w:val="22"/>
          <w:szCs w:val="22"/>
        </w:rPr>
      </w:pPr>
      <w:r w:rsidRPr="004E0F4D">
        <w:rPr>
          <w:sz w:val="22"/>
          <w:szCs w:val="22"/>
        </w:rPr>
        <w:t>The Minister indicate to his department that the definition of a ‘Category 2 (behavioural detainee)’ be amended to include a timeframe in the first section, such as:</w:t>
      </w:r>
    </w:p>
    <w:p w:rsidR="008F3A9F" w:rsidRDefault="008F3A9F" w:rsidP="004E0F4D">
      <w:pPr>
        <w:pStyle w:val="SubmissionNormal"/>
        <w:numPr>
          <w:ilvl w:val="0"/>
          <w:numId w:val="34"/>
        </w:numPr>
        <w:rPr>
          <w:sz w:val="22"/>
          <w:szCs w:val="22"/>
        </w:rPr>
      </w:pPr>
      <w:r>
        <w:rPr>
          <w:sz w:val="22"/>
          <w:szCs w:val="22"/>
        </w:rPr>
        <w:t>D</w:t>
      </w:r>
      <w:r w:rsidRPr="00B415E6">
        <w:rPr>
          <w:sz w:val="22"/>
          <w:szCs w:val="22"/>
        </w:rPr>
        <w:t>etainees who were p</w:t>
      </w:r>
      <w:r>
        <w:rPr>
          <w:sz w:val="22"/>
          <w:szCs w:val="22"/>
        </w:rPr>
        <w:t>reviously of interest to the AFP</w:t>
      </w:r>
      <w:r w:rsidRPr="00B415E6">
        <w:rPr>
          <w:sz w:val="22"/>
          <w:szCs w:val="22"/>
        </w:rPr>
        <w:t xml:space="preserve"> or local police, Detention Intelligence, Intelligence Analysis Section or National Security and Serious Crimes Reporting Team </w:t>
      </w:r>
      <w:r>
        <w:rPr>
          <w:b/>
          <w:sz w:val="22"/>
          <w:szCs w:val="22"/>
        </w:rPr>
        <w:t>within the past six</w:t>
      </w:r>
      <w:r w:rsidRPr="00F86BD8">
        <w:rPr>
          <w:b/>
          <w:sz w:val="22"/>
          <w:szCs w:val="22"/>
        </w:rPr>
        <w:t xml:space="preserve"> months</w:t>
      </w:r>
      <w:r w:rsidRPr="00B415E6">
        <w:rPr>
          <w:sz w:val="22"/>
          <w:szCs w:val="22"/>
        </w:rPr>
        <w:t xml:space="preserve"> (and are now cleared for B</w:t>
      </w:r>
      <w:r>
        <w:rPr>
          <w:sz w:val="22"/>
          <w:szCs w:val="22"/>
        </w:rPr>
        <w:t>V</w:t>
      </w:r>
      <w:r w:rsidRPr="00B415E6">
        <w:rPr>
          <w:sz w:val="22"/>
          <w:szCs w:val="22"/>
        </w:rPr>
        <w:t>E consideration). These detainees must never have been convicted of an offence (in Australia or overseas)</w:t>
      </w:r>
      <w:r w:rsidR="007D52CC">
        <w:rPr>
          <w:sz w:val="22"/>
          <w:szCs w:val="22"/>
        </w:rPr>
        <w:t>.</w:t>
      </w:r>
    </w:p>
    <w:p w:rsidR="008F3A9F" w:rsidRPr="00F86BD8" w:rsidRDefault="008F3A9F" w:rsidP="004E0F4D">
      <w:pPr>
        <w:pStyle w:val="SubmissionNormal"/>
        <w:numPr>
          <w:ilvl w:val="0"/>
          <w:numId w:val="34"/>
        </w:numPr>
        <w:rPr>
          <w:sz w:val="22"/>
          <w:szCs w:val="22"/>
        </w:rPr>
      </w:pPr>
      <w:r>
        <w:rPr>
          <w:sz w:val="22"/>
          <w:szCs w:val="22"/>
        </w:rPr>
        <w:t>D</w:t>
      </w:r>
      <w:r w:rsidRPr="00B415E6">
        <w:rPr>
          <w:sz w:val="22"/>
          <w:szCs w:val="22"/>
        </w:rPr>
        <w:t xml:space="preserve">etainees who were involved in a major/serious/critical behavioural incident in detention </w:t>
      </w:r>
      <w:r w:rsidRPr="004E0710">
        <w:rPr>
          <w:b/>
          <w:sz w:val="22"/>
          <w:szCs w:val="22"/>
        </w:rPr>
        <w:t>more than three months ago</w:t>
      </w:r>
      <w:r w:rsidRPr="00B415E6">
        <w:rPr>
          <w:sz w:val="22"/>
          <w:szCs w:val="22"/>
        </w:rPr>
        <w:t xml:space="preserve"> (whether or not they were referred to the AFP/local police). The incident must be finalised (and they cannot have had a criminal conviction). The date of the detainee’s last major/critical incident must be at least three months ago</w:t>
      </w:r>
      <w:r w:rsidR="007D52CC">
        <w:rPr>
          <w:sz w:val="22"/>
          <w:szCs w:val="22"/>
        </w:rPr>
        <w:t>.</w:t>
      </w:r>
    </w:p>
    <w:p w:rsidR="008F3A9F" w:rsidRPr="004E0F4D" w:rsidRDefault="008F3A9F" w:rsidP="004E0F4D">
      <w:pPr>
        <w:spacing w:before="240" w:after="240"/>
        <w:ind w:left="1440"/>
        <w:rPr>
          <w:sz w:val="22"/>
          <w:szCs w:val="22"/>
        </w:rPr>
      </w:pPr>
      <w:r w:rsidRPr="004E0F4D">
        <w:rPr>
          <w:sz w:val="22"/>
          <w:szCs w:val="22"/>
        </w:rPr>
        <w:t>This would be consistent with the timeframe of ‘more than three months ago’ in the second sect</w:t>
      </w:r>
      <w:r w:rsidR="007D52CC">
        <w:rPr>
          <w:sz w:val="22"/>
          <w:szCs w:val="22"/>
        </w:rPr>
        <w:t>ion of the existing definition.</w:t>
      </w:r>
    </w:p>
    <w:p w:rsidR="008F3A9F" w:rsidRPr="004E0F4D" w:rsidRDefault="008F3A9F" w:rsidP="004E0F4D">
      <w:pPr>
        <w:pStyle w:val="Paragrafoelenco"/>
        <w:spacing w:before="240" w:after="240"/>
        <w:ind w:left="1440"/>
        <w:rPr>
          <w:b/>
          <w:sz w:val="22"/>
          <w:szCs w:val="22"/>
        </w:rPr>
      </w:pPr>
      <w:r w:rsidRPr="004E0F4D">
        <w:rPr>
          <w:b/>
          <w:sz w:val="22"/>
          <w:szCs w:val="22"/>
        </w:rPr>
        <w:t>Recommendation 3</w:t>
      </w:r>
    </w:p>
    <w:p w:rsidR="008F3A9F" w:rsidRPr="004E0F4D" w:rsidRDefault="008F3A9F" w:rsidP="004E0F4D">
      <w:pPr>
        <w:spacing w:before="240" w:after="240"/>
        <w:ind w:left="1440"/>
        <w:rPr>
          <w:sz w:val="22"/>
          <w:szCs w:val="22"/>
        </w:rPr>
      </w:pPr>
      <w:r w:rsidRPr="004E0F4D">
        <w:rPr>
          <w:sz w:val="22"/>
          <w:szCs w:val="22"/>
        </w:rPr>
        <w:t>The Minister indicate to his department that he will consider referrals by the department for consideration under s 195A in circumstances where individuals have immigration matters outstanding before the courts, even if they are considered ‘finally determined’ under the Migration Act.</w:t>
      </w:r>
      <w:bookmarkEnd w:id="114"/>
    </w:p>
    <w:p w:rsidR="008F3A9F" w:rsidRPr="004E0F4D" w:rsidRDefault="008F3A9F" w:rsidP="004E0F4D">
      <w:pPr>
        <w:pStyle w:val="Paragrafoelenco"/>
        <w:spacing w:before="240" w:after="240"/>
        <w:ind w:left="1440"/>
        <w:rPr>
          <w:sz w:val="22"/>
          <w:szCs w:val="22"/>
        </w:rPr>
      </w:pPr>
      <w:r w:rsidRPr="004E0F4D">
        <w:rPr>
          <w:b/>
          <w:sz w:val="22"/>
          <w:szCs w:val="22"/>
        </w:rPr>
        <w:t xml:space="preserve">Recommendation 4 </w:t>
      </w:r>
    </w:p>
    <w:p w:rsidR="00424B1B" w:rsidRPr="004E0F4D" w:rsidRDefault="008F3A9F" w:rsidP="004E0F4D">
      <w:pPr>
        <w:spacing w:before="240" w:after="240"/>
        <w:ind w:left="1440"/>
        <w:rPr>
          <w:sz w:val="22"/>
          <w:szCs w:val="22"/>
        </w:rPr>
      </w:pPr>
      <w:r w:rsidRPr="004E0F4D">
        <w:rPr>
          <w:sz w:val="22"/>
          <w:szCs w:val="22"/>
        </w:rPr>
        <w:t>In the event that the Minister declines to intervene under s 195A, the Minister</w:t>
      </w:r>
      <w:r w:rsidR="001C67F0" w:rsidRPr="004E0F4D">
        <w:rPr>
          <w:sz w:val="22"/>
          <w:szCs w:val="22"/>
        </w:rPr>
        <w:t xml:space="preserve"> </w:t>
      </w:r>
      <w:r w:rsidRPr="004E0F4D">
        <w:rPr>
          <w:sz w:val="22"/>
          <w:szCs w:val="22"/>
        </w:rPr>
        <w:t>indicate to the department that he will consider a submission about the exercise</w:t>
      </w:r>
      <w:r w:rsidR="00715D91" w:rsidRPr="004E0F4D">
        <w:rPr>
          <w:sz w:val="22"/>
          <w:szCs w:val="22"/>
        </w:rPr>
        <w:t xml:space="preserve"> </w:t>
      </w:r>
      <w:r w:rsidRPr="004E0F4D">
        <w:rPr>
          <w:sz w:val="22"/>
          <w:szCs w:val="22"/>
        </w:rPr>
        <w:t>of his powers in relation to Mr AM and people in comparable situations under s 197AB.</w:t>
      </w:r>
    </w:p>
    <w:p w:rsidR="001C5E5B" w:rsidRDefault="001C5E5B">
      <w:pPr>
        <w:rPr>
          <w:b/>
          <w:bCs/>
          <w:sz w:val="28"/>
          <w:szCs w:val="28"/>
        </w:rPr>
      </w:pPr>
      <w:bookmarkStart w:id="115" w:name="_Toc514145986"/>
      <w:r>
        <w:br w:type="page"/>
      </w:r>
    </w:p>
    <w:p w:rsidR="00424B1B" w:rsidRPr="00424B1B" w:rsidRDefault="00424B1B" w:rsidP="00424B1B">
      <w:pPr>
        <w:pStyle w:val="Titolo1"/>
      </w:pPr>
      <w:r>
        <w:t>The department’s response to my findings and recommendations</w:t>
      </w:r>
      <w:bookmarkEnd w:id="115"/>
    </w:p>
    <w:p w:rsidR="00424B1B" w:rsidRPr="00424B1B" w:rsidRDefault="00424B1B" w:rsidP="00424B1B">
      <w:pPr>
        <w:pStyle w:val="Paragrafoelenco"/>
        <w:rPr>
          <w:b/>
        </w:rPr>
      </w:pPr>
    </w:p>
    <w:p w:rsidR="00CD6A1E" w:rsidRPr="0018395B" w:rsidRDefault="00CD6A1E" w:rsidP="0018395B">
      <w:pPr>
        <w:pStyle w:val="Paragrafoelenco"/>
        <w:numPr>
          <w:ilvl w:val="0"/>
          <w:numId w:val="29"/>
        </w:numPr>
        <w:spacing w:before="240" w:after="240"/>
        <w:rPr>
          <w:b/>
        </w:rPr>
      </w:pPr>
      <w:r>
        <w:t>On 2 February 2018, I provided the department with a notice of my findings and recommendations in respect of Mr AM’s complaint.</w:t>
      </w:r>
    </w:p>
    <w:p w:rsidR="0018395B" w:rsidRPr="0018395B" w:rsidRDefault="0018395B" w:rsidP="0018395B">
      <w:pPr>
        <w:pStyle w:val="Paragrafoelenco"/>
        <w:spacing w:before="240" w:after="240"/>
        <w:rPr>
          <w:b/>
        </w:rPr>
      </w:pPr>
    </w:p>
    <w:p w:rsidR="00424B1B" w:rsidRPr="00424B1B" w:rsidRDefault="00424B1B" w:rsidP="0018395B">
      <w:pPr>
        <w:pStyle w:val="Paragrafoelenco"/>
        <w:numPr>
          <w:ilvl w:val="0"/>
          <w:numId w:val="29"/>
        </w:numPr>
        <w:spacing w:before="240" w:after="240"/>
        <w:rPr>
          <w:b/>
        </w:rPr>
      </w:pPr>
      <w:r>
        <w:t xml:space="preserve">On 14 March 2018, the department provided the following response to my findings and recommendations: </w:t>
      </w:r>
    </w:p>
    <w:p w:rsidR="00424B1B" w:rsidRDefault="00424B1B" w:rsidP="00424B1B">
      <w:pPr>
        <w:pStyle w:val="Paragrafoelenco"/>
        <w:rPr>
          <w:b/>
        </w:rPr>
      </w:pPr>
    </w:p>
    <w:p w:rsidR="00D96C86" w:rsidRPr="00125A0D" w:rsidRDefault="00D96C86" w:rsidP="005B3E26">
      <w:pPr>
        <w:pStyle w:val="Paragrafoelenco"/>
        <w:spacing w:before="240" w:after="240"/>
        <w:ind w:left="1418"/>
        <w:rPr>
          <w:sz w:val="22"/>
          <w:szCs w:val="22"/>
        </w:rPr>
      </w:pPr>
      <w:r w:rsidRPr="00125A0D">
        <w:rPr>
          <w:sz w:val="22"/>
          <w:szCs w:val="22"/>
        </w:rPr>
        <w:t>The Department notes the findings of the AHRC in this case.</w:t>
      </w:r>
    </w:p>
    <w:p w:rsidR="00D96C86" w:rsidRPr="00125A0D" w:rsidRDefault="00D96C86" w:rsidP="005B3E26">
      <w:pPr>
        <w:pStyle w:val="Paragrafoelenco"/>
        <w:spacing w:before="240" w:after="240"/>
        <w:ind w:left="1418"/>
        <w:rPr>
          <w:sz w:val="22"/>
          <w:szCs w:val="22"/>
        </w:rPr>
      </w:pPr>
    </w:p>
    <w:p w:rsidR="00D96C86" w:rsidRPr="00125A0D" w:rsidRDefault="00D96C86" w:rsidP="005B3E26">
      <w:pPr>
        <w:pStyle w:val="Paragrafoelenco"/>
        <w:spacing w:before="240" w:after="240"/>
        <w:ind w:left="1418"/>
        <w:rPr>
          <w:sz w:val="22"/>
          <w:szCs w:val="22"/>
        </w:rPr>
      </w:pPr>
      <w:r w:rsidRPr="00125A0D">
        <w:rPr>
          <w:sz w:val="22"/>
          <w:szCs w:val="22"/>
        </w:rPr>
        <w:t xml:space="preserve">The Department takes its obligations under the </w:t>
      </w:r>
      <w:r w:rsidRPr="00125A0D">
        <w:rPr>
          <w:i/>
          <w:sz w:val="22"/>
          <w:szCs w:val="22"/>
        </w:rPr>
        <w:t xml:space="preserve">International Covenant on Civil and Political Rights </w:t>
      </w:r>
      <w:r w:rsidRPr="00125A0D">
        <w:rPr>
          <w:sz w:val="22"/>
          <w:szCs w:val="22"/>
        </w:rPr>
        <w:t>(ICCPR) seriously. The Department maintains that Mr AM's placement in a detention centre was appropriate, reasonable and justified, in the individual circumstances of his case.</w:t>
      </w:r>
    </w:p>
    <w:p w:rsidR="00C6152A" w:rsidRPr="00125A0D" w:rsidRDefault="00C6152A" w:rsidP="005B3E26">
      <w:pPr>
        <w:pStyle w:val="Paragrafoelenco"/>
        <w:spacing w:before="240" w:after="240"/>
        <w:ind w:left="1418"/>
        <w:rPr>
          <w:sz w:val="22"/>
          <w:szCs w:val="22"/>
        </w:rPr>
      </w:pPr>
    </w:p>
    <w:p w:rsidR="00D96C86" w:rsidRPr="00125A0D" w:rsidRDefault="00D96C86" w:rsidP="005B3E26">
      <w:pPr>
        <w:pStyle w:val="Paragrafoelenco"/>
        <w:spacing w:before="240" w:after="240"/>
        <w:ind w:left="1418"/>
        <w:rPr>
          <w:sz w:val="22"/>
          <w:szCs w:val="22"/>
        </w:rPr>
      </w:pPr>
      <w:r w:rsidRPr="00125A0D">
        <w:rPr>
          <w:sz w:val="22"/>
          <w:szCs w:val="22"/>
        </w:rPr>
        <w:t>Mr AM</w:t>
      </w:r>
      <w:r w:rsidR="00F97BAB">
        <w:rPr>
          <w:sz w:val="22"/>
          <w:szCs w:val="22"/>
        </w:rPr>
        <w:t>’</w:t>
      </w:r>
      <w:r w:rsidRPr="00125A0D">
        <w:rPr>
          <w:sz w:val="22"/>
          <w:szCs w:val="22"/>
        </w:rPr>
        <w:t xml:space="preserve">s categorisation as a </w:t>
      </w:r>
      <w:r w:rsidR="00F97BAB">
        <w:rPr>
          <w:sz w:val="22"/>
          <w:szCs w:val="22"/>
        </w:rPr>
        <w:t>‘</w:t>
      </w:r>
      <w:r w:rsidRPr="00125A0D">
        <w:rPr>
          <w:sz w:val="22"/>
          <w:szCs w:val="22"/>
        </w:rPr>
        <w:t>behavioural detainee</w:t>
      </w:r>
      <w:r w:rsidR="00F97BAB">
        <w:rPr>
          <w:sz w:val="22"/>
          <w:szCs w:val="22"/>
        </w:rPr>
        <w:t>’</w:t>
      </w:r>
      <w:r w:rsidRPr="00125A0D">
        <w:rPr>
          <w:sz w:val="22"/>
          <w:szCs w:val="22"/>
        </w:rPr>
        <w:t xml:space="preserve"> did not cause a delay to his referral to the Minister.</w:t>
      </w:r>
    </w:p>
    <w:p w:rsidR="00D96C86" w:rsidRPr="00125A0D" w:rsidRDefault="00D96C86" w:rsidP="005B3E26">
      <w:pPr>
        <w:pStyle w:val="Paragrafoelenco"/>
        <w:spacing w:before="240" w:after="240"/>
        <w:ind w:left="1418"/>
        <w:rPr>
          <w:sz w:val="22"/>
          <w:szCs w:val="22"/>
        </w:rPr>
      </w:pPr>
    </w:p>
    <w:p w:rsidR="00D96C86" w:rsidRPr="00125A0D" w:rsidRDefault="00D96C86" w:rsidP="005B3E26">
      <w:pPr>
        <w:pStyle w:val="Paragrafoelenco"/>
        <w:spacing w:before="240" w:after="240"/>
        <w:ind w:left="1418"/>
        <w:rPr>
          <w:sz w:val="22"/>
          <w:szCs w:val="22"/>
        </w:rPr>
      </w:pPr>
      <w:r w:rsidRPr="00125A0D">
        <w:rPr>
          <w:sz w:val="22"/>
          <w:szCs w:val="22"/>
        </w:rPr>
        <w:t>In 2014, Mr AM had been found not to be owed protection at both primary stage and at merits review. At that time, Mr AM was expected to depart Australia. In line with Government policy at the time, it was considered inappropriate to refer such cases to the Minister under section 195A of the Act. However, Mr AM's case was regularly reviewed and assessed by the Department to ensure his placement in detention remained appropriate.</w:t>
      </w:r>
    </w:p>
    <w:p w:rsidR="00C6152A" w:rsidRPr="00125A0D" w:rsidRDefault="00C6152A" w:rsidP="005B3E26">
      <w:pPr>
        <w:pStyle w:val="Paragrafoelenco"/>
        <w:spacing w:before="240" w:after="240"/>
        <w:ind w:left="1418"/>
        <w:rPr>
          <w:sz w:val="22"/>
          <w:szCs w:val="22"/>
        </w:rPr>
      </w:pPr>
    </w:p>
    <w:p w:rsidR="00916B94" w:rsidRPr="00125A0D" w:rsidRDefault="00D96C86" w:rsidP="005B3E26">
      <w:pPr>
        <w:pStyle w:val="Paragrafoelenco"/>
        <w:spacing w:before="240" w:after="240"/>
        <w:ind w:left="1418"/>
        <w:rPr>
          <w:sz w:val="22"/>
          <w:szCs w:val="22"/>
        </w:rPr>
      </w:pPr>
      <w:r w:rsidRPr="00125A0D">
        <w:rPr>
          <w:sz w:val="22"/>
          <w:szCs w:val="22"/>
        </w:rPr>
        <w:t>Detention Review Committees are held monthly to review all cases in held detention to ensure the ongoing lawfulness and reasonableness of the decision to detain a person, by taking into account all the circumstances of the case, including adherence to legal obligations. This periodic review takes into account any changes in the client</w:t>
      </w:r>
      <w:r w:rsidR="00F97BAB">
        <w:rPr>
          <w:sz w:val="22"/>
          <w:szCs w:val="22"/>
        </w:rPr>
        <w:t>’</w:t>
      </w:r>
      <w:r w:rsidRPr="00125A0D">
        <w:rPr>
          <w:sz w:val="22"/>
          <w:szCs w:val="22"/>
        </w:rPr>
        <w:t xml:space="preserve">s circumstances that may affect immigration pathways including returns and </w:t>
      </w:r>
      <w:proofErr w:type="gramStart"/>
      <w:r w:rsidRPr="00125A0D">
        <w:rPr>
          <w:sz w:val="22"/>
          <w:szCs w:val="22"/>
        </w:rPr>
        <w:t>removal, and</w:t>
      </w:r>
      <w:proofErr w:type="gramEnd"/>
      <w:r w:rsidRPr="00125A0D">
        <w:rPr>
          <w:sz w:val="22"/>
          <w:szCs w:val="22"/>
        </w:rPr>
        <w:t xml:space="preserve"> ensures that alternative placement options have been duly considered. Mr AM</w:t>
      </w:r>
      <w:r w:rsidR="00F97BAB">
        <w:rPr>
          <w:sz w:val="22"/>
          <w:szCs w:val="22"/>
        </w:rPr>
        <w:t>’</w:t>
      </w:r>
      <w:r w:rsidRPr="00125A0D">
        <w:rPr>
          <w:sz w:val="22"/>
          <w:szCs w:val="22"/>
        </w:rPr>
        <w:t>s case was reviewed by the Detention Review Committee on 54 occasions, and these reviews determined that Mr AM</w:t>
      </w:r>
      <w:r w:rsidR="00F97BAB">
        <w:rPr>
          <w:sz w:val="22"/>
          <w:szCs w:val="22"/>
        </w:rPr>
        <w:t>’</w:t>
      </w:r>
      <w:r w:rsidRPr="00125A0D">
        <w:rPr>
          <w:sz w:val="22"/>
          <w:szCs w:val="22"/>
        </w:rPr>
        <w:t>s placement in immigration detention was appropriate.</w:t>
      </w:r>
    </w:p>
    <w:p w:rsidR="00916B94" w:rsidRPr="00125A0D" w:rsidRDefault="00916B94" w:rsidP="005B3E26">
      <w:pPr>
        <w:pStyle w:val="Paragrafoelenco"/>
        <w:spacing w:before="240" w:after="240"/>
        <w:ind w:left="1418"/>
        <w:rPr>
          <w:sz w:val="22"/>
          <w:szCs w:val="22"/>
        </w:rPr>
      </w:pPr>
    </w:p>
    <w:p w:rsidR="00916B94" w:rsidRPr="00125A0D" w:rsidRDefault="00916B94" w:rsidP="005B3E26">
      <w:pPr>
        <w:pStyle w:val="Paragrafoelenco"/>
        <w:spacing w:before="240" w:after="240"/>
        <w:ind w:left="1418"/>
        <w:rPr>
          <w:sz w:val="22"/>
          <w:szCs w:val="22"/>
        </w:rPr>
      </w:pPr>
      <w:r w:rsidRPr="00125A0D">
        <w:rPr>
          <w:sz w:val="22"/>
          <w:szCs w:val="22"/>
        </w:rPr>
        <w:t>Mr AM</w:t>
      </w:r>
      <w:r w:rsidR="00F97BAB">
        <w:rPr>
          <w:sz w:val="22"/>
          <w:szCs w:val="22"/>
        </w:rPr>
        <w:t>’</w:t>
      </w:r>
      <w:r w:rsidRPr="00125A0D">
        <w:rPr>
          <w:sz w:val="22"/>
          <w:szCs w:val="22"/>
        </w:rPr>
        <w:t>s case was referred for the Minister</w:t>
      </w:r>
      <w:r w:rsidR="00F97BAB">
        <w:rPr>
          <w:sz w:val="22"/>
          <w:szCs w:val="22"/>
        </w:rPr>
        <w:t>’</w:t>
      </w:r>
      <w:r w:rsidRPr="00125A0D">
        <w:rPr>
          <w:sz w:val="22"/>
          <w:szCs w:val="22"/>
        </w:rPr>
        <w:t xml:space="preserve">s consideration under section 195A of the </w:t>
      </w:r>
      <w:r w:rsidRPr="00125A0D">
        <w:rPr>
          <w:i/>
          <w:sz w:val="22"/>
          <w:szCs w:val="22"/>
        </w:rPr>
        <w:t xml:space="preserve">Migration Act </w:t>
      </w:r>
      <w:r w:rsidRPr="00125A0D">
        <w:rPr>
          <w:sz w:val="22"/>
          <w:szCs w:val="22"/>
        </w:rPr>
        <w:t>1958 (the Act), on three separate occasions: August 2016, February 2017 and August 2017.</w:t>
      </w:r>
    </w:p>
    <w:p w:rsidR="00916B94" w:rsidRPr="00125A0D" w:rsidRDefault="00916B94" w:rsidP="005B3E26">
      <w:pPr>
        <w:pStyle w:val="Paragrafoelenco"/>
        <w:spacing w:before="240" w:after="240"/>
        <w:ind w:left="1418"/>
        <w:rPr>
          <w:sz w:val="22"/>
          <w:szCs w:val="22"/>
        </w:rPr>
      </w:pPr>
    </w:p>
    <w:p w:rsidR="00D96C86" w:rsidRPr="00125A0D" w:rsidRDefault="00916B94" w:rsidP="00D60C1F">
      <w:pPr>
        <w:pStyle w:val="Paragrafoelenco"/>
        <w:spacing w:before="240" w:after="240"/>
        <w:ind w:left="1418"/>
        <w:rPr>
          <w:sz w:val="22"/>
          <w:szCs w:val="22"/>
        </w:rPr>
      </w:pPr>
      <w:r w:rsidRPr="00125A0D">
        <w:rPr>
          <w:sz w:val="22"/>
          <w:szCs w:val="22"/>
        </w:rPr>
        <w:t>On 24 November 2017, the Minister exercised his power under section 195A of the Act and released Mr AM into the community on a Bridging E visa (subclass 050) in association with the ongoing merits review of his Safe Haven Enterprise (subclass 790) visa application.</w:t>
      </w:r>
    </w:p>
    <w:p w:rsidR="00D60C1F" w:rsidRPr="00125A0D" w:rsidRDefault="00D60C1F" w:rsidP="00D60C1F">
      <w:pPr>
        <w:pStyle w:val="Paragrafoelenco"/>
        <w:spacing w:before="240" w:after="240"/>
        <w:ind w:left="1418"/>
        <w:rPr>
          <w:sz w:val="22"/>
          <w:szCs w:val="22"/>
        </w:rPr>
      </w:pPr>
    </w:p>
    <w:p w:rsidR="00916B94" w:rsidRPr="00125A0D" w:rsidRDefault="00D96C86" w:rsidP="00D60C1F">
      <w:pPr>
        <w:pStyle w:val="Paragrafoelenco"/>
        <w:spacing w:before="240" w:after="240"/>
        <w:ind w:left="1418"/>
        <w:rPr>
          <w:b/>
          <w:sz w:val="22"/>
          <w:szCs w:val="22"/>
        </w:rPr>
      </w:pPr>
      <w:r w:rsidRPr="00125A0D">
        <w:rPr>
          <w:b/>
          <w:sz w:val="22"/>
          <w:szCs w:val="22"/>
        </w:rPr>
        <w:t>Recommendation 1</w:t>
      </w:r>
    </w:p>
    <w:p w:rsidR="00E32CE7" w:rsidRPr="00125A0D" w:rsidRDefault="00E32CE7" w:rsidP="00D60C1F">
      <w:pPr>
        <w:pStyle w:val="Paragrafoelenco"/>
        <w:spacing w:before="240" w:after="240"/>
        <w:ind w:left="1418"/>
        <w:rPr>
          <w:sz w:val="22"/>
          <w:szCs w:val="22"/>
        </w:rPr>
      </w:pPr>
      <w:r w:rsidRPr="00125A0D">
        <w:rPr>
          <w:sz w:val="22"/>
          <w:szCs w:val="22"/>
        </w:rPr>
        <w:t>…</w:t>
      </w:r>
    </w:p>
    <w:p w:rsidR="00916B94" w:rsidRPr="00125A0D" w:rsidRDefault="00916B94" w:rsidP="00D60C1F">
      <w:pPr>
        <w:pStyle w:val="Paragrafoelenco"/>
        <w:spacing w:before="240" w:after="240"/>
        <w:ind w:left="1418"/>
        <w:rPr>
          <w:sz w:val="22"/>
          <w:szCs w:val="22"/>
        </w:rPr>
      </w:pPr>
    </w:p>
    <w:p w:rsidR="00916B94" w:rsidRPr="00125A0D" w:rsidRDefault="00916B94" w:rsidP="00D60C1F">
      <w:pPr>
        <w:pStyle w:val="Paragrafoelenco"/>
        <w:spacing w:before="240" w:after="240"/>
        <w:ind w:left="1418"/>
        <w:rPr>
          <w:sz w:val="22"/>
          <w:szCs w:val="22"/>
        </w:rPr>
      </w:pPr>
      <w:r w:rsidRPr="00125A0D">
        <w:rPr>
          <w:sz w:val="22"/>
          <w:szCs w:val="22"/>
        </w:rPr>
        <w:t>The Department notes the recommendation of the AHRC. The Department no longer uses the construct of behavioural detainee categories.</w:t>
      </w:r>
    </w:p>
    <w:p w:rsidR="00916B94" w:rsidRPr="00125A0D" w:rsidRDefault="00916B94" w:rsidP="00D60C1F">
      <w:pPr>
        <w:pStyle w:val="Paragrafoelenco"/>
        <w:spacing w:before="240" w:after="240"/>
        <w:ind w:left="1418"/>
        <w:rPr>
          <w:sz w:val="22"/>
          <w:szCs w:val="22"/>
        </w:rPr>
      </w:pPr>
    </w:p>
    <w:p w:rsidR="00D96C86" w:rsidRPr="00125A0D" w:rsidRDefault="00D96C86" w:rsidP="00D60C1F">
      <w:pPr>
        <w:pStyle w:val="Paragrafoelenco"/>
        <w:spacing w:before="240" w:after="240"/>
        <w:ind w:left="1418"/>
        <w:rPr>
          <w:b/>
          <w:sz w:val="22"/>
          <w:szCs w:val="22"/>
        </w:rPr>
      </w:pPr>
      <w:r w:rsidRPr="00125A0D">
        <w:rPr>
          <w:b/>
          <w:sz w:val="22"/>
          <w:szCs w:val="22"/>
        </w:rPr>
        <w:t>Recommendation 2</w:t>
      </w:r>
    </w:p>
    <w:p w:rsidR="00E32CE7" w:rsidRPr="00125A0D" w:rsidRDefault="00E32CE7" w:rsidP="00D60C1F">
      <w:pPr>
        <w:pStyle w:val="Paragrafoelenco"/>
        <w:spacing w:before="240" w:after="240"/>
        <w:ind w:left="1418"/>
        <w:rPr>
          <w:sz w:val="22"/>
          <w:szCs w:val="22"/>
        </w:rPr>
      </w:pPr>
      <w:r w:rsidRPr="00125A0D">
        <w:rPr>
          <w:sz w:val="22"/>
          <w:szCs w:val="22"/>
        </w:rPr>
        <w:t>…</w:t>
      </w:r>
    </w:p>
    <w:p w:rsidR="00E32CE7" w:rsidRPr="00125A0D" w:rsidRDefault="00E32CE7" w:rsidP="00D60C1F">
      <w:pPr>
        <w:pStyle w:val="Paragrafoelenco"/>
        <w:spacing w:before="240" w:after="240"/>
        <w:ind w:left="1418"/>
        <w:rPr>
          <w:sz w:val="22"/>
          <w:szCs w:val="22"/>
        </w:rPr>
      </w:pPr>
    </w:p>
    <w:p w:rsidR="00E32CE7" w:rsidRPr="00125A0D" w:rsidRDefault="00E32CE7" w:rsidP="00D60C1F">
      <w:pPr>
        <w:pStyle w:val="Paragrafoelenco"/>
        <w:spacing w:before="240" w:after="240"/>
        <w:ind w:left="1418"/>
        <w:rPr>
          <w:sz w:val="22"/>
          <w:szCs w:val="22"/>
        </w:rPr>
      </w:pPr>
      <w:r w:rsidRPr="00125A0D">
        <w:rPr>
          <w:sz w:val="22"/>
          <w:szCs w:val="22"/>
        </w:rPr>
        <w:t>The Department notes the recommendation of the AHRC. The Department no longer uses the construct of behavioural detainee categories.</w:t>
      </w:r>
    </w:p>
    <w:p w:rsidR="00E32CE7" w:rsidRPr="00125A0D" w:rsidRDefault="00E32CE7" w:rsidP="00D60C1F">
      <w:pPr>
        <w:pStyle w:val="Paragrafoelenco"/>
        <w:spacing w:before="240" w:after="240"/>
        <w:ind w:left="1418"/>
        <w:rPr>
          <w:sz w:val="22"/>
          <w:szCs w:val="22"/>
        </w:rPr>
      </w:pPr>
    </w:p>
    <w:p w:rsidR="00E32CE7" w:rsidRPr="00125A0D" w:rsidRDefault="00E32CE7" w:rsidP="00D60C1F">
      <w:pPr>
        <w:pStyle w:val="Paragrafoelenco"/>
        <w:spacing w:before="240" w:after="240"/>
        <w:ind w:left="1418"/>
        <w:rPr>
          <w:b/>
          <w:sz w:val="22"/>
          <w:szCs w:val="22"/>
        </w:rPr>
      </w:pPr>
      <w:r w:rsidRPr="00125A0D">
        <w:rPr>
          <w:b/>
          <w:sz w:val="22"/>
          <w:szCs w:val="22"/>
        </w:rPr>
        <w:t>Recommendation 3</w:t>
      </w:r>
    </w:p>
    <w:p w:rsidR="00E32CE7" w:rsidRPr="00125A0D" w:rsidRDefault="00E32CE7" w:rsidP="00D60C1F">
      <w:pPr>
        <w:pStyle w:val="Paragrafoelenco"/>
        <w:spacing w:before="240" w:after="240"/>
        <w:ind w:left="1418"/>
        <w:rPr>
          <w:sz w:val="22"/>
          <w:szCs w:val="22"/>
        </w:rPr>
      </w:pPr>
      <w:r w:rsidRPr="00125A0D">
        <w:rPr>
          <w:sz w:val="22"/>
          <w:szCs w:val="22"/>
        </w:rPr>
        <w:t>…</w:t>
      </w:r>
    </w:p>
    <w:p w:rsidR="00E32CE7" w:rsidRPr="00125A0D" w:rsidRDefault="00E32CE7" w:rsidP="00D60C1F">
      <w:pPr>
        <w:pStyle w:val="Paragrafoelenco"/>
        <w:spacing w:before="240" w:after="240"/>
        <w:ind w:left="1418"/>
        <w:rPr>
          <w:sz w:val="22"/>
          <w:szCs w:val="22"/>
        </w:rPr>
      </w:pPr>
    </w:p>
    <w:p w:rsidR="00E32CE7" w:rsidRPr="00125A0D" w:rsidRDefault="00E32CE7" w:rsidP="00D60C1F">
      <w:pPr>
        <w:pStyle w:val="Paragrafoelenco"/>
        <w:spacing w:before="240" w:after="240"/>
        <w:ind w:left="1418"/>
        <w:rPr>
          <w:sz w:val="22"/>
          <w:szCs w:val="22"/>
        </w:rPr>
      </w:pPr>
      <w:r w:rsidRPr="00125A0D">
        <w:rPr>
          <w:sz w:val="22"/>
          <w:szCs w:val="22"/>
        </w:rPr>
        <w:t xml:space="preserve">The Department notes the recommendation of the AHRC. While Government policy at the time was that those considered </w:t>
      </w:r>
      <w:r w:rsidR="00F97BAB">
        <w:rPr>
          <w:sz w:val="22"/>
          <w:szCs w:val="22"/>
        </w:rPr>
        <w:t>‘</w:t>
      </w:r>
      <w:r w:rsidRPr="00125A0D">
        <w:rPr>
          <w:sz w:val="22"/>
          <w:szCs w:val="22"/>
        </w:rPr>
        <w:t>finally determined</w:t>
      </w:r>
      <w:r w:rsidR="00F97BAB">
        <w:rPr>
          <w:sz w:val="22"/>
          <w:szCs w:val="22"/>
        </w:rPr>
        <w:t>’</w:t>
      </w:r>
      <w:r w:rsidRPr="00125A0D">
        <w:rPr>
          <w:sz w:val="22"/>
          <w:szCs w:val="22"/>
        </w:rPr>
        <w:t xml:space="preserve"> would not be referred to the Minister for consideration, this is no longer the case, and the Department notes that the guidelines for assessment under section 195A of the Act do not preclude the consideration of individuals who have immigration matters outstanding before the courts, even if they are considered </w:t>
      </w:r>
      <w:r w:rsidR="00F97BAB">
        <w:rPr>
          <w:sz w:val="22"/>
          <w:szCs w:val="22"/>
        </w:rPr>
        <w:t>‘</w:t>
      </w:r>
      <w:r w:rsidRPr="00125A0D">
        <w:rPr>
          <w:sz w:val="22"/>
          <w:szCs w:val="22"/>
        </w:rPr>
        <w:t>finally determined</w:t>
      </w:r>
      <w:r w:rsidR="00F97BAB">
        <w:rPr>
          <w:sz w:val="22"/>
          <w:szCs w:val="22"/>
        </w:rPr>
        <w:t>’</w:t>
      </w:r>
      <w:r w:rsidRPr="00125A0D">
        <w:rPr>
          <w:sz w:val="22"/>
          <w:szCs w:val="22"/>
        </w:rPr>
        <w:t xml:space="preserve"> under the Act.</w:t>
      </w:r>
    </w:p>
    <w:p w:rsidR="00E32CE7" w:rsidRPr="00125A0D" w:rsidRDefault="00E32CE7" w:rsidP="00D60C1F">
      <w:pPr>
        <w:pStyle w:val="Paragrafoelenco"/>
        <w:spacing w:before="240" w:after="240"/>
        <w:ind w:left="1418"/>
        <w:rPr>
          <w:sz w:val="22"/>
          <w:szCs w:val="22"/>
        </w:rPr>
      </w:pPr>
    </w:p>
    <w:p w:rsidR="00E32CE7" w:rsidRPr="00125A0D" w:rsidRDefault="00E32CE7" w:rsidP="00D60C1F">
      <w:pPr>
        <w:pStyle w:val="Paragrafoelenco"/>
        <w:spacing w:before="240" w:after="240"/>
        <w:ind w:left="1418"/>
        <w:rPr>
          <w:b/>
          <w:sz w:val="22"/>
          <w:szCs w:val="22"/>
        </w:rPr>
      </w:pPr>
      <w:r w:rsidRPr="00125A0D">
        <w:rPr>
          <w:b/>
          <w:sz w:val="22"/>
          <w:szCs w:val="22"/>
        </w:rPr>
        <w:t>Recommendation 4</w:t>
      </w:r>
    </w:p>
    <w:p w:rsidR="00E32CE7" w:rsidRPr="00125A0D" w:rsidRDefault="00E32CE7" w:rsidP="00D60C1F">
      <w:pPr>
        <w:pStyle w:val="Paragrafoelenco"/>
        <w:spacing w:before="240" w:after="240"/>
        <w:ind w:left="1418"/>
        <w:rPr>
          <w:sz w:val="22"/>
          <w:szCs w:val="22"/>
        </w:rPr>
      </w:pPr>
      <w:r w:rsidRPr="00125A0D">
        <w:rPr>
          <w:sz w:val="22"/>
          <w:szCs w:val="22"/>
        </w:rPr>
        <w:t>…</w:t>
      </w:r>
    </w:p>
    <w:p w:rsidR="00D60C1F" w:rsidRPr="00125A0D" w:rsidRDefault="00D60C1F" w:rsidP="00D60C1F">
      <w:pPr>
        <w:pStyle w:val="Paragrafoelenco"/>
        <w:spacing w:before="240" w:after="240"/>
        <w:ind w:left="1418"/>
        <w:rPr>
          <w:sz w:val="22"/>
          <w:szCs w:val="22"/>
        </w:rPr>
      </w:pPr>
    </w:p>
    <w:p w:rsidR="00E32CE7" w:rsidRPr="00125A0D" w:rsidRDefault="00E32CE7" w:rsidP="00D60C1F">
      <w:pPr>
        <w:pStyle w:val="Paragrafoelenco"/>
        <w:spacing w:before="240" w:after="240"/>
        <w:ind w:left="1418"/>
        <w:rPr>
          <w:rFonts w:eastAsia="Arial" w:cs="Arial"/>
          <w:sz w:val="22"/>
          <w:szCs w:val="22"/>
        </w:rPr>
      </w:pPr>
      <w:r w:rsidRPr="00125A0D">
        <w:rPr>
          <w:sz w:val="22"/>
          <w:szCs w:val="22"/>
        </w:rPr>
        <w:t>The Department notes the recommendation of the AHRC. The Minister has issued separate and distinct guidelines outlining the circumstances in which he will consider exercising his powers under section 195A and section 197AB of the Act. Cases are regularly assessed against these guidelines and referred to the Minister for his consideration where appropriate. Referral of a case under section 195A does not preclude a referral</w:t>
      </w:r>
      <w:r w:rsidR="00C6152A" w:rsidRPr="00125A0D">
        <w:rPr>
          <w:sz w:val="22"/>
          <w:szCs w:val="22"/>
        </w:rPr>
        <w:t xml:space="preserve"> </w:t>
      </w:r>
      <w:r w:rsidRPr="00125A0D">
        <w:rPr>
          <w:sz w:val="22"/>
          <w:szCs w:val="22"/>
        </w:rPr>
        <w:t>or pre-empt a decision under the provisions of the Minister's other ministerial intervention powers.</w:t>
      </w:r>
    </w:p>
    <w:p w:rsidR="00D96C86" w:rsidRPr="00D60C1F" w:rsidRDefault="00D96C86" w:rsidP="00D60C1F">
      <w:pPr>
        <w:pStyle w:val="Paragrafoelenco"/>
        <w:spacing w:before="240" w:after="240"/>
        <w:ind w:left="1418"/>
        <w:rPr>
          <w:sz w:val="22"/>
          <w:szCs w:val="22"/>
        </w:rPr>
      </w:pPr>
    </w:p>
    <w:p w:rsidR="007A5E95" w:rsidRPr="007A5E95" w:rsidRDefault="007A5E95" w:rsidP="007A5E95">
      <w:pPr>
        <w:pStyle w:val="Paragrafoelenco"/>
        <w:numPr>
          <w:ilvl w:val="0"/>
          <w:numId w:val="29"/>
        </w:numPr>
        <w:rPr>
          <w:rFonts w:cs="Arial"/>
          <w:szCs w:val="24"/>
        </w:rPr>
      </w:pPr>
      <w:r w:rsidRPr="007A5E95">
        <w:rPr>
          <w:rFonts w:cs="Arial"/>
          <w:szCs w:val="24"/>
        </w:rPr>
        <w:t>I understand that Mr AM is no longer detained in a closed immigration detention centre. On 24 November 2017, the Minister exercised his power under s 195A of the Migration Act and Mr AM was released into the community</w:t>
      </w:r>
      <w:r>
        <w:rPr>
          <w:rFonts w:cs="Arial"/>
          <w:szCs w:val="24"/>
        </w:rPr>
        <w:t xml:space="preserve"> on a bridging visa</w:t>
      </w:r>
      <w:r w:rsidRPr="007A5E95">
        <w:rPr>
          <w:rFonts w:cs="Arial"/>
          <w:szCs w:val="24"/>
        </w:rPr>
        <w:t>.</w:t>
      </w:r>
    </w:p>
    <w:p w:rsidR="007A5E95" w:rsidRPr="007A5E95" w:rsidRDefault="007A5E95" w:rsidP="007A5E95">
      <w:pPr>
        <w:pStyle w:val="Paragrafoelenco"/>
        <w:rPr>
          <w:b/>
        </w:rPr>
      </w:pPr>
    </w:p>
    <w:p w:rsidR="008F3A9F" w:rsidRPr="004D5E32" w:rsidRDefault="00424B1B" w:rsidP="008F3A9F">
      <w:pPr>
        <w:pStyle w:val="Paragrafoelenco"/>
        <w:numPr>
          <w:ilvl w:val="0"/>
          <w:numId w:val="29"/>
        </w:numPr>
        <w:rPr>
          <w:b/>
        </w:rPr>
      </w:pPr>
      <w:r>
        <w:t xml:space="preserve">I report accordingly to the Attorney-General. </w:t>
      </w:r>
    </w:p>
    <w:p w:rsidR="00E34419" w:rsidRDefault="00E34419" w:rsidP="008F3A9F">
      <w:pPr>
        <w:rPr>
          <w:noProof/>
          <w:lang w:eastAsia="en-AU"/>
        </w:rPr>
      </w:pPr>
    </w:p>
    <w:p w:rsidR="007D52CC" w:rsidRDefault="007D52CC" w:rsidP="008F3A9F">
      <w:pPr>
        <w:rPr>
          <w:noProof/>
          <w:lang w:eastAsia="en-AU"/>
        </w:rPr>
      </w:pPr>
    </w:p>
    <w:p w:rsidR="007D52CC" w:rsidRDefault="007D52CC" w:rsidP="008F3A9F">
      <w:pPr>
        <w:rPr>
          <w:noProof/>
          <w:lang w:eastAsia="en-AU"/>
        </w:rPr>
      </w:pPr>
    </w:p>
    <w:p w:rsidR="008F3A9F" w:rsidRPr="002E7B18" w:rsidRDefault="008F3A9F" w:rsidP="008F3A9F">
      <w:pPr>
        <w:rPr>
          <w:rFonts w:cs="Arial"/>
          <w:szCs w:val="24"/>
        </w:rPr>
      </w:pPr>
      <w:r>
        <w:rPr>
          <w:rFonts w:cs="Arial"/>
          <w:szCs w:val="24"/>
        </w:rPr>
        <w:t>Emeritus Professor Rosalind Croucher AM</w:t>
      </w:r>
    </w:p>
    <w:p w:rsidR="008F3A9F" w:rsidRPr="002E7B18" w:rsidRDefault="008F3A9F" w:rsidP="008F3A9F">
      <w:pPr>
        <w:rPr>
          <w:rFonts w:cs="Arial"/>
          <w:b/>
          <w:szCs w:val="24"/>
        </w:rPr>
      </w:pPr>
      <w:r w:rsidRPr="002E7B18">
        <w:rPr>
          <w:rFonts w:cs="Arial"/>
          <w:b/>
          <w:szCs w:val="24"/>
        </w:rPr>
        <w:t xml:space="preserve">President </w:t>
      </w:r>
    </w:p>
    <w:p w:rsidR="008F3A9F" w:rsidRPr="002E7B18" w:rsidRDefault="008F3A9F" w:rsidP="008F3A9F">
      <w:pPr>
        <w:rPr>
          <w:rFonts w:cs="Arial"/>
          <w:szCs w:val="24"/>
        </w:rPr>
      </w:pPr>
      <w:r w:rsidRPr="002E7B18">
        <w:rPr>
          <w:rFonts w:cs="Arial"/>
          <w:szCs w:val="24"/>
        </w:rPr>
        <w:t>Australian Human Rights Commission</w:t>
      </w:r>
    </w:p>
    <w:p w:rsidR="008A2AF7" w:rsidRDefault="00E34419" w:rsidP="008F3A9F">
      <w:pPr>
        <w:spacing w:before="240" w:after="240"/>
        <w:rPr>
          <w:rFonts w:cs="Arial"/>
          <w:szCs w:val="24"/>
        </w:rPr>
      </w:pPr>
      <w:r>
        <w:rPr>
          <w:rFonts w:cs="Arial"/>
          <w:szCs w:val="24"/>
        </w:rPr>
        <w:t>May</w:t>
      </w:r>
      <w:r w:rsidR="008F3A9F" w:rsidRPr="007F2C16">
        <w:rPr>
          <w:rFonts w:cs="Arial"/>
          <w:szCs w:val="24"/>
        </w:rPr>
        <w:t xml:space="preserve"> 2018</w:t>
      </w:r>
    </w:p>
    <w:p w:rsidR="00574EA2" w:rsidRDefault="00574EA2">
      <w:pPr>
        <w:rPr>
          <w:rFonts w:cs="Arial"/>
          <w:szCs w:val="24"/>
        </w:rPr>
      </w:pPr>
      <w:r>
        <w:rPr>
          <w:rFonts w:cs="Arial"/>
          <w:szCs w:val="24"/>
        </w:rPr>
        <w:br w:type="page"/>
      </w:r>
    </w:p>
    <w:p w:rsidR="00574EA2" w:rsidRPr="008F3A9F" w:rsidRDefault="00574EA2" w:rsidP="008F3A9F">
      <w:pPr>
        <w:spacing w:before="240" w:after="240"/>
        <w:rPr>
          <w:rFonts w:cs="Arial"/>
          <w:szCs w:val="24"/>
        </w:rPr>
      </w:pPr>
    </w:p>
    <w:sectPr w:rsidR="00574EA2" w:rsidRPr="008F3A9F" w:rsidSect="00CE7182">
      <w:footerReference w:type="default" r:id="rId11"/>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3D4" w:rsidRDefault="005823D4" w:rsidP="00F14C6D">
      <w:r>
        <w:separator/>
      </w:r>
    </w:p>
  </w:endnote>
  <w:endnote w:type="continuationSeparator" w:id="0">
    <w:p w:rsidR="005823D4" w:rsidRDefault="005823D4" w:rsidP="00F14C6D">
      <w:r>
        <w:continuationSeparator/>
      </w:r>
    </w:p>
  </w:endnote>
  <w:endnote w:id="1">
    <w:p w:rsidR="008F3A9F" w:rsidRPr="007F548C" w:rsidRDefault="008F3A9F" w:rsidP="008F3A9F">
      <w:pPr>
        <w:pStyle w:val="Testonotadichiusura"/>
        <w:ind w:hanging="284"/>
      </w:pPr>
      <w:r w:rsidRPr="007F548C">
        <w:rPr>
          <w:rStyle w:val="Rimandonotadichiusura"/>
        </w:rPr>
        <w:endnoteRef/>
      </w:r>
      <w:r w:rsidRPr="007F548C">
        <w:t xml:space="preserve"> </w:t>
      </w:r>
      <w:r>
        <w:tab/>
      </w:r>
      <w:r w:rsidRPr="002B61C8">
        <w:rPr>
          <w:i/>
          <w:iCs/>
        </w:rPr>
        <w:t>International Covenant on Civil and Political Rights,</w:t>
      </w:r>
      <w:r w:rsidRPr="002B61C8">
        <w:t> opened for signature 16 December 1966, 999 UNTS 171 (ent</w:t>
      </w:r>
      <w:r w:rsidR="007D52CC">
        <w:t>ered into force 23 March 1976).</w:t>
      </w:r>
    </w:p>
  </w:endnote>
  <w:endnote w:id="2">
    <w:p w:rsidR="008F3A9F" w:rsidRPr="007F548C" w:rsidRDefault="008F3A9F" w:rsidP="008F3A9F">
      <w:pPr>
        <w:pStyle w:val="Testonotadichiusura"/>
        <w:ind w:hanging="284"/>
      </w:pPr>
      <w:r w:rsidRPr="007F548C">
        <w:rPr>
          <w:rStyle w:val="Rimandonotadichiusura"/>
        </w:rPr>
        <w:endnoteRef/>
      </w:r>
      <w:r w:rsidRPr="007F548C">
        <w:t xml:space="preserve"> </w:t>
      </w:r>
      <w:r>
        <w:tab/>
      </w:r>
      <w:r w:rsidRPr="007F548C">
        <w:t>See</w:t>
      </w:r>
      <w:r w:rsidRPr="007F548C">
        <w:rPr>
          <w:spacing w:val="-4"/>
        </w:rPr>
        <w:t xml:space="preserve"> </w:t>
      </w:r>
      <w:r w:rsidRPr="007F548C">
        <w:rPr>
          <w:i/>
        </w:rPr>
        <w:t>Secretary,</w:t>
      </w:r>
      <w:r w:rsidRPr="007F548C">
        <w:rPr>
          <w:i/>
          <w:spacing w:val="-4"/>
        </w:rPr>
        <w:t xml:space="preserve"> </w:t>
      </w:r>
      <w:r w:rsidRPr="007F548C">
        <w:rPr>
          <w:i/>
        </w:rPr>
        <w:t>Department of Defence v</w:t>
      </w:r>
      <w:r w:rsidRPr="007F548C">
        <w:rPr>
          <w:i/>
          <w:spacing w:val="-4"/>
        </w:rPr>
        <w:t xml:space="preserve"> </w:t>
      </w:r>
      <w:r w:rsidRPr="007F548C">
        <w:rPr>
          <w:i/>
        </w:rPr>
        <w:t>HREOC, Burgess</w:t>
      </w:r>
      <w:r w:rsidRPr="007F548C">
        <w:rPr>
          <w:i/>
          <w:spacing w:val="-4"/>
        </w:rPr>
        <w:t xml:space="preserve"> </w:t>
      </w:r>
      <w:r w:rsidRPr="007F548C">
        <w:rPr>
          <w:i/>
        </w:rPr>
        <w:t>&amp;</w:t>
      </w:r>
      <w:r w:rsidRPr="007F548C">
        <w:rPr>
          <w:i/>
          <w:spacing w:val="-4"/>
        </w:rPr>
        <w:t xml:space="preserve"> </w:t>
      </w:r>
      <w:proofErr w:type="spellStart"/>
      <w:r w:rsidRPr="007F548C">
        <w:rPr>
          <w:i/>
        </w:rPr>
        <w:t>Ors</w:t>
      </w:r>
      <w:proofErr w:type="spellEnd"/>
      <w:r w:rsidRPr="007F548C">
        <w:rPr>
          <w:i/>
          <w:spacing w:val="-3"/>
        </w:rPr>
        <w:t xml:space="preserve"> </w:t>
      </w:r>
      <w:r w:rsidRPr="007F548C">
        <w:t>(1997)</w:t>
      </w:r>
      <w:r w:rsidRPr="007F548C">
        <w:rPr>
          <w:spacing w:val="-4"/>
        </w:rPr>
        <w:t xml:space="preserve"> </w:t>
      </w:r>
      <w:r w:rsidRPr="007F548C">
        <w:t>78 FCR</w:t>
      </w:r>
      <w:r w:rsidRPr="007F548C">
        <w:rPr>
          <w:spacing w:val="-4"/>
        </w:rPr>
        <w:t xml:space="preserve"> </w:t>
      </w:r>
      <w:r w:rsidR="007D52CC">
        <w:t>208.</w:t>
      </w:r>
    </w:p>
  </w:endnote>
  <w:endnote w:id="3">
    <w:p w:rsidR="008F3A9F" w:rsidRPr="007F548C" w:rsidRDefault="008F3A9F" w:rsidP="008F3A9F">
      <w:pPr>
        <w:pStyle w:val="Testonotadichiusura"/>
        <w:ind w:hanging="284"/>
      </w:pPr>
      <w:r w:rsidRPr="007F548C">
        <w:rPr>
          <w:rStyle w:val="Rimandonotadichiusura"/>
        </w:rPr>
        <w:endnoteRef/>
      </w:r>
      <w:r w:rsidRPr="007F548C">
        <w:t xml:space="preserve"> </w:t>
      </w:r>
      <w:r>
        <w:tab/>
      </w:r>
      <w:r w:rsidR="00592F9E">
        <w:t xml:space="preserve">UN </w:t>
      </w:r>
      <w:r w:rsidR="00592F9E" w:rsidRPr="003743AF">
        <w:t>Human Rights Committee,</w:t>
      </w:r>
      <w:r w:rsidR="00592F9E" w:rsidRPr="003743AF">
        <w:rPr>
          <w:rFonts w:cs="Arial"/>
        </w:rPr>
        <w:t xml:space="preserve"> </w:t>
      </w:r>
      <w:r w:rsidR="00592F9E" w:rsidRPr="003743AF">
        <w:rPr>
          <w:rFonts w:cs="Arial"/>
          <w:i/>
        </w:rPr>
        <w:t>General Comment No. 35</w:t>
      </w:r>
      <w:r w:rsidR="00592F9E" w:rsidRPr="003743AF">
        <w:rPr>
          <w:rFonts w:cs="Arial"/>
        </w:rPr>
        <w:t xml:space="preserve"> </w:t>
      </w:r>
      <w:r w:rsidR="00592F9E" w:rsidRPr="003743AF">
        <w:rPr>
          <w:rFonts w:cs="Arial"/>
          <w:i/>
        </w:rPr>
        <w:t>Article 9 (Liberty and security of person)</w:t>
      </w:r>
      <w:r w:rsidR="00592F9E" w:rsidRPr="003743AF">
        <w:rPr>
          <w:rFonts w:cs="Arial"/>
        </w:rPr>
        <w:t>, 112</w:t>
      </w:r>
      <w:r w:rsidR="00592F9E" w:rsidRPr="003743AF">
        <w:rPr>
          <w:rFonts w:cs="Arial"/>
          <w:vertAlign w:val="superscript"/>
        </w:rPr>
        <w:t>th</w:t>
      </w:r>
      <w:r w:rsidR="00592F9E" w:rsidRPr="003743AF">
        <w:rPr>
          <w:rFonts w:cs="Arial"/>
        </w:rPr>
        <w:t xml:space="preserve"> </w:t>
      </w:r>
      <w:proofErr w:type="spellStart"/>
      <w:r w:rsidR="00592F9E" w:rsidRPr="003743AF">
        <w:rPr>
          <w:rFonts w:cs="Arial"/>
        </w:rPr>
        <w:t>Sess</w:t>
      </w:r>
      <w:proofErr w:type="spellEnd"/>
      <w:r w:rsidR="00592F9E" w:rsidRPr="003743AF">
        <w:rPr>
          <w:rFonts w:cs="Arial"/>
        </w:rPr>
        <w:t>, UN Doc CCPR/C/GC/35</w:t>
      </w:r>
      <w:r w:rsidR="00592F9E" w:rsidRPr="003743AF">
        <w:rPr>
          <w:rFonts w:cs="Arial"/>
          <w:i/>
        </w:rPr>
        <w:t xml:space="preserve"> </w:t>
      </w:r>
      <w:r w:rsidR="00592F9E" w:rsidRPr="003743AF">
        <w:rPr>
          <w:rFonts w:cs="Arial"/>
        </w:rPr>
        <w:t>(2014)</w:t>
      </w:r>
      <w:r w:rsidR="00592F9E" w:rsidRPr="003743AF">
        <w:rPr>
          <w:i/>
          <w:color w:val="231F20"/>
        </w:rPr>
        <w:t xml:space="preserve">. </w:t>
      </w:r>
      <w:r w:rsidR="00592F9E" w:rsidRPr="003743AF">
        <w:rPr>
          <w:color w:val="231F20"/>
        </w:rPr>
        <w:t xml:space="preserve">See also </w:t>
      </w:r>
      <w:r w:rsidR="00592F9E" w:rsidRPr="003743AF">
        <w:rPr>
          <w:rFonts w:cs="Arial"/>
        </w:rPr>
        <w:t xml:space="preserve">UN Human Rights Committee, </w:t>
      </w:r>
      <w:r w:rsidR="00592F9E" w:rsidRPr="003743AF">
        <w:rPr>
          <w:rFonts w:cs="Arial"/>
          <w:bCs/>
          <w:i/>
        </w:rPr>
        <w:t>Communication No. 560/1993</w:t>
      </w:r>
      <w:r w:rsidR="00592F9E" w:rsidRPr="003743AF">
        <w:rPr>
          <w:rFonts w:cs="Arial"/>
          <w:bCs/>
        </w:rPr>
        <w:t>, 59</w:t>
      </w:r>
      <w:r w:rsidR="00592F9E" w:rsidRPr="003743AF">
        <w:rPr>
          <w:rFonts w:cs="Arial"/>
          <w:bCs/>
          <w:vertAlign w:val="superscript"/>
        </w:rPr>
        <w:t>th</w:t>
      </w:r>
      <w:r w:rsidR="00592F9E" w:rsidRPr="003743AF">
        <w:rPr>
          <w:rFonts w:cs="Arial"/>
          <w:bCs/>
        </w:rPr>
        <w:t xml:space="preserve"> </w:t>
      </w:r>
      <w:proofErr w:type="spellStart"/>
      <w:r w:rsidR="00592F9E" w:rsidRPr="003743AF">
        <w:rPr>
          <w:rFonts w:cs="Arial"/>
          <w:bCs/>
        </w:rPr>
        <w:t>Sess</w:t>
      </w:r>
      <w:proofErr w:type="spellEnd"/>
      <w:r w:rsidR="00592F9E" w:rsidRPr="003743AF">
        <w:rPr>
          <w:rFonts w:cs="Arial"/>
          <w:bCs/>
        </w:rPr>
        <w:t>,</w:t>
      </w:r>
      <w:r w:rsidR="00592F9E" w:rsidRPr="003743AF">
        <w:rPr>
          <w:rFonts w:cs="Arial"/>
          <w:b/>
          <w:bCs/>
        </w:rPr>
        <w:t xml:space="preserve"> </w:t>
      </w:r>
      <w:r w:rsidR="00592F9E" w:rsidRPr="003743AF">
        <w:rPr>
          <w:rFonts w:cs="Arial"/>
        </w:rPr>
        <w:t>UN</w:t>
      </w:r>
      <w:r w:rsidR="00592F9E" w:rsidRPr="003743AF">
        <w:rPr>
          <w:rFonts w:cs="Arial"/>
          <w:spacing w:val="-4"/>
        </w:rPr>
        <w:t xml:space="preserve"> </w:t>
      </w:r>
      <w:r w:rsidR="00592F9E" w:rsidRPr="003743AF">
        <w:rPr>
          <w:rFonts w:cs="Arial"/>
        </w:rPr>
        <w:t>Doc</w:t>
      </w:r>
      <w:r w:rsidR="00592F9E" w:rsidRPr="003743AF">
        <w:rPr>
          <w:rFonts w:cs="Arial"/>
          <w:spacing w:val="-4"/>
        </w:rPr>
        <w:t xml:space="preserve"> </w:t>
      </w:r>
      <w:r w:rsidR="00592F9E" w:rsidRPr="003743AF">
        <w:rPr>
          <w:rFonts w:cs="Arial"/>
        </w:rPr>
        <w:t>CCPR/C/59/D/560/1993 (1997) (‘</w:t>
      </w:r>
      <w:r w:rsidR="00592F9E" w:rsidRPr="003743AF">
        <w:rPr>
          <w:rFonts w:cs="Arial"/>
          <w:i/>
        </w:rPr>
        <w:t>A</w:t>
      </w:r>
      <w:r w:rsidR="00592F9E" w:rsidRPr="003743AF">
        <w:rPr>
          <w:rFonts w:cs="Arial"/>
          <w:i/>
          <w:spacing w:val="-10"/>
        </w:rPr>
        <w:t xml:space="preserve"> </w:t>
      </w:r>
      <w:r w:rsidR="00592F9E" w:rsidRPr="003743AF">
        <w:rPr>
          <w:rFonts w:cs="Arial"/>
          <w:i/>
        </w:rPr>
        <w:t>v</w:t>
      </w:r>
      <w:r w:rsidR="00592F9E" w:rsidRPr="003743AF">
        <w:rPr>
          <w:rFonts w:cs="Arial"/>
          <w:i/>
          <w:spacing w:val="-10"/>
        </w:rPr>
        <w:t xml:space="preserve"> </w:t>
      </w:r>
      <w:r w:rsidR="00592F9E" w:rsidRPr="003743AF">
        <w:rPr>
          <w:rFonts w:cs="Arial"/>
          <w:i/>
        </w:rPr>
        <w:t>Australia</w:t>
      </w:r>
      <w:r w:rsidR="00592F9E" w:rsidRPr="003743AF">
        <w:rPr>
          <w:rFonts w:cs="Arial"/>
          <w:spacing w:val="-4"/>
        </w:rPr>
        <w:t xml:space="preserve">’); </w:t>
      </w:r>
      <w:r w:rsidR="00592F9E" w:rsidRPr="003743AF">
        <w:rPr>
          <w:rFonts w:cs="Arial"/>
        </w:rPr>
        <w:t xml:space="preserve">UN Human Rights Committee, </w:t>
      </w:r>
      <w:r w:rsidR="00592F9E" w:rsidRPr="003743AF">
        <w:rPr>
          <w:rFonts w:cs="Arial"/>
          <w:bCs/>
          <w:i/>
          <w:lang w:val="en"/>
        </w:rPr>
        <w:t>Communication No. 900/1999</w:t>
      </w:r>
      <w:r w:rsidR="00592F9E" w:rsidRPr="003743AF">
        <w:rPr>
          <w:rFonts w:cs="Arial"/>
          <w:bCs/>
          <w:lang w:val="en"/>
        </w:rPr>
        <w:t>, 67</w:t>
      </w:r>
      <w:r w:rsidR="00592F9E" w:rsidRPr="003743AF">
        <w:rPr>
          <w:rFonts w:cs="Arial"/>
          <w:bCs/>
          <w:vertAlign w:val="superscript"/>
          <w:lang w:val="en"/>
        </w:rPr>
        <w:t>th</w:t>
      </w:r>
      <w:r w:rsidR="00592F9E" w:rsidRPr="003743AF">
        <w:rPr>
          <w:rFonts w:cs="Arial"/>
          <w:bCs/>
          <w:lang w:val="en"/>
        </w:rPr>
        <w:t xml:space="preserve"> </w:t>
      </w:r>
      <w:proofErr w:type="spellStart"/>
      <w:r w:rsidR="00592F9E" w:rsidRPr="003743AF">
        <w:rPr>
          <w:rFonts w:cs="Arial"/>
          <w:bCs/>
          <w:lang w:val="en"/>
        </w:rPr>
        <w:t>Sess</w:t>
      </w:r>
      <w:proofErr w:type="spellEnd"/>
      <w:r w:rsidR="00592F9E" w:rsidRPr="003743AF">
        <w:rPr>
          <w:rFonts w:cs="Arial"/>
          <w:bCs/>
          <w:lang w:val="en"/>
        </w:rPr>
        <w:t xml:space="preserve">, </w:t>
      </w:r>
      <w:r w:rsidR="00592F9E" w:rsidRPr="003743AF">
        <w:rPr>
          <w:rFonts w:cs="Arial"/>
        </w:rPr>
        <w:t>UN Doc CCPR/C/76/D/900/1999 (2002)</w:t>
      </w:r>
      <w:r w:rsidR="00592F9E" w:rsidRPr="003743AF">
        <w:rPr>
          <w:rFonts w:cs="Arial"/>
          <w:i/>
        </w:rPr>
        <w:t xml:space="preserve"> </w:t>
      </w:r>
      <w:r w:rsidR="00592F9E" w:rsidRPr="003743AF">
        <w:rPr>
          <w:rFonts w:cs="Arial"/>
        </w:rPr>
        <w:t>(‘</w:t>
      </w:r>
      <w:r w:rsidR="00592F9E" w:rsidRPr="003743AF">
        <w:rPr>
          <w:rFonts w:cs="Arial"/>
          <w:i/>
        </w:rPr>
        <w:t>C v</w:t>
      </w:r>
      <w:r w:rsidR="00592F9E" w:rsidRPr="003743AF">
        <w:rPr>
          <w:rFonts w:cs="Arial"/>
          <w:i/>
          <w:spacing w:val="-10"/>
        </w:rPr>
        <w:t xml:space="preserve"> </w:t>
      </w:r>
      <w:r w:rsidR="00592F9E" w:rsidRPr="003743AF">
        <w:rPr>
          <w:rFonts w:cs="Arial"/>
          <w:i/>
        </w:rPr>
        <w:t>Australia</w:t>
      </w:r>
      <w:r w:rsidR="00592F9E" w:rsidRPr="003743AF">
        <w:rPr>
          <w:rFonts w:cs="Arial"/>
        </w:rPr>
        <w:t>’); UN Human Rights Committee, Communication No 1014/2001, 78</w:t>
      </w:r>
      <w:r w:rsidR="00592F9E" w:rsidRPr="003743AF">
        <w:rPr>
          <w:rFonts w:cs="Arial"/>
          <w:vertAlign w:val="superscript"/>
        </w:rPr>
        <w:t>th</w:t>
      </w:r>
      <w:r w:rsidR="00592F9E" w:rsidRPr="003743AF">
        <w:rPr>
          <w:rFonts w:cs="Arial"/>
        </w:rPr>
        <w:t xml:space="preserve"> </w:t>
      </w:r>
      <w:proofErr w:type="spellStart"/>
      <w:r w:rsidR="00592F9E" w:rsidRPr="003743AF">
        <w:rPr>
          <w:rFonts w:cs="Arial"/>
        </w:rPr>
        <w:t>Sess</w:t>
      </w:r>
      <w:proofErr w:type="spellEnd"/>
      <w:r w:rsidR="00592F9E" w:rsidRPr="003743AF">
        <w:rPr>
          <w:rFonts w:cs="Arial"/>
        </w:rPr>
        <w:t>, CCPR/C/78/D/1014/2001 (2003) (‘</w:t>
      </w:r>
      <w:proofErr w:type="spellStart"/>
      <w:r w:rsidR="00592F9E" w:rsidRPr="003743AF">
        <w:rPr>
          <w:rFonts w:cs="Arial"/>
          <w:i/>
        </w:rPr>
        <w:t>Baban</w:t>
      </w:r>
      <w:proofErr w:type="spellEnd"/>
      <w:r w:rsidR="00592F9E" w:rsidRPr="003743AF">
        <w:rPr>
          <w:rFonts w:cs="Arial"/>
          <w:i/>
        </w:rPr>
        <w:t xml:space="preserve"> v</w:t>
      </w:r>
      <w:r w:rsidR="00592F9E" w:rsidRPr="003743AF">
        <w:rPr>
          <w:rFonts w:cs="Arial"/>
          <w:i/>
          <w:spacing w:val="-11"/>
        </w:rPr>
        <w:t xml:space="preserve"> </w:t>
      </w:r>
      <w:r w:rsidR="00592F9E" w:rsidRPr="003743AF">
        <w:rPr>
          <w:rFonts w:cs="Arial"/>
          <w:i/>
        </w:rPr>
        <w:t>Australia</w:t>
      </w:r>
      <w:r w:rsidR="00592F9E" w:rsidRPr="003743AF">
        <w:rPr>
          <w:rFonts w:cs="Arial"/>
        </w:rPr>
        <w:t>’).</w:t>
      </w:r>
    </w:p>
  </w:endnote>
  <w:endnote w:id="4">
    <w:p w:rsidR="008F3A9F" w:rsidRPr="007F548C" w:rsidRDefault="008F3A9F" w:rsidP="008F3A9F">
      <w:pPr>
        <w:pStyle w:val="Sommario7"/>
        <w:spacing w:after="0"/>
        <w:ind w:hanging="284"/>
        <w:rPr>
          <w:sz w:val="20"/>
        </w:rPr>
      </w:pPr>
      <w:r w:rsidRPr="007F548C">
        <w:rPr>
          <w:rStyle w:val="Rimandonotadichiusura"/>
        </w:rPr>
        <w:endnoteRef/>
      </w:r>
      <w:r w:rsidRPr="007F548C">
        <w:rPr>
          <w:sz w:val="20"/>
        </w:rPr>
        <w:t xml:space="preserve"> </w:t>
      </w:r>
      <w:r>
        <w:rPr>
          <w:sz w:val="20"/>
        </w:rPr>
        <w:tab/>
      </w:r>
      <w:r w:rsidR="005B42E6" w:rsidRPr="007F548C">
        <w:rPr>
          <w:sz w:val="20"/>
        </w:rPr>
        <w:t>UN Human Rights Committee</w:t>
      </w:r>
      <w:r w:rsidR="005B42E6" w:rsidRPr="000712EA">
        <w:rPr>
          <w:sz w:val="20"/>
        </w:rPr>
        <w:t xml:space="preserve">, </w:t>
      </w:r>
      <w:r w:rsidR="005B42E6" w:rsidRPr="000712EA">
        <w:rPr>
          <w:rFonts w:cs="Arial"/>
          <w:i/>
          <w:sz w:val="20"/>
        </w:rPr>
        <w:t>General Comment No. 35</w:t>
      </w:r>
      <w:r w:rsidR="005B42E6" w:rsidRPr="000712EA">
        <w:rPr>
          <w:rFonts w:cs="Arial"/>
          <w:sz w:val="20"/>
        </w:rPr>
        <w:t xml:space="preserve"> </w:t>
      </w:r>
      <w:r w:rsidR="005B42E6" w:rsidRPr="000712EA">
        <w:rPr>
          <w:rFonts w:cs="Arial"/>
          <w:i/>
          <w:sz w:val="20"/>
        </w:rPr>
        <w:t>Article 9 (Liberty and security of person)</w:t>
      </w:r>
      <w:r w:rsidR="005B42E6" w:rsidRPr="000712EA">
        <w:rPr>
          <w:rFonts w:cs="Arial"/>
          <w:sz w:val="20"/>
        </w:rPr>
        <w:t>, 112</w:t>
      </w:r>
      <w:r w:rsidR="005B42E6" w:rsidRPr="000712EA">
        <w:rPr>
          <w:rFonts w:cs="Arial"/>
          <w:sz w:val="20"/>
          <w:vertAlign w:val="superscript"/>
        </w:rPr>
        <w:t>th</w:t>
      </w:r>
      <w:r w:rsidR="005B42E6" w:rsidRPr="000712EA">
        <w:rPr>
          <w:rFonts w:cs="Arial"/>
          <w:sz w:val="20"/>
        </w:rPr>
        <w:t xml:space="preserve"> </w:t>
      </w:r>
      <w:proofErr w:type="spellStart"/>
      <w:r w:rsidR="005B42E6" w:rsidRPr="000712EA">
        <w:rPr>
          <w:rFonts w:cs="Arial"/>
          <w:sz w:val="20"/>
        </w:rPr>
        <w:t>Sess</w:t>
      </w:r>
      <w:proofErr w:type="spellEnd"/>
      <w:r w:rsidR="005B42E6" w:rsidRPr="000712EA">
        <w:rPr>
          <w:rFonts w:cs="Arial"/>
          <w:sz w:val="20"/>
        </w:rPr>
        <w:t>, UN Doc CCPR/C/GC/35</w:t>
      </w:r>
      <w:r w:rsidR="005B42E6" w:rsidRPr="000712EA">
        <w:rPr>
          <w:rFonts w:cs="Arial"/>
          <w:i/>
          <w:sz w:val="20"/>
        </w:rPr>
        <w:t xml:space="preserve"> </w:t>
      </w:r>
      <w:r w:rsidR="005B42E6" w:rsidRPr="000712EA">
        <w:rPr>
          <w:rFonts w:cs="Arial"/>
          <w:sz w:val="20"/>
        </w:rPr>
        <w:t xml:space="preserve">(2014) </w:t>
      </w:r>
      <w:r w:rsidR="005B42E6" w:rsidRPr="000712EA">
        <w:rPr>
          <w:color w:val="231F20"/>
          <w:sz w:val="20"/>
        </w:rPr>
        <w:t xml:space="preserve">[18]; </w:t>
      </w:r>
      <w:r w:rsidR="005B42E6" w:rsidRPr="000712EA">
        <w:rPr>
          <w:rFonts w:cs="Arial"/>
          <w:sz w:val="20"/>
        </w:rPr>
        <w:t xml:space="preserve">UN Human Rights Committee, </w:t>
      </w:r>
      <w:r w:rsidR="005B42E6" w:rsidRPr="000712EA">
        <w:rPr>
          <w:rFonts w:cs="Arial"/>
          <w:i/>
          <w:sz w:val="20"/>
        </w:rPr>
        <w:t xml:space="preserve">General Comment </w:t>
      </w:r>
      <w:r w:rsidR="005B42E6">
        <w:rPr>
          <w:rFonts w:cs="Arial"/>
          <w:i/>
          <w:sz w:val="20"/>
        </w:rPr>
        <w:t xml:space="preserve">No. </w:t>
      </w:r>
      <w:r w:rsidR="005B42E6" w:rsidRPr="000712EA">
        <w:rPr>
          <w:rFonts w:cs="Arial"/>
          <w:i/>
          <w:sz w:val="20"/>
        </w:rPr>
        <w:t>31,</w:t>
      </w:r>
      <w:r w:rsidR="005B42E6" w:rsidRPr="000712EA">
        <w:rPr>
          <w:rFonts w:cs="Arial"/>
          <w:sz w:val="20"/>
        </w:rPr>
        <w:t xml:space="preserve"> </w:t>
      </w:r>
      <w:r w:rsidR="005B42E6" w:rsidRPr="000712EA">
        <w:rPr>
          <w:rFonts w:cs="Arial"/>
          <w:i/>
          <w:sz w:val="20"/>
        </w:rPr>
        <w:t>Nature of the General Legal Obligation Imposed on States Parties to the Covenant</w:t>
      </w:r>
      <w:r w:rsidR="005B42E6" w:rsidRPr="000712EA">
        <w:rPr>
          <w:rFonts w:cs="Arial"/>
          <w:sz w:val="20"/>
        </w:rPr>
        <w:t>, UN Doc CCPR/C/21/Rev.1/Add.13 (2004)</w:t>
      </w:r>
      <w:r w:rsidR="005B42E6" w:rsidRPr="000712EA">
        <w:rPr>
          <w:sz w:val="20"/>
        </w:rPr>
        <w:t xml:space="preserve"> [6].</w:t>
      </w:r>
    </w:p>
  </w:endnote>
  <w:endnote w:id="5">
    <w:p w:rsidR="008F3A9F" w:rsidRPr="007F548C" w:rsidRDefault="008F3A9F" w:rsidP="00802320">
      <w:pPr>
        <w:pStyle w:val="Testonotadichiusura"/>
        <w:ind w:hanging="284"/>
      </w:pPr>
      <w:r w:rsidRPr="007F548C">
        <w:rPr>
          <w:rStyle w:val="Rimandonotadichiusura"/>
        </w:rPr>
        <w:endnoteRef/>
      </w:r>
      <w:r w:rsidRPr="007F548C">
        <w:t xml:space="preserve"> </w:t>
      </w:r>
      <w:r>
        <w:tab/>
      </w:r>
      <w:r w:rsidRPr="007F548C">
        <w:rPr>
          <w:i/>
        </w:rPr>
        <w:t xml:space="preserve">Manga v Attorney-General </w:t>
      </w:r>
      <w:r>
        <w:t>[2000] 2 NZLR 65 [40]</w:t>
      </w:r>
      <w:proofErr w:type="gramStart"/>
      <w:r>
        <w:t>–</w:t>
      </w:r>
      <w:r w:rsidRPr="007F548C">
        <w:t>[</w:t>
      </w:r>
      <w:proofErr w:type="gramEnd"/>
      <w:r w:rsidRPr="007F548C">
        <w:t xml:space="preserve">42] (Hammond J). See also the views of the UN Human Rights Committee in </w:t>
      </w:r>
      <w:r w:rsidR="00802320" w:rsidRPr="00AC3087">
        <w:rPr>
          <w:rFonts w:cs="Arial"/>
          <w:i/>
          <w:iCs/>
        </w:rPr>
        <w:t>Communication No. 305/1988,</w:t>
      </w:r>
      <w:r w:rsidR="00802320" w:rsidRPr="00AC3087">
        <w:rPr>
          <w:rFonts w:cs="Arial"/>
          <w:i/>
          <w:spacing w:val="-3"/>
        </w:rPr>
        <w:t xml:space="preserve"> </w:t>
      </w:r>
      <w:r w:rsidR="00802320" w:rsidRPr="00AC3087">
        <w:rPr>
          <w:rFonts w:cs="Arial"/>
          <w:spacing w:val="-3"/>
        </w:rPr>
        <w:t>39</w:t>
      </w:r>
      <w:r w:rsidR="00802320" w:rsidRPr="00AC3087">
        <w:rPr>
          <w:rFonts w:cs="Arial"/>
          <w:spacing w:val="-3"/>
          <w:vertAlign w:val="superscript"/>
        </w:rPr>
        <w:t>th</w:t>
      </w:r>
      <w:r w:rsidR="00802320" w:rsidRPr="00AC3087">
        <w:rPr>
          <w:rFonts w:cs="Arial"/>
          <w:spacing w:val="-3"/>
        </w:rPr>
        <w:t xml:space="preserve"> </w:t>
      </w:r>
      <w:proofErr w:type="spellStart"/>
      <w:r w:rsidR="00802320" w:rsidRPr="00AC3087">
        <w:rPr>
          <w:rFonts w:cs="Arial"/>
          <w:spacing w:val="-3"/>
        </w:rPr>
        <w:t>Sess</w:t>
      </w:r>
      <w:proofErr w:type="spellEnd"/>
      <w:r w:rsidR="00802320" w:rsidRPr="00AC3087">
        <w:rPr>
          <w:rFonts w:cs="Arial"/>
          <w:spacing w:val="-3"/>
        </w:rPr>
        <w:t xml:space="preserve">, </w:t>
      </w:r>
      <w:r w:rsidR="00802320" w:rsidRPr="00AC3087">
        <w:rPr>
          <w:rFonts w:cs="Arial"/>
        </w:rPr>
        <w:t>UN Doc CCPR/C/39/D/305/1988 (1990) (‘</w:t>
      </w:r>
      <w:r w:rsidR="00802320" w:rsidRPr="00AC3087">
        <w:rPr>
          <w:rFonts w:cs="Arial"/>
          <w:i/>
          <w:spacing w:val="-3"/>
        </w:rPr>
        <w:t xml:space="preserve">Van </w:t>
      </w:r>
      <w:r w:rsidR="00802320" w:rsidRPr="00AC3087">
        <w:rPr>
          <w:rFonts w:cs="Arial"/>
          <w:i/>
        </w:rPr>
        <w:t>Alphen v The Netherlands</w:t>
      </w:r>
      <w:r w:rsidR="00802320" w:rsidRPr="00AC3087">
        <w:rPr>
          <w:rFonts w:cs="Arial"/>
        </w:rPr>
        <w:t xml:space="preserve">’); UN Human Rights Committee, </w:t>
      </w:r>
      <w:r w:rsidR="00802320" w:rsidRPr="00AC3087">
        <w:rPr>
          <w:rFonts w:cs="Arial"/>
          <w:bCs/>
          <w:i/>
        </w:rPr>
        <w:t>Communication No. 560/1993</w:t>
      </w:r>
      <w:r w:rsidR="00802320" w:rsidRPr="00AC3087">
        <w:rPr>
          <w:rFonts w:cs="Arial"/>
          <w:bCs/>
        </w:rPr>
        <w:t>, 59</w:t>
      </w:r>
      <w:r w:rsidR="00802320" w:rsidRPr="00AC3087">
        <w:rPr>
          <w:rFonts w:cs="Arial"/>
          <w:bCs/>
          <w:vertAlign w:val="superscript"/>
        </w:rPr>
        <w:t>th</w:t>
      </w:r>
      <w:r w:rsidR="00802320" w:rsidRPr="00AC3087">
        <w:rPr>
          <w:rFonts w:cs="Arial"/>
          <w:bCs/>
        </w:rPr>
        <w:t xml:space="preserve"> </w:t>
      </w:r>
      <w:proofErr w:type="spellStart"/>
      <w:r w:rsidR="00802320" w:rsidRPr="00AC3087">
        <w:rPr>
          <w:rFonts w:cs="Arial"/>
          <w:bCs/>
        </w:rPr>
        <w:t>Sess</w:t>
      </w:r>
      <w:proofErr w:type="spellEnd"/>
      <w:r w:rsidR="00802320" w:rsidRPr="00AC3087">
        <w:rPr>
          <w:rFonts w:cs="Arial"/>
          <w:bCs/>
        </w:rPr>
        <w:t>,</w:t>
      </w:r>
      <w:r w:rsidR="00802320" w:rsidRPr="00AC3087">
        <w:rPr>
          <w:rFonts w:cs="Arial"/>
          <w:b/>
          <w:bCs/>
        </w:rPr>
        <w:t xml:space="preserve"> </w:t>
      </w:r>
      <w:r w:rsidR="00802320" w:rsidRPr="00AC3087">
        <w:rPr>
          <w:rFonts w:cs="Arial"/>
        </w:rPr>
        <w:t>UN</w:t>
      </w:r>
      <w:r w:rsidR="00802320" w:rsidRPr="00AC3087">
        <w:rPr>
          <w:rFonts w:cs="Arial"/>
          <w:spacing w:val="-4"/>
        </w:rPr>
        <w:t xml:space="preserve"> </w:t>
      </w:r>
      <w:r w:rsidR="00802320" w:rsidRPr="00AC3087">
        <w:rPr>
          <w:rFonts w:cs="Arial"/>
        </w:rPr>
        <w:t>Doc</w:t>
      </w:r>
      <w:r w:rsidR="00802320" w:rsidRPr="00AC3087">
        <w:rPr>
          <w:rFonts w:cs="Arial"/>
          <w:spacing w:val="-4"/>
        </w:rPr>
        <w:t xml:space="preserve"> </w:t>
      </w:r>
      <w:r w:rsidR="00802320" w:rsidRPr="00AC3087">
        <w:rPr>
          <w:rFonts w:cs="Arial"/>
        </w:rPr>
        <w:t>CCPR/C/59/D/560/1993 (1997) (‘</w:t>
      </w:r>
      <w:r w:rsidR="00802320" w:rsidRPr="00AC3087">
        <w:rPr>
          <w:rFonts w:cs="Arial"/>
          <w:i/>
        </w:rPr>
        <w:t>A</w:t>
      </w:r>
      <w:r w:rsidR="00802320" w:rsidRPr="00AC3087">
        <w:rPr>
          <w:rFonts w:cs="Arial"/>
          <w:i/>
          <w:spacing w:val="-10"/>
        </w:rPr>
        <w:t xml:space="preserve"> </w:t>
      </w:r>
      <w:r w:rsidR="00802320" w:rsidRPr="00AC3087">
        <w:rPr>
          <w:rFonts w:cs="Arial"/>
          <w:i/>
        </w:rPr>
        <w:t>v</w:t>
      </w:r>
      <w:r w:rsidR="00802320" w:rsidRPr="00AC3087">
        <w:rPr>
          <w:rFonts w:cs="Arial"/>
          <w:i/>
          <w:spacing w:val="-10"/>
        </w:rPr>
        <w:t xml:space="preserve"> </w:t>
      </w:r>
      <w:r w:rsidR="00802320" w:rsidRPr="00AC3087">
        <w:rPr>
          <w:rFonts w:cs="Arial"/>
          <w:i/>
        </w:rPr>
        <w:t>Australia</w:t>
      </w:r>
      <w:r w:rsidR="00802320" w:rsidRPr="00AC3087">
        <w:rPr>
          <w:rFonts w:cs="Arial"/>
          <w:spacing w:val="-4"/>
        </w:rPr>
        <w:t>’)</w:t>
      </w:r>
      <w:r w:rsidR="00802320" w:rsidRPr="00AC3087">
        <w:rPr>
          <w:rFonts w:cs="Arial"/>
        </w:rPr>
        <w:t xml:space="preserve">; UN Human Rights Committee, </w:t>
      </w:r>
      <w:r w:rsidR="00802320" w:rsidRPr="00AC3087">
        <w:rPr>
          <w:rFonts w:cs="Arial"/>
          <w:bCs/>
          <w:i/>
        </w:rPr>
        <w:t xml:space="preserve">Communication No. 631/1995, </w:t>
      </w:r>
      <w:r w:rsidR="00802320" w:rsidRPr="00AC3087">
        <w:rPr>
          <w:rFonts w:cs="Arial"/>
          <w:bCs/>
        </w:rPr>
        <w:t>67</w:t>
      </w:r>
      <w:r w:rsidR="00802320" w:rsidRPr="00AC3087">
        <w:rPr>
          <w:rFonts w:cs="Arial"/>
          <w:bCs/>
          <w:vertAlign w:val="superscript"/>
        </w:rPr>
        <w:t>th</w:t>
      </w:r>
      <w:r w:rsidR="00802320" w:rsidRPr="00AC3087">
        <w:rPr>
          <w:rFonts w:cs="Arial"/>
          <w:bCs/>
        </w:rPr>
        <w:t xml:space="preserve"> </w:t>
      </w:r>
      <w:proofErr w:type="spellStart"/>
      <w:r w:rsidR="00802320" w:rsidRPr="00AC3087">
        <w:rPr>
          <w:rFonts w:cs="Arial"/>
          <w:bCs/>
        </w:rPr>
        <w:t>Sess</w:t>
      </w:r>
      <w:proofErr w:type="spellEnd"/>
      <w:r w:rsidR="00802320" w:rsidRPr="00AC3087">
        <w:rPr>
          <w:rFonts w:cs="Arial"/>
          <w:bCs/>
        </w:rPr>
        <w:t>,</w:t>
      </w:r>
      <w:r w:rsidR="00802320" w:rsidRPr="00AC3087">
        <w:rPr>
          <w:rFonts w:cs="Arial"/>
          <w:b/>
          <w:bCs/>
        </w:rPr>
        <w:t xml:space="preserve"> </w:t>
      </w:r>
      <w:r w:rsidR="00802320" w:rsidRPr="00AC3087">
        <w:rPr>
          <w:rFonts w:cs="Arial"/>
        </w:rPr>
        <w:t>UN Doc</w:t>
      </w:r>
      <w:r w:rsidR="00802320" w:rsidRPr="00AC3087">
        <w:rPr>
          <w:rFonts w:cs="Arial"/>
          <w:spacing w:val="-24"/>
        </w:rPr>
        <w:t xml:space="preserve"> </w:t>
      </w:r>
      <w:bookmarkStart w:id="63" w:name="_bookmark15"/>
      <w:bookmarkEnd w:id="63"/>
      <w:r w:rsidR="00802320" w:rsidRPr="00AC3087">
        <w:rPr>
          <w:rFonts w:cs="Arial"/>
        </w:rPr>
        <w:t>CCPR/C/67/D/631/1995 (1999)</w:t>
      </w:r>
      <w:r w:rsidR="00802320" w:rsidRPr="00AC3087">
        <w:rPr>
          <w:rFonts w:cs="Arial"/>
          <w:i/>
        </w:rPr>
        <w:t xml:space="preserve"> </w:t>
      </w:r>
      <w:r w:rsidR="00802320" w:rsidRPr="00AC3087">
        <w:rPr>
          <w:rFonts w:cs="Arial"/>
        </w:rPr>
        <w:t>(‘</w:t>
      </w:r>
      <w:proofErr w:type="spellStart"/>
      <w:r w:rsidR="00802320" w:rsidRPr="00AC3087">
        <w:rPr>
          <w:rFonts w:cs="Arial"/>
          <w:i/>
        </w:rPr>
        <w:t>Spakmo</w:t>
      </w:r>
      <w:proofErr w:type="spellEnd"/>
      <w:r w:rsidR="00802320" w:rsidRPr="00AC3087">
        <w:rPr>
          <w:rFonts w:cs="Arial"/>
          <w:i/>
          <w:spacing w:val="-3"/>
        </w:rPr>
        <w:t xml:space="preserve"> </w:t>
      </w:r>
      <w:r w:rsidR="00802320" w:rsidRPr="00AC3087">
        <w:rPr>
          <w:rFonts w:cs="Arial"/>
          <w:i/>
        </w:rPr>
        <w:t>v</w:t>
      </w:r>
      <w:r w:rsidR="00802320" w:rsidRPr="00AC3087">
        <w:rPr>
          <w:rFonts w:cs="Arial"/>
          <w:i/>
          <w:spacing w:val="-3"/>
        </w:rPr>
        <w:t xml:space="preserve"> </w:t>
      </w:r>
      <w:r w:rsidR="00802320" w:rsidRPr="00AC3087">
        <w:rPr>
          <w:rFonts w:cs="Arial"/>
          <w:i/>
        </w:rPr>
        <w:t>Norway</w:t>
      </w:r>
      <w:r w:rsidR="00802320" w:rsidRPr="00AC3087">
        <w:rPr>
          <w:rFonts w:cs="Arial"/>
        </w:rPr>
        <w:t>’)</w:t>
      </w:r>
      <w:r w:rsidR="00802320" w:rsidRPr="00AC3087">
        <w:t>.</w:t>
      </w:r>
    </w:p>
  </w:endnote>
  <w:endnote w:id="6">
    <w:p w:rsidR="008F3A9F" w:rsidRPr="007F548C" w:rsidRDefault="008F3A9F" w:rsidP="00C72B9B">
      <w:pPr>
        <w:pStyle w:val="Testonotadichiusura"/>
        <w:ind w:hanging="284"/>
      </w:pPr>
      <w:r w:rsidRPr="007F548C">
        <w:rPr>
          <w:rStyle w:val="Rimandonotadichiusura"/>
        </w:rPr>
        <w:endnoteRef/>
      </w:r>
      <w:r w:rsidRPr="007F548C">
        <w:t xml:space="preserve"> </w:t>
      </w:r>
      <w:r>
        <w:tab/>
      </w:r>
      <w:bookmarkStart w:id="65" w:name="_bookmark16"/>
      <w:bookmarkEnd w:id="65"/>
      <w:r w:rsidR="00C72B9B" w:rsidRPr="007F548C">
        <w:t>UN Human Rights Committee,</w:t>
      </w:r>
      <w:r w:rsidR="00C72B9B">
        <w:t xml:space="preserve"> </w:t>
      </w:r>
      <w:r w:rsidR="00C72B9B" w:rsidRPr="00C85214">
        <w:rPr>
          <w:rFonts w:cs="Arial"/>
          <w:i/>
        </w:rPr>
        <w:t>General Comment 31,</w:t>
      </w:r>
      <w:r w:rsidR="00C72B9B" w:rsidRPr="00C85214">
        <w:rPr>
          <w:rFonts w:cs="Arial"/>
        </w:rPr>
        <w:t xml:space="preserve"> </w:t>
      </w:r>
      <w:r w:rsidR="00C72B9B" w:rsidRPr="00C85214">
        <w:rPr>
          <w:rFonts w:cs="Arial"/>
          <w:i/>
        </w:rPr>
        <w:t>Nature of the General Legal Obligation Imposed on States Parties to the Covenant</w:t>
      </w:r>
      <w:r w:rsidR="00C72B9B" w:rsidRPr="00C85214">
        <w:rPr>
          <w:rFonts w:cs="Arial"/>
        </w:rPr>
        <w:t>, UN Doc CCPR/C/21/Rev.1/Add.13 (2004) [6]</w:t>
      </w:r>
      <w:r w:rsidR="00C72B9B" w:rsidRPr="00C85214">
        <w:rPr>
          <w:color w:val="231F20"/>
        </w:rPr>
        <w:t xml:space="preserve">; </w:t>
      </w:r>
      <w:r w:rsidR="00C72B9B" w:rsidRPr="00C85214">
        <w:rPr>
          <w:rFonts w:cs="Arial"/>
        </w:rPr>
        <w:t xml:space="preserve">UN Human Rights Committee, </w:t>
      </w:r>
      <w:r w:rsidR="00C72B9B" w:rsidRPr="00C85214">
        <w:rPr>
          <w:rFonts w:cs="Arial"/>
          <w:i/>
        </w:rPr>
        <w:t>General Comment No. 35</w:t>
      </w:r>
      <w:r w:rsidR="00C72B9B" w:rsidRPr="00C85214">
        <w:rPr>
          <w:rFonts w:cs="Arial"/>
        </w:rPr>
        <w:t xml:space="preserve"> </w:t>
      </w:r>
      <w:r w:rsidR="00C72B9B" w:rsidRPr="00C85214">
        <w:rPr>
          <w:rFonts w:cs="Arial"/>
          <w:i/>
        </w:rPr>
        <w:t>Article 9 (Liberty and security of person)</w:t>
      </w:r>
      <w:r w:rsidR="00C72B9B" w:rsidRPr="00C85214">
        <w:rPr>
          <w:rFonts w:cs="Arial"/>
        </w:rPr>
        <w:t>, 112</w:t>
      </w:r>
      <w:r w:rsidR="00C72B9B" w:rsidRPr="00C85214">
        <w:rPr>
          <w:rFonts w:cs="Arial"/>
          <w:vertAlign w:val="superscript"/>
        </w:rPr>
        <w:t>th</w:t>
      </w:r>
      <w:r w:rsidR="00C72B9B" w:rsidRPr="00C85214">
        <w:rPr>
          <w:rFonts w:cs="Arial"/>
        </w:rPr>
        <w:t xml:space="preserve"> </w:t>
      </w:r>
      <w:proofErr w:type="spellStart"/>
      <w:r w:rsidR="00C72B9B" w:rsidRPr="00C85214">
        <w:rPr>
          <w:rFonts w:cs="Arial"/>
        </w:rPr>
        <w:t>Sess</w:t>
      </w:r>
      <w:proofErr w:type="spellEnd"/>
      <w:r w:rsidR="00C72B9B" w:rsidRPr="00C85214">
        <w:rPr>
          <w:rFonts w:cs="Arial"/>
        </w:rPr>
        <w:t>, UN Doc CCPR/C/GC/35</w:t>
      </w:r>
      <w:r w:rsidR="00C72B9B" w:rsidRPr="00C85214">
        <w:rPr>
          <w:rFonts w:cs="Arial"/>
          <w:i/>
        </w:rPr>
        <w:t xml:space="preserve"> </w:t>
      </w:r>
      <w:r w:rsidR="00C72B9B" w:rsidRPr="00C85214">
        <w:rPr>
          <w:rFonts w:cs="Arial"/>
        </w:rPr>
        <w:t xml:space="preserve">(2014); UN Human Rights Committee, </w:t>
      </w:r>
      <w:r w:rsidR="00C72B9B" w:rsidRPr="00C85214">
        <w:rPr>
          <w:rFonts w:cs="Arial"/>
          <w:bCs/>
          <w:i/>
        </w:rPr>
        <w:t>Communication No. 560/1993</w:t>
      </w:r>
      <w:r w:rsidR="00C72B9B" w:rsidRPr="00C85214">
        <w:rPr>
          <w:rFonts w:cs="Arial"/>
          <w:bCs/>
        </w:rPr>
        <w:t>, 59</w:t>
      </w:r>
      <w:r w:rsidR="00C72B9B" w:rsidRPr="00C85214">
        <w:rPr>
          <w:rFonts w:cs="Arial"/>
          <w:bCs/>
          <w:vertAlign w:val="superscript"/>
        </w:rPr>
        <w:t>th</w:t>
      </w:r>
      <w:r w:rsidR="00C72B9B" w:rsidRPr="00C85214">
        <w:rPr>
          <w:rFonts w:cs="Arial"/>
          <w:bCs/>
        </w:rPr>
        <w:t xml:space="preserve"> </w:t>
      </w:r>
      <w:proofErr w:type="spellStart"/>
      <w:r w:rsidR="00C72B9B" w:rsidRPr="00C85214">
        <w:rPr>
          <w:rFonts w:cs="Arial"/>
          <w:bCs/>
        </w:rPr>
        <w:t>Sess</w:t>
      </w:r>
      <w:proofErr w:type="spellEnd"/>
      <w:r w:rsidR="00C72B9B" w:rsidRPr="00C85214">
        <w:rPr>
          <w:rFonts w:cs="Arial"/>
          <w:bCs/>
        </w:rPr>
        <w:t>,</w:t>
      </w:r>
      <w:r w:rsidR="00C72B9B" w:rsidRPr="00C85214">
        <w:rPr>
          <w:rFonts w:cs="Arial"/>
          <w:b/>
          <w:bCs/>
        </w:rPr>
        <w:t xml:space="preserve"> </w:t>
      </w:r>
      <w:r w:rsidR="00C72B9B" w:rsidRPr="00C85214">
        <w:rPr>
          <w:rFonts w:cs="Arial"/>
        </w:rPr>
        <w:t>UN</w:t>
      </w:r>
      <w:r w:rsidR="00C72B9B" w:rsidRPr="00C85214">
        <w:rPr>
          <w:rFonts w:cs="Arial"/>
          <w:spacing w:val="-4"/>
        </w:rPr>
        <w:t xml:space="preserve"> </w:t>
      </w:r>
      <w:r w:rsidR="00C72B9B" w:rsidRPr="00C85214">
        <w:rPr>
          <w:rFonts w:cs="Arial"/>
        </w:rPr>
        <w:t>Doc</w:t>
      </w:r>
      <w:r w:rsidR="00C72B9B" w:rsidRPr="00C85214">
        <w:rPr>
          <w:rFonts w:cs="Arial"/>
          <w:spacing w:val="-4"/>
        </w:rPr>
        <w:t xml:space="preserve"> </w:t>
      </w:r>
      <w:r w:rsidR="00C72B9B" w:rsidRPr="00C85214">
        <w:rPr>
          <w:rFonts w:cs="Arial"/>
        </w:rPr>
        <w:t>CCPR/C/59/D/560/1993 (1997) (‘</w:t>
      </w:r>
      <w:r w:rsidR="00C72B9B" w:rsidRPr="00C85214">
        <w:rPr>
          <w:rFonts w:cs="Arial"/>
          <w:i/>
        </w:rPr>
        <w:t>A</w:t>
      </w:r>
      <w:r w:rsidR="00C72B9B" w:rsidRPr="00C85214">
        <w:rPr>
          <w:rFonts w:cs="Arial"/>
          <w:i/>
          <w:spacing w:val="-10"/>
        </w:rPr>
        <w:t xml:space="preserve"> </w:t>
      </w:r>
      <w:r w:rsidR="00C72B9B" w:rsidRPr="00C85214">
        <w:rPr>
          <w:rFonts w:cs="Arial"/>
          <w:i/>
        </w:rPr>
        <w:t>v</w:t>
      </w:r>
      <w:r w:rsidR="00C72B9B" w:rsidRPr="00C85214">
        <w:rPr>
          <w:rFonts w:cs="Arial"/>
          <w:i/>
          <w:spacing w:val="-10"/>
        </w:rPr>
        <w:t xml:space="preserve"> </w:t>
      </w:r>
      <w:r w:rsidR="00C72B9B" w:rsidRPr="00C85214">
        <w:rPr>
          <w:rFonts w:cs="Arial"/>
          <w:i/>
        </w:rPr>
        <w:t>Australia</w:t>
      </w:r>
      <w:r w:rsidR="00C72B9B" w:rsidRPr="00C85214">
        <w:rPr>
          <w:rFonts w:cs="Arial"/>
          <w:spacing w:val="-4"/>
        </w:rPr>
        <w:t xml:space="preserve">’) </w:t>
      </w:r>
      <w:r w:rsidR="00C72B9B" w:rsidRPr="00C85214">
        <w:rPr>
          <w:color w:val="231F20"/>
        </w:rPr>
        <w:t>(the fact that the author may abscond if released into the community was not sufficient reason to justify holding the author in immigration detention for four</w:t>
      </w:r>
      <w:r w:rsidR="00C72B9B" w:rsidRPr="00C85214">
        <w:rPr>
          <w:color w:val="231F20"/>
          <w:spacing w:val="-4"/>
        </w:rPr>
        <w:t xml:space="preserve"> </w:t>
      </w:r>
      <w:r w:rsidR="00C72B9B" w:rsidRPr="00C85214">
        <w:rPr>
          <w:color w:val="231F20"/>
        </w:rPr>
        <w:t xml:space="preserve">years); </w:t>
      </w:r>
      <w:r w:rsidR="00C72B9B" w:rsidRPr="00C85214">
        <w:rPr>
          <w:rFonts w:cs="Arial"/>
        </w:rPr>
        <w:t xml:space="preserve">UN Human Rights Committee, </w:t>
      </w:r>
      <w:r w:rsidR="00C72B9B" w:rsidRPr="00C85214">
        <w:rPr>
          <w:rFonts w:cs="Arial"/>
          <w:bCs/>
          <w:i/>
          <w:lang w:val="en"/>
        </w:rPr>
        <w:t>Communication No. 900/1999</w:t>
      </w:r>
      <w:r w:rsidR="00C72B9B" w:rsidRPr="00C85214">
        <w:rPr>
          <w:rFonts w:cs="Arial"/>
          <w:bCs/>
          <w:lang w:val="en"/>
        </w:rPr>
        <w:t>, 67</w:t>
      </w:r>
      <w:r w:rsidR="00C72B9B" w:rsidRPr="00C85214">
        <w:rPr>
          <w:rFonts w:cs="Arial"/>
          <w:bCs/>
          <w:vertAlign w:val="superscript"/>
          <w:lang w:val="en"/>
        </w:rPr>
        <w:t>th</w:t>
      </w:r>
      <w:r w:rsidR="00C72B9B" w:rsidRPr="00C85214">
        <w:rPr>
          <w:rFonts w:cs="Arial"/>
          <w:bCs/>
          <w:lang w:val="en"/>
        </w:rPr>
        <w:t xml:space="preserve"> </w:t>
      </w:r>
      <w:proofErr w:type="spellStart"/>
      <w:r w:rsidR="00C72B9B" w:rsidRPr="00C85214">
        <w:rPr>
          <w:rFonts w:cs="Arial"/>
          <w:bCs/>
          <w:lang w:val="en"/>
        </w:rPr>
        <w:t>Sess</w:t>
      </w:r>
      <w:proofErr w:type="spellEnd"/>
      <w:r w:rsidR="00C72B9B" w:rsidRPr="00C85214">
        <w:rPr>
          <w:rFonts w:cs="Arial"/>
          <w:bCs/>
          <w:lang w:val="en"/>
        </w:rPr>
        <w:t xml:space="preserve">, </w:t>
      </w:r>
      <w:r w:rsidR="00C72B9B" w:rsidRPr="00C85214">
        <w:rPr>
          <w:rFonts w:cs="Arial"/>
        </w:rPr>
        <w:t>UN Doc CCPR/C/76/D/900/1999 (2002)</w:t>
      </w:r>
      <w:r w:rsidR="00C72B9B" w:rsidRPr="00C85214">
        <w:rPr>
          <w:rFonts w:cs="Arial"/>
          <w:i/>
        </w:rPr>
        <w:t xml:space="preserve"> </w:t>
      </w:r>
      <w:r w:rsidR="00C72B9B" w:rsidRPr="00C85214">
        <w:rPr>
          <w:rFonts w:cs="Arial"/>
        </w:rPr>
        <w:t>(‘</w:t>
      </w:r>
      <w:r w:rsidR="00C72B9B" w:rsidRPr="00C85214">
        <w:rPr>
          <w:rFonts w:cs="Arial"/>
          <w:i/>
        </w:rPr>
        <w:t>C v</w:t>
      </w:r>
      <w:r w:rsidR="00C72B9B" w:rsidRPr="00C85214">
        <w:rPr>
          <w:rFonts w:cs="Arial"/>
          <w:i/>
          <w:spacing w:val="-10"/>
        </w:rPr>
        <w:t xml:space="preserve"> </w:t>
      </w:r>
      <w:r w:rsidR="00C72B9B" w:rsidRPr="00C85214">
        <w:rPr>
          <w:rFonts w:cs="Arial"/>
          <w:i/>
        </w:rPr>
        <w:t>Australia</w:t>
      </w:r>
      <w:r w:rsidR="00C72B9B" w:rsidRPr="00C85214">
        <w:rPr>
          <w:rFonts w:cs="Arial"/>
        </w:rPr>
        <w:t>’)</w:t>
      </w:r>
      <w:r w:rsidR="00C72B9B" w:rsidRPr="00C85214">
        <w:t>.</w:t>
      </w:r>
    </w:p>
  </w:endnote>
  <w:endnote w:id="7">
    <w:p w:rsidR="008F3A9F" w:rsidRDefault="008F3A9F" w:rsidP="008F3A9F">
      <w:pPr>
        <w:pStyle w:val="Testonotadichiusura"/>
        <w:ind w:hanging="284"/>
      </w:pPr>
      <w:r>
        <w:rPr>
          <w:rStyle w:val="Rimandonotadichiusura"/>
        </w:rPr>
        <w:endnoteRef/>
      </w:r>
      <w:r>
        <w:t xml:space="preserve"> </w:t>
      </w:r>
      <w:r>
        <w:tab/>
      </w:r>
      <w:r w:rsidR="00C946DB" w:rsidRPr="00C85214">
        <w:rPr>
          <w:rFonts w:cs="Arial"/>
        </w:rPr>
        <w:t xml:space="preserve">UN Human Rights Committee, </w:t>
      </w:r>
      <w:r w:rsidR="00C946DB" w:rsidRPr="00C85214">
        <w:rPr>
          <w:rFonts w:cs="Arial"/>
          <w:i/>
          <w:iCs/>
        </w:rPr>
        <w:t>Communication No. 305/1988,</w:t>
      </w:r>
      <w:r w:rsidR="00C946DB" w:rsidRPr="00C85214">
        <w:rPr>
          <w:rFonts w:cs="Arial"/>
          <w:i/>
          <w:spacing w:val="-3"/>
        </w:rPr>
        <w:t xml:space="preserve"> </w:t>
      </w:r>
      <w:r w:rsidR="00C946DB" w:rsidRPr="00C85214">
        <w:rPr>
          <w:rFonts w:cs="Arial"/>
          <w:spacing w:val="-3"/>
        </w:rPr>
        <w:t>39</w:t>
      </w:r>
      <w:r w:rsidR="00C946DB" w:rsidRPr="00C85214">
        <w:rPr>
          <w:rFonts w:cs="Arial"/>
          <w:spacing w:val="-3"/>
          <w:vertAlign w:val="superscript"/>
        </w:rPr>
        <w:t>th</w:t>
      </w:r>
      <w:r w:rsidR="00C946DB" w:rsidRPr="00C85214">
        <w:rPr>
          <w:rFonts w:cs="Arial"/>
          <w:spacing w:val="-3"/>
        </w:rPr>
        <w:t xml:space="preserve"> </w:t>
      </w:r>
      <w:proofErr w:type="spellStart"/>
      <w:r w:rsidR="00C946DB" w:rsidRPr="00C85214">
        <w:rPr>
          <w:rFonts w:cs="Arial"/>
          <w:spacing w:val="-3"/>
        </w:rPr>
        <w:t>Sess</w:t>
      </w:r>
      <w:proofErr w:type="spellEnd"/>
      <w:r w:rsidR="00C946DB" w:rsidRPr="00C85214">
        <w:rPr>
          <w:rFonts w:cs="Arial"/>
          <w:spacing w:val="-3"/>
        </w:rPr>
        <w:t xml:space="preserve">, </w:t>
      </w:r>
      <w:r w:rsidR="00C946DB" w:rsidRPr="00C85214">
        <w:rPr>
          <w:rFonts w:cs="Arial"/>
        </w:rPr>
        <w:t>UN Doc CCPR/C/39/D/305/1988 (1990) (‘</w:t>
      </w:r>
      <w:r w:rsidR="00C946DB" w:rsidRPr="00C85214">
        <w:rPr>
          <w:rFonts w:cs="Arial"/>
          <w:i/>
          <w:spacing w:val="-3"/>
        </w:rPr>
        <w:t xml:space="preserve">Van </w:t>
      </w:r>
      <w:r w:rsidR="00C946DB" w:rsidRPr="00C85214">
        <w:rPr>
          <w:rFonts w:cs="Arial"/>
          <w:i/>
        </w:rPr>
        <w:t>Alphen v The Netherlands</w:t>
      </w:r>
      <w:r w:rsidR="00C946DB" w:rsidRPr="00C85214">
        <w:rPr>
          <w:rFonts w:cs="Arial"/>
        </w:rPr>
        <w:t>’).</w:t>
      </w:r>
    </w:p>
  </w:endnote>
  <w:endnote w:id="8">
    <w:p w:rsidR="008F3A9F" w:rsidRPr="007F548C" w:rsidRDefault="008F3A9F" w:rsidP="008F3A9F">
      <w:pPr>
        <w:pStyle w:val="Testonotadichiusura"/>
        <w:ind w:hanging="284"/>
        <w:rPr>
          <w:rFonts w:cs="Arial"/>
        </w:rPr>
      </w:pPr>
      <w:r w:rsidRPr="007F548C">
        <w:rPr>
          <w:rStyle w:val="Rimandonotadichiusura"/>
          <w:rFonts w:cs="Arial"/>
        </w:rPr>
        <w:endnoteRef/>
      </w:r>
      <w:r w:rsidRPr="007F548C">
        <w:rPr>
          <w:rFonts w:cs="Arial"/>
        </w:rPr>
        <w:t xml:space="preserve"> </w:t>
      </w:r>
      <w:r>
        <w:rPr>
          <w:rFonts w:cs="Arial"/>
        </w:rPr>
        <w:tab/>
      </w:r>
      <w:r w:rsidR="001B1FD5" w:rsidRPr="00C85214">
        <w:rPr>
          <w:rFonts w:cs="Arial"/>
        </w:rPr>
        <w:t xml:space="preserve">UN Human Rights Committee, </w:t>
      </w:r>
      <w:r w:rsidR="001B1FD5" w:rsidRPr="00C85214">
        <w:rPr>
          <w:rFonts w:cs="Arial"/>
          <w:bCs/>
          <w:i/>
          <w:lang w:val="en"/>
        </w:rPr>
        <w:t>Communication No. 900/1999</w:t>
      </w:r>
      <w:r w:rsidR="001B1FD5" w:rsidRPr="00C85214">
        <w:rPr>
          <w:rFonts w:cs="Arial"/>
          <w:bCs/>
          <w:lang w:val="en"/>
        </w:rPr>
        <w:t>, 67</w:t>
      </w:r>
      <w:r w:rsidR="001B1FD5" w:rsidRPr="00C85214">
        <w:rPr>
          <w:rFonts w:cs="Arial"/>
          <w:bCs/>
          <w:vertAlign w:val="superscript"/>
          <w:lang w:val="en"/>
        </w:rPr>
        <w:t>th</w:t>
      </w:r>
      <w:r w:rsidR="001B1FD5" w:rsidRPr="00C85214">
        <w:rPr>
          <w:rFonts w:cs="Arial"/>
          <w:bCs/>
          <w:lang w:val="en"/>
        </w:rPr>
        <w:t xml:space="preserve"> </w:t>
      </w:r>
      <w:proofErr w:type="spellStart"/>
      <w:r w:rsidR="001B1FD5" w:rsidRPr="00C85214">
        <w:rPr>
          <w:rFonts w:cs="Arial"/>
          <w:bCs/>
          <w:lang w:val="en"/>
        </w:rPr>
        <w:t>Sess</w:t>
      </w:r>
      <w:proofErr w:type="spellEnd"/>
      <w:r w:rsidR="001B1FD5" w:rsidRPr="00C85214">
        <w:rPr>
          <w:rFonts w:cs="Arial"/>
          <w:bCs/>
          <w:lang w:val="en"/>
        </w:rPr>
        <w:t xml:space="preserve">, </w:t>
      </w:r>
      <w:r w:rsidR="001B1FD5" w:rsidRPr="00C85214">
        <w:rPr>
          <w:rFonts w:cs="Arial"/>
        </w:rPr>
        <w:t>UN Doc CCPR/C/76/D/900/1999 (2002)</w:t>
      </w:r>
      <w:r w:rsidR="001B1FD5" w:rsidRPr="00C85214">
        <w:rPr>
          <w:rFonts w:cs="Arial"/>
          <w:i/>
        </w:rPr>
        <w:t xml:space="preserve"> </w:t>
      </w:r>
      <w:r w:rsidR="001B1FD5" w:rsidRPr="00C85214">
        <w:rPr>
          <w:rFonts w:cs="Arial"/>
        </w:rPr>
        <w:t>(‘</w:t>
      </w:r>
      <w:r w:rsidR="001B1FD5" w:rsidRPr="00C85214">
        <w:rPr>
          <w:rFonts w:cs="Arial"/>
          <w:i/>
        </w:rPr>
        <w:t>C v</w:t>
      </w:r>
      <w:r w:rsidR="001B1FD5" w:rsidRPr="00C85214">
        <w:rPr>
          <w:rFonts w:cs="Arial"/>
          <w:i/>
          <w:spacing w:val="-10"/>
        </w:rPr>
        <w:t xml:space="preserve"> </w:t>
      </w:r>
      <w:r w:rsidR="001B1FD5" w:rsidRPr="00C85214">
        <w:rPr>
          <w:rFonts w:cs="Arial"/>
          <w:i/>
        </w:rPr>
        <w:t>Australia</w:t>
      </w:r>
      <w:r w:rsidR="001B1FD5" w:rsidRPr="00C85214">
        <w:rPr>
          <w:rFonts w:cs="Arial"/>
        </w:rPr>
        <w:t>’)</w:t>
      </w:r>
      <w:r w:rsidR="001B1FD5" w:rsidRPr="00C85214">
        <w:rPr>
          <w:color w:val="231F20"/>
        </w:rPr>
        <w:t>;</w:t>
      </w:r>
      <w:r w:rsidR="001B1FD5" w:rsidRPr="00C85214">
        <w:rPr>
          <w:rFonts w:cs="Arial"/>
        </w:rPr>
        <w:t xml:space="preserve"> UN Human Rights Committee, </w:t>
      </w:r>
      <w:r w:rsidR="001B1FD5" w:rsidRPr="00C85214">
        <w:rPr>
          <w:rFonts w:cs="Arial"/>
          <w:bCs/>
          <w:i/>
        </w:rPr>
        <w:t>Communications Nos. 1255,1256,1259,1260,1266,1268,1270,1288/2004</w:t>
      </w:r>
      <w:r w:rsidR="001B1FD5" w:rsidRPr="00C85214">
        <w:rPr>
          <w:rFonts w:cs="Arial"/>
          <w:bCs/>
        </w:rPr>
        <w:t>, 90</w:t>
      </w:r>
      <w:r w:rsidR="001B1FD5" w:rsidRPr="00C85214">
        <w:rPr>
          <w:rFonts w:cs="Arial"/>
          <w:bCs/>
          <w:vertAlign w:val="superscript"/>
        </w:rPr>
        <w:t>th</w:t>
      </w:r>
      <w:r w:rsidR="001B1FD5" w:rsidRPr="00C85214">
        <w:rPr>
          <w:rFonts w:cs="Arial"/>
          <w:bCs/>
        </w:rPr>
        <w:t xml:space="preserve"> </w:t>
      </w:r>
      <w:proofErr w:type="spellStart"/>
      <w:r w:rsidR="001B1FD5" w:rsidRPr="00C85214">
        <w:rPr>
          <w:rFonts w:cs="Arial"/>
          <w:bCs/>
        </w:rPr>
        <w:t>Sess</w:t>
      </w:r>
      <w:proofErr w:type="spellEnd"/>
      <w:r w:rsidR="001B1FD5" w:rsidRPr="00C85214">
        <w:rPr>
          <w:rFonts w:cs="Arial"/>
          <w:bCs/>
        </w:rPr>
        <w:t xml:space="preserve">, </w:t>
      </w:r>
      <w:r w:rsidR="001B1FD5" w:rsidRPr="00C85214">
        <w:rPr>
          <w:rFonts w:cs="Arial"/>
        </w:rPr>
        <w:t>UN</w:t>
      </w:r>
      <w:r w:rsidR="001B1FD5" w:rsidRPr="00C85214">
        <w:rPr>
          <w:rFonts w:cs="Arial"/>
          <w:spacing w:val="-6"/>
        </w:rPr>
        <w:t xml:space="preserve"> </w:t>
      </w:r>
      <w:r w:rsidR="001B1FD5" w:rsidRPr="00C85214">
        <w:rPr>
          <w:rFonts w:cs="Arial"/>
        </w:rPr>
        <w:t>Doc</w:t>
      </w:r>
      <w:r w:rsidR="001B1FD5" w:rsidRPr="00C85214">
        <w:rPr>
          <w:rFonts w:cs="Arial"/>
          <w:spacing w:val="-6"/>
        </w:rPr>
        <w:t xml:space="preserve"> </w:t>
      </w:r>
      <w:r w:rsidR="001B1FD5" w:rsidRPr="00C85214">
        <w:rPr>
          <w:rFonts w:cs="Arial"/>
        </w:rPr>
        <w:t>CCPR/C/90/D/1255/2004 (2007) (‘</w:t>
      </w:r>
      <w:r w:rsidR="001B1FD5" w:rsidRPr="00C85214">
        <w:rPr>
          <w:rFonts w:cs="Arial"/>
          <w:i/>
        </w:rPr>
        <w:t xml:space="preserve">Shams &amp; </w:t>
      </w:r>
      <w:proofErr w:type="spellStart"/>
      <w:r w:rsidR="001B1FD5" w:rsidRPr="00C85214">
        <w:rPr>
          <w:rFonts w:cs="Arial"/>
          <w:i/>
        </w:rPr>
        <w:t>Ors</w:t>
      </w:r>
      <w:proofErr w:type="spellEnd"/>
      <w:r w:rsidR="001B1FD5" w:rsidRPr="00C85214">
        <w:rPr>
          <w:rFonts w:cs="Arial"/>
          <w:i/>
        </w:rPr>
        <w:t xml:space="preserve"> v Australia</w:t>
      </w:r>
      <w:r w:rsidR="001B1FD5" w:rsidRPr="00C85214">
        <w:rPr>
          <w:rFonts w:cs="Arial"/>
        </w:rPr>
        <w:t>’); UN Human Rights Committee, Communication No 1014/2001, 78</w:t>
      </w:r>
      <w:r w:rsidR="001B1FD5" w:rsidRPr="00C85214">
        <w:rPr>
          <w:rFonts w:cs="Arial"/>
          <w:vertAlign w:val="superscript"/>
        </w:rPr>
        <w:t>th</w:t>
      </w:r>
      <w:r w:rsidR="001B1FD5" w:rsidRPr="00C85214">
        <w:rPr>
          <w:rFonts w:cs="Arial"/>
        </w:rPr>
        <w:t xml:space="preserve"> </w:t>
      </w:r>
      <w:proofErr w:type="spellStart"/>
      <w:r w:rsidR="001B1FD5" w:rsidRPr="00C85214">
        <w:rPr>
          <w:rFonts w:cs="Arial"/>
        </w:rPr>
        <w:t>Sess</w:t>
      </w:r>
      <w:proofErr w:type="spellEnd"/>
      <w:r w:rsidR="001B1FD5" w:rsidRPr="00C85214">
        <w:rPr>
          <w:rFonts w:cs="Arial"/>
        </w:rPr>
        <w:t>, CCPR/C/78/D/1014/2001 (2003) (‘</w:t>
      </w:r>
      <w:proofErr w:type="spellStart"/>
      <w:r w:rsidR="001B1FD5" w:rsidRPr="00C85214">
        <w:rPr>
          <w:rFonts w:cs="Arial"/>
          <w:i/>
        </w:rPr>
        <w:t>Baban</w:t>
      </w:r>
      <w:proofErr w:type="spellEnd"/>
      <w:r w:rsidR="001B1FD5" w:rsidRPr="00C85214">
        <w:rPr>
          <w:rFonts w:cs="Arial"/>
          <w:i/>
        </w:rPr>
        <w:t xml:space="preserve"> v</w:t>
      </w:r>
      <w:r w:rsidR="001B1FD5" w:rsidRPr="00C85214">
        <w:rPr>
          <w:rFonts w:cs="Arial"/>
          <w:i/>
          <w:spacing w:val="-11"/>
        </w:rPr>
        <w:t xml:space="preserve"> </w:t>
      </w:r>
      <w:r w:rsidR="001B1FD5" w:rsidRPr="00C85214">
        <w:rPr>
          <w:rFonts w:cs="Arial"/>
          <w:i/>
        </w:rPr>
        <w:t>Australia</w:t>
      </w:r>
      <w:r w:rsidR="001B1FD5" w:rsidRPr="00C85214">
        <w:rPr>
          <w:rFonts w:cs="Arial"/>
        </w:rPr>
        <w:t>’);</w:t>
      </w:r>
      <w:r w:rsidR="001B1FD5" w:rsidRPr="00C85214">
        <w:rPr>
          <w:rFonts w:cs="Arial"/>
          <w:i/>
        </w:rPr>
        <w:t xml:space="preserve"> </w:t>
      </w:r>
      <w:r w:rsidR="001B1FD5" w:rsidRPr="00C85214">
        <w:rPr>
          <w:rFonts w:cs="Arial"/>
        </w:rPr>
        <w:t xml:space="preserve">UN Human Rights Committee, </w:t>
      </w:r>
      <w:r w:rsidR="001B1FD5" w:rsidRPr="00C85214">
        <w:rPr>
          <w:rFonts w:cs="Arial"/>
          <w:bCs/>
          <w:lang w:val="en"/>
        </w:rPr>
        <w:t>Communication No. 1050/2002, 87</w:t>
      </w:r>
      <w:r w:rsidR="001B1FD5" w:rsidRPr="00C85214">
        <w:rPr>
          <w:rFonts w:cs="Arial"/>
          <w:bCs/>
          <w:vertAlign w:val="superscript"/>
          <w:lang w:val="en"/>
        </w:rPr>
        <w:t>th</w:t>
      </w:r>
      <w:r w:rsidR="001B1FD5" w:rsidRPr="00C85214">
        <w:rPr>
          <w:rFonts w:cs="Arial"/>
          <w:bCs/>
          <w:lang w:val="en"/>
        </w:rPr>
        <w:t xml:space="preserve"> </w:t>
      </w:r>
      <w:proofErr w:type="spellStart"/>
      <w:r w:rsidR="001B1FD5" w:rsidRPr="00C85214">
        <w:rPr>
          <w:rFonts w:cs="Arial"/>
          <w:bCs/>
          <w:lang w:val="en"/>
        </w:rPr>
        <w:t>Sess</w:t>
      </w:r>
      <w:proofErr w:type="spellEnd"/>
      <w:r w:rsidR="001B1FD5" w:rsidRPr="00C85214">
        <w:rPr>
          <w:rFonts w:cs="Arial"/>
          <w:bCs/>
          <w:lang w:val="en"/>
        </w:rPr>
        <w:t>,</w:t>
      </w:r>
      <w:r w:rsidR="001B1FD5" w:rsidRPr="00C85214">
        <w:rPr>
          <w:rFonts w:cs="Arial"/>
          <w:lang w:val="en"/>
        </w:rPr>
        <w:t xml:space="preserve"> </w:t>
      </w:r>
      <w:r w:rsidR="001B1FD5" w:rsidRPr="00C85214">
        <w:rPr>
          <w:rFonts w:cs="Arial"/>
        </w:rPr>
        <w:t>CCPR/C/87/D/1050/2002 (2006)</w:t>
      </w:r>
      <w:r w:rsidR="001B1FD5" w:rsidRPr="00C85214">
        <w:rPr>
          <w:rFonts w:cs="Arial"/>
          <w:i/>
        </w:rPr>
        <w:t xml:space="preserve"> </w:t>
      </w:r>
      <w:r w:rsidR="001B1FD5" w:rsidRPr="00C85214">
        <w:rPr>
          <w:rFonts w:cs="Arial"/>
        </w:rPr>
        <w:t>(‘</w:t>
      </w:r>
      <w:r w:rsidR="001B1FD5" w:rsidRPr="00C85214">
        <w:rPr>
          <w:rFonts w:cs="Arial"/>
          <w:i/>
        </w:rPr>
        <w:t>D</w:t>
      </w:r>
      <w:r w:rsidR="001B1FD5" w:rsidRPr="00C85214">
        <w:rPr>
          <w:rFonts w:cs="Arial"/>
          <w:i/>
          <w:spacing w:val="-6"/>
        </w:rPr>
        <w:t xml:space="preserve"> </w:t>
      </w:r>
      <w:r w:rsidR="001B1FD5" w:rsidRPr="00C85214">
        <w:rPr>
          <w:rFonts w:cs="Arial"/>
          <w:i/>
        </w:rPr>
        <w:t>and E and their two children v</w:t>
      </w:r>
      <w:r w:rsidR="001B1FD5" w:rsidRPr="00C85214">
        <w:rPr>
          <w:rFonts w:cs="Arial"/>
          <w:i/>
          <w:spacing w:val="-38"/>
        </w:rPr>
        <w:t xml:space="preserve">  </w:t>
      </w:r>
      <w:r w:rsidR="001B1FD5" w:rsidRPr="00C85214">
        <w:rPr>
          <w:rFonts w:cs="Arial"/>
          <w:i/>
        </w:rPr>
        <w:t>Australia</w:t>
      </w:r>
      <w:r w:rsidR="001B1FD5" w:rsidRPr="00C85214">
        <w:rPr>
          <w:rFonts w:cs="Arial"/>
        </w:rPr>
        <w:t>’).</w:t>
      </w:r>
    </w:p>
  </w:endnote>
  <w:endnote w:id="9">
    <w:p w:rsidR="008F3A9F" w:rsidRPr="007F548C" w:rsidRDefault="008F3A9F" w:rsidP="008F3A9F">
      <w:pPr>
        <w:tabs>
          <w:tab w:val="left" w:pos="567"/>
        </w:tabs>
        <w:spacing w:line="249" w:lineRule="auto"/>
        <w:ind w:right="553" w:hanging="284"/>
        <w:contextualSpacing/>
        <w:rPr>
          <w:sz w:val="20"/>
        </w:rPr>
      </w:pPr>
      <w:r w:rsidRPr="007F548C">
        <w:rPr>
          <w:rStyle w:val="Rimandonotadichiusura"/>
        </w:rPr>
        <w:endnoteRef/>
      </w:r>
      <w:r w:rsidRPr="007F548C">
        <w:rPr>
          <w:sz w:val="20"/>
        </w:rPr>
        <w:t xml:space="preserve"> </w:t>
      </w:r>
      <w:r>
        <w:rPr>
          <w:sz w:val="20"/>
        </w:rPr>
        <w:tab/>
      </w:r>
      <w:r w:rsidR="001D79CC" w:rsidRPr="00D67223">
        <w:rPr>
          <w:rFonts w:cs="Arial"/>
          <w:sz w:val="20"/>
        </w:rPr>
        <w:t xml:space="preserve">UN Human Rights Committee, </w:t>
      </w:r>
      <w:r w:rsidR="001D79CC" w:rsidRPr="00D67223">
        <w:rPr>
          <w:rFonts w:cs="Arial"/>
          <w:i/>
          <w:sz w:val="20"/>
        </w:rPr>
        <w:t>General Comment No. 35</w:t>
      </w:r>
      <w:r w:rsidR="001D79CC" w:rsidRPr="00D67223">
        <w:rPr>
          <w:rFonts w:cs="Arial"/>
          <w:sz w:val="20"/>
        </w:rPr>
        <w:t xml:space="preserve"> </w:t>
      </w:r>
      <w:r w:rsidR="001D79CC" w:rsidRPr="00D67223">
        <w:rPr>
          <w:rFonts w:cs="Arial"/>
          <w:i/>
          <w:sz w:val="20"/>
        </w:rPr>
        <w:t>Article 9 (Liberty and security of person)</w:t>
      </w:r>
      <w:r w:rsidR="001D79CC" w:rsidRPr="00D67223">
        <w:rPr>
          <w:rFonts w:cs="Arial"/>
          <w:sz w:val="20"/>
        </w:rPr>
        <w:t>, 112</w:t>
      </w:r>
      <w:r w:rsidR="001D79CC" w:rsidRPr="00D67223">
        <w:rPr>
          <w:rFonts w:cs="Arial"/>
          <w:sz w:val="20"/>
          <w:vertAlign w:val="superscript"/>
        </w:rPr>
        <w:t>th</w:t>
      </w:r>
      <w:r w:rsidR="001D79CC" w:rsidRPr="00D67223">
        <w:rPr>
          <w:rFonts w:cs="Arial"/>
          <w:sz w:val="20"/>
        </w:rPr>
        <w:t xml:space="preserve"> </w:t>
      </w:r>
      <w:proofErr w:type="spellStart"/>
      <w:r w:rsidR="001D79CC" w:rsidRPr="00D67223">
        <w:rPr>
          <w:rFonts w:cs="Arial"/>
          <w:sz w:val="20"/>
        </w:rPr>
        <w:t>Sess</w:t>
      </w:r>
      <w:proofErr w:type="spellEnd"/>
      <w:r w:rsidR="001D79CC" w:rsidRPr="00D67223">
        <w:rPr>
          <w:rFonts w:cs="Arial"/>
          <w:sz w:val="20"/>
        </w:rPr>
        <w:t>, UN Doc CCPR/C/GC/35</w:t>
      </w:r>
      <w:r w:rsidR="001D79CC" w:rsidRPr="00D67223">
        <w:rPr>
          <w:rFonts w:cs="Arial"/>
          <w:i/>
          <w:sz w:val="20"/>
        </w:rPr>
        <w:t xml:space="preserve"> </w:t>
      </w:r>
      <w:r w:rsidR="001D79CC" w:rsidRPr="00D67223">
        <w:rPr>
          <w:rFonts w:cs="Arial"/>
          <w:sz w:val="20"/>
        </w:rPr>
        <w:t xml:space="preserve">(2014) </w:t>
      </w:r>
      <w:r w:rsidR="001D79CC" w:rsidRPr="00D67223">
        <w:rPr>
          <w:sz w:val="20"/>
        </w:rPr>
        <w:t>[18], footnotes omitted</w:t>
      </w:r>
      <w:r w:rsidRPr="007F548C">
        <w:rPr>
          <w:sz w:val="20"/>
        </w:rPr>
        <w:t>.</w:t>
      </w:r>
    </w:p>
  </w:endnote>
  <w:endnote w:id="10">
    <w:p w:rsidR="008F3A9F" w:rsidRPr="007F548C" w:rsidRDefault="008F3A9F" w:rsidP="008F3A9F">
      <w:pPr>
        <w:tabs>
          <w:tab w:val="left" w:pos="567"/>
        </w:tabs>
        <w:spacing w:line="249" w:lineRule="auto"/>
        <w:ind w:hanging="284"/>
        <w:contextualSpacing/>
        <w:rPr>
          <w:sz w:val="20"/>
        </w:rPr>
      </w:pPr>
      <w:r w:rsidRPr="007F548C">
        <w:rPr>
          <w:rStyle w:val="Rimandonotadichiusura"/>
        </w:rPr>
        <w:endnoteRef/>
      </w:r>
      <w:r w:rsidRPr="007F548C">
        <w:rPr>
          <w:sz w:val="20"/>
        </w:rPr>
        <w:t xml:space="preserve"> </w:t>
      </w:r>
      <w:r>
        <w:rPr>
          <w:sz w:val="20"/>
        </w:rPr>
        <w:tab/>
      </w:r>
      <w:r w:rsidR="000F4920" w:rsidRPr="004D6887">
        <w:rPr>
          <w:rFonts w:cs="Arial"/>
          <w:sz w:val="20"/>
        </w:rPr>
        <w:t xml:space="preserve">UN Human Rights Committee, </w:t>
      </w:r>
      <w:r w:rsidR="000F4920" w:rsidRPr="004D6887">
        <w:rPr>
          <w:rFonts w:cs="Arial"/>
          <w:i/>
          <w:sz w:val="20"/>
        </w:rPr>
        <w:t>General Comment 31,</w:t>
      </w:r>
      <w:r w:rsidR="000F4920" w:rsidRPr="004D6887">
        <w:rPr>
          <w:rFonts w:cs="Arial"/>
          <w:sz w:val="20"/>
        </w:rPr>
        <w:t xml:space="preserve"> </w:t>
      </w:r>
      <w:r w:rsidR="000F4920" w:rsidRPr="004D6887">
        <w:rPr>
          <w:rFonts w:cs="Arial"/>
          <w:i/>
          <w:sz w:val="20"/>
        </w:rPr>
        <w:t>Nature of the General Legal Obligation Imposed on States Parties to the Covenant</w:t>
      </w:r>
      <w:r w:rsidR="000F4920" w:rsidRPr="004D6887">
        <w:rPr>
          <w:rFonts w:cs="Arial"/>
          <w:sz w:val="20"/>
        </w:rPr>
        <w:t>, UN Doc CCPR/C/21/Rev.1/Add.13 (2004)</w:t>
      </w:r>
      <w:r w:rsidR="000F4920" w:rsidRPr="004D6887">
        <w:rPr>
          <w:sz w:val="20"/>
        </w:rPr>
        <w:t xml:space="preserve"> [6];</w:t>
      </w:r>
      <w:r w:rsidR="000F4920" w:rsidRPr="007F548C">
        <w:rPr>
          <w:sz w:val="20"/>
        </w:rPr>
        <w:t xml:space="preserve"> </w:t>
      </w:r>
      <w:r w:rsidR="000F4920" w:rsidRPr="004D6887">
        <w:rPr>
          <w:rFonts w:cs="Arial"/>
          <w:sz w:val="20"/>
        </w:rPr>
        <w:t xml:space="preserve">UN Human Rights Committee, </w:t>
      </w:r>
      <w:r w:rsidR="000F4920" w:rsidRPr="004D6887">
        <w:rPr>
          <w:rFonts w:cs="Arial"/>
          <w:i/>
          <w:iCs/>
          <w:sz w:val="20"/>
        </w:rPr>
        <w:t>Communication No. 305/1988,</w:t>
      </w:r>
      <w:r w:rsidR="000F4920" w:rsidRPr="004D6887">
        <w:rPr>
          <w:rFonts w:cs="Arial"/>
          <w:i/>
          <w:spacing w:val="-3"/>
          <w:sz w:val="20"/>
        </w:rPr>
        <w:t xml:space="preserve"> </w:t>
      </w:r>
      <w:r w:rsidR="000F4920" w:rsidRPr="004D6887">
        <w:rPr>
          <w:rFonts w:cs="Arial"/>
          <w:spacing w:val="-3"/>
          <w:sz w:val="20"/>
        </w:rPr>
        <w:t>39</w:t>
      </w:r>
      <w:r w:rsidR="000F4920" w:rsidRPr="004D6887">
        <w:rPr>
          <w:rFonts w:cs="Arial"/>
          <w:spacing w:val="-3"/>
          <w:sz w:val="20"/>
          <w:vertAlign w:val="superscript"/>
        </w:rPr>
        <w:t>th</w:t>
      </w:r>
      <w:r w:rsidR="000F4920" w:rsidRPr="004D6887">
        <w:rPr>
          <w:rFonts w:cs="Arial"/>
          <w:spacing w:val="-3"/>
          <w:sz w:val="20"/>
        </w:rPr>
        <w:t xml:space="preserve"> </w:t>
      </w:r>
      <w:proofErr w:type="spellStart"/>
      <w:r w:rsidR="000F4920" w:rsidRPr="004D6887">
        <w:rPr>
          <w:rFonts w:cs="Arial"/>
          <w:spacing w:val="-3"/>
          <w:sz w:val="20"/>
        </w:rPr>
        <w:t>Sess</w:t>
      </w:r>
      <w:proofErr w:type="spellEnd"/>
      <w:r w:rsidR="000F4920" w:rsidRPr="004D6887">
        <w:rPr>
          <w:rFonts w:cs="Arial"/>
          <w:spacing w:val="-3"/>
          <w:sz w:val="20"/>
        </w:rPr>
        <w:t xml:space="preserve">, </w:t>
      </w:r>
      <w:r w:rsidR="000F4920" w:rsidRPr="004D6887">
        <w:rPr>
          <w:rFonts w:cs="Arial"/>
          <w:sz w:val="20"/>
        </w:rPr>
        <w:t>UN Doc CCPR/C/39/D/305/1988 (1990) (‘</w:t>
      </w:r>
      <w:r w:rsidR="000F4920" w:rsidRPr="004D6887">
        <w:rPr>
          <w:rFonts w:cs="Arial"/>
          <w:i/>
          <w:spacing w:val="-3"/>
          <w:sz w:val="20"/>
        </w:rPr>
        <w:t xml:space="preserve">Van </w:t>
      </w:r>
      <w:r w:rsidR="000F4920" w:rsidRPr="004D6887">
        <w:rPr>
          <w:rFonts w:cs="Arial"/>
          <w:i/>
          <w:sz w:val="20"/>
        </w:rPr>
        <w:t>Alphen v The Netherlands</w:t>
      </w:r>
      <w:r w:rsidR="000F4920" w:rsidRPr="004D6887">
        <w:rPr>
          <w:rFonts w:cs="Arial"/>
          <w:sz w:val="20"/>
        </w:rPr>
        <w:t>’)</w:t>
      </w:r>
      <w:r w:rsidR="000F4920" w:rsidRPr="004D6887">
        <w:rPr>
          <w:sz w:val="20"/>
        </w:rPr>
        <w:t xml:space="preserve">; </w:t>
      </w:r>
      <w:r w:rsidR="000F4920" w:rsidRPr="004D6887">
        <w:rPr>
          <w:rFonts w:cs="Arial"/>
          <w:sz w:val="20"/>
        </w:rPr>
        <w:t xml:space="preserve">UN Human Rights Committee, </w:t>
      </w:r>
      <w:r w:rsidR="000F4920" w:rsidRPr="004D6887">
        <w:rPr>
          <w:rFonts w:cs="Arial"/>
          <w:bCs/>
          <w:i/>
          <w:sz w:val="20"/>
        </w:rPr>
        <w:t>Communication No. 560/1993</w:t>
      </w:r>
      <w:r w:rsidR="000F4920" w:rsidRPr="004D6887">
        <w:rPr>
          <w:rFonts w:cs="Arial"/>
          <w:bCs/>
          <w:sz w:val="20"/>
        </w:rPr>
        <w:t>, 59</w:t>
      </w:r>
      <w:r w:rsidR="000F4920" w:rsidRPr="004D6887">
        <w:rPr>
          <w:rFonts w:cs="Arial"/>
          <w:bCs/>
          <w:sz w:val="20"/>
          <w:vertAlign w:val="superscript"/>
        </w:rPr>
        <w:t>th</w:t>
      </w:r>
      <w:r w:rsidR="000F4920" w:rsidRPr="004D6887">
        <w:rPr>
          <w:rFonts w:cs="Arial"/>
          <w:bCs/>
          <w:sz w:val="20"/>
        </w:rPr>
        <w:t xml:space="preserve"> </w:t>
      </w:r>
      <w:proofErr w:type="spellStart"/>
      <w:r w:rsidR="000F4920" w:rsidRPr="004D6887">
        <w:rPr>
          <w:rFonts w:cs="Arial"/>
          <w:bCs/>
          <w:sz w:val="20"/>
        </w:rPr>
        <w:t>Sess</w:t>
      </w:r>
      <w:proofErr w:type="spellEnd"/>
      <w:r w:rsidR="000F4920" w:rsidRPr="004D6887">
        <w:rPr>
          <w:rFonts w:cs="Arial"/>
          <w:bCs/>
          <w:sz w:val="20"/>
        </w:rPr>
        <w:t>,</w:t>
      </w:r>
      <w:r w:rsidR="000F4920" w:rsidRPr="004D6887">
        <w:rPr>
          <w:rFonts w:cs="Arial"/>
          <w:b/>
          <w:bCs/>
          <w:sz w:val="20"/>
        </w:rPr>
        <w:t xml:space="preserve"> </w:t>
      </w:r>
      <w:r w:rsidR="000F4920" w:rsidRPr="004D6887">
        <w:rPr>
          <w:rFonts w:cs="Arial"/>
          <w:sz w:val="20"/>
        </w:rPr>
        <w:t>UN</w:t>
      </w:r>
      <w:r w:rsidR="000F4920" w:rsidRPr="004D6887">
        <w:rPr>
          <w:rFonts w:cs="Arial"/>
          <w:spacing w:val="-4"/>
          <w:sz w:val="20"/>
        </w:rPr>
        <w:t xml:space="preserve"> </w:t>
      </w:r>
      <w:r w:rsidR="000F4920" w:rsidRPr="004D6887">
        <w:rPr>
          <w:rFonts w:cs="Arial"/>
          <w:sz w:val="20"/>
        </w:rPr>
        <w:t>Doc</w:t>
      </w:r>
      <w:r w:rsidR="000F4920" w:rsidRPr="004D6887">
        <w:rPr>
          <w:rFonts w:cs="Arial"/>
          <w:spacing w:val="-4"/>
          <w:sz w:val="20"/>
        </w:rPr>
        <w:t xml:space="preserve"> </w:t>
      </w:r>
      <w:r w:rsidR="000F4920" w:rsidRPr="004D6887">
        <w:rPr>
          <w:rFonts w:cs="Arial"/>
          <w:sz w:val="20"/>
        </w:rPr>
        <w:t>CCPR/C/59/D/560/1993 (1997) (‘</w:t>
      </w:r>
      <w:r w:rsidR="000F4920" w:rsidRPr="004D6887">
        <w:rPr>
          <w:rFonts w:cs="Arial"/>
          <w:i/>
          <w:sz w:val="20"/>
        </w:rPr>
        <w:t>A</w:t>
      </w:r>
      <w:r w:rsidR="000F4920" w:rsidRPr="004D6887">
        <w:rPr>
          <w:rFonts w:cs="Arial"/>
          <w:i/>
          <w:spacing w:val="-10"/>
          <w:sz w:val="20"/>
        </w:rPr>
        <w:t xml:space="preserve"> </w:t>
      </w:r>
      <w:r w:rsidR="000F4920" w:rsidRPr="004D6887">
        <w:rPr>
          <w:rFonts w:cs="Arial"/>
          <w:i/>
          <w:sz w:val="20"/>
        </w:rPr>
        <w:t>v</w:t>
      </w:r>
      <w:r w:rsidR="000F4920" w:rsidRPr="004D6887">
        <w:rPr>
          <w:rFonts w:cs="Arial"/>
          <w:i/>
          <w:spacing w:val="-10"/>
          <w:sz w:val="20"/>
        </w:rPr>
        <w:t xml:space="preserve"> </w:t>
      </w:r>
      <w:r w:rsidR="000F4920" w:rsidRPr="004D6887">
        <w:rPr>
          <w:rFonts w:cs="Arial"/>
          <w:i/>
          <w:sz w:val="20"/>
        </w:rPr>
        <w:t>Australia</w:t>
      </w:r>
      <w:r w:rsidR="000F4920" w:rsidRPr="004D6887">
        <w:rPr>
          <w:rFonts w:cs="Arial"/>
          <w:spacing w:val="-4"/>
          <w:sz w:val="20"/>
        </w:rPr>
        <w:t>’)</w:t>
      </w:r>
      <w:r w:rsidR="000F4920" w:rsidRPr="004D6887">
        <w:rPr>
          <w:sz w:val="20"/>
        </w:rPr>
        <w:t xml:space="preserve">; </w:t>
      </w:r>
      <w:r w:rsidR="000F4920" w:rsidRPr="004D6887">
        <w:rPr>
          <w:rFonts w:cs="Arial"/>
          <w:sz w:val="20"/>
        </w:rPr>
        <w:t xml:space="preserve">UN Human Rights Committee, </w:t>
      </w:r>
      <w:r w:rsidR="000F4920" w:rsidRPr="004D6887">
        <w:rPr>
          <w:rFonts w:cs="Arial"/>
          <w:bCs/>
          <w:i/>
          <w:sz w:val="20"/>
          <w:lang w:val="en"/>
        </w:rPr>
        <w:t>Communication No. 900/1999</w:t>
      </w:r>
      <w:r w:rsidR="000F4920" w:rsidRPr="004D6887">
        <w:rPr>
          <w:rFonts w:cs="Arial"/>
          <w:bCs/>
          <w:sz w:val="20"/>
          <w:lang w:val="en"/>
        </w:rPr>
        <w:t>, 67</w:t>
      </w:r>
      <w:r w:rsidR="000F4920" w:rsidRPr="004D6887">
        <w:rPr>
          <w:rFonts w:cs="Arial"/>
          <w:bCs/>
          <w:sz w:val="20"/>
          <w:vertAlign w:val="superscript"/>
          <w:lang w:val="en"/>
        </w:rPr>
        <w:t>th</w:t>
      </w:r>
      <w:r w:rsidR="000F4920" w:rsidRPr="004D6887">
        <w:rPr>
          <w:rFonts w:cs="Arial"/>
          <w:bCs/>
          <w:sz w:val="20"/>
          <w:lang w:val="en"/>
        </w:rPr>
        <w:t xml:space="preserve"> </w:t>
      </w:r>
      <w:proofErr w:type="spellStart"/>
      <w:r w:rsidR="000F4920" w:rsidRPr="004D6887">
        <w:rPr>
          <w:rFonts w:cs="Arial"/>
          <w:bCs/>
          <w:sz w:val="20"/>
          <w:lang w:val="en"/>
        </w:rPr>
        <w:t>Sess</w:t>
      </w:r>
      <w:proofErr w:type="spellEnd"/>
      <w:r w:rsidR="000F4920" w:rsidRPr="004D6887">
        <w:rPr>
          <w:rFonts w:cs="Arial"/>
          <w:bCs/>
          <w:sz w:val="20"/>
          <w:lang w:val="en"/>
        </w:rPr>
        <w:t xml:space="preserve">, </w:t>
      </w:r>
      <w:r w:rsidR="000F4920" w:rsidRPr="004D6887">
        <w:rPr>
          <w:rFonts w:cs="Arial"/>
          <w:sz w:val="20"/>
        </w:rPr>
        <w:t>UN Doc CCPR/C/76/D/900/1999 (2002)</w:t>
      </w:r>
      <w:r w:rsidR="000F4920" w:rsidRPr="004D6887">
        <w:rPr>
          <w:rFonts w:cs="Arial"/>
          <w:i/>
          <w:sz w:val="20"/>
        </w:rPr>
        <w:t xml:space="preserve"> </w:t>
      </w:r>
      <w:r w:rsidR="000F4920" w:rsidRPr="004D6887">
        <w:rPr>
          <w:rFonts w:cs="Arial"/>
          <w:sz w:val="20"/>
        </w:rPr>
        <w:t>(‘</w:t>
      </w:r>
      <w:r w:rsidR="000F4920" w:rsidRPr="004D6887">
        <w:rPr>
          <w:rFonts w:cs="Arial"/>
          <w:i/>
          <w:sz w:val="20"/>
        </w:rPr>
        <w:t>C v</w:t>
      </w:r>
      <w:r w:rsidR="000F4920" w:rsidRPr="004D6887">
        <w:rPr>
          <w:rFonts w:cs="Arial"/>
          <w:i/>
          <w:spacing w:val="-10"/>
          <w:sz w:val="20"/>
        </w:rPr>
        <w:t xml:space="preserve"> </w:t>
      </w:r>
      <w:r w:rsidR="000F4920" w:rsidRPr="004D6887">
        <w:rPr>
          <w:rFonts w:cs="Arial"/>
          <w:i/>
          <w:sz w:val="20"/>
        </w:rPr>
        <w:t>Australia</w:t>
      </w:r>
      <w:r w:rsidR="000F4920" w:rsidRPr="004D6887">
        <w:rPr>
          <w:rFonts w:cs="Arial"/>
          <w:sz w:val="20"/>
        </w:rPr>
        <w:t>’)</w:t>
      </w:r>
      <w:r w:rsidR="000F4920" w:rsidRPr="004D6887">
        <w:rPr>
          <w:sz w:val="20"/>
        </w:rPr>
        <w:t>.</w:t>
      </w:r>
      <w:r w:rsidRPr="007F548C">
        <w:rPr>
          <w:sz w:val="20"/>
        </w:rPr>
        <w:t xml:space="preserve"> </w:t>
      </w:r>
    </w:p>
  </w:endnote>
  <w:endnote w:id="11">
    <w:p w:rsidR="008F3A9F" w:rsidRPr="007F548C" w:rsidRDefault="008F3A9F" w:rsidP="008F3A9F">
      <w:pPr>
        <w:pStyle w:val="Testonotadichiusura"/>
        <w:ind w:hanging="284"/>
      </w:pPr>
      <w:r w:rsidRPr="007F548C">
        <w:rPr>
          <w:rStyle w:val="Rimandonotadichiusura"/>
        </w:rPr>
        <w:endnoteRef/>
      </w:r>
      <w:r w:rsidRPr="007F548C">
        <w:t xml:space="preserve"> </w:t>
      </w:r>
      <w:r>
        <w:tab/>
      </w:r>
      <w:r w:rsidR="0015063A" w:rsidRPr="00D50339">
        <w:t xml:space="preserve">The Hon Chris Bowen MP, </w:t>
      </w:r>
      <w:r w:rsidR="0015063A">
        <w:t>Minister</w:t>
      </w:r>
      <w:r w:rsidR="0015063A" w:rsidRPr="00D50339">
        <w:t xml:space="preserve"> for Immigration</w:t>
      </w:r>
      <w:r w:rsidR="0015063A" w:rsidRPr="00417BDA">
        <w:t xml:space="preserve"> and </w:t>
      </w:r>
      <w:r w:rsidR="0015063A">
        <w:t xml:space="preserve">Citizenship, </w:t>
      </w:r>
      <w:r w:rsidR="001E771B">
        <w:rPr>
          <w:i/>
        </w:rPr>
        <w:t>Minister’s guidelines on m</w:t>
      </w:r>
      <w:r w:rsidR="0015063A">
        <w:rPr>
          <w:i/>
        </w:rPr>
        <w:t>inisterial powers (s</w:t>
      </w:r>
      <w:r w:rsidR="007D52CC">
        <w:rPr>
          <w:i/>
        </w:rPr>
        <w:t xml:space="preserve"> </w:t>
      </w:r>
      <w:r w:rsidR="0015063A">
        <w:rPr>
          <w:i/>
        </w:rPr>
        <w:t xml:space="preserve">345, s 351, s 417 and </w:t>
      </w:r>
      <w:r w:rsidR="0015063A" w:rsidRPr="00FA1354">
        <w:rPr>
          <w:i/>
        </w:rPr>
        <w:t>s 501J)</w:t>
      </w:r>
      <w:r w:rsidR="0015063A">
        <w:t xml:space="preserve"> 24 March 2012 (reissued on 10 October 2015)</w:t>
      </w:r>
      <w:r w:rsidRPr="007F548C">
        <w:t xml:space="preserve">, Part 12. The guidelines are incorporated into the department’s Procedures Advice Manual. See also Part 4 of the replacement guidelines issued by the Hon Peter Dutton, Minister for Immigration and Border Protection, </w:t>
      </w:r>
      <w:r w:rsidRPr="007F548C">
        <w:rPr>
          <w:i/>
        </w:rPr>
        <w:t>Minister’s guidelines on ministerial powers (s</w:t>
      </w:r>
      <w:r w:rsidR="007D52CC">
        <w:rPr>
          <w:i/>
        </w:rPr>
        <w:t xml:space="preserve"> </w:t>
      </w:r>
      <w:r w:rsidRPr="007F548C">
        <w:rPr>
          <w:i/>
        </w:rPr>
        <w:t>351, s</w:t>
      </w:r>
      <w:r w:rsidR="007D52CC">
        <w:rPr>
          <w:i/>
        </w:rPr>
        <w:t xml:space="preserve"> </w:t>
      </w:r>
      <w:r w:rsidRPr="007F548C">
        <w:rPr>
          <w:i/>
        </w:rPr>
        <w:t>417 and s</w:t>
      </w:r>
      <w:r w:rsidR="007D52CC">
        <w:rPr>
          <w:i/>
        </w:rPr>
        <w:t xml:space="preserve"> </w:t>
      </w:r>
      <w:r w:rsidRPr="007F548C">
        <w:rPr>
          <w:i/>
        </w:rPr>
        <w:t>501J)</w:t>
      </w:r>
      <w:r w:rsidRPr="007F548C">
        <w:t xml:space="preserve"> 11 March 2016, incorporated into the departm</w:t>
      </w:r>
      <w:r w:rsidR="007D52CC">
        <w:t>ent’s Procedures Advice Manual.</w:t>
      </w:r>
    </w:p>
  </w:endnote>
  <w:endnote w:id="12">
    <w:p w:rsidR="008F3A9F" w:rsidRPr="007F548C" w:rsidRDefault="008F3A9F" w:rsidP="008F3A9F">
      <w:pPr>
        <w:pStyle w:val="Testonotadichiusura"/>
        <w:ind w:hanging="284"/>
      </w:pPr>
      <w:r w:rsidRPr="007F548C">
        <w:rPr>
          <w:rStyle w:val="Rimandonotadichiusura"/>
        </w:rPr>
        <w:endnoteRef/>
      </w:r>
      <w:r w:rsidRPr="007F548C">
        <w:t xml:space="preserve"> </w:t>
      </w:r>
      <w:r>
        <w:tab/>
      </w:r>
      <w:r w:rsidRPr="007F548C">
        <w:rPr>
          <w:i/>
        </w:rPr>
        <w:t xml:space="preserve">Australian Human Rights Commission Act 1986 </w:t>
      </w:r>
      <w:r w:rsidRPr="007F548C">
        <w:t>(</w:t>
      </w:r>
      <w:proofErr w:type="spellStart"/>
      <w:r w:rsidRPr="007F548C">
        <w:t>Cth</w:t>
      </w:r>
      <w:proofErr w:type="spellEnd"/>
      <w:r w:rsidRPr="007F548C">
        <w:t>) s 29(2)(a).</w:t>
      </w:r>
    </w:p>
  </w:endnote>
  <w:endnote w:id="13">
    <w:p w:rsidR="008F3A9F" w:rsidRPr="007F548C" w:rsidRDefault="008F3A9F" w:rsidP="008F3A9F">
      <w:pPr>
        <w:pStyle w:val="Testonotadichiusura"/>
        <w:ind w:hanging="284"/>
      </w:pPr>
      <w:r w:rsidRPr="007F548C">
        <w:rPr>
          <w:rStyle w:val="Rimandonotadichiusura"/>
        </w:rPr>
        <w:endnoteRef/>
      </w:r>
      <w:r w:rsidRPr="007F548C">
        <w:t xml:space="preserve"> </w:t>
      </w:r>
      <w:r>
        <w:tab/>
      </w:r>
      <w:r w:rsidRPr="007F548C">
        <w:rPr>
          <w:i/>
        </w:rPr>
        <w:t xml:space="preserve">Australian Human Rights Commission Act 1986 </w:t>
      </w:r>
      <w:r w:rsidRPr="007F548C">
        <w:t>(</w:t>
      </w:r>
      <w:proofErr w:type="spellStart"/>
      <w:r w:rsidRPr="007F548C">
        <w:t>Cth</w:t>
      </w:r>
      <w:proofErr w:type="spellEnd"/>
      <w:r w:rsidRPr="007F548C">
        <w:t>) s 29(2)(b).</w:t>
      </w:r>
    </w:p>
  </w:endnote>
  <w:endnote w:id="14">
    <w:p w:rsidR="008F3A9F" w:rsidRPr="007F548C" w:rsidRDefault="008F3A9F" w:rsidP="008F3A9F">
      <w:pPr>
        <w:pStyle w:val="Testonotadichiusura"/>
        <w:ind w:hanging="284"/>
      </w:pPr>
      <w:r w:rsidRPr="007F548C">
        <w:rPr>
          <w:rStyle w:val="Rimandonotadichiusura"/>
        </w:rPr>
        <w:endnoteRef/>
      </w:r>
      <w:r w:rsidRPr="007F548C">
        <w:t xml:space="preserve"> </w:t>
      </w:r>
      <w:r>
        <w:tab/>
      </w:r>
      <w:r w:rsidRPr="007F548C">
        <w:rPr>
          <w:i/>
        </w:rPr>
        <w:t xml:space="preserve">Australian Human Rights Commission Act 1986 </w:t>
      </w:r>
      <w:r w:rsidRPr="007F548C">
        <w:t>(</w:t>
      </w:r>
      <w:proofErr w:type="spellStart"/>
      <w:r w:rsidRPr="007F548C">
        <w:t>Cth</w:t>
      </w:r>
      <w:proofErr w:type="spellEnd"/>
      <w:r w:rsidRPr="007F548C">
        <w:t>) s 29(2)(c).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20B0604020202020204"/>
    <w:charset w:val="CC"/>
    <w:family w:val="auto"/>
    <w:notTrueType/>
    <w:pitch w:val="default"/>
    <w:sig w:usb0="00000203" w:usb1="00000000" w:usb2="00000000" w:usb3="00000000" w:csb0="00000005" w:csb1="00000000"/>
  </w:font>
  <w:font w:name="ヒラギノ角ゴ Pro W3">
    <w:panose1 w:val="020B0300000000000000"/>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HelveticaNeue">
    <w:altName w:val="Helvetica Neue"/>
    <w:panose1 w:val="02000503000000020004"/>
    <w:charset w:val="00"/>
    <w:family w:val="auto"/>
    <w:pitch w:val="variable"/>
    <w:sig w:usb0="E50002FF" w:usb1="500079DB" w:usb2="00000010" w:usb3="00000000" w:csb0="00000001" w:csb1="00000000"/>
  </w:font>
  <w:font w:name="HelveticaNeueLTPro-Cn">
    <w:altName w:val="Arial"/>
    <w:panose1 w:val="020B0604020202020204"/>
    <w:charset w:val="4D"/>
    <w:family w:val="swiss"/>
    <w:notTrueType/>
    <w:pitch w:val="variable"/>
    <w:sig w:usb0="800000AF" w:usb1="5000205B" w:usb2="00000000" w:usb3="00000000" w:csb0="0000009B" w:csb1="00000000"/>
  </w:font>
  <w:font w:name="HelveticaNeueLTPro-Bd">
    <w:altName w:val="Arial"/>
    <w:panose1 w:val="020B0604020202020204"/>
    <w:charset w:val="4D"/>
    <w:family w:val="swiss"/>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00C" w:rsidRDefault="0024300C" w:rsidP="00CE7182">
    <w:pPr>
      <w:pStyle w:val="Pidipagina"/>
    </w:pPr>
    <w:r w:rsidRPr="0090165F">
      <w:fldChar w:fldCharType="begin"/>
    </w:r>
    <w:r w:rsidRPr="0090165F">
      <w:instrText xml:space="preserve"> PAGE   \* MERGEFORMAT </w:instrText>
    </w:r>
    <w:r w:rsidRPr="0090165F">
      <w:fldChar w:fldCharType="separate"/>
    </w:r>
    <w:r w:rsidR="009B2D1D">
      <w:rPr>
        <w:noProof/>
      </w:rPr>
      <w:t>6</w:t>
    </w:r>
    <w:r w:rsidRPr="0090165F">
      <w:fldChar w:fldCharType="end"/>
    </w:r>
  </w:p>
  <w:p w:rsidR="00C97F91" w:rsidRDefault="00C97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3D4" w:rsidRDefault="005823D4" w:rsidP="00F14C6D">
      <w:r>
        <w:separator/>
      </w:r>
    </w:p>
  </w:footnote>
  <w:footnote w:type="continuationSeparator" w:id="0">
    <w:p w:rsidR="005823D4" w:rsidRDefault="005823D4"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009348"/>
    <w:lvl w:ilvl="0">
      <w:numFmt w:val="decimal"/>
      <w:pStyle w:val="Dash"/>
      <w:lvlText w:val="*"/>
      <w:lvlJc w:val="left"/>
    </w:lvl>
  </w:abstractNum>
  <w:abstractNum w:abstractNumId="11" w15:restartNumberingAfterBreak="0">
    <w:nsid w:val="00AF6119"/>
    <w:multiLevelType w:val="hybridMultilevel"/>
    <w:tmpl w:val="A740CB70"/>
    <w:lvl w:ilvl="0" w:tplc="107E1B0E">
      <w:start w:val="1"/>
      <w:numFmt w:val="lowerLetter"/>
      <w:lvlText w:val="(%1)"/>
      <w:lvlJc w:val="left"/>
      <w:pPr>
        <w:ind w:left="2002" w:hanging="341"/>
      </w:pPr>
      <w:rPr>
        <w:rFonts w:ascii="Arial" w:eastAsia="Arial" w:hAnsi="Arial" w:cs="Arial" w:hint="default"/>
        <w:color w:val="231F20"/>
        <w:w w:val="100"/>
        <w:sz w:val="22"/>
        <w:szCs w:val="22"/>
      </w:rPr>
    </w:lvl>
    <w:lvl w:ilvl="1" w:tplc="70A87D8E">
      <w:numFmt w:val="bullet"/>
      <w:lvlText w:val="•"/>
      <w:lvlJc w:val="left"/>
      <w:pPr>
        <w:ind w:left="2787" w:hanging="341"/>
      </w:pPr>
      <w:rPr>
        <w:rFonts w:hint="default"/>
      </w:rPr>
    </w:lvl>
    <w:lvl w:ilvl="2" w:tplc="4F307122">
      <w:numFmt w:val="bullet"/>
      <w:lvlText w:val="•"/>
      <w:lvlJc w:val="left"/>
      <w:pPr>
        <w:ind w:left="3574" w:hanging="341"/>
      </w:pPr>
      <w:rPr>
        <w:rFonts w:hint="default"/>
      </w:rPr>
    </w:lvl>
    <w:lvl w:ilvl="3" w:tplc="BB740586">
      <w:numFmt w:val="bullet"/>
      <w:lvlText w:val="•"/>
      <w:lvlJc w:val="left"/>
      <w:pPr>
        <w:ind w:left="4360" w:hanging="341"/>
      </w:pPr>
      <w:rPr>
        <w:rFonts w:hint="default"/>
      </w:rPr>
    </w:lvl>
    <w:lvl w:ilvl="4" w:tplc="67DA88C4">
      <w:numFmt w:val="bullet"/>
      <w:lvlText w:val="•"/>
      <w:lvlJc w:val="left"/>
      <w:pPr>
        <w:ind w:left="5147" w:hanging="341"/>
      </w:pPr>
      <w:rPr>
        <w:rFonts w:hint="default"/>
      </w:rPr>
    </w:lvl>
    <w:lvl w:ilvl="5" w:tplc="5C220676">
      <w:numFmt w:val="bullet"/>
      <w:lvlText w:val="•"/>
      <w:lvlJc w:val="left"/>
      <w:pPr>
        <w:ind w:left="5933" w:hanging="341"/>
      </w:pPr>
      <w:rPr>
        <w:rFonts w:hint="default"/>
      </w:rPr>
    </w:lvl>
    <w:lvl w:ilvl="6" w:tplc="1E3C4BD6">
      <w:numFmt w:val="bullet"/>
      <w:lvlText w:val="•"/>
      <w:lvlJc w:val="left"/>
      <w:pPr>
        <w:ind w:left="6720" w:hanging="341"/>
      </w:pPr>
      <w:rPr>
        <w:rFonts w:hint="default"/>
      </w:rPr>
    </w:lvl>
    <w:lvl w:ilvl="7" w:tplc="BEC88B9E">
      <w:numFmt w:val="bullet"/>
      <w:lvlText w:val="•"/>
      <w:lvlJc w:val="left"/>
      <w:pPr>
        <w:ind w:left="7506" w:hanging="341"/>
      </w:pPr>
      <w:rPr>
        <w:rFonts w:hint="default"/>
      </w:rPr>
    </w:lvl>
    <w:lvl w:ilvl="8" w:tplc="B1B29696">
      <w:numFmt w:val="bullet"/>
      <w:lvlText w:val="•"/>
      <w:lvlJc w:val="left"/>
      <w:pPr>
        <w:ind w:left="8293" w:hanging="341"/>
      </w:pPr>
      <w:rPr>
        <w:rFonts w:hint="default"/>
      </w:rPr>
    </w:lvl>
  </w:abstractNum>
  <w:abstractNum w:abstractNumId="12"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60801F2"/>
    <w:multiLevelType w:val="hybridMultilevel"/>
    <w:tmpl w:val="1A20C148"/>
    <w:lvl w:ilvl="0" w:tplc="0CDEEFAC">
      <w:start w:val="1"/>
      <w:numFmt w:val="decimal"/>
      <w:pStyle w:val="BodyListParagraph"/>
      <w:lvlText w:val="%1."/>
      <w:lvlJc w:val="left"/>
      <w:pPr>
        <w:tabs>
          <w:tab w:val="num" w:pos="680"/>
        </w:tabs>
        <w:ind w:left="680" w:hanging="68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18" w15:restartNumberingAfterBreak="0">
    <w:nsid w:val="21B71560"/>
    <w:multiLevelType w:val="multilevel"/>
    <w:tmpl w:val="0C090023"/>
    <w:styleLink w:val="ArticoloSezio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60A13C5"/>
    <w:multiLevelType w:val="hybridMultilevel"/>
    <w:tmpl w:val="E83E56C8"/>
    <w:lvl w:ilvl="0" w:tplc="7A58F36C">
      <w:start w:val="1"/>
      <w:numFmt w:val="lowerLetter"/>
      <w:lvlText w:val="(%1)"/>
      <w:lvlJc w:val="left"/>
      <w:pPr>
        <w:ind w:left="2421"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20" w15:restartNumberingAfterBreak="0">
    <w:nsid w:val="297817C3"/>
    <w:multiLevelType w:val="multilevel"/>
    <w:tmpl w:val="20A0E41A"/>
    <w:lvl w:ilvl="0">
      <w:start w:val="1"/>
      <w:numFmt w:val="decimal"/>
      <w:pStyle w:val="Titolo1"/>
      <w:lvlText w:val="%1"/>
      <w:lvlJc w:val="left"/>
      <w:pPr>
        <w:tabs>
          <w:tab w:val="num" w:pos="851"/>
        </w:tabs>
        <w:ind w:left="851" w:hanging="851"/>
      </w:pPr>
      <w:rPr>
        <w:rFonts w:hint="default"/>
      </w:rPr>
    </w:lvl>
    <w:lvl w:ilvl="1">
      <w:start w:val="1"/>
      <w:numFmt w:val="decimal"/>
      <w:pStyle w:val="Titolo2"/>
      <w:lvlText w:val="%1.%2"/>
      <w:lvlJc w:val="left"/>
      <w:pPr>
        <w:tabs>
          <w:tab w:val="num" w:pos="851"/>
        </w:tabs>
        <w:ind w:left="851" w:hanging="851"/>
      </w:pPr>
      <w:rPr>
        <w:rFonts w:hint="default"/>
      </w:rPr>
    </w:lvl>
    <w:lvl w:ilvl="2">
      <w:start w:val="1"/>
      <w:numFmt w:val="lowerLetter"/>
      <w:pStyle w:val="Titolo3"/>
      <w:lvlText w:val="(%3)"/>
      <w:lvlJc w:val="left"/>
      <w:pPr>
        <w:tabs>
          <w:tab w:val="num" w:pos="851"/>
        </w:tabs>
        <w:ind w:left="851" w:hanging="851"/>
      </w:pPr>
      <w:rPr>
        <w:rFonts w:ascii="Arial" w:hAnsi="Arial" w:hint="default"/>
        <w:b w:val="0"/>
        <w:i/>
        <w:sz w:val="24"/>
      </w:rPr>
    </w:lvl>
    <w:lvl w:ilvl="3">
      <w:start w:val="1"/>
      <w:numFmt w:val="lowerRoman"/>
      <w:pStyle w:val="Titolo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34D1682C"/>
    <w:multiLevelType w:val="hybridMultilevel"/>
    <w:tmpl w:val="9094063C"/>
    <w:lvl w:ilvl="0" w:tplc="FA74FE3A">
      <w:start w:val="1"/>
      <w:numFmt w:val="lowerLetter"/>
      <w:lvlText w:val="%1."/>
      <w:lvlJc w:val="left"/>
      <w:pPr>
        <w:ind w:left="2457" w:hanging="360"/>
      </w:pPr>
      <w:rPr>
        <w:rFonts w:cs="Arial" w:hint="default"/>
      </w:rPr>
    </w:lvl>
    <w:lvl w:ilvl="1" w:tplc="0C090019" w:tentative="1">
      <w:start w:val="1"/>
      <w:numFmt w:val="lowerLetter"/>
      <w:lvlText w:val="%2."/>
      <w:lvlJc w:val="left"/>
      <w:pPr>
        <w:ind w:left="3177" w:hanging="360"/>
      </w:pPr>
    </w:lvl>
    <w:lvl w:ilvl="2" w:tplc="0C09001B" w:tentative="1">
      <w:start w:val="1"/>
      <w:numFmt w:val="lowerRoman"/>
      <w:lvlText w:val="%3."/>
      <w:lvlJc w:val="right"/>
      <w:pPr>
        <w:ind w:left="3897" w:hanging="180"/>
      </w:pPr>
    </w:lvl>
    <w:lvl w:ilvl="3" w:tplc="0C09000F" w:tentative="1">
      <w:start w:val="1"/>
      <w:numFmt w:val="decimal"/>
      <w:lvlText w:val="%4."/>
      <w:lvlJc w:val="left"/>
      <w:pPr>
        <w:ind w:left="4617" w:hanging="360"/>
      </w:pPr>
    </w:lvl>
    <w:lvl w:ilvl="4" w:tplc="0C090019" w:tentative="1">
      <w:start w:val="1"/>
      <w:numFmt w:val="lowerLetter"/>
      <w:lvlText w:val="%5."/>
      <w:lvlJc w:val="left"/>
      <w:pPr>
        <w:ind w:left="5337" w:hanging="360"/>
      </w:pPr>
    </w:lvl>
    <w:lvl w:ilvl="5" w:tplc="0C09001B" w:tentative="1">
      <w:start w:val="1"/>
      <w:numFmt w:val="lowerRoman"/>
      <w:lvlText w:val="%6."/>
      <w:lvlJc w:val="right"/>
      <w:pPr>
        <w:ind w:left="6057" w:hanging="180"/>
      </w:pPr>
    </w:lvl>
    <w:lvl w:ilvl="6" w:tplc="0C09000F" w:tentative="1">
      <w:start w:val="1"/>
      <w:numFmt w:val="decimal"/>
      <w:lvlText w:val="%7."/>
      <w:lvlJc w:val="left"/>
      <w:pPr>
        <w:ind w:left="6777" w:hanging="360"/>
      </w:pPr>
    </w:lvl>
    <w:lvl w:ilvl="7" w:tplc="0C090019" w:tentative="1">
      <w:start w:val="1"/>
      <w:numFmt w:val="lowerLetter"/>
      <w:lvlText w:val="%8."/>
      <w:lvlJc w:val="left"/>
      <w:pPr>
        <w:ind w:left="7497" w:hanging="360"/>
      </w:pPr>
    </w:lvl>
    <w:lvl w:ilvl="8" w:tplc="0C09001B" w:tentative="1">
      <w:start w:val="1"/>
      <w:numFmt w:val="lowerRoman"/>
      <w:lvlText w:val="%9."/>
      <w:lvlJc w:val="right"/>
      <w:pPr>
        <w:ind w:left="8217" w:hanging="180"/>
      </w:pPr>
    </w:lvl>
  </w:abstractNum>
  <w:abstractNum w:abstractNumId="24" w15:restartNumberingAfterBreak="0">
    <w:nsid w:val="3B155EDB"/>
    <w:multiLevelType w:val="hybridMultilevel"/>
    <w:tmpl w:val="A9F0E170"/>
    <w:lvl w:ilvl="0" w:tplc="0C090001">
      <w:start w:val="1"/>
      <w:numFmt w:val="bullet"/>
      <w:lvlText w:val=""/>
      <w:lvlJc w:val="left"/>
      <w:pPr>
        <w:ind w:left="2203" w:hanging="360"/>
      </w:pPr>
      <w:rPr>
        <w:rFonts w:ascii="Symbol" w:hAnsi="Symbol" w:hint="default"/>
      </w:rPr>
    </w:lvl>
    <w:lvl w:ilvl="1" w:tplc="0C090003">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25" w15:restartNumberingAfterBreak="0">
    <w:nsid w:val="3B724835"/>
    <w:multiLevelType w:val="hybridMultilevel"/>
    <w:tmpl w:val="B420BBDA"/>
    <w:lvl w:ilvl="0" w:tplc="7A58F36C">
      <w:start w:val="1"/>
      <w:numFmt w:val="lowerLetter"/>
      <w:lvlText w:val="(%1)"/>
      <w:lvlJc w:val="left"/>
      <w:pPr>
        <w:ind w:left="180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3BAB4E2D"/>
    <w:multiLevelType w:val="hybridMultilevel"/>
    <w:tmpl w:val="973C80BE"/>
    <w:lvl w:ilvl="0" w:tplc="7A385D32">
      <w:start w:val="1"/>
      <w:numFmt w:val="lowerLetter"/>
      <w:lvlText w:val="%1."/>
      <w:lvlJc w:val="left"/>
      <w:pPr>
        <w:ind w:left="1440" w:hanging="360"/>
      </w:pPr>
      <w:rPr>
        <w:rFonts w:ascii="Arial" w:eastAsia="Times New Roman" w:hAnsi="Arial" w:cs="Times New Roman"/>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AE45BFD"/>
    <w:multiLevelType w:val="hybridMultilevel"/>
    <w:tmpl w:val="60D8BBE6"/>
    <w:lvl w:ilvl="0" w:tplc="7A58F36C">
      <w:start w:val="1"/>
      <w:numFmt w:val="lowerLetter"/>
      <w:lvlText w:val="(%1)"/>
      <w:lvlJc w:val="left"/>
      <w:pPr>
        <w:ind w:left="1899"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619" w:hanging="360"/>
      </w:pPr>
    </w:lvl>
    <w:lvl w:ilvl="2" w:tplc="0C09001B" w:tentative="1">
      <w:start w:val="1"/>
      <w:numFmt w:val="lowerRoman"/>
      <w:lvlText w:val="%3."/>
      <w:lvlJc w:val="right"/>
      <w:pPr>
        <w:ind w:left="3339" w:hanging="180"/>
      </w:pPr>
    </w:lvl>
    <w:lvl w:ilvl="3" w:tplc="0C09000F" w:tentative="1">
      <w:start w:val="1"/>
      <w:numFmt w:val="decimal"/>
      <w:lvlText w:val="%4."/>
      <w:lvlJc w:val="left"/>
      <w:pPr>
        <w:ind w:left="4059" w:hanging="360"/>
      </w:pPr>
    </w:lvl>
    <w:lvl w:ilvl="4" w:tplc="0C090019" w:tentative="1">
      <w:start w:val="1"/>
      <w:numFmt w:val="lowerLetter"/>
      <w:lvlText w:val="%5."/>
      <w:lvlJc w:val="left"/>
      <w:pPr>
        <w:ind w:left="4779" w:hanging="360"/>
      </w:pPr>
    </w:lvl>
    <w:lvl w:ilvl="5" w:tplc="0C09001B" w:tentative="1">
      <w:start w:val="1"/>
      <w:numFmt w:val="lowerRoman"/>
      <w:lvlText w:val="%6."/>
      <w:lvlJc w:val="right"/>
      <w:pPr>
        <w:ind w:left="5499" w:hanging="180"/>
      </w:pPr>
    </w:lvl>
    <w:lvl w:ilvl="6" w:tplc="0C09000F" w:tentative="1">
      <w:start w:val="1"/>
      <w:numFmt w:val="decimal"/>
      <w:lvlText w:val="%7."/>
      <w:lvlJc w:val="left"/>
      <w:pPr>
        <w:ind w:left="6219" w:hanging="360"/>
      </w:pPr>
    </w:lvl>
    <w:lvl w:ilvl="7" w:tplc="0C090019" w:tentative="1">
      <w:start w:val="1"/>
      <w:numFmt w:val="lowerLetter"/>
      <w:lvlText w:val="%8."/>
      <w:lvlJc w:val="left"/>
      <w:pPr>
        <w:ind w:left="6939" w:hanging="360"/>
      </w:pPr>
    </w:lvl>
    <w:lvl w:ilvl="8" w:tplc="0C09001B" w:tentative="1">
      <w:start w:val="1"/>
      <w:numFmt w:val="lowerRoman"/>
      <w:lvlText w:val="%9."/>
      <w:lvlJc w:val="right"/>
      <w:pPr>
        <w:ind w:left="7659" w:hanging="180"/>
      </w:pPr>
    </w:lvl>
  </w:abstractNum>
  <w:abstractNum w:abstractNumId="32" w15:restartNumberingAfterBreak="0">
    <w:nsid w:val="4B7A5E77"/>
    <w:multiLevelType w:val="hybridMultilevel"/>
    <w:tmpl w:val="FB6886AE"/>
    <w:lvl w:ilvl="0" w:tplc="107E1B0E">
      <w:start w:val="1"/>
      <w:numFmt w:val="lowerLetter"/>
      <w:lvlText w:val="(%1)"/>
      <w:lvlJc w:val="left"/>
      <w:pPr>
        <w:ind w:left="1636" w:hanging="360"/>
      </w:pPr>
      <w:rPr>
        <w:rFonts w:ascii="Arial" w:eastAsia="Arial" w:hAnsi="Arial" w:cs="Arial" w:hint="default"/>
        <w:color w:val="231F20"/>
        <w:w w:val="100"/>
        <w:sz w:val="22"/>
        <w:szCs w:val="22"/>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571E667A"/>
    <w:multiLevelType w:val="hybridMultilevel"/>
    <w:tmpl w:val="D6482AE2"/>
    <w:lvl w:ilvl="0" w:tplc="7A58F36C">
      <w:start w:val="1"/>
      <w:numFmt w:val="lowerLetter"/>
      <w:lvlText w:val="(%1)"/>
      <w:lvlJc w:val="left"/>
      <w:pPr>
        <w:ind w:left="216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15:restartNumberingAfterBreak="0">
    <w:nsid w:val="65F22E90"/>
    <w:multiLevelType w:val="hybridMultilevel"/>
    <w:tmpl w:val="87BE0EA4"/>
    <w:lvl w:ilvl="0" w:tplc="0BE6BA22">
      <w:start w:val="1"/>
      <w:numFmt w:val="bullet"/>
      <w:lvlText w:val=""/>
      <w:lvlJc w:val="left"/>
      <w:pPr>
        <w:ind w:left="1800" w:hanging="360"/>
      </w:pPr>
      <w:rPr>
        <w:rFonts w:ascii="Symbol" w:hAnsi="Symbol" w:hint="default"/>
        <w:sz w:val="22"/>
        <w:szCs w:val="22"/>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74B056A6"/>
    <w:multiLevelType w:val="hybridMultilevel"/>
    <w:tmpl w:val="D6482AE2"/>
    <w:lvl w:ilvl="0" w:tplc="7A58F36C">
      <w:start w:val="1"/>
      <w:numFmt w:val="lowerLetter"/>
      <w:lvlText w:val="(%1)"/>
      <w:lvlJc w:val="left"/>
      <w:pPr>
        <w:ind w:left="216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9" w15:restartNumberingAfterBreak="0">
    <w:nsid w:val="74C74663"/>
    <w:multiLevelType w:val="hybridMultilevel"/>
    <w:tmpl w:val="4B742E6E"/>
    <w:lvl w:ilvl="0" w:tplc="1D3AB68C">
      <w:start w:val="1"/>
      <w:numFmt w:val="decimal"/>
      <w:lvlText w:val="%1."/>
      <w:lvlJc w:val="left"/>
      <w:pPr>
        <w:tabs>
          <w:tab w:val="num" w:pos="720"/>
        </w:tabs>
        <w:ind w:left="720" w:hanging="720"/>
      </w:pPr>
      <w:rPr>
        <w:rFonts w:cs="Times New Roman" w:hint="default"/>
        <w:b w:val="0"/>
        <w:i w:val="0"/>
        <w:sz w:val="24"/>
        <w:szCs w:val="24"/>
      </w:rPr>
    </w:lvl>
    <w:lvl w:ilvl="1" w:tplc="A3F2E37C">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3"/>
  </w:num>
  <w:num w:numId="12">
    <w:abstractNumId w:val="27"/>
  </w:num>
  <w:num w:numId="13">
    <w:abstractNumId w:val="18"/>
  </w:num>
  <w:num w:numId="14">
    <w:abstractNumId w:val="30"/>
  </w:num>
  <w:num w:numId="15">
    <w:abstractNumId w:val="20"/>
  </w:num>
  <w:num w:numId="16">
    <w:abstractNumId w:val="12"/>
  </w:num>
  <w:num w:numId="17">
    <w:abstractNumId w:val="4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9"/>
  </w:num>
  <w:num w:numId="21">
    <w:abstractNumId w:val="28"/>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6"/>
  </w:num>
  <w:num w:numId="28">
    <w:abstractNumId w:val="16"/>
  </w:num>
  <w:num w:numId="29">
    <w:abstractNumId w:val="39"/>
  </w:num>
  <w:num w:numId="30">
    <w:abstractNumId w:val="17"/>
  </w:num>
  <w:num w:numId="31">
    <w:abstractNumId w:val="1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32">
    <w:abstractNumId w:val="13"/>
  </w:num>
  <w:num w:numId="33">
    <w:abstractNumId w:val="37"/>
  </w:num>
  <w:num w:numId="34">
    <w:abstractNumId w:val="24"/>
  </w:num>
  <w:num w:numId="35">
    <w:abstractNumId w:val="32"/>
  </w:num>
  <w:num w:numId="36">
    <w:abstractNumId w:val="26"/>
  </w:num>
  <w:num w:numId="37">
    <w:abstractNumId w:val="11"/>
  </w:num>
  <w:num w:numId="38">
    <w:abstractNumId w:val="23"/>
  </w:num>
  <w:num w:numId="39">
    <w:abstractNumId w:val="19"/>
  </w:num>
  <w:num w:numId="40">
    <w:abstractNumId w:val="31"/>
  </w:num>
  <w:num w:numId="41">
    <w:abstractNumId w:val="38"/>
  </w:num>
  <w:num w:numId="42">
    <w:abstractNumId w:val="25"/>
  </w:num>
  <w:num w:numId="4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9F"/>
    <w:rsid w:val="00002A94"/>
    <w:rsid w:val="00007E49"/>
    <w:rsid w:val="0001254B"/>
    <w:rsid w:val="00013272"/>
    <w:rsid w:val="00021134"/>
    <w:rsid w:val="000540A0"/>
    <w:rsid w:val="000579B1"/>
    <w:rsid w:val="00061380"/>
    <w:rsid w:val="00066915"/>
    <w:rsid w:val="00074750"/>
    <w:rsid w:val="00074CD6"/>
    <w:rsid w:val="00081BD7"/>
    <w:rsid w:val="000B0A5D"/>
    <w:rsid w:val="000B20D1"/>
    <w:rsid w:val="000B5B7E"/>
    <w:rsid w:val="000F4920"/>
    <w:rsid w:val="001011C8"/>
    <w:rsid w:val="0010634D"/>
    <w:rsid w:val="00115D9A"/>
    <w:rsid w:val="00125A0D"/>
    <w:rsid w:val="00125EF3"/>
    <w:rsid w:val="00132462"/>
    <w:rsid w:val="001371A6"/>
    <w:rsid w:val="00140077"/>
    <w:rsid w:val="0015063A"/>
    <w:rsid w:val="001523D8"/>
    <w:rsid w:val="001566D4"/>
    <w:rsid w:val="00162A8D"/>
    <w:rsid w:val="0018395B"/>
    <w:rsid w:val="00184098"/>
    <w:rsid w:val="001867A2"/>
    <w:rsid w:val="001A5D46"/>
    <w:rsid w:val="001B0353"/>
    <w:rsid w:val="001B1FD5"/>
    <w:rsid w:val="001C139C"/>
    <w:rsid w:val="001C451B"/>
    <w:rsid w:val="001C5E5B"/>
    <w:rsid w:val="001C67F0"/>
    <w:rsid w:val="001D79CC"/>
    <w:rsid w:val="001E771B"/>
    <w:rsid w:val="001F2BBB"/>
    <w:rsid w:val="001F7AFC"/>
    <w:rsid w:val="00202569"/>
    <w:rsid w:val="0020759E"/>
    <w:rsid w:val="00231ED1"/>
    <w:rsid w:val="0023303F"/>
    <w:rsid w:val="00236B23"/>
    <w:rsid w:val="0024261C"/>
    <w:rsid w:val="0024300C"/>
    <w:rsid w:val="0024557E"/>
    <w:rsid w:val="002665EC"/>
    <w:rsid w:val="002702D9"/>
    <w:rsid w:val="002A6549"/>
    <w:rsid w:val="002B00A3"/>
    <w:rsid w:val="002E6247"/>
    <w:rsid w:val="002E66AA"/>
    <w:rsid w:val="003040CA"/>
    <w:rsid w:val="00310ED4"/>
    <w:rsid w:val="0031492A"/>
    <w:rsid w:val="00316504"/>
    <w:rsid w:val="00316C1A"/>
    <w:rsid w:val="00321AF0"/>
    <w:rsid w:val="003403AE"/>
    <w:rsid w:val="00347D10"/>
    <w:rsid w:val="00377C8F"/>
    <w:rsid w:val="003931C7"/>
    <w:rsid w:val="003955AE"/>
    <w:rsid w:val="00395B25"/>
    <w:rsid w:val="003A1CF0"/>
    <w:rsid w:val="003A533F"/>
    <w:rsid w:val="003B18A7"/>
    <w:rsid w:val="003C213D"/>
    <w:rsid w:val="003C7ACA"/>
    <w:rsid w:val="003F0CEE"/>
    <w:rsid w:val="004126B5"/>
    <w:rsid w:val="00420E90"/>
    <w:rsid w:val="004215B3"/>
    <w:rsid w:val="00424B1B"/>
    <w:rsid w:val="00442D68"/>
    <w:rsid w:val="00444303"/>
    <w:rsid w:val="004561BE"/>
    <w:rsid w:val="00462D4C"/>
    <w:rsid w:val="00473DB9"/>
    <w:rsid w:val="00474063"/>
    <w:rsid w:val="00476EEA"/>
    <w:rsid w:val="00485A06"/>
    <w:rsid w:val="00486D85"/>
    <w:rsid w:val="004939C9"/>
    <w:rsid w:val="00494D4B"/>
    <w:rsid w:val="004A722D"/>
    <w:rsid w:val="004C21CD"/>
    <w:rsid w:val="004D5E32"/>
    <w:rsid w:val="004E0F4D"/>
    <w:rsid w:val="004F3A80"/>
    <w:rsid w:val="004F53EF"/>
    <w:rsid w:val="005019BE"/>
    <w:rsid w:val="00503E04"/>
    <w:rsid w:val="00504B28"/>
    <w:rsid w:val="00513540"/>
    <w:rsid w:val="00522CED"/>
    <w:rsid w:val="00554C04"/>
    <w:rsid w:val="00574EA2"/>
    <w:rsid w:val="005823D4"/>
    <w:rsid w:val="00592F9E"/>
    <w:rsid w:val="005B3E26"/>
    <w:rsid w:val="005B42E6"/>
    <w:rsid w:val="005B59CF"/>
    <w:rsid w:val="005B7515"/>
    <w:rsid w:val="005C1654"/>
    <w:rsid w:val="005D04F4"/>
    <w:rsid w:val="005D1F34"/>
    <w:rsid w:val="005F5F45"/>
    <w:rsid w:val="006068FD"/>
    <w:rsid w:val="00611291"/>
    <w:rsid w:val="00614071"/>
    <w:rsid w:val="00621F1F"/>
    <w:rsid w:val="00625C4B"/>
    <w:rsid w:val="00646E0A"/>
    <w:rsid w:val="00690313"/>
    <w:rsid w:val="00696390"/>
    <w:rsid w:val="006A1DA9"/>
    <w:rsid w:val="006A6BB3"/>
    <w:rsid w:val="006B3680"/>
    <w:rsid w:val="006C2136"/>
    <w:rsid w:val="006D5EE5"/>
    <w:rsid w:val="006E06ED"/>
    <w:rsid w:val="006E06F5"/>
    <w:rsid w:val="006E34AB"/>
    <w:rsid w:val="006E7B9D"/>
    <w:rsid w:val="006F7921"/>
    <w:rsid w:val="007039FC"/>
    <w:rsid w:val="00706FAB"/>
    <w:rsid w:val="00707793"/>
    <w:rsid w:val="00715D91"/>
    <w:rsid w:val="007169BB"/>
    <w:rsid w:val="00725D5E"/>
    <w:rsid w:val="007548CA"/>
    <w:rsid w:val="00760359"/>
    <w:rsid w:val="007628EA"/>
    <w:rsid w:val="00770DCB"/>
    <w:rsid w:val="00775485"/>
    <w:rsid w:val="0078273F"/>
    <w:rsid w:val="007841E1"/>
    <w:rsid w:val="007A5E95"/>
    <w:rsid w:val="007C31F5"/>
    <w:rsid w:val="007D40BD"/>
    <w:rsid w:val="007D52CC"/>
    <w:rsid w:val="007E1866"/>
    <w:rsid w:val="007E24B1"/>
    <w:rsid w:val="007E6434"/>
    <w:rsid w:val="008008A9"/>
    <w:rsid w:val="00802320"/>
    <w:rsid w:val="00810ABF"/>
    <w:rsid w:val="008125EE"/>
    <w:rsid w:val="0083209A"/>
    <w:rsid w:val="00855288"/>
    <w:rsid w:val="008719B3"/>
    <w:rsid w:val="008724DE"/>
    <w:rsid w:val="008A2AF7"/>
    <w:rsid w:val="008A3D57"/>
    <w:rsid w:val="008B4891"/>
    <w:rsid w:val="008B5D12"/>
    <w:rsid w:val="008D0182"/>
    <w:rsid w:val="008E3D60"/>
    <w:rsid w:val="008F3A9F"/>
    <w:rsid w:val="0090165F"/>
    <w:rsid w:val="00916B94"/>
    <w:rsid w:val="00921CB7"/>
    <w:rsid w:val="00923C4F"/>
    <w:rsid w:val="00925D5C"/>
    <w:rsid w:val="00935321"/>
    <w:rsid w:val="00945FBC"/>
    <w:rsid w:val="009472C4"/>
    <w:rsid w:val="00950E88"/>
    <w:rsid w:val="00952077"/>
    <w:rsid w:val="00966C2F"/>
    <w:rsid w:val="009802F3"/>
    <w:rsid w:val="009A053F"/>
    <w:rsid w:val="009A5753"/>
    <w:rsid w:val="009B2D1D"/>
    <w:rsid w:val="009C4AEC"/>
    <w:rsid w:val="009C5FB8"/>
    <w:rsid w:val="009D2998"/>
    <w:rsid w:val="009D6123"/>
    <w:rsid w:val="009E7FC4"/>
    <w:rsid w:val="009F074D"/>
    <w:rsid w:val="009F51D9"/>
    <w:rsid w:val="009F7AAC"/>
    <w:rsid w:val="00A02F56"/>
    <w:rsid w:val="00A0406E"/>
    <w:rsid w:val="00A41355"/>
    <w:rsid w:val="00A43B92"/>
    <w:rsid w:val="00A44720"/>
    <w:rsid w:val="00A6179E"/>
    <w:rsid w:val="00A66F67"/>
    <w:rsid w:val="00A8536B"/>
    <w:rsid w:val="00AC27AB"/>
    <w:rsid w:val="00AC6A34"/>
    <w:rsid w:val="00AE0B11"/>
    <w:rsid w:val="00AE76EB"/>
    <w:rsid w:val="00B22697"/>
    <w:rsid w:val="00B277E0"/>
    <w:rsid w:val="00B52E2D"/>
    <w:rsid w:val="00B744D2"/>
    <w:rsid w:val="00B76653"/>
    <w:rsid w:val="00BA262D"/>
    <w:rsid w:val="00BB2966"/>
    <w:rsid w:val="00BC5DE1"/>
    <w:rsid w:val="00BC79EB"/>
    <w:rsid w:val="00C02F60"/>
    <w:rsid w:val="00C076F2"/>
    <w:rsid w:val="00C247EB"/>
    <w:rsid w:val="00C25BDA"/>
    <w:rsid w:val="00C420CF"/>
    <w:rsid w:val="00C527B7"/>
    <w:rsid w:val="00C53971"/>
    <w:rsid w:val="00C54FB1"/>
    <w:rsid w:val="00C6152A"/>
    <w:rsid w:val="00C72B9B"/>
    <w:rsid w:val="00C80F9F"/>
    <w:rsid w:val="00C946DB"/>
    <w:rsid w:val="00C97F91"/>
    <w:rsid w:val="00CA0D78"/>
    <w:rsid w:val="00CB27A8"/>
    <w:rsid w:val="00CD6A1E"/>
    <w:rsid w:val="00CE6A7C"/>
    <w:rsid w:val="00CE7182"/>
    <w:rsid w:val="00D056E7"/>
    <w:rsid w:val="00D33A7C"/>
    <w:rsid w:val="00D35C5F"/>
    <w:rsid w:val="00D36D90"/>
    <w:rsid w:val="00D60C1F"/>
    <w:rsid w:val="00D61481"/>
    <w:rsid w:val="00D65C76"/>
    <w:rsid w:val="00D96C86"/>
    <w:rsid w:val="00DA2F73"/>
    <w:rsid w:val="00DA42E8"/>
    <w:rsid w:val="00DC193F"/>
    <w:rsid w:val="00DC3C4F"/>
    <w:rsid w:val="00DC462F"/>
    <w:rsid w:val="00DD659E"/>
    <w:rsid w:val="00DF1B1D"/>
    <w:rsid w:val="00E13187"/>
    <w:rsid w:val="00E24FA3"/>
    <w:rsid w:val="00E252CE"/>
    <w:rsid w:val="00E328CD"/>
    <w:rsid w:val="00E32CE7"/>
    <w:rsid w:val="00E34419"/>
    <w:rsid w:val="00E45954"/>
    <w:rsid w:val="00E5666D"/>
    <w:rsid w:val="00E70AEA"/>
    <w:rsid w:val="00E75D90"/>
    <w:rsid w:val="00E835AF"/>
    <w:rsid w:val="00E97EF8"/>
    <w:rsid w:val="00EE44D7"/>
    <w:rsid w:val="00EE4C23"/>
    <w:rsid w:val="00F070C9"/>
    <w:rsid w:val="00F14C6D"/>
    <w:rsid w:val="00F3026B"/>
    <w:rsid w:val="00F3100E"/>
    <w:rsid w:val="00F35A7A"/>
    <w:rsid w:val="00F45B41"/>
    <w:rsid w:val="00F63ECE"/>
    <w:rsid w:val="00F71A6E"/>
    <w:rsid w:val="00F9078E"/>
    <w:rsid w:val="00F95982"/>
    <w:rsid w:val="00F97BAB"/>
    <w:rsid w:val="00FA36C0"/>
    <w:rsid w:val="00FC582E"/>
    <w:rsid w:val="00FD1D92"/>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7A6CF"/>
  <w15:chartTrackingRefBased/>
  <w15:docId w15:val="{57C9B4ED-DC63-4B57-AC69-7126531B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iPriority="39"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qFormat="1"/>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locked="1" w:semiHidden="1" w:uiPriority="99"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F3A9F"/>
    <w:rPr>
      <w:rFonts w:ascii="Arial" w:hAnsi="Arial"/>
      <w:spacing w:val="-5"/>
      <w:sz w:val="24"/>
      <w:lang w:eastAsia="en-US"/>
    </w:rPr>
  </w:style>
  <w:style w:type="paragraph" w:styleId="Titolo1">
    <w:name w:val="heading 1"/>
    <w:basedOn w:val="Normale"/>
    <w:next w:val="Normale"/>
    <w:link w:val="Titolo1Carattere"/>
    <w:qFormat/>
    <w:rsid w:val="00125EF3"/>
    <w:pPr>
      <w:keepNext/>
      <w:keepLines/>
      <w:numPr>
        <w:numId w:val="15"/>
      </w:numPr>
      <w:spacing w:before="360"/>
      <w:ind w:left="720" w:hanging="720"/>
      <w:outlineLvl w:val="0"/>
    </w:pPr>
    <w:rPr>
      <w:b/>
      <w:bCs/>
      <w:sz w:val="28"/>
      <w:szCs w:val="28"/>
    </w:rPr>
  </w:style>
  <w:style w:type="paragraph" w:styleId="Titolo2">
    <w:name w:val="heading 2"/>
    <w:basedOn w:val="Titolo1"/>
    <w:next w:val="Normale"/>
    <w:link w:val="Titolo2Carattere"/>
    <w:qFormat/>
    <w:rsid w:val="00125EF3"/>
    <w:pPr>
      <w:numPr>
        <w:ilvl w:val="1"/>
      </w:numPr>
      <w:tabs>
        <w:tab w:val="clear" w:pos="851"/>
        <w:tab w:val="left" w:pos="720"/>
      </w:tabs>
      <w:ind w:left="720" w:hanging="720"/>
      <w:outlineLvl w:val="1"/>
    </w:pPr>
    <w:rPr>
      <w:bCs w:val="0"/>
      <w:i/>
      <w:color w:val="000000"/>
      <w:szCs w:val="26"/>
    </w:rPr>
  </w:style>
  <w:style w:type="paragraph" w:styleId="Titolo3">
    <w:name w:val="heading 3"/>
    <w:basedOn w:val="Titolo2"/>
    <w:next w:val="Normale"/>
    <w:link w:val="Titolo3Carattere"/>
    <w:qFormat/>
    <w:rsid w:val="00AC27AB"/>
    <w:pPr>
      <w:numPr>
        <w:ilvl w:val="2"/>
      </w:numPr>
      <w:outlineLvl w:val="2"/>
    </w:pPr>
    <w:rPr>
      <w:b w:val="0"/>
      <w:bCs/>
      <w:color w:val="auto"/>
      <w:sz w:val="24"/>
    </w:rPr>
  </w:style>
  <w:style w:type="paragraph" w:styleId="Titolo4">
    <w:name w:val="heading 4"/>
    <w:basedOn w:val="Titolo3"/>
    <w:next w:val="Normale"/>
    <w:link w:val="Titolo4Carattere"/>
    <w:qFormat/>
    <w:rsid w:val="00AC27AB"/>
    <w:pPr>
      <w:numPr>
        <w:ilvl w:val="3"/>
      </w:numPr>
      <w:outlineLvl w:val="3"/>
    </w:pPr>
    <w:rPr>
      <w:bCs w:val="0"/>
      <w:i w:val="0"/>
      <w:iCs/>
    </w:rPr>
  </w:style>
  <w:style w:type="paragraph" w:styleId="Titolo5">
    <w:name w:val="heading 5"/>
    <w:basedOn w:val="Normale"/>
    <w:next w:val="Normale"/>
    <w:link w:val="Titolo5Carattere"/>
    <w:qFormat/>
    <w:locked/>
    <w:rsid w:val="00F14C6D"/>
    <w:pPr>
      <w:keepNext/>
      <w:keepLines/>
      <w:spacing w:before="200"/>
      <w:outlineLvl w:val="4"/>
    </w:pPr>
    <w:rPr>
      <w:rFonts w:ascii="Cambria" w:hAnsi="Cambria"/>
      <w:color w:val="243F60"/>
    </w:rPr>
  </w:style>
  <w:style w:type="paragraph" w:styleId="Titolo6">
    <w:name w:val="heading 6"/>
    <w:basedOn w:val="Normale"/>
    <w:next w:val="Normale"/>
    <w:link w:val="Titolo6Carattere"/>
    <w:qFormat/>
    <w:locked/>
    <w:rsid w:val="00F14C6D"/>
    <w:pPr>
      <w:keepNext/>
      <w:keepLines/>
      <w:spacing w:before="200"/>
      <w:outlineLvl w:val="5"/>
    </w:pPr>
    <w:rPr>
      <w:rFonts w:ascii="Cambria" w:hAnsi="Cambria"/>
      <w:i/>
      <w:iCs/>
      <w:color w:val="243F60"/>
    </w:rPr>
  </w:style>
  <w:style w:type="paragraph" w:styleId="Titolo7">
    <w:name w:val="heading 7"/>
    <w:basedOn w:val="Normale"/>
    <w:next w:val="Normale"/>
    <w:link w:val="Titolo7Carattere"/>
    <w:qFormat/>
    <w:locked/>
    <w:rsid w:val="00F14C6D"/>
    <w:pPr>
      <w:keepNext/>
      <w:keepLines/>
      <w:spacing w:before="200"/>
      <w:outlineLvl w:val="6"/>
    </w:pPr>
    <w:rPr>
      <w:rFonts w:ascii="Cambria" w:hAnsi="Cambria"/>
      <w:i/>
      <w:iCs/>
      <w:color w:val="404040"/>
    </w:rPr>
  </w:style>
  <w:style w:type="paragraph" w:styleId="Titolo8">
    <w:name w:val="heading 8"/>
    <w:basedOn w:val="Normale"/>
    <w:next w:val="Normale"/>
    <w:link w:val="Titolo8Carattere"/>
    <w:qFormat/>
    <w:locked/>
    <w:rsid w:val="00F14C6D"/>
    <w:pPr>
      <w:keepNext/>
      <w:keepLines/>
      <w:spacing w:before="200"/>
      <w:outlineLvl w:val="7"/>
    </w:pPr>
    <w:rPr>
      <w:rFonts w:ascii="Cambria" w:hAnsi="Cambria"/>
      <w:color w:val="404040"/>
      <w:sz w:val="20"/>
    </w:rPr>
  </w:style>
  <w:style w:type="paragraph" w:styleId="Titolo9">
    <w:name w:val="heading 9"/>
    <w:basedOn w:val="Normale"/>
    <w:next w:val="Normale"/>
    <w:link w:val="Titolo9Carattere"/>
    <w:qFormat/>
    <w:locked/>
    <w:rsid w:val="00F14C6D"/>
    <w:pPr>
      <w:keepNext/>
      <w:keepLines/>
      <w:spacing w:before="200"/>
      <w:outlineLvl w:val="8"/>
    </w:pPr>
    <w:rPr>
      <w:rFonts w:ascii="Cambria" w:hAnsi="Cambria"/>
      <w:i/>
      <w:iCs/>
      <w:color w:val="40404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25EF3"/>
    <w:rPr>
      <w:rFonts w:ascii="Arial" w:hAnsi="Arial"/>
      <w:b/>
      <w:bCs/>
      <w:spacing w:val="-5"/>
      <w:sz w:val="28"/>
      <w:szCs w:val="28"/>
      <w:lang w:eastAsia="en-US"/>
    </w:rPr>
  </w:style>
  <w:style w:type="character" w:customStyle="1" w:styleId="Titolo2Carattere">
    <w:name w:val="Titolo 2 Carattere"/>
    <w:basedOn w:val="Carpredefinitoparagrafo"/>
    <w:link w:val="Titolo2"/>
    <w:rsid w:val="00125EF3"/>
    <w:rPr>
      <w:rFonts w:ascii="Arial" w:hAnsi="Arial"/>
      <w:b/>
      <w:i/>
      <w:color w:val="000000"/>
      <w:spacing w:val="-5"/>
      <w:sz w:val="28"/>
      <w:szCs w:val="26"/>
      <w:lang w:eastAsia="en-US"/>
    </w:rPr>
  </w:style>
  <w:style w:type="character" w:customStyle="1" w:styleId="Titolo3Carattere">
    <w:name w:val="Titolo 3 Carattere"/>
    <w:basedOn w:val="Carpredefinitoparagrafo"/>
    <w:link w:val="Titolo3"/>
    <w:rsid w:val="00AC27AB"/>
    <w:rPr>
      <w:rFonts w:ascii="Arial" w:hAnsi="Arial"/>
      <w:bCs/>
      <w:i/>
      <w:sz w:val="24"/>
      <w:szCs w:val="26"/>
      <w:lang w:val="en-AU" w:eastAsia="en-AU" w:bidi="ar-SA"/>
    </w:rPr>
  </w:style>
  <w:style w:type="character" w:customStyle="1" w:styleId="Titolo4Carattere">
    <w:name w:val="Titolo 4 Carattere"/>
    <w:basedOn w:val="Carpredefinitoparagrafo"/>
    <w:link w:val="Titolo4"/>
    <w:rsid w:val="00AC27AB"/>
    <w:rPr>
      <w:rFonts w:ascii="Arial" w:hAnsi="Arial"/>
      <w:iCs/>
      <w:sz w:val="24"/>
      <w:szCs w:val="26"/>
      <w:lang w:val="en-AU" w:eastAsia="en-AU" w:bidi="ar-SA"/>
    </w:rPr>
  </w:style>
  <w:style w:type="character" w:styleId="Enfasigrassetto">
    <w:name w:val="Strong"/>
    <w:basedOn w:val="Carpredefinitoparagrafo"/>
    <w:qFormat/>
    <w:locked/>
    <w:rsid w:val="000B0A5D"/>
    <w:rPr>
      <w:b/>
      <w:bCs/>
    </w:rPr>
  </w:style>
  <w:style w:type="character" w:customStyle="1" w:styleId="Titolo5Carattere">
    <w:name w:val="Titolo 5 Carattere"/>
    <w:basedOn w:val="Carpredefinitoparagrafo"/>
    <w:link w:val="Titolo5"/>
    <w:rsid w:val="00F14C6D"/>
    <w:rPr>
      <w:rFonts w:ascii="Cambria" w:hAnsi="Cambria"/>
      <w:color w:val="243F60"/>
      <w:sz w:val="24"/>
      <w:szCs w:val="24"/>
      <w:lang w:val="en-AU" w:eastAsia="en-AU" w:bidi="ar-SA"/>
    </w:rPr>
  </w:style>
  <w:style w:type="character" w:customStyle="1" w:styleId="Titolo6Carattere">
    <w:name w:val="Titolo 6 Carattere"/>
    <w:basedOn w:val="Carpredefinitoparagrafo"/>
    <w:link w:val="Titolo6"/>
    <w:rsid w:val="00F14C6D"/>
    <w:rPr>
      <w:rFonts w:ascii="Cambria" w:hAnsi="Cambria"/>
      <w:i/>
      <w:iCs/>
      <w:color w:val="243F60"/>
      <w:sz w:val="24"/>
      <w:szCs w:val="24"/>
      <w:lang w:val="en-AU" w:eastAsia="en-AU" w:bidi="ar-SA"/>
    </w:rPr>
  </w:style>
  <w:style w:type="character" w:customStyle="1" w:styleId="Titolo7Carattere">
    <w:name w:val="Titolo 7 Carattere"/>
    <w:basedOn w:val="Carpredefinitoparagrafo"/>
    <w:link w:val="Titolo7"/>
    <w:rsid w:val="00F14C6D"/>
    <w:rPr>
      <w:rFonts w:ascii="Cambria" w:hAnsi="Cambria"/>
      <w:i/>
      <w:iCs/>
      <w:color w:val="404040"/>
      <w:sz w:val="24"/>
      <w:szCs w:val="24"/>
      <w:lang w:val="en-AU" w:eastAsia="en-AU" w:bidi="ar-SA"/>
    </w:rPr>
  </w:style>
  <w:style w:type="character" w:customStyle="1" w:styleId="Titolo8Carattere">
    <w:name w:val="Titolo 8 Carattere"/>
    <w:basedOn w:val="Carpredefinitoparagrafo"/>
    <w:link w:val="Titolo8"/>
    <w:rsid w:val="00F14C6D"/>
    <w:rPr>
      <w:rFonts w:ascii="Cambria" w:hAnsi="Cambria"/>
      <w:color w:val="404040"/>
      <w:lang w:val="en-AU" w:eastAsia="en-AU" w:bidi="ar-SA"/>
    </w:rPr>
  </w:style>
  <w:style w:type="character" w:customStyle="1" w:styleId="Titolo9Carattere">
    <w:name w:val="Titolo 9 Carattere"/>
    <w:basedOn w:val="Carpredefinitoparagrafo"/>
    <w:link w:val="Titolo9"/>
    <w:rsid w:val="00F14C6D"/>
    <w:rPr>
      <w:rFonts w:ascii="Cambria" w:hAnsi="Cambria"/>
      <w:i/>
      <w:iCs/>
      <w:color w:val="404040"/>
      <w:lang w:val="en-AU" w:eastAsia="en-AU" w:bidi="ar-SA"/>
    </w:rPr>
  </w:style>
  <w:style w:type="paragraph" w:styleId="Intestazione">
    <w:name w:val="header"/>
    <w:basedOn w:val="Normale"/>
    <w:link w:val="IntestazioneCarattere"/>
    <w:rsid w:val="00E75D90"/>
    <w:pPr>
      <w:tabs>
        <w:tab w:val="center" w:pos="4513"/>
        <w:tab w:val="right" w:pos="9026"/>
      </w:tabs>
      <w:jc w:val="right"/>
    </w:pPr>
    <w:rPr>
      <w:sz w:val="22"/>
    </w:rPr>
  </w:style>
  <w:style w:type="character" w:customStyle="1" w:styleId="IntestazioneCarattere">
    <w:name w:val="Intestazione Carattere"/>
    <w:basedOn w:val="Carpredefinitoparagrafo"/>
    <w:link w:val="Intestazione"/>
    <w:rsid w:val="00E75D90"/>
    <w:rPr>
      <w:rFonts w:ascii="Arial" w:hAnsi="Arial"/>
      <w:sz w:val="22"/>
      <w:szCs w:val="24"/>
    </w:rPr>
  </w:style>
  <w:style w:type="paragraph" w:styleId="Pidipagina">
    <w:name w:val="footer"/>
    <w:basedOn w:val="Normale"/>
    <w:link w:val="PidipaginaCarattere"/>
    <w:uiPriority w:val="99"/>
    <w:rsid w:val="00E75D90"/>
    <w:pPr>
      <w:tabs>
        <w:tab w:val="center" w:pos="4513"/>
        <w:tab w:val="right" w:pos="9026"/>
      </w:tabs>
      <w:jc w:val="right"/>
    </w:pPr>
    <w:rPr>
      <w:sz w:val="22"/>
    </w:rPr>
  </w:style>
  <w:style w:type="character" w:customStyle="1" w:styleId="PidipaginaCarattere">
    <w:name w:val="Piè di pagina Carattere"/>
    <w:basedOn w:val="Carpredefinitoparagrafo"/>
    <w:link w:val="Pidipagina"/>
    <w:uiPriority w:val="99"/>
    <w:rsid w:val="00E75D90"/>
    <w:rPr>
      <w:rFonts w:ascii="Arial" w:hAnsi="Arial"/>
      <w:sz w:val="22"/>
      <w:szCs w:val="24"/>
    </w:rPr>
  </w:style>
  <w:style w:type="paragraph" w:styleId="Sommario3">
    <w:name w:val="toc 3"/>
    <w:basedOn w:val="Normale"/>
    <w:next w:val="Normale"/>
    <w:autoRedefine/>
    <w:uiPriority w:val="39"/>
    <w:qFormat/>
    <w:locked/>
    <w:rsid w:val="002702D9"/>
    <w:pPr>
      <w:ind w:left="1202" w:hanging="720"/>
    </w:pPr>
    <w:rPr>
      <w:rFonts w:eastAsia="MS Mincho" w:cs="Arial"/>
      <w:i/>
      <w:noProof/>
    </w:rPr>
  </w:style>
  <w:style w:type="character" w:styleId="Testosegnaposto">
    <w:name w:val="Placeholder Text"/>
    <w:basedOn w:val="Carpredefinitoparagrafo"/>
    <w:uiPriority w:val="99"/>
    <w:semiHidden/>
    <w:locked/>
    <w:rsid w:val="005D1F34"/>
    <w:rPr>
      <w:color w:val="808080"/>
    </w:rPr>
  </w:style>
  <w:style w:type="paragraph" w:styleId="Elencocontinua4">
    <w:name w:val="List Continue 4"/>
    <w:basedOn w:val="Normale"/>
    <w:semiHidden/>
    <w:locked/>
    <w:rsid w:val="0090165F"/>
    <w:pPr>
      <w:spacing w:after="120"/>
      <w:ind w:left="1132"/>
    </w:pPr>
  </w:style>
  <w:style w:type="numbering" w:styleId="111111">
    <w:name w:val="Outline List 2"/>
    <w:basedOn w:val="Nessunelenco"/>
    <w:semiHidden/>
    <w:locked/>
    <w:rsid w:val="00E45954"/>
    <w:pPr>
      <w:numPr>
        <w:numId w:val="11"/>
      </w:numPr>
    </w:pPr>
  </w:style>
  <w:style w:type="paragraph" w:styleId="Sommario1">
    <w:name w:val="toc 1"/>
    <w:basedOn w:val="Normale"/>
    <w:next w:val="Normale"/>
    <w:autoRedefine/>
    <w:uiPriority w:val="39"/>
    <w:qFormat/>
    <w:locked/>
    <w:rsid w:val="00442D68"/>
    <w:pPr>
      <w:tabs>
        <w:tab w:val="right" w:leader="dot" w:pos="9060"/>
      </w:tabs>
      <w:spacing w:after="100"/>
      <w:ind w:left="720" w:hanging="720"/>
    </w:pPr>
    <w:rPr>
      <w:b/>
    </w:rPr>
  </w:style>
  <w:style w:type="paragraph" w:styleId="Sommario2">
    <w:name w:val="toc 2"/>
    <w:basedOn w:val="Normale"/>
    <w:next w:val="Normale"/>
    <w:autoRedefine/>
    <w:uiPriority w:val="39"/>
    <w:qFormat/>
    <w:locked/>
    <w:rsid w:val="00442D68"/>
    <w:pPr>
      <w:spacing w:after="100"/>
      <w:ind w:left="1440" w:hanging="720"/>
    </w:pPr>
    <w:rPr>
      <w:b/>
      <w:i/>
    </w:rPr>
  </w:style>
  <w:style w:type="paragraph" w:styleId="Sommario4">
    <w:name w:val="toc 4"/>
    <w:basedOn w:val="Normale"/>
    <w:next w:val="Normale"/>
    <w:autoRedefine/>
    <w:uiPriority w:val="39"/>
    <w:semiHidden/>
    <w:locked/>
    <w:rsid w:val="008A2AF7"/>
    <w:pPr>
      <w:tabs>
        <w:tab w:val="left" w:pos="1440"/>
        <w:tab w:val="right" w:leader="dot" w:pos="9060"/>
      </w:tabs>
      <w:ind w:left="1440" w:hanging="720"/>
    </w:pPr>
    <w:rPr>
      <w:noProof/>
    </w:rPr>
  </w:style>
  <w:style w:type="character" w:styleId="Collegamentoipertestuale">
    <w:name w:val="Hyperlink"/>
    <w:basedOn w:val="Carpredefinitoparagrafo"/>
    <w:uiPriority w:val="99"/>
    <w:unhideWhenUsed/>
    <w:locked/>
    <w:rsid w:val="0024557E"/>
    <w:rPr>
      <w:color w:val="0000FF"/>
      <w:u w:val="single"/>
    </w:rPr>
  </w:style>
  <w:style w:type="paragraph" w:styleId="Titolosommario">
    <w:name w:val="TOC Heading"/>
    <w:basedOn w:val="Normale"/>
    <w:next w:val="Normale"/>
    <w:uiPriority w:val="39"/>
    <w:qFormat/>
    <w:locked/>
    <w:rsid w:val="00725D5E"/>
    <w:rPr>
      <w:b/>
      <w:sz w:val="28"/>
      <w:lang w:val="en-US"/>
    </w:rPr>
  </w:style>
  <w:style w:type="paragraph" w:styleId="Testonotadichiusura">
    <w:name w:val="endnote text"/>
    <w:basedOn w:val="Normale"/>
    <w:link w:val="TestonotadichiusuraCarattere"/>
    <w:uiPriority w:val="99"/>
    <w:rsid w:val="00706FAB"/>
    <w:rPr>
      <w:sz w:val="20"/>
    </w:rPr>
  </w:style>
  <w:style w:type="character" w:customStyle="1" w:styleId="TestonotadichiusuraCarattere">
    <w:name w:val="Testo nota di chiusura Carattere"/>
    <w:basedOn w:val="Carpredefinitoparagrafo"/>
    <w:link w:val="Testonotadichiusura"/>
    <w:uiPriority w:val="99"/>
    <w:rsid w:val="00706FAB"/>
    <w:rPr>
      <w:rFonts w:ascii="Arial" w:hAnsi="Arial"/>
      <w:lang w:val="en-AU" w:eastAsia="en-AU" w:bidi="ar-SA"/>
    </w:rPr>
  </w:style>
  <w:style w:type="character" w:styleId="Rimandonotadichiusura">
    <w:name w:val="endnote reference"/>
    <w:basedOn w:val="Carpredefinitoparagrafo"/>
    <w:uiPriority w:val="99"/>
    <w:rsid w:val="00074CD6"/>
    <w:rPr>
      <w:rFonts w:ascii="Arial" w:hAnsi="Arial"/>
      <w:sz w:val="20"/>
      <w:vertAlign w:val="superscript"/>
    </w:rPr>
  </w:style>
  <w:style w:type="numbering" w:styleId="1ai">
    <w:name w:val="Outline List 1"/>
    <w:basedOn w:val="Nessunelenco"/>
    <w:semiHidden/>
    <w:locked/>
    <w:rsid w:val="00E45954"/>
    <w:pPr>
      <w:numPr>
        <w:numId w:val="12"/>
      </w:numPr>
    </w:pPr>
  </w:style>
  <w:style w:type="numbering" w:styleId="ArticoloSezione">
    <w:name w:val="Outline List 3"/>
    <w:basedOn w:val="Nessunelenco"/>
    <w:semiHidden/>
    <w:locked/>
    <w:rsid w:val="00E45954"/>
    <w:pPr>
      <w:numPr>
        <w:numId w:val="13"/>
      </w:numPr>
    </w:pPr>
  </w:style>
  <w:style w:type="paragraph" w:styleId="Testodelblocco">
    <w:name w:val="Block Text"/>
    <w:basedOn w:val="Normale"/>
    <w:locked/>
    <w:rsid w:val="00E45954"/>
    <w:pPr>
      <w:spacing w:after="120"/>
      <w:ind w:left="1440" w:right="1440"/>
    </w:pPr>
  </w:style>
  <w:style w:type="paragraph" w:styleId="Corpotesto">
    <w:name w:val="Body Text"/>
    <w:basedOn w:val="Normale"/>
    <w:link w:val="CorpotestoCarattere"/>
    <w:locked/>
    <w:rsid w:val="00E45954"/>
    <w:pPr>
      <w:spacing w:after="120"/>
    </w:pPr>
  </w:style>
  <w:style w:type="paragraph" w:styleId="Corpodeltesto2">
    <w:name w:val="Body Text 2"/>
    <w:basedOn w:val="Normale"/>
    <w:link w:val="Corpodeltesto2Carattere"/>
    <w:semiHidden/>
    <w:locked/>
    <w:rsid w:val="00E45954"/>
    <w:pPr>
      <w:spacing w:after="120" w:line="480" w:lineRule="auto"/>
    </w:pPr>
  </w:style>
  <w:style w:type="paragraph" w:styleId="Corpodeltesto3">
    <w:name w:val="Body Text 3"/>
    <w:basedOn w:val="Normale"/>
    <w:link w:val="Corpodeltesto3Carattere"/>
    <w:semiHidden/>
    <w:locked/>
    <w:rsid w:val="00E45954"/>
    <w:pPr>
      <w:spacing w:after="120"/>
    </w:pPr>
    <w:rPr>
      <w:sz w:val="16"/>
      <w:szCs w:val="16"/>
    </w:rPr>
  </w:style>
  <w:style w:type="paragraph" w:styleId="Primorientrocorpodeltesto">
    <w:name w:val="Body Text First Indent"/>
    <w:basedOn w:val="Corpotesto"/>
    <w:link w:val="PrimorientrocorpodeltestoCarattere"/>
    <w:semiHidden/>
    <w:locked/>
    <w:rsid w:val="00E45954"/>
    <w:pPr>
      <w:ind w:firstLine="210"/>
    </w:pPr>
  </w:style>
  <w:style w:type="paragraph" w:styleId="Rientrocorpodeltesto">
    <w:name w:val="Body Text Indent"/>
    <w:basedOn w:val="Normale"/>
    <w:link w:val="RientrocorpodeltestoCarattere"/>
    <w:semiHidden/>
    <w:locked/>
    <w:rsid w:val="00E45954"/>
    <w:pPr>
      <w:spacing w:after="120"/>
      <w:ind w:left="283"/>
    </w:pPr>
  </w:style>
  <w:style w:type="paragraph" w:styleId="Primorientrocorpodeltesto2">
    <w:name w:val="Body Text First Indent 2"/>
    <w:basedOn w:val="Rientrocorpodeltesto"/>
    <w:link w:val="Primorientrocorpodeltesto2Carattere"/>
    <w:semiHidden/>
    <w:locked/>
    <w:rsid w:val="00E45954"/>
    <w:pPr>
      <w:ind w:firstLine="210"/>
    </w:pPr>
  </w:style>
  <w:style w:type="paragraph" w:styleId="Rientrocorpodeltesto2">
    <w:name w:val="Body Text Indent 2"/>
    <w:basedOn w:val="Normale"/>
    <w:link w:val="Rientrocorpodeltesto2Carattere"/>
    <w:semiHidden/>
    <w:locked/>
    <w:rsid w:val="00E45954"/>
    <w:pPr>
      <w:spacing w:after="120" w:line="480" w:lineRule="auto"/>
      <w:ind w:left="283"/>
    </w:pPr>
  </w:style>
  <w:style w:type="paragraph" w:styleId="Rientrocorpodeltesto3">
    <w:name w:val="Body Text Indent 3"/>
    <w:basedOn w:val="Normale"/>
    <w:link w:val="Rientrocorpodeltesto3Carattere"/>
    <w:semiHidden/>
    <w:locked/>
    <w:rsid w:val="00E45954"/>
    <w:pPr>
      <w:spacing w:after="120"/>
      <w:ind w:left="283"/>
    </w:pPr>
    <w:rPr>
      <w:sz w:val="16"/>
      <w:szCs w:val="16"/>
    </w:rPr>
  </w:style>
  <w:style w:type="paragraph" w:styleId="Formuladichiusura">
    <w:name w:val="Closing"/>
    <w:basedOn w:val="Normale"/>
    <w:link w:val="FormuladichiusuraCarattere"/>
    <w:semiHidden/>
    <w:locked/>
    <w:rsid w:val="00E45954"/>
    <w:pPr>
      <w:ind w:left="4252"/>
    </w:pPr>
  </w:style>
  <w:style w:type="paragraph" w:styleId="Data">
    <w:name w:val="Date"/>
    <w:basedOn w:val="Normale"/>
    <w:next w:val="Normale"/>
    <w:link w:val="DataCarattere"/>
    <w:semiHidden/>
    <w:locked/>
    <w:rsid w:val="00E45954"/>
  </w:style>
  <w:style w:type="paragraph" w:styleId="Firmadipostaelettronica">
    <w:name w:val="E-mail Signature"/>
    <w:basedOn w:val="Normale"/>
    <w:link w:val="FirmadipostaelettronicaCarattere"/>
    <w:semiHidden/>
    <w:locked/>
    <w:rsid w:val="00E45954"/>
  </w:style>
  <w:style w:type="character" w:styleId="Enfasicorsivo">
    <w:name w:val="Emphasis"/>
    <w:basedOn w:val="Carpredefinitoparagrafo"/>
    <w:uiPriority w:val="20"/>
    <w:qFormat/>
    <w:locked/>
    <w:rsid w:val="00E45954"/>
    <w:rPr>
      <w:i/>
      <w:iCs/>
    </w:rPr>
  </w:style>
  <w:style w:type="paragraph" w:styleId="Indirizzodestinatario">
    <w:name w:val="envelope address"/>
    <w:basedOn w:val="Normale"/>
    <w:semiHidden/>
    <w:locked/>
    <w:rsid w:val="001C139C"/>
    <w:pPr>
      <w:framePr w:w="7920" w:h="1980" w:hRule="exact" w:hSpace="180" w:wrap="auto" w:hAnchor="page" w:xAlign="center" w:yAlign="bottom"/>
      <w:ind w:left="2880"/>
    </w:pPr>
    <w:rPr>
      <w:rFonts w:cs="Arial"/>
    </w:rPr>
  </w:style>
  <w:style w:type="paragraph" w:styleId="Indirizzomittente">
    <w:name w:val="envelope return"/>
    <w:basedOn w:val="Normale"/>
    <w:semiHidden/>
    <w:locked/>
    <w:rsid w:val="00E45954"/>
    <w:rPr>
      <w:rFonts w:cs="Arial"/>
      <w:sz w:val="20"/>
    </w:rPr>
  </w:style>
  <w:style w:type="character" w:styleId="Rimandonotaapidipagina">
    <w:name w:val="footnote reference"/>
    <w:aliases w:val="4_G"/>
    <w:basedOn w:val="Carpredefinitoparagrafo"/>
    <w:qFormat/>
    <w:rsid w:val="00074CD6"/>
    <w:rPr>
      <w:rFonts w:ascii="Arial" w:hAnsi="Arial"/>
      <w:sz w:val="20"/>
      <w:vertAlign w:val="superscript"/>
    </w:rPr>
  </w:style>
  <w:style w:type="paragraph" w:styleId="Testonotaapidipagina">
    <w:name w:val="footnote text"/>
    <w:aliases w:val="Footnote Text Char1 Char,Footnote Text Char Char Char,Footnote Text Char1 Char Char Char,Footnote Text Char Char Char Char Char,Footnote Text Char2 Char Char Char Char Char,Footnote Text Char1,Footnote Text Char Char"/>
    <w:basedOn w:val="Normale"/>
    <w:link w:val="TestonotaapidipaginaCarattere"/>
    <w:qFormat/>
    <w:rsid w:val="00706FAB"/>
    <w:rPr>
      <w:sz w:val="20"/>
    </w:rPr>
  </w:style>
  <w:style w:type="character" w:styleId="AcronimoHTML">
    <w:name w:val="HTML Acronym"/>
    <w:basedOn w:val="Carpredefinitoparagrafo"/>
    <w:semiHidden/>
    <w:locked/>
    <w:rsid w:val="00E45954"/>
  </w:style>
  <w:style w:type="paragraph" w:styleId="IndirizzoHTML">
    <w:name w:val="HTML Address"/>
    <w:basedOn w:val="Normale"/>
    <w:link w:val="IndirizzoHTMLCarattere"/>
    <w:semiHidden/>
    <w:locked/>
    <w:rsid w:val="00E45954"/>
    <w:rPr>
      <w:i/>
      <w:iCs/>
    </w:rPr>
  </w:style>
  <w:style w:type="character" w:styleId="CitazioneHTML">
    <w:name w:val="HTML Cite"/>
    <w:basedOn w:val="Carpredefinitoparagrafo"/>
    <w:semiHidden/>
    <w:locked/>
    <w:rsid w:val="00E45954"/>
    <w:rPr>
      <w:i/>
      <w:iCs/>
    </w:rPr>
  </w:style>
  <w:style w:type="character" w:styleId="CodiceHTML">
    <w:name w:val="HTML Code"/>
    <w:basedOn w:val="Carpredefinitoparagrafo"/>
    <w:semiHidden/>
    <w:locked/>
    <w:rsid w:val="00E45954"/>
    <w:rPr>
      <w:rFonts w:ascii="Courier New" w:hAnsi="Courier New" w:cs="Courier New"/>
      <w:sz w:val="20"/>
      <w:szCs w:val="20"/>
    </w:rPr>
  </w:style>
  <w:style w:type="character" w:styleId="DefinizioneHTML">
    <w:name w:val="HTML Definition"/>
    <w:basedOn w:val="Carpredefinitoparagrafo"/>
    <w:semiHidden/>
    <w:locked/>
    <w:rsid w:val="00E45954"/>
    <w:rPr>
      <w:i/>
      <w:iCs/>
    </w:rPr>
  </w:style>
  <w:style w:type="character" w:styleId="TastieraHTML">
    <w:name w:val="HTML Keyboard"/>
    <w:basedOn w:val="Carpredefinitoparagrafo"/>
    <w:semiHidden/>
    <w:locked/>
    <w:rsid w:val="00E45954"/>
    <w:rPr>
      <w:rFonts w:ascii="Courier New" w:hAnsi="Courier New" w:cs="Courier New"/>
      <w:sz w:val="20"/>
      <w:szCs w:val="20"/>
    </w:rPr>
  </w:style>
  <w:style w:type="paragraph" w:styleId="PreformattatoHTML">
    <w:name w:val="HTML Preformatted"/>
    <w:basedOn w:val="Normale"/>
    <w:link w:val="PreformattatoHTMLCarattere"/>
    <w:uiPriority w:val="99"/>
    <w:semiHidden/>
    <w:locked/>
    <w:rsid w:val="00E45954"/>
    <w:rPr>
      <w:rFonts w:ascii="Courier New" w:hAnsi="Courier New" w:cs="Courier New"/>
      <w:sz w:val="20"/>
    </w:rPr>
  </w:style>
  <w:style w:type="character" w:styleId="EsempioHTML">
    <w:name w:val="HTML Sample"/>
    <w:basedOn w:val="Carpredefinitoparagrafo"/>
    <w:semiHidden/>
    <w:locked/>
    <w:rsid w:val="00E45954"/>
    <w:rPr>
      <w:rFonts w:ascii="Courier New" w:hAnsi="Courier New" w:cs="Courier New"/>
    </w:rPr>
  </w:style>
  <w:style w:type="character" w:styleId="MacchinadascrivereHTML">
    <w:name w:val="HTML Typewriter"/>
    <w:basedOn w:val="Carpredefinitoparagrafo"/>
    <w:semiHidden/>
    <w:locked/>
    <w:rsid w:val="00E45954"/>
    <w:rPr>
      <w:rFonts w:ascii="Courier New" w:hAnsi="Courier New" w:cs="Courier New"/>
      <w:sz w:val="20"/>
      <w:szCs w:val="20"/>
    </w:rPr>
  </w:style>
  <w:style w:type="character" w:styleId="VariabileHTML">
    <w:name w:val="HTML Variable"/>
    <w:basedOn w:val="Carpredefinitoparagrafo"/>
    <w:semiHidden/>
    <w:locked/>
    <w:rsid w:val="00E45954"/>
    <w:rPr>
      <w:i/>
      <w:iCs/>
    </w:rPr>
  </w:style>
  <w:style w:type="character" w:styleId="Numeroriga">
    <w:name w:val="line number"/>
    <w:basedOn w:val="Carpredefinitoparagrafo"/>
    <w:semiHidden/>
    <w:locked/>
    <w:rsid w:val="00E45954"/>
  </w:style>
  <w:style w:type="paragraph" w:styleId="Elenco">
    <w:name w:val="List"/>
    <w:basedOn w:val="Normale"/>
    <w:semiHidden/>
    <w:locked/>
    <w:rsid w:val="00E45954"/>
    <w:pPr>
      <w:ind w:left="283" w:hanging="283"/>
    </w:pPr>
  </w:style>
  <w:style w:type="paragraph" w:styleId="Elenco2">
    <w:name w:val="List 2"/>
    <w:basedOn w:val="Normale"/>
    <w:semiHidden/>
    <w:locked/>
    <w:rsid w:val="00E45954"/>
    <w:pPr>
      <w:ind w:left="566" w:hanging="283"/>
    </w:pPr>
  </w:style>
  <w:style w:type="paragraph" w:styleId="Elenco3">
    <w:name w:val="List 3"/>
    <w:basedOn w:val="Normale"/>
    <w:semiHidden/>
    <w:locked/>
    <w:rsid w:val="00E45954"/>
    <w:pPr>
      <w:ind w:left="849" w:hanging="283"/>
    </w:pPr>
  </w:style>
  <w:style w:type="paragraph" w:styleId="Elenco4">
    <w:name w:val="List 4"/>
    <w:basedOn w:val="Normale"/>
    <w:semiHidden/>
    <w:locked/>
    <w:rsid w:val="00E45954"/>
    <w:pPr>
      <w:ind w:left="1132" w:hanging="283"/>
    </w:pPr>
  </w:style>
  <w:style w:type="paragraph" w:styleId="Elenco5">
    <w:name w:val="List 5"/>
    <w:basedOn w:val="Normale"/>
    <w:semiHidden/>
    <w:locked/>
    <w:rsid w:val="00E45954"/>
    <w:pPr>
      <w:ind w:left="1415" w:hanging="283"/>
    </w:pPr>
  </w:style>
  <w:style w:type="numbering" w:customStyle="1" w:styleId="StyleNumbered">
    <w:name w:val="Style Numbered"/>
    <w:basedOn w:val="Nessunelenco"/>
    <w:rsid w:val="00074CD6"/>
    <w:pPr>
      <w:numPr>
        <w:numId w:val="14"/>
      </w:numPr>
    </w:pPr>
  </w:style>
  <w:style w:type="paragraph" w:styleId="Puntoelenco2">
    <w:name w:val="List Bullet 2"/>
    <w:basedOn w:val="Normale"/>
    <w:semiHidden/>
    <w:locked/>
    <w:rsid w:val="00E45954"/>
    <w:pPr>
      <w:numPr>
        <w:numId w:val="2"/>
      </w:numPr>
    </w:pPr>
  </w:style>
  <w:style w:type="paragraph" w:styleId="Puntoelenco3">
    <w:name w:val="List Bullet 3"/>
    <w:basedOn w:val="Normale"/>
    <w:semiHidden/>
    <w:locked/>
    <w:rsid w:val="00E45954"/>
    <w:pPr>
      <w:numPr>
        <w:numId w:val="3"/>
      </w:numPr>
    </w:pPr>
  </w:style>
  <w:style w:type="paragraph" w:styleId="Puntoelenco4">
    <w:name w:val="List Bullet 4"/>
    <w:basedOn w:val="Normale"/>
    <w:semiHidden/>
    <w:locked/>
    <w:rsid w:val="00E45954"/>
    <w:pPr>
      <w:numPr>
        <w:numId w:val="4"/>
      </w:numPr>
    </w:pPr>
  </w:style>
  <w:style w:type="paragraph" w:styleId="Puntoelenco5">
    <w:name w:val="List Bullet 5"/>
    <w:basedOn w:val="Normale"/>
    <w:semiHidden/>
    <w:locked/>
    <w:rsid w:val="00E45954"/>
    <w:pPr>
      <w:numPr>
        <w:numId w:val="5"/>
      </w:numPr>
    </w:pPr>
  </w:style>
  <w:style w:type="paragraph" w:styleId="Elencocontinua">
    <w:name w:val="List Continue"/>
    <w:basedOn w:val="Normale"/>
    <w:semiHidden/>
    <w:locked/>
    <w:rsid w:val="00E45954"/>
    <w:pPr>
      <w:spacing w:after="120"/>
      <w:ind w:left="283"/>
    </w:pPr>
  </w:style>
  <w:style w:type="paragraph" w:styleId="Elencocontinua2">
    <w:name w:val="List Continue 2"/>
    <w:basedOn w:val="Normale"/>
    <w:semiHidden/>
    <w:locked/>
    <w:rsid w:val="00E45954"/>
    <w:pPr>
      <w:spacing w:after="120"/>
      <w:ind w:left="566"/>
    </w:pPr>
  </w:style>
  <w:style w:type="paragraph" w:styleId="Elencocontinua3">
    <w:name w:val="List Continue 3"/>
    <w:basedOn w:val="Normale"/>
    <w:semiHidden/>
    <w:locked/>
    <w:rsid w:val="00E45954"/>
    <w:pPr>
      <w:spacing w:after="120"/>
      <w:ind w:left="849"/>
    </w:pPr>
  </w:style>
  <w:style w:type="paragraph" w:styleId="Elencocontinua5">
    <w:name w:val="List Continue 5"/>
    <w:basedOn w:val="Normale"/>
    <w:semiHidden/>
    <w:locked/>
    <w:rsid w:val="00E45954"/>
    <w:pPr>
      <w:spacing w:after="120"/>
      <w:ind w:left="1415"/>
    </w:pPr>
  </w:style>
  <w:style w:type="paragraph" w:styleId="Numeroelenco">
    <w:name w:val="List Number"/>
    <w:basedOn w:val="Normale"/>
    <w:semiHidden/>
    <w:locked/>
    <w:rsid w:val="00E45954"/>
    <w:pPr>
      <w:numPr>
        <w:numId w:val="6"/>
      </w:numPr>
    </w:pPr>
  </w:style>
  <w:style w:type="paragraph" w:styleId="Numeroelenco2">
    <w:name w:val="List Number 2"/>
    <w:basedOn w:val="Normale"/>
    <w:semiHidden/>
    <w:locked/>
    <w:rsid w:val="00E45954"/>
    <w:pPr>
      <w:numPr>
        <w:numId w:val="9"/>
      </w:numPr>
    </w:pPr>
  </w:style>
  <w:style w:type="paragraph" w:styleId="Numeroelenco3">
    <w:name w:val="List Number 3"/>
    <w:basedOn w:val="Normale"/>
    <w:semiHidden/>
    <w:locked/>
    <w:rsid w:val="00E45954"/>
    <w:pPr>
      <w:numPr>
        <w:numId w:val="10"/>
      </w:numPr>
    </w:pPr>
  </w:style>
  <w:style w:type="paragraph" w:styleId="Numeroelenco4">
    <w:name w:val="List Number 4"/>
    <w:basedOn w:val="Normale"/>
    <w:semiHidden/>
    <w:locked/>
    <w:rsid w:val="00E45954"/>
    <w:pPr>
      <w:numPr>
        <w:numId w:val="7"/>
      </w:numPr>
    </w:pPr>
  </w:style>
  <w:style w:type="paragraph" w:styleId="Numeroelenco5">
    <w:name w:val="List Number 5"/>
    <w:basedOn w:val="Normale"/>
    <w:semiHidden/>
    <w:locked/>
    <w:rsid w:val="00E45954"/>
    <w:pPr>
      <w:numPr>
        <w:numId w:val="8"/>
      </w:numPr>
    </w:pPr>
  </w:style>
  <w:style w:type="paragraph" w:styleId="Intestazionemessaggio">
    <w:name w:val="Message Header"/>
    <w:basedOn w:val="Normale"/>
    <w:link w:val="IntestazionemessaggioCarattere"/>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eWeb">
    <w:name w:val="Normal (Web)"/>
    <w:basedOn w:val="Normale"/>
    <w:uiPriority w:val="99"/>
    <w:semiHidden/>
    <w:locked/>
    <w:rsid w:val="00E45954"/>
    <w:rPr>
      <w:rFonts w:ascii="Times New Roman" w:hAnsi="Times New Roman"/>
    </w:rPr>
  </w:style>
  <w:style w:type="paragraph" w:styleId="Rientronormale">
    <w:name w:val="Normal Indent"/>
    <w:basedOn w:val="Normale"/>
    <w:locked/>
    <w:rsid w:val="00E45954"/>
    <w:pPr>
      <w:ind w:left="720"/>
    </w:pPr>
  </w:style>
  <w:style w:type="paragraph" w:styleId="Intestazionenota">
    <w:name w:val="Note Heading"/>
    <w:basedOn w:val="Normale"/>
    <w:next w:val="Normale"/>
    <w:link w:val="IntestazionenotaCarattere"/>
    <w:locked/>
    <w:rsid w:val="00E45954"/>
  </w:style>
  <w:style w:type="character" w:styleId="Numeropagina">
    <w:name w:val="page number"/>
    <w:basedOn w:val="Carpredefinitoparagrafo"/>
    <w:locked/>
    <w:rsid w:val="00E45954"/>
  </w:style>
  <w:style w:type="paragraph" w:styleId="Testonormale">
    <w:name w:val="Plain Text"/>
    <w:basedOn w:val="Normale"/>
    <w:link w:val="TestonormaleCarattere"/>
    <w:semiHidden/>
    <w:locked/>
    <w:rsid w:val="00E45954"/>
    <w:rPr>
      <w:rFonts w:ascii="Courier New" w:hAnsi="Courier New" w:cs="Courier New"/>
      <w:sz w:val="20"/>
    </w:rPr>
  </w:style>
  <w:style w:type="paragraph" w:styleId="Formuladiapertura">
    <w:name w:val="Salutation"/>
    <w:basedOn w:val="Normale"/>
    <w:next w:val="Normale"/>
    <w:link w:val="FormuladiaperturaCarattere"/>
    <w:semiHidden/>
    <w:locked/>
    <w:rsid w:val="00E45954"/>
  </w:style>
  <w:style w:type="paragraph" w:styleId="Firma">
    <w:name w:val="Signature"/>
    <w:basedOn w:val="Normale"/>
    <w:link w:val="FirmaCarattere"/>
    <w:semiHidden/>
    <w:locked/>
    <w:rsid w:val="00E45954"/>
    <w:pPr>
      <w:ind w:left="4252"/>
    </w:pPr>
  </w:style>
  <w:style w:type="paragraph" w:styleId="Sottotitolo">
    <w:name w:val="Subtitle"/>
    <w:basedOn w:val="Normale"/>
    <w:link w:val="SottotitoloCarattere"/>
    <w:qFormat/>
    <w:locked/>
    <w:rsid w:val="00E45954"/>
    <w:pPr>
      <w:spacing w:after="60"/>
      <w:jc w:val="center"/>
      <w:outlineLvl w:val="1"/>
    </w:pPr>
    <w:rPr>
      <w:rFonts w:cs="Arial"/>
    </w:rPr>
  </w:style>
  <w:style w:type="table" w:styleId="Tabellaeffetti3D1">
    <w:name w:val="Table 3D effects 1"/>
    <w:basedOn w:val="Tabellanormale"/>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
    <w:name w:val="Table Grid"/>
    <w:basedOn w:val="Tabellanormale"/>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
    <w:name w:val="Title"/>
    <w:basedOn w:val="Normale"/>
    <w:link w:val="TitoloCarattere"/>
    <w:qFormat/>
    <w:locked/>
    <w:rsid w:val="00E45954"/>
    <w:pPr>
      <w:spacing w:after="60"/>
      <w:jc w:val="center"/>
      <w:outlineLvl w:val="0"/>
    </w:pPr>
    <w:rPr>
      <w:rFonts w:cs="Arial"/>
      <w:b/>
      <w:bCs/>
      <w:kern w:val="28"/>
      <w:sz w:val="32"/>
      <w:szCs w:val="32"/>
    </w:rPr>
  </w:style>
  <w:style w:type="character" w:styleId="Collegamentovisitato">
    <w:name w:val="FollowedHyperlink"/>
    <w:basedOn w:val="Carpredefinitoparagrafo"/>
    <w:semiHidden/>
    <w:locked/>
    <w:rsid w:val="00E45954"/>
    <w:rPr>
      <w:color w:val="800080"/>
      <w:u w:val="single"/>
    </w:rPr>
  </w:style>
  <w:style w:type="paragraph" w:styleId="Puntoelenco">
    <w:name w:val="List Bullet"/>
    <w:basedOn w:val="Normale"/>
    <w:semiHidden/>
    <w:locked/>
    <w:rsid w:val="00950E88"/>
    <w:pPr>
      <w:numPr>
        <w:numId w:val="1"/>
      </w:numPr>
    </w:pPr>
  </w:style>
  <w:style w:type="paragraph" w:customStyle="1" w:styleId="Contactdetails">
    <w:name w:val="Contact details"/>
    <w:basedOn w:val="Normale"/>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Carpredefinitoparagrafo"/>
    <w:semiHidden/>
    <w:locked/>
    <w:rsid w:val="001C451B"/>
    <w:rPr>
      <w:rFonts w:ascii="Arial" w:hAnsi="Arial"/>
      <w:bCs/>
      <w:i/>
      <w:sz w:val="24"/>
      <w:szCs w:val="26"/>
      <w:lang w:val="en-AU" w:eastAsia="en-AU" w:bidi="ar-SA"/>
    </w:rPr>
  </w:style>
  <w:style w:type="character" w:customStyle="1" w:styleId="CharChar8">
    <w:name w:val="Char Char8"/>
    <w:basedOn w:val="Carpredefinitoparagrafo"/>
    <w:semiHidden/>
    <w:locked/>
    <w:rsid w:val="001C451B"/>
    <w:rPr>
      <w:rFonts w:ascii="Arial" w:hAnsi="Arial"/>
      <w:iCs/>
      <w:sz w:val="24"/>
      <w:szCs w:val="26"/>
      <w:lang w:val="en-AU" w:eastAsia="en-AU" w:bidi="ar-SA"/>
    </w:rPr>
  </w:style>
  <w:style w:type="character" w:customStyle="1" w:styleId="CharChar">
    <w:name w:val="Char Char"/>
    <w:basedOn w:val="Carpredefinitoparagrafo"/>
    <w:semiHidden/>
    <w:locked/>
    <w:rsid w:val="001C451B"/>
    <w:rPr>
      <w:rFonts w:ascii="Arial" w:hAnsi="Arial" w:cs="Arial"/>
      <w:lang w:val="en-AU" w:eastAsia="en-AU" w:bidi="ar-SA"/>
    </w:rPr>
  </w:style>
  <w:style w:type="character" w:customStyle="1" w:styleId="TestonotaapidipaginaCarattere">
    <w:name w:val="Testo nota a piè di pagina Carattere"/>
    <w:aliases w:val="Footnote Text Char1 Char Carattere,Footnote Text Char Char Char Carattere,Footnote Text Char1 Char Char Char Carattere,Footnote Text Char Char Char Char Char Carattere,Footnote Text Char1 Carattere"/>
    <w:basedOn w:val="Carpredefinitoparagrafo"/>
    <w:link w:val="Testonotaapidipagina"/>
    <w:locked/>
    <w:rsid w:val="00706FAB"/>
    <w:rPr>
      <w:rFonts w:ascii="Arial" w:hAnsi="Arial"/>
      <w:lang w:val="en-AU" w:eastAsia="en-AU" w:bidi="ar-SA"/>
    </w:rPr>
  </w:style>
  <w:style w:type="paragraph" w:styleId="Testofumetto">
    <w:name w:val="Balloon Text"/>
    <w:basedOn w:val="Normale"/>
    <w:link w:val="TestofumettoCarattere"/>
    <w:locked/>
    <w:rsid w:val="008F3A9F"/>
    <w:rPr>
      <w:rFonts w:ascii="Tahoma" w:hAnsi="Tahoma" w:cs="Tahoma"/>
      <w:sz w:val="16"/>
      <w:szCs w:val="16"/>
    </w:rPr>
  </w:style>
  <w:style w:type="character" w:customStyle="1" w:styleId="BalloonTextChar">
    <w:name w:val="Balloon Text Char"/>
    <w:basedOn w:val="Carpredefinitoparagrafo"/>
    <w:uiPriority w:val="99"/>
    <w:semiHidden/>
    <w:rsid w:val="008F3A9F"/>
    <w:rPr>
      <w:rFonts w:ascii="Segoe UI" w:hAnsi="Segoe UI" w:cs="Segoe UI"/>
      <w:spacing w:val="-5"/>
      <w:sz w:val="18"/>
      <w:szCs w:val="18"/>
      <w:lang w:eastAsia="en-US"/>
    </w:rPr>
  </w:style>
  <w:style w:type="character" w:customStyle="1" w:styleId="CorpotestoCarattere">
    <w:name w:val="Corpo testo Carattere"/>
    <w:basedOn w:val="Carpredefinitoparagrafo"/>
    <w:link w:val="Corpotesto"/>
    <w:locked/>
    <w:rsid w:val="008F3A9F"/>
    <w:rPr>
      <w:rFonts w:ascii="Arial" w:hAnsi="Arial"/>
      <w:sz w:val="24"/>
      <w:szCs w:val="24"/>
    </w:rPr>
  </w:style>
  <w:style w:type="character" w:customStyle="1" w:styleId="Corpodeltesto2Carattere">
    <w:name w:val="Corpo del testo 2 Carattere"/>
    <w:basedOn w:val="Carpredefinitoparagrafo"/>
    <w:link w:val="Corpodeltesto2"/>
    <w:semiHidden/>
    <w:locked/>
    <w:rsid w:val="008F3A9F"/>
    <w:rPr>
      <w:rFonts w:ascii="Arial" w:hAnsi="Arial"/>
      <w:sz w:val="24"/>
      <w:szCs w:val="24"/>
    </w:rPr>
  </w:style>
  <w:style w:type="character" w:customStyle="1" w:styleId="Corpodeltesto3Carattere">
    <w:name w:val="Corpo del testo 3 Carattere"/>
    <w:basedOn w:val="Carpredefinitoparagrafo"/>
    <w:link w:val="Corpodeltesto3"/>
    <w:semiHidden/>
    <w:locked/>
    <w:rsid w:val="008F3A9F"/>
    <w:rPr>
      <w:rFonts w:ascii="Arial" w:hAnsi="Arial"/>
      <w:sz w:val="16"/>
      <w:szCs w:val="16"/>
    </w:rPr>
  </w:style>
  <w:style w:type="character" w:customStyle="1" w:styleId="PrimorientrocorpodeltestoCarattere">
    <w:name w:val="Primo rientro corpo del testo Carattere"/>
    <w:basedOn w:val="CorpotestoCarattere"/>
    <w:link w:val="Primorientrocorpodeltesto"/>
    <w:semiHidden/>
    <w:locked/>
    <w:rsid w:val="008F3A9F"/>
    <w:rPr>
      <w:rFonts w:ascii="Arial" w:hAnsi="Arial"/>
      <w:sz w:val="24"/>
      <w:szCs w:val="24"/>
    </w:rPr>
  </w:style>
  <w:style w:type="character" w:customStyle="1" w:styleId="RientrocorpodeltestoCarattere">
    <w:name w:val="Rientro corpo del testo Carattere"/>
    <w:basedOn w:val="Carpredefinitoparagrafo"/>
    <w:link w:val="Rientrocorpodeltesto"/>
    <w:semiHidden/>
    <w:locked/>
    <w:rsid w:val="008F3A9F"/>
    <w:rPr>
      <w:rFonts w:ascii="Arial" w:hAnsi="Arial"/>
      <w:sz w:val="24"/>
      <w:szCs w:val="24"/>
    </w:rPr>
  </w:style>
  <w:style w:type="character" w:customStyle="1" w:styleId="Primorientrocorpodeltesto2Carattere">
    <w:name w:val="Primo rientro corpo del testo 2 Carattere"/>
    <w:basedOn w:val="RientrocorpodeltestoCarattere"/>
    <w:link w:val="Primorientrocorpodeltesto2"/>
    <w:semiHidden/>
    <w:locked/>
    <w:rsid w:val="008F3A9F"/>
    <w:rPr>
      <w:rFonts w:ascii="Arial" w:hAnsi="Arial"/>
      <w:sz w:val="24"/>
      <w:szCs w:val="24"/>
    </w:rPr>
  </w:style>
  <w:style w:type="character" w:customStyle="1" w:styleId="Rientrocorpodeltesto2Carattere">
    <w:name w:val="Rientro corpo del testo 2 Carattere"/>
    <w:basedOn w:val="Carpredefinitoparagrafo"/>
    <w:link w:val="Rientrocorpodeltesto2"/>
    <w:semiHidden/>
    <w:locked/>
    <w:rsid w:val="008F3A9F"/>
    <w:rPr>
      <w:rFonts w:ascii="Arial" w:hAnsi="Arial"/>
      <w:sz w:val="24"/>
      <w:szCs w:val="24"/>
    </w:rPr>
  </w:style>
  <w:style w:type="character" w:customStyle="1" w:styleId="Rientrocorpodeltesto3Carattere">
    <w:name w:val="Rientro corpo del testo 3 Carattere"/>
    <w:basedOn w:val="Carpredefinitoparagrafo"/>
    <w:link w:val="Rientrocorpodeltesto3"/>
    <w:semiHidden/>
    <w:locked/>
    <w:rsid w:val="008F3A9F"/>
    <w:rPr>
      <w:rFonts w:ascii="Arial" w:hAnsi="Arial"/>
      <w:sz w:val="16"/>
      <w:szCs w:val="16"/>
    </w:rPr>
  </w:style>
  <w:style w:type="character" w:customStyle="1" w:styleId="FormuladichiusuraCarattere">
    <w:name w:val="Formula di chiusura Carattere"/>
    <w:basedOn w:val="Carpredefinitoparagrafo"/>
    <w:link w:val="Formuladichiusura"/>
    <w:semiHidden/>
    <w:locked/>
    <w:rsid w:val="008F3A9F"/>
    <w:rPr>
      <w:rFonts w:ascii="Arial" w:hAnsi="Arial"/>
      <w:sz w:val="24"/>
      <w:szCs w:val="24"/>
    </w:rPr>
  </w:style>
  <w:style w:type="character" w:customStyle="1" w:styleId="DataCarattere">
    <w:name w:val="Data Carattere"/>
    <w:basedOn w:val="Carpredefinitoparagrafo"/>
    <w:link w:val="Data"/>
    <w:semiHidden/>
    <w:locked/>
    <w:rsid w:val="008F3A9F"/>
    <w:rPr>
      <w:rFonts w:ascii="Arial" w:hAnsi="Arial"/>
      <w:sz w:val="24"/>
      <w:szCs w:val="24"/>
    </w:rPr>
  </w:style>
  <w:style w:type="character" w:customStyle="1" w:styleId="FirmadipostaelettronicaCarattere">
    <w:name w:val="Firma di posta elettronica Carattere"/>
    <w:basedOn w:val="Carpredefinitoparagrafo"/>
    <w:link w:val="Firmadipostaelettronica"/>
    <w:semiHidden/>
    <w:locked/>
    <w:rsid w:val="008F3A9F"/>
    <w:rPr>
      <w:rFonts w:ascii="Arial" w:hAnsi="Arial"/>
      <w:sz w:val="24"/>
      <w:szCs w:val="24"/>
    </w:rPr>
  </w:style>
  <w:style w:type="character" w:customStyle="1" w:styleId="IndirizzoHTMLCarattere">
    <w:name w:val="Indirizzo HTML Carattere"/>
    <w:basedOn w:val="Carpredefinitoparagrafo"/>
    <w:link w:val="IndirizzoHTML"/>
    <w:semiHidden/>
    <w:locked/>
    <w:rsid w:val="008F3A9F"/>
    <w:rPr>
      <w:rFonts w:ascii="Arial" w:hAnsi="Arial"/>
      <w:i/>
      <w:iCs/>
      <w:sz w:val="24"/>
      <w:szCs w:val="24"/>
    </w:rPr>
  </w:style>
  <w:style w:type="character" w:customStyle="1" w:styleId="PreformattatoHTMLCarattere">
    <w:name w:val="Preformattato HTML Carattere"/>
    <w:basedOn w:val="Carpredefinitoparagrafo"/>
    <w:link w:val="PreformattatoHTML"/>
    <w:uiPriority w:val="99"/>
    <w:semiHidden/>
    <w:locked/>
    <w:rsid w:val="008F3A9F"/>
    <w:rPr>
      <w:rFonts w:ascii="Courier New" w:hAnsi="Courier New" w:cs="Courier New"/>
    </w:rPr>
  </w:style>
  <w:style w:type="character" w:customStyle="1" w:styleId="IntestazionemessaggioCarattere">
    <w:name w:val="Intestazione messaggio Carattere"/>
    <w:basedOn w:val="Carpredefinitoparagrafo"/>
    <w:link w:val="Intestazionemessaggio"/>
    <w:semiHidden/>
    <w:locked/>
    <w:rsid w:val="008F3A9F"/>
    <w:rPr>
      <w:rFonts w:ascii="Arial" w:hAnsi="Arial" w:cs="Arial"/>
      <w:sz w:val="24"/>
      <w:szCs w:val="24"/>
      <w:shd w:val="pct20" w:color="auto" w:fill="auto"/>
    </w:rPr>
  </w:style>
  <w:style w:type="character" w:customStyle="1" w:styleId="IntestazionenotaCarattere">
    <w:name w:val="Intestazione nota Carattere"/>
    <w:basedOn w:val="Carpredefinitoparagrafo"/>
    <w:link w:val="Intestazionenota"/>
    <w:locked/>
    <w:rsid w:val="008F3A9F"/>
    <w:rPr>
      <w:rFonts w:ascii="Arial" w:hAnsi="Arial"/>
      <w:sz w:val="24"/>
      <w:szCs w:val="24"/>
    </w:rPr>
  </w:style>
  <w:style w:type="character" w:customStyle="1" w:styleId="TestonormaleCarattere">
    <w:name w:val="Testo normale Carattere"/>
    <w:basedOn w:val="Carpredefinitoparagrafo"/>
    <w:link w:val="Testonormale"/>
    <w:semiHidden/>
    <w:locked/>
    <w:rsid w:val="008F3A9F"/>
    <w:rPr>
      <w:rFonts w:ascii="Courier New" w:hAnsi="Courier New" w:cs="Courier New"/>
    </w:rPr>
  </w:style>
  <w:style w:type="character" w:customStyle="1" w:styleId="FormuladiaperturaCarattere">
    <w:name w:val="Formula di apertura Carattere"/>
    <w:basedOn w:val="Carpredefinitoparagrafo"/>
    <w:link w:val="Formuladiapertura"/>
    <w:semiHidden/>
    <w:locked/>
    <w:rsid w:val="008F3A9F"/>
    <w:rPr>
      <w:rFonts w:ascii="Arial" w:hAnsi="Arial"/>
      <w:sz w:val="24"/>
      <w:szCs w:val="24"/>
    </w:rPr>
  </w:style>
  <w:style w:type="character" w:customStyle="1" w:styleId="FirmaCarattere">
    <w:name w:val="Firma Carattere"/>
    <w:basedOn w:val="Carpredefinitoparagrafo"/>
    <w:link w:val="Firma"/>
    <w:semiHidden/>
    <w:locked/>
    <w:rsid w:val="008F3A9F"/>
    <w:rPr>
      <w:rFonts w:ascii="Arial" w:hAnsi="Arial"/>
      <w:sz w:val="24"/>
      <w:szCs w:val="24"/>
    </w:rPr>
  </w:style>
  <w:style w:type="character" w:customStyle="1" w:styleId="SottotitoloCarattere">
    <w:name w:val="Sottotitolo Carattere"/>
    <w:basedOn w:val="Carpredefinitoparagrafo"/>
    <w:link w:val="Sottotitolo"/>
    <w:locked/>
    <w:rsid w:val="008F3A9F"/>
    <w:rPr>
      <w:rFonts w:ascii="Arial" w:hAnsi="Arial" w:cs="Arial"/>
      <w:sz w:val="24"/>
      <w:szCs w:val="24"/>
    </w:rPr>
  </w:style>
  <w:style w:type="character" w:customStyle="1" w:styleId="TitoloCarattere">
    <w:name w:val="Titolo Carattere"/>
    <w:basedOn w:val="Carpredefinitoparagrafo"/>
    <w:link w:val="Titolo"/>
    <w:locked/>
    <w:rsid w:val="008F3A9F"/>
    <w:rPr>
      <w:rFonts w:ascii="Arial" w:hAnsi="Arial" w:cs="Arial"/>
      <w:b/>
      <w:bCs/>
      <w:kern w:val="28"/>
      <w:sz w:val="32"/>
      <w:szCs w:val="32"/>
    </w:rPr>
  </w:style>
  <w:style w:type="paragraph" w:customStyle="1" w:styleId="DocumentLabel">
    <w:name w:val="Document Label"/>
    <w:basedOn w:val="Normale"/>
    <w:next w:val="Normale"/>
    <w:uiPriority w:val="99"/>
    <w:rsid w:val="008F3A9F"/>
    <w:pPr>
      <w:keepNext/>
      <w:keepLines/>
      <w:spacing w:before="400" w:after="120" w:line="240" w:lineRule="atLeast"/>
      <w:ind w:left="-840"/>
    </w:pPr>
    <w:rPr>
      <w:rFonts w:ascii="Arial Black" w:hAnsi="Arial Black"/>
      <w:kern w:val="28"/>
      <w:sz w:val="96"/>
    </w:rPr>
  </w:style>
  <w:style w:type="character" w:styleId="Rimandocommento">
    <w:name w:val="annotation reference"/>
    <w:basedOn w:val="Carpredefinitoparagrafo"/>
    <w:uiPriority w:val="99"/>
    <w:locked/>
    <w:rsid w:val="008F3A9F"/>
    <w:rPr>
      <w:rFonts w:cs="Times New Roman"/>
      <w:sz w:val="16"/>
      <w:szCs w:val="16"/>
    </w:rPr>
  </w:style>
  <w:style w:type="paragraph" w:styleId="Testocommento">
    <w:name w:val="annotation text"/>
    <w:basedOn w:val="Normale"/>
    <w:link w:val="TestocommentoCarattere"/>
    <w:uiPriority w:val="99"/>
    <w:locked/>
    <w:rsid w:val="008F3A9F"/>
  </w:style>
  <w:style w:type="character" w:customStyle="1" w:styleId="TestocommentoCarattere">
    <w:name w:val="Testo commento Carattere"/>
    <w:basedOn w:val="Carpredefinitoparagrafo"/>
    <w:link w:val="Testocommento"/>
    <w:uiPriority w:val="99"/>
    <w:rsid w:val="008F3A9F"/>
    <w:rPr>
      <w:rFonts w:ascii="Arial" w:hAnsi="Arial"/>
      <w:spacing w:val="-5"/>
      <w:sz w:val="24"/>
      <w:lang w:eastAsia="en-US"/>
    </w:rPr>
  </w:style>
  <w:style w:type="paragraph" w:styleId="Soggettocommento">
    <w:name w:val="annotation subject"/>
    <w:basedOn w:val="Testocommento"/>
    <w:next w:val="Testocommento"/>
    <w:link w:val="SoggettocommentoCarattere"/>
    <w:locked/>
    <w:rsid w:val="008F3A9F"/>
    <w:rPr>
      <w:b/>
      <w:bCs/>
    </w:rPr>
  </w:style>
  <w:style w:type="character" w:customStyle="1" w:styleId="SoggettocommentoCarattere">
    <w:name w:val="Soggetto commento Carattere"/>
    <w:basedOn w:val="TestocommentoCarattere"/>
    <w:link w:val="Soggettocommento"/>
    <w:rsid w:val="008F3A9F"/>
    <w:rPr>
      <w:rFonts w:ascii="Arial" w:hAnsi="Arial"/>
      <w:b/>
      <w:bCs/>
      <w:spacing w:val="-5"/>
      <w:sz w:val="24"/>
      <w:lang w:eastAsia="en-US"/>
    </w:rPr>
  </w:style>
  <w:style w:type="character" w:customStyle="1" w:styleId="TestofumettoCarattere">
    <w:name w:val="Testo fumetto Carattere"/>
    <w:basedOn w:val="Carpredefinitoparagrafo"/>
    <w:link w:val="Testofumetto"/>
    <w:locked/>
    <w:rsid w:val="008F3A9F"/>
    <w:rPr>
      <w:rFonts w:ascii="Tahoma" w:hAnsi="Tahoma" w:cs="Tahoma"/>
      <w:spacing w:val="-5"/>
      <w:sz w:val="16"/>
      <w:szCs w:val="16"/>
      <w:lang w:eastAsia="en-US"/>
    </w:rPr>
  </w:style>
  <w:style w:type="character" w:customStyle="1" w:styleId="citation">
    <w:name w:val="citation"/>
    <w:basedOn w:val="Carpredefinitoparagrafo"/>
    <w:uiPriority w:val="99"/>
    <w:rsid w:val="008F3A9F"/>
    <w:rPr>
      <w:rFonts w:cs="Times New Roman"/>
    </w:rPr>
  </w:style>
  <w:style w:type="paragraph" w:customStyle="1" w:styleId="Definition">
    <w:name w:val="Definition"/>
    <w:aliases w:val="dd"/>
    <w:basedOn w:val="Normale"/>
    <w:uiPriority w:val="99"/>
    <w:rsid w:val="008F3A9F"/>
    <w:pPr>
      <w:autoSpaceDE w:val="0"/>
      <w:autoSpaceDN w:val="0"/>
      <w:spacing w:before="180" w:line="260" w:lineRule="atLeast"/>
      <w:ind w:left="1134"/>
    </w:pPr>
    <w:rPr>
      <w:rFonts w:ascii="Times" w:hAnsi="Times" w:cs="Times"/>
      <w:spacing w:val="0"/>
      <w:sz w:val="22"/>
      <w:szCs w:val="22"/>
      <w:lang w:eastAsia="en-AU"/>
    </w:rPr>
  </w:style>
  <w:style w:type="paragraph" w:customStyle="1" w:styleId="indenta">
    <w:name w:val="indent(a)"/>
    <w:aliases w:val="a,paragraph"/>
    <w:basedOn w:val="Normale"/>
    <w:rsid w:val="008F3A9F"/>
    <w:pPr>
      <w:tabs>
        <w:tab w:val="right" w:pos="1531"/>
      </w:tabs>
      <w:autoSpaceDE w:val="0"/>
      <w:autoSpaceDN w:val="0"/>
      <w:spacing w:before="40" w:line="260" w:lineRule="atLeast"/>
      <w:ind w:left="1644" w:hanging="1644"/>
    </w:pPr>
    <w:rPr>
      <w:rFonts w:ascii="Times" w:hAnsi="Times" w:cs="Times"/>
      <w:spacing w:val="0"/>
      <w:sz w:val="22"/>
      <w:szCs w:val="22"/>
      <w:lang w:eastAsia="en-AU"/>
    </w:rPr>
  </w:style>
  <w:style w:type="paragraph" w:customStyle="1" w:styleId="indentii">
    <w:name w:val="indent(ii)"/>
    <w:aliases w:val="aa,paragraph(sub)"/>
    <w:basedOn w:val="indenta"/>
    <w:rsid w:val="008F3A9F"/>
    <w:pPr>
      <w:tabs>
        <w:tab w:val="clear" w:pos="1531"/>
        <w:tab w:val="right" w:pos="1985"/>
      </w:tabs>
      <w:ind w:left="2098" w:hanging="2098"/>
    </w:pPr>
  </w:style>
  <w:style w:type="character" w:customStyle="1" w:styleId="streetline">
    <w:name w:val="streetline"/>
    <w:basedOn w:val="Carpredefinitoparagrafo"/>
    <w:uiPriority w:val="99"/>
    <w:rsid w:val="008F3A9F"/>
    <w:rPr>
      <w:rFonts w:cs="Times New Roman"/>
    </w:rPr>
  </w:style>
  <w:style w:type="character" w:customStyle="1" w:styleId="locality3">
    <w:name w:val="locality3"/>
    <w:basedOn w:val="Carpredefinitoparagrafo"/>
    <w:uiPriority w:val="99"/>
    <w:rsid w:val="008F3A9F"/>
    <w:rPr>
      <w:rFonts w:cs="Times New Roman"/>
      <w:color w:val="666666"/>
    </w:rPr>
  </w:style>
  <w:style w:type="character" w:customStyle="1" w:styleId="state">
    <w:name w:val="state"/>
    <w:basedOn w:val="Carpredefinitoparagrafo"/>
    <w:uiPriority w:val="99"/>
    <w:rsid w:val="008F3A9F"/>
    <w:rPr>
      <w:rFonts w:cs="Times New Roman"/>
    </w:rPr>
  </w:style>
  <w:style w:type="character" w:customStyle="1" w:styleId="postcode">
    <w:name w:val="postcode"/>
    <w:basedOn w:val="Carpredefinitoparagrafo"/>
    <w:uiPriority w:val="99"/>
    <w:rsid w:val="008F3A9F"/>
    <w:rPr>
      <w:rFonts w:cs="Times New Roman"/>
    </w:rPr>
  </w:style>
  <w:style w:type="paragraph" w:styleId="Revisione">
    <w:name w:val="Revision"/>
    <w:hidden/>
    <w:uiPriority w:val="99"/>
    <w:semiHidden/>
    <w:rsid w:val="008F3A9F"/>
    <w:rPr>
      <w:rFonts w:ascii="Arial" w:hAnsi="Arial"/>
      <w:spacing w:val="-5"/>
      <w:lang w:eastAsia="en-US"/>
    </w:rPr>
  </w:style>
  <w:style w:type="paragraph" w:customStyle="1" w:styleId="subsection">
    <w:name w:val="subsection"/>
    <w:aliases w:val="ss"/>
    <w:rsid w:val="008F3A9F"/>
    <w:pPr>
      <w:tabs>
        <w:tab w:val="right" w:pos="1021"/>
      </w:tabs>
      <w:spacing w:before="180"/>
      <w:ind w:left="1134" w:hanging="1134"/>
    </w:pPr>
    <w:rPr>
      <w:sz w:val="22"/>
      <w:szCs w:val="22"/>
    </w:rPr>
  </w:style>
  <w:style w:type="paragraph" w:customStyle="1" w:styleId="Style1">
    <w:name w:val="Style1"/>
    <w:basedOn w:val="Testonotaapidipagina"/>
    <w:uiPriority w:val="99"/>
    <w:rsid w:val="008F3A9F"/>
    <w:rPr>
      <w:sz w:val="24"/>
    </w:rPr>
  </w:style>
  <w:style w:type="paragraph" w:customStyle="1" w:styleId="SubmissionNormal">
    <w:name w:val="Submission Normal"/>
    <w:aliases w:val="No Spacing,No Spacing1,No Spacing11"/>
    <w:basedOn w:val="Normale"/>
    <w:link w:val="SubmissionNormalChar"/>
    <w:qFormat/>
    <w:rsid w:val="008F3A9F"/>
    <w:pPr>
      <w:numPr>
        <w:numId w:val="28"/>
      </w:numPr>
      <w:spacing w:before="240" w:after="240"/>
    </w:pPr>
    <w:rPr>
      <w:spacing w:val="0"/>
      <w:szCs w:val="24"/>
      <w:lang w:eastAsia="en-AU"/>
    </w:rPr>
  </w:style>
  <w:style w:type="character" w:customStyle="1" w:styleId="SubmissionNormalChar">
    <w:name w:val="Submission Normal Char"/>
    <w:aliases w:val="No Spacing Char,No Spacing1 Char"/>
    <w:basedOn w:val="Carpredefinitoparagrafo"/>
    <w:link w:val="SubmissionNormal"/>
    <w:locked/>
    <w:rsid w:val="008F3A9F"/>
    <w:rPr>
      <w:rFonts w:ascii="Arial" w:hAnsi="Arial"/>
      <w:sz w:val="24"/>
      <w:szCs w:val="24"/>
    </w:rPr>
  </w:style>
  <w:style w:type="paragraph" w:customStyle="1" w:styleId="msolistparagraph0">
    <w:name w:val="msolistparagraph"/>
    <w:basedOn w:val="Normale"/>
    <w:uiPriority w:val="99"/>
    <w:rsid w:val="008F3A9F"/>
    <w:pPr>
      <w:ind w:left="720"/>
    </w:pPr>
    <w:rPr>
      <w:rFonts w:ascii="Calibri" w:hAnsi="Calibri"/>
      <w:spacing w:val="0"/>
      <w:sz w:val="22"/>
      <w:szCs w:val="22"/>
      <w:lang w:eastAsia="en-AU"/>
    </w:rPr>
  </w:style>
  <w:style w:type="paragraph" w:customStyle="1" w:styleId="MainTitle">
    <w:name w:val="Main Title"/>
    <w:uiPriority w:val="99"/>
    <w:semiHidden/>
    <w:rsid w:val="008F3A9F"/>
    <w:pPr>
      <w:pBdr>
        <w:top w:val="single" w:sz="12" w:space="10" w:color="0070C0"/>
        <w:bottom w:val="single" w:sz="12" w:space="10" w:color="0070C0"/>
      </w:pBdr>
      <w:spacing w:before="240" w:after="240"/>
    </w:pPr>
    <w:rPr>
      <w:rFonts w:ascii="Arial" w:hAnsi="Arial"/>
      <w:bCs/>
      <w:kern w:val="32"/>
      <w:sz w:val="100"/>
      <w:szCs w:val="32"/>
    </w:rPr>
  </w:style>
  <w:style w:type="paragraph" w:styleId="Paragrafoelenco">
    <w:name w:val="List Paragraph"/>
    <w:basedOn w:val="Normale"/>
    <w:uiPriority w:val="1"/>
    <w:qFormat/>
    <w:rsid w:val="008F3A9F"/>
    <w:pPr>
      <w:ind w:left="720"/>
      <w:contextualSpacing/>
    </w:pPr>
  </w:style>
  <w:style w:type="paragraph" w:customStyle="1" w:styleId="paragraphsub">
    <w:name w:val="paragraphsub"/>
    <w:basedOn w:val="Normale"/>
    <w:rsid w:val="008F3A9F"/>
    <w:pPr>
      <w:spacing w:before="100" w:beforeAutospacing="1" w:after="100" w:afterAutospacing="1"/>
    </w:pPr>
    <w:rPr>
      <w:rFonts w:ascii="Times New Roman" w:hAnsi="Times New Roman"/>
      <w:spacing w:val="0"/>
      <w:szCs w:val="24"/>
      <w:lang w:eastAsia="en-AU"/>
    </w:rPr>
  </w:style>
  <w:style w:type="character" w:customStyle="1" w:styleId="EndnoteTextChar1">
    <w:name w:val="Endnote Text Char1"/>
    <w:rsid w:val="008F3A9F"/>
    <w:rPr>
      <w:rFonts w:ascii="Arial" w:hAnsi="Arial"/>
    </w:rPr>
  </w:style>
  <w:style w:type="numbering" w:customStyle="1" w:styleId="NoList1">
    <w:name w:val="No List1"/>
    <w:next w:val="Nessunelenco"/>
    <w:uiPriority w:val="99"/>
    <w:semiHidden/>
    <w:unhideWhenUsed/>
    <w:rsid w:val="008F3A9F"/>
  </w:style>
  <w:style w:type="paragraph" w:customStyle="1" w:styleId="Bullet">
    <w:name w:val="Bullet"/>
    <w:basedOn w:val="Normale"/>
    <w:rsid w:val="008F3A9F"/>
    <w:pPr>
      <w:numPr>
        <w:numId w:val="30"/>
      </w:numPr>
      <w:spacing w:before="60" w:after="60" w:line="360" w:lineRule="exact"/>
      <w:ind w:left="0" w:firstLine="0"/>
      <w:jc w:val="both"/>
    </w:pPr>
    <w:rPr>
      <w:color w:val="000000"/>
      <w:spacing w:val="0"/>
    </w:rPr>
  </w:style>
  <w:style w:type="paragraph" w:customStyle="1" w:styleId="Dash">
    <w:name w:val="Dash"/>
    <w:basedOn w:val="Normale"/>
    <w:rsid w:val="008F3A9F"/>
    <w:pPr>
      <w:numPr>
        <w:numId w:val="31"/>
      </w:numPr>
      <w:tabs>
        <w:tab w:val="num" w:pos="360"/>
      </w:tabs>
      <w:spacing w:before="20" w:after="20" w:line="360" w:lineRule="exact"/>
      <w:ind w:left="0" w:firstLine="0"/>
      <w:jc w:val="both"/>
    </w:pPr>
    <w:rPr>
      <w:color w:val="000000"/>
      <w:spacing w:val="0"/>
    </w:rPr>
  </w:style>
  <w:style w:type="paragraph" w:customStyle="1" w:styleId="IndentedParagraph">
    <w:name w:val="Indented Paragraph"/>
    <w:basedOn w:val="Normale"/>
    <w:rsid w:val="008F3A9F"/>
    <w:pPr>
      <w:spacing w:after="240" w:line="360" w:lineRule="exact"/>
      <w:ind w:left="1440"/>
      <w:jc w:val="both"/>
    </w:pPr>
    <w:rPr>
      <w:color w:val="000000"/>
      <w:spacing w:val="0"/>
    </w:rPr>
  </w:style>
  <w:style w:type="paragraph" w:customStyle="1" w:styleId="BasicParagraph">
    <w:name w:val="[Basic Paragraph]"/>
    <w:basedOn w:val="Normale"/>
    <w:rsid w:val="008F3A9F"/>
    <w:pPr>
      <w:widowControl w:val="0"/>
      <w:autoSpaceDE w:val="0"/>
      <w:autoSpaceDN w:val="0"/>
      <w:adjustRightInd w:val="0"/>
      <w:spacing w:line="288" w:lineRule="auto"/>
      <w:textAlignment w:val="center"/>
    </w:pPr>
    <w:rPr>
      <w:rFonts w:ascii="Times-Roman" w:hAnsi="Times-Roman" w:cs="Times-Roman"/>
      <w:color w:val="000000"/>
      <w:spacing w:val="0"/>
      <w:szCs w:val="24"/>
      <w:lang w:val="en-US" w:bidi="en-US"/>
    </w:rPr>
  </w:style>
  <w:style w:type="table" w:customStyle="1" w:styleId="TableGrid1">
    <w:name w:val="Table Grid1"/>
    <w:basedOn w:val="Tabellanormale"/>
    <w:next w:val="Grigliatabella"/>
    <w:rsid w:val="008F3A9F"/>
    <w:pPr>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Corpotesto"/>
    <w:rsid w:val="008F3A9F"/>
    <w:pPr>
      <w:keepNext/>
      <w:keepLines/>
      <w:spacing w:after="0"/>
      <w:jc w:val="both"/>
    </w:pPr>
    <w:rPr>
      <w:rFonts w:cs="ArialMT"/>
      <w:color w:val="000000"/>
      <w:lang w:val="en-US" w:bidi="en-US"/>
    </w:rPr>
  </w:style>
  <w:style w:type="paragraph" w:customStyle="1" w:styleId="Addressee">
    <w:name w:val="Addressee"/>
    <w:basedOn w:val="Corpotesto"/>
    <w:rsid w:val="008F3A9F"/>
    <w:pPr>
      <w:spacing w:before="227" w:after="340"/>
      <w:jc w:val="both"/>
    </w:pPr>
    <w:rPr>
      <w:rFonts w:cs="ArialMT"/>
      <w:color w:val="000000"/>
      <w:lang w:val="en-US" w:bidi="en-US"/>
    </w:rPr>
  </w:style>
  <w:style w:type="paragraph" w:customStyle="1" w:styleId="Titleofletter">
    <w:name w:val="Title of letter"/>
    <w:basedOn w:val="Corpotesto"/>
    <w:rsid w:val="008F3A9F"/>
    <w:pPr>
      <w:jc w:val="both"/>
    </w:pPr>
    <w:rPr>
      <w:rFonts w:cs="ArialMT"/>
      <w:b/>
      <w:color w:val="000000"/>
      <w:lang w:val="en-US" w:bidi="en-US"/>
    </w:rPr>
  </w:style>
  <w:style w:type="paragraph" w:customStyle="1" w:styleId="YoursSincerley">
    <w:name w:val="Yours Sincerley"/>
    <w:basedOn w:val="Corpotesto"/>
    <w:rsid w:val="008F3A9F"/>
    <w:pPr>
      <w:keepNext/>
      <w:keepLines/>
      <w:spacing w:after="901"/>
      <w:jc w:val="both"/>
    </w:pPr>
    <w:rPr>
      <w:rFonts w:cs="ArialMT"/>
      <w:color w:val="000000"/>
      <w:lang w:val="en-US" w:bidi="en-US"/>
    </w:rPr>
  </w:style>
  <w:style w:type="paragraph" w:customStyle="1" w:styleId="HeaderFooter">
    <w:name w:val="Header &amp; Footer"/>
    <w:basedOn w:val="Normale"/>
    <w:rsid w:val="008F3A9F"/>
    <w:pPr>
      <w:spacing w:line="200" w:lineRule="exact"/>
      <w:jc w:val="both"/>
    </w:pPr>
    <w:rPr>
      <w:rFonts w:cs="ArialMT"/>
      <w:color w:val="000000"/>
      <w:spacing w:val="0"/>
      <w:sz w:val="16"/>
      <w:szCs w:val="24"/>
    </w:rPr>
  </w:style>
  <w:style w:type="paragraph" w:customStyle="1" w:styleId="LogoType">
    <w:name w:val="Logo Type"/>
    <w:basedOn w:val="Intestazione"/>
    <w:rsid w:val="008F3A9F"/>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rPr>
  </w:style>
  <w:style w:type="paragraph" w:customStyle="1" w:styleId="OurRef">
    <w:name w:val="Our Ref:"/>
    <w:basedOn w:val="Corpotesto"/>
    <w:rsid w:val="008F3A9F"/>
    <w:pPr>
      <w:spacing w:after="193"/>
    </w:pPr>
    <w:rPr>
      <w:rFonts w:cs="ArialMT"/>
      <w:color w:val="000000"/>
      <w:lang w:val="en-US" w:bidi="en-US"/>
    </w:rPr>
  </w:style>
  <w:style w:type="paragraph" w:customStyle="1" w:styleId="StyleAddresseeAfter1135pt">
    <w:name w:val="Style Addressee + After:  11.35 pt"/>
    <w:basedOn w:val="Addressee"/>
    <w:rsid w:val="008F3A9F"/>
    <w:pPr>
      <w:spacing w:before="267" w:after="267"/>
    </w:pPr>
    <w:rPr>
      <w:rFonts w:cs="Times New Roman"/>
    </w:rPr>
  </w:style>
  <w:style w:type="paragraph" w:customStyle="1" w:styleId="DateInsert">
    <w:name w:val="Date Insert"/>
    <w:basedOn w:val="AddressBlock"/>
    <w:rsid w:val="008F3A9F"/>
    <w:pPr>
      <w:spacing w:after="227" w:line="320" w:lineRule="exact"/>
    </w:pPr>
  </w:style>
  <w:style w:type="paragraph" w:customStyle="1" w:styleId="NameInsert">
    <w:name w:val="Name Insert"/>
    <w:basedOn w:val="Corpotesto"/>
    <w:rsid w:val="008F3A9F"/>
    <w:pPr>
      <w:jc w:val="both"/>
    </w:pPr>
    <w:rPr>
      <w:color w:val="000000"/>
      <w:lang w:val="en-US" w:bidi="en-US"/>
    </w:rPr>
  </w:style>
  <w:style w:type="character" w:customStyle="1" w:styleId="black1">
    <w:name w:val="black1"/>
    <w:rsid w:val="008F3A9F"/>
    <w:rPr>
      <w:rFonts w:cs="Times New Roman"/>
      <w:color w:val="000000"/>
    </w:rPr>
  </w:style>
  <w:style w:type="numbering" w:customStyle="1" w:styleId="1111111">
    <w:name w:val="1 / 1.1 / 1.1.11"/>
    <w:basedOn w:val="Nessunelenco"/>
    <w:next w:val="111111"/>
    <w:rsid w:val="008F3A9F"/>
  </w:style>
  <w:style w:type="numbering" w:customStyle="1" w:styleId="1ai1">
    <w:name w:val="1 / a / i1"/>
    <w:basedOn w:val="Nessunelenco"/>
    <w:next w:val="1ai"/>
    <w:semiHidden/>
    <w:rsid w:val="008F3A9F"/>
  </w:style>
  <w:style w:type="numbering" w:customStyle="1" w:styleId="ArticleSection1">
    <w:name w:val="Article / Section1"/>
    <w:basedOn w:val="Nessunelenco"/>
    <w:next w:val="ArticoloSezione"/>
    <w:semiHidden/>
    <w:rsid w:val="008F3A9F"/>
  </w:style>
  <w:style w:type="paragraph" w:customStyle="1" w:styleId="Reply">
    <w:name w:val="Reply"/>
    <w:basedOn w:val="Normale"/>
    <w:semiHidden/>
    <w:rsid w:val="008F3A9F"/>
    <w:pPr>
      <w:spacing w:before="240" w:after="120" w:line="280" w:lineRule="exact"/>
    </w:pPr>
    <w:rPr>
      <w:color w:val="000000"/>
      <w:spacing w:val="0"/>
    </w:rPr>
  </w:style>
  <w:style w:type="paragraph" w:customStyle="1" w:styleId="ActHead5">
    <w:name w:val="ActHead 5"/>
    <w:aliases w:val="s"/>
    <w:basedOn w:val="Normale"/>
    <w:next w:val="Normale"/>
    <w:rsid w:val="008F3A9F"/>
    <w:pPr>
      <w:keepNext/>
      <w:keepLines/>
      <w:spacing w:before="280"/>
      <w:ind w:left="1134" w:hanging="1134"/>
      <w:outlineLvl w:val="4"/>
    </w:pPr>
    <w:rPr>
      <w:rFonts w:ascii="Times New Roman" w:hAnsi="Times New Roman"/>
      <w:b/>
      <w:bCs/>
      <w:spacing w:val="0"/>
      <w:kern w:val="28"/>
      <w:szCs w:val="24"/>
      <w:lang w:eastAsia="en-AU"/>
    </w:rPr>
  </w:style>
  <w:style w:type="character" w:customStyle="1" w:styleId="CharSectno">
    <w:name w:val="CharSectno"/>
    <w:basedOn w:val="Carpredefinitoparagrafo"/>
    <w:rsid w:val="008F3A9F"/>
    <w:rPr>
      <w:rFonts w:cs="Times New Roman"/>
    </w:rPr>
  </w:style>
  <w:style w:type="paragraph" w:styleId="Citazione">
    <w:name w:val="Quote"/>
    <w:basedOn w:val="Normale"/>
    <w:link w:val="CitazioneCarattere"/>
    <w:qFormat/>
    <w:rsid w:val="008F3A9F"/>
    <w:pPr>
      <w:spacing w:before="240" w:after="240"/>
      <w:ind w:left="1440"/>
    </w:pPr>
    <w:rPr>
      <w:spacing w:val="0"/>
      <w:sz w:val="22"/>
      <w:szCs w:val="22"/>
      <w:lang w:eastAsia="en-AU"/>
    </w:rPr>
  </w:style>
  <w:style w:type="character" w:customStyle="1" w:styleId="CitazioneCarattere">
    <w:name w:val="Citazione Carattere"/>
    <w:basedOn w:val="Carpredefinitoparagrafo"/>
    <w:link w:val="Citazione"/>
    <w:rsid w:val="008F3A9F"/>
    <w:rPr>
      <w:rFonts w:ascii="Arial" w:hAnsi="Arial"/>
      <w:sz w:val="22"/>
      <w:szCs w:val="22"/>
    </w:rPr>
  </w:style>
  <w:style w:type="paragraph" w:customStyle="1" w:styleId="r2">
    <w:name w:val="r2"/>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1">
    <w:name w:val="p1"/>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s1-text-column2">
    <w:name w:val="ps_1-text-column2"/>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s1-sub-subheading">
    <w:name w:val="ps_1-sub-subheading"/>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s1-dotpoint">
    <w:name w:val="ps_1-dotpoint"/>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sblackbullet64134">
    <w:name w:val="ps_blackbullet64134"/>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s0start134indent">
    <w:name w:val="ps_0start134indent"/>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sblack401414024140341etc">
    <w:name w:val="ps_black401414024140341etc"/>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Body">
    <w:name w:val="Body"/>
    <w:rsid w:val="008F3A9F"/>
    <w:pPr>
      <w:keepLines/>
      <w:spacing w:after="200" w:line="288" w:lineRule="auto"/>
    </w:pPr>
    <w:rPr>
      <w:rFonts w:ascii="Arial" w:eastAsia="ヒラギノ角ゴ Pro W3" w:hAnsi="Arial"/>
      <w:color w:val="000000"/>
      <w:sz w:val="24"/>
      <w:lang w:val="en-US"/>
    </w:rPr>
  </w:style>
  <w:style w:type="paragraph" w:customStyle="1" w:styleId="BodyBullet">
    <w:name w:val="Body Bullet"/>
    <w:rsid w:val="008F3A9F"/>
    <w:pPr>
      <w:spacing w:after="200"/>
    </w:pPr>
    <w:rPr>
      <w:rFonts w:ascii="Arial" w:eastAsia="ヒラギノ角ゴ Pro W3" w:hAnsi="Arial"/>
      <w:color w:val="000000"/>
      <w:sz w:val="24"/>
      <w:lang w:val="en-US"/>
    </w:rPr>
  </w:style>
  <w:style w:type="paragraph" w:customStyle="1" w:styleId="Default">
    <w:name w:val="Default"/>
    <w:rsid w:val="008F3A9F"/>
    <w:pPr>
      <w:autoSpaceDE w:val="0"/>
      <w:autoSpaceDN w:val="0"/>
      <w:adjustRightInd w:val="0"/>
    </w:pPr>
    <w:rPr>
      <w:rFonts w:ascii="Arial" w:hAnsi="Arial" w:cs="Arial"/>
      <w:color w:val="000000"/>
      <w:sz w:val="24"/>
      <w:szCs w:val="24"/>
    </w:rPr>
  </w:style>
  <w:style w:type="paragraph" w:customStyle="1" w:styleId="BodyListParagraph">
    <w:name w:val="Body List Paragraph"/>
    <w:basedOn w:val="Normale"/>
    <w:uiPriority w:val="99"/>
    <w:rsid w:val="008F3A9F"/>
    <w:pPr>
      <w:keepLines/>
      <w:widowControl w:val="0"/>
      <w:numPr>
        <w:numId w:val="32"/>
      </w:numPr>
      <w:suppressAutoHyphens/>
      <w:autoSpaceDE w:val="0"/>
      <w:autoSpaceDN w:val="0"/>
      <w:adjustRightInd w:val="0"/>
      <w:spacing w:after="113" w:line="288" w:lineRule="auto"/>
      <w:textAlignment w:val="center"/>
    </w:pPr>
    <w:rPr>
      <w:rFonts w:eastAsiaTheme="minorEastAsia" w:cs="HelveticaNeue"/>
      <w:color w:val="000000"/>
      <w:spacing w:val="0"/>
      <w:szCs w:val="17"/>
      <w:lang w:val="en-US" w:eastAsia="en-AU"/>
    </w:rPr>
  </w:style>
  <w:style w:type="paragraph" w:customStyle="1" w:styleId="NumberedParagraphs">
    <w:name w:val="Numbered Paragraphs"/>
    <w:rsid w:val="008F3A9F"/>
    <w:pPr>
      <w:keepLines/>
      <w:tabs>
        <w:tab w:val="left" w:pos="567"/>
      </w:tabs>
      <w:spacing w:after="200" w:line="288" w:lineRule="auto"/>
    </w:pPr>
    <w:rPr>
      <w:rFonts w:ascii="Arial" w:eastAsia="ヒラギノ角ゴ Pro W3" w:hAnsi="Arial"/>
      <w:color w:val="000000"/>
      <w:sz w:val="24"/>
      <w:lang w:val="en-US"/>
    </w:rPr>
  </w:style>
  <w:style w:type="numbering" w:customStyle="1" w:styleId="NumberedList">
    <w:name w:val="Numbered List"/>
    <w:rsid w:val="008F3A9F"/>
  </w:style>
  <w:style w:type="paragraph" w:customStyle="1" w:styleId="EndnoteText1">
    <w:name w:val="Endnote Text1"/>
    <w:rsid w:val="008F3A9F"/>
    <w:pPr>
      <w:keepLines/>
      <w:ind w:left="397" w:hanging="397"/>
    </w:pPr>
    <w:rPr>
      <w:rFonts w:ascii="Arial" w:eastAsia="ヒラギノ角ゴ Pro W3" w:hAnsi="Arial"/>
      <w:color w:val="000000"/>
      <w:lang w:val="en-US"/>
    </w:rPr>
  </w:style>
  <w:style w:type="paragraph" w:customStyle="1" w:styleId="Quote20mm">
    <w:name w:val="Quote (20mm)"/>
    <w:rsid w:val="008F3A9F"/>
    <w:pPr>
      <w:keepLines/>
      <w:spacing w:after="200" w:line="288" w:lineRule="auto"/>
      <w:ind w:left="1134"/>
    </w:pPr>
    <w:rPr>
      <w:rFonts w:ascii="Arial" w:eastAsia="ヒラギノ角ゴ Pro W3" w:hAnsi="Arial"/>
      <w:color w:val="000000"/>
      <w:sz w:val="22"/>
      <w:lang w:val="en-US"/>
    </w:rPr>
  </w:style>
  <w:style w:type="paragraph" w:customStyle="1" w:styleId="definition0">
    <w:name w:val="definition"/>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notetext">
    <w:name w:val="notetext"/>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subsectionhead">
    <w:name w:val="subsectionhead"/>
    <w:basedOn w:val="Normale"/>
    <w:rsid w:val="008F3A9F"/>
    <w:pPr>
      <w:spacing w:before="100" w:beforeAutospacing="1" w:after="100" w:afterAutospacing="1"/>
    </w:pPr>
    <w:rPr>
      <w:rFonts w:ascii="Times New Roman" w:hAnsi="Times New Roman"/>
      <w:spacing w:val="0"/>
      <w:szCs w:val="24"/>
      <w:lang w:eastAsia="en-AU"/>
    </w:rPr>
  </w:style>
  <w:style w:type="paragraph" w:styleId="Sommario7">
    <w:name w:val="toc 7"/>
    <w:basedOn w:val="Normale"/>
    <w:next w:val="Normale"/>
    <w:autoRedefine/>
    <w:uiPriority w:val="39"/>
    <w:unhideWhenUsed/>
    <w:locked/>
    <w:rsid w:val="008F3A9F"/>
    <w:pPr>
      <w:spacing w:after="100"/>
    </w:pPr>
  </w:style>
  <w:style w:type="paragraph" w:customStyle="1" w:styleId="CopyrightText">
    <w:name w:val="Copyright Text"/>
    <w:basedOn w:val="Normale"/>
    <w:uiPriority w:val="99"/>
    <w:rsid w:val="008008A9"/>
    <w:pPr>
      <w:keepLines/>
      <w:tabs>
        <w:tab w:val="left" w:pos="567"/>
      </w:tabs>
      <w:suppressAutoHyphens/>
      <w:autoSpaceDE w:val="0"/>
      <w:autoSpaceDN w:val="0"/>
      <w:adjustRightInd w:val="0"/>
      <w:spacing w:after="57" w:line="288" w:lineRule="auto"/>
      <w:textAlignment w:val="center"/>
    </w:pPr>
    <w:rPr>
      <w:rFonts w:ascii="HelveticaNeueLTPro-Cn" w:hAnsi="HelveticaNeueLTPro-Cn" w:cs="HelveticaNeueLTPro-Cn"/>
      <w:color w:val="000000"/>
      <w:spacing w:val="0"/>
      <w:sz w:val="16"/>
      <w:szCs w:val="16"/>
      <w:u w:color="000000"/>
      <w:lang w:eastAsia="en-AU"/>
    </w:rPr>
  </w:style>
  <w:style w:type="character" w:customStyle="1" w:styleId="Bold">
    <w:name w:val="Bold"/>
    <w:uiPriority w:val="99"/>
    <w:rsid w:val="008008A9"/>
    <w:rPr>
      <w:rFonts w:ascii="HelveticaNeueLTPro-Bd" w:hAnsi="HelveticaNeueLTPro-Bd" w:cs="HelveticaNeueLTPro-B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8.austlii.edu.au/cgi-bin/viewdoc/au/legis/cth/consol_act/ma1958118/s3b.html"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A4069-F071-C648-BF82-C2CF0BB8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7749</Words>
  <Characters>44172</Characters>
  <Application>Microsoft Office Word</Application>
  <DocSecurity>0</DocSecurity>
  <Lines>368</Lines>
  <Paragraphs>103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vt:lpstr>
      <vt:lpstr>1</vt:lpstr>
    </vt:vector>
  </TitlesOfParts>
  <Company>Australian Human Rights Commission</Company>
  <LinksUpToDate>false</LinksUpToDate>
  <CharactersWithSpaces>51818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Abi-Hanna</dc:creator>
  <cp:keywords/>
  <dc:description/>
  <cp:lastModifiedBy>Jo</cp:lastModifiedBy>
  <cp:revision>64</cp:revision>
  <dcterms:created xsi:type="dcterms:W3CDTF">2018-05-07T02:02:00Z</dcterms:created>
  <dcterms:modified xsi:type="dcterms:W3CDTF">2018-07-13T10:08:00Z</dcterms:modified>
</cp:coreProperties>
</file>