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CABF" w14:textId="5F2FBFB7" w:rsidR="00A355F9" w:rsidRDefault="00CA175B" w:rsidP="00233A98">
      <w:pPr>
        <w:pStyle w:val="MainTitle"/>
        <w:spacing w:after="0"/>
      </w:pPr>
      <w:r>
        <w:t xml:space="preserve">Review of </w:t>
      </w:r>
      <w:r w:rsidR="00233A98">
        <w:t xml:space="preserve">the </w:t>
      </w:r>
      <w:proofErr w:type="gramStart"/>
      <w:r w:rsidR="00233A98">
        <w:t>Counter-Terrorism</w:t>
      </w:r>
      <w:proofErr w:type="gramEnd"/>
      <w:r w:rsidR="00233A98">
        <w:t xml:space="preserve"> (Temporary Exclusion Orders) Act 2019 (</w:t>
      </w:r>
      <w:proofErr w:type="spellStart"/>
      <w:r w:rsidR="00233A98">
        <w:t>Cth</w:t>
      </w:r>
      <w:proofErr w:type="spellEnd"/>
      <w:r w:rsidR="00233A98">
        <w:t>)</w:t>
      </w:r>
    </w:p>
    <w:p w14:paraId="00D89034" w14:textId="77777777" w:rsidR="00233A98" w:rsidRDefault="00233A98" w:rsidP="00B81CC6">
      <w:pPr>
        <w:spacing w:before="0"/>
        <w:jc w:val="right"/>
        <w:rPr>
          <w:rFonts w:cs="Arial"/>
          <w:color w:val="237BBC"/>
          <w:sz w:val="28"/>
        </w:rPr>
      </w:pPr>
      <w:r>
        <w:rPr>
          <w:rFonts w:cs="Arial"/>
          <w:color w:val="237BBC"/>
          <w:sz w:val="28"/>
        </w:rPr>
        <w:t>Submission to the Parliamentary Joint Committee on Intelligence and Security</w:t>
      </w:r>
    </w:p>
    <w:p w14:paraId="35197C7A" w14:textId="2AB98261" w:rsidR="009E4BD0" w:rsidRPr="00AC636D" w:rsidRDefault="00122808" w:rsidP="00440EE6">
      <w:pPr>
        <w:jc w:val="right"/>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r>
        <w:rPr>
          <w:rFonts w:cs="Arial"/>
          <w:color w:val="237BBC"/>
          <w:sz w:val="28"/>
        </w:rPr>
        <w:t>3</w:t>
      </w:r>
      <w:r w:rsidR="005C2DD9">
        <w:rPr>
          <w:rFonts w:cs="Arial"/>
          <w:color w:val="237BBC"/>
          <w:sz w:val="28"/>
        </w:rPr>
        <w:t xml:space="preserve"> December</w:t>
      </w:r>
      <w:r w:rsidR="00233A98">
        <w:rPr>
          <w:rFonts w:cs="Arial"/>
          <w:color w:val="237BBC"/>
          <w:sz w:val="28"/>
        </w:rPr>
        <w:t xml:space="preserve"> 2021</w:t>
      </w:r>
    </w:p>
    <w:p w14:paraId="5CE35587" w14:textId="77777777" w:rsidR="00A25D23" w:rsidRDefault="000B5B68" w:rsidP="00C60343">
      <w:pPr>
        <w:pStyle w:val="TOC1"/>
      </w:pPr>
      <w:bookmarkStart w:id="0" w:name="_Toc209316062"/>
      <w:bookmarkEnd w:id="0"/>
      <w:r>
        <w:lastRenderedPageBreak/>
        <w:t>Contents</w:t>
      </w:r>
      <w:r w:rsidRPr="000465F1">
        <w:fldChar w:fldCharType="begin"/>
      </w:r>
      <w:r>
        <w:instrText xml:space="preserve"> TOC \o "1-3" \h \z \u </w:instrText>
      </w:r>
      <w:r w:rsidRPr="000465F1">
        <w:fldChar w:fldCharType="separate"/>
      </w:r>
    </w:p>
    <w:p w14:paraId="1854F117" w14:textId="0D782393" w:rsidR="00A25D23" w:rsidRDefault="00A25D23">
      <w:pPr>
        <w:pStyle w:val="TOC1"/>
        <w:rPr>
          <w:rFonts w:asciiTheme="minorHAnsi" w:eastAsiaTheme="minorEastAsia" w:hAnsiTheme="minorHAnsi" w:cstheme="minorBidi"/>
          <w:b w:val="0"/>
          <w:sz w:val="22"/>
          <w:szCs w:val="22"/>
        </w:rPr>
      </w:pPr>
      <w:hyperlink w:anchor="_Toc89418775" w:history="1">
        <w:r w:rsidRPr="00FD1F87">
          <w:rPr>
            <w:rStyle w:val="Hyperlink"/>
          </w:rPr>
          <w:t>1</w:t>
        </w:r>
        <w:r>
          <w:rPr>
            <w:rFonts w:asciiTheme="minorHAnsi" w:eastAsiaTheme="minorEastAsia" w:hAnsiTheme="minorHAnsi" w:cstheme="minorBidi"/>
            <w:b w:val="0"/>
            <w:sz w:val="22"/>
            <w:szCs w:val="22"/>
          </w:rPr>
          <w:tab/>
        </w:r>
        <w:r w:rsidRPr="00FD1F87">
          <w:rPr>
            <w:rStyle w:val="Hyperlink"/>
          </w:rPr>
          <w:t>Introduction</w:t>
        </w:r>
        <w:r>
          <w:rPr>
            <w:webHidden/>
          </w:rPr>
          <w:tab/>
        </w:r>
        <w:r>
          <w:rPr>
            <w:webHidden/>
          </w:rPr>
          <w:fldChar w:fldCharType="begin"/>
        </w:r>
        <w:r>
          <w:rPr>
            <w:webHidden/>
          </w:rPr>
          <w:instrText xml:space="preserve"> PAGEREF _Toc89418775 \h </w:instrText>
        </w:r>
        <w:r>
          <w:rPr>
            <w:webHidden/>
          </w:rPr>
        </w:r>
        <w:r>
          <w:rPr>
            <w:webHidden/>
          </w:rPr>
          <w:fldChar w:fldCharType="separate"/>
        </w:r>
        <w:r w:rsidR="00FE4AFB">
          <w:rPr>
            <w:webHidden/>
          </w:rPr>
          <w:t>3</w:t>
        </w:r>
        <w:r>
          <w:rPr>
            <w:webHidden/>
          </w:rPr>
          <w:fldChar w:fldCharType="end"/>
        </w:r>
      </w:hyperlink>
    </w:p>
    <w:p w14:paraId="0DB1B90E" w14:textId="127BDA96" w:rsidR="00A25D23" w:rsidRDefault="00A25D23">
      <w:pPr>
        <w:pStyle w:val="TOC1"/>
        <w:rPr>
          <w:rFonts w:asciiTheme="minorHAnsi" w:eastAsiaTheme="minorEastAsia" w:hAnsiTheme="minorHAnsi" w:cstheme="minorBidi"/>
          <w:b w:val="0"/>
          <w:sz w:val="22"/>
          <w:szCs w:val="22"/>
        </w:rPr>
      </w:pPr>
      <w:hyperlink w:anchor="_Toc89418776" w:history="1">
        <w:r w:rsidRPr="00FD1F87">
          <w:rPr>
            <w:rStyle w:val="Hyperlink"/>
          </w:rPr>
          <w:t>2</w:t>
        </w:r>
        <w:r>
          <w:rPr>
            <w:rFonts w:asciiTheme="minorHAnsi" w:eastAsiaTheme="minorEastAsia" w:hAnsiTheme="minorHAnsi" w:cstheme="minorBidi"/>
            <w:b w:val="0"/>
            <w:sz w:val="22"/>
            <w:szCs w:val="22"/>
          </w:rPr>
          <w:tab/>
        </w:r>
        <w:r w:rsidRPr="00FD1F87">
          <w:rPr>
            <w:rStyle w:val="Hyperlink"/>
          </w:rPr>
          <w:t>Summary</w:t>
        </w:r>
        <w:r>
          <w:rPr>
            <w:webHidden/>
          </w:rPr>
          <w:tab/>
        </w:r>
        <w:r>
          <w:rPr>
            <w:webHidden/>
          </w:rPr>
          <w:fldChar w:fldCharType="begin"/>
        </w:r>
        <w:r>
          <w:rPr>
            <w:webHidden/>
          </w:rPr>
          <w:instrText xml:space="preserve"> PAGEREF _Toc89418776 \h </w:instrText>
        </w:r>
        <w:r>
          <w:rPr>
            <w:webHidden/>
          </w:rPr>
        </w:r>
        <w:r>
          <w:rPr>
            <w:webHidden/>
          </w:rPr>
          <w:fldChar w:fldCharType="separate"/>
        </w:r>
        <w:r w:rsidR="00FE4AFB">
          <w:rPr>
            <w:webHidden/>
          </w:rPr>
          <w:t>3</w:t>
        </w:r>
        <w:r>
          <w:rPr>
            <w:webHidden/>
          </w:rPr>
          <w:fldChar w:fldCharType="end"/>
        </w:r>
      </w:hyperlink>
    </w:p>
    <w:p w14:paraId="7614FC50" w14:textId="49D75341" w:rsidR="00A25D23" w:rsidRDefault="00A25D23">
      <w:pPr>
        <w:pStyle w:val="TOC1"/>
        <w:rPr>
          <w:rFonts w:asciiTheme="minorHAnsi" w:eastAsiaTheme="minorEastAsia" w:hAnsiTheme="minorHAnsi" w:cstheme="minorBidi"/>
          <w:b w:val="0"/>
          <w:sz w:val="22"/>
          <w:szCs w:val="22"/>
        </w:rPr>
      </w:pPr>
      <w:hyperlink w:anchor="_Toc89418777" w:history="1">
        <w:r w:rsidRPr="00FD1F87">
          <w:rPr>
            <w:rStyle w:val="Hyperlink"/>
          </w:rPr>
          <w:t>3</w:t>
        </w:r>
        <w:r>
          <w:rPr>
            <w:rFonts w:asciiTheme="minorHAnsi" w:eastAsiaTheme="minorEastAsia" w:hAnsiTheme="minorHAnsi" w:cstheme="minorBidi"/>
            <w:b w:val="0"/>
            <w:sz w:val="22"/>
            <w:szCs w:val="22"/>
          </w:rPr>
          <w:tab/>
        </w:r>
        <w:r w:rsidRPr="00FD1F87">
          <w:rPr>
            <w:rStyle w:val="Hyperlink"/>
          </w:rPr>
          <w:t>Recommendations</w:t>
        </w:r>
        <w:r>
          <w:rPr>
            <w:webHidden/>
          </w:rPr>
          <w:tab/>
        </w:r>
        <w:r>
          <w:rPr>
            <w:webHidden/>
          </w:rPr>
          <w:fldChar w:fldCharType="begin"/>
        </w:r>
        <w:r>
          <w:rPr>
            <w:webHidden/>
          </w:rPr>
          <w:instrText xml:space="preserve"> PAGEREF _Toc89418777 \h </w:instrText>
        </w:r>
        <w:r>
          <w:rPr>
            <w:webHidden/>
          </w:rPr>
        </w:r>
        <w:r>
          <w:rPr>
            <w:webHidden/>
          </w:rPr>
          <w:fldChar w:fldCharType="separate"/>
        </w:r>
        <w:r w:rsidR="00FE4AFB">
          <w:rPr>
            <w:webHidden/>
          </w:rPr>
          <w:t>5</w:t>
        </w:r>
        <w:r>
          <w:rPr>
            <w:webHidden/>
          </w:rPr>
          <w:fldChar w:fldCharType="end"/>
        </w:r>
      </w:hyperlink>
    </w:p>
    <w:p w14:paraId="1E208C0A" w14:textId="2E89BD7E" w:rsidR="00A25D23" w:rsidRDefault="00A25D23">
      <w:pPr>
        <w:pStyle w:val="TOC1"/>
        <w:rPr>
          <w:rFonts w:asciiTheme="minorHAnsi" w:eastAsiaTheme="minorEastAsia" w:hAnsiTheme="minorHAnsi" w:cstheme="minorBidi"/>
          <w:b w:val="0"/>
          <w:sz w:val="22"/>
          <w:szCs w:val="22"/>
        </w:rPr>
      </w:pPr>
      <w:hyperlink w:anchor="_Toc89418778" w:history="1">
        <w:r w:rsidRPr="00FD1F87">
          <w:rPr>
            <w:rStyle w:val="Hyperlink"/>
          </w:rPr>
          <w:t>4</w:t>
        </w:r>
        <w:r>
          <w:rPr>
            <w:rFonts w:asciiTheme="minorHAnsi" w:eastAsiaTheme="minorEastAsia" w:hAnsiTheme="minorHAnsi" w:cstheme="minorBidi"/>
            <w:b w:val="0"/>
            <w:sz w:val="22"/>
            <w:szCs w:val="22"/>
          </w:rPr>
          <w:tab/>
        </w:r>
        <w:r w:rsidRPr="00FD1F87">
          <w:rPr>
            <w:rStyle w:val="Hyperlink"/>
          </w:rPr>
          <w:t>The TEO Act</w:t>
        </w:r>
        <w:r>
          <w:rPr>
            <w:webHidden/>
          </w:rPr>
          <w:tab/>
        </w:r>
        <w:r>
          <w:rPr>
            <w:webHidden/>
          </w:rPr>
          <w:fldChar w:fldCharType="begin"/>
        </w:r>
        <w:r>
          <w:rPr>
            <w:webHidden/>
          </w:rPr>
          <w:instrText xml:space="preserve"> PAGEREF _Toc89418778 \h </w:instrText>
        </w:r>
        <w:r>
          <w:rPr>
            <w:webHidden/>
          </w:rPr>
        </w:r>
        <w:r>
          <w:rPr>
            <w:webHidden/>
          </w:rPr>
          <w:fldChar w:fldCharType="separate"/>
        </w:r>
        <w:r w:rsidR="00FE4AFB">
          <w:rPr>
            <w:webHidden/>
          </w:rPr>
          <w:t>7</w:t>
        </w:r>
        <w:r>
          <w:rPr>
            <w:webHidden/>
          </w:rPr>
          <w:fldChar w:fldCharType="end"/>
        </w:r>
      </w:hyperlink>
    </w:p>
    <w:p w14:paraId="61A92297" w14:textId="66053045" w:rsidR="00A25D23" w:rsidRDefault="00A25D23">
      <w:pPr>
        <w:pStyle w:val="TOC1"/>
        <w:rPr>
          <w:rFonts w:asciiTheme="minorHAnsi" w:eastAsiaTheme="minorEastAsia" w:hAnsiTheme="minorHAnsi" w:cstheme="minorBidi"/>
          <w:b w:val="0"/>
          <w:sz w:val="22"/>
          <w:szCs w:val="22"/>
        </w:rPr>
      </w:pPr>
      <w:hyperlink w:anchor="_Toc89418779" w:history="1">
        <w:r w:rsidRPr="00FD1F87">
          <w:rPr>
            <w:rStyle w:val="Hyperlink"/>
          </w:rPr>
          <w:t>5</w:t>
        </w:r>
        <w:r>
          <w:rPr>
            <w:rFonts w:asciiTheme="minorHAnsi" w:eastAsiaTheme="minorEastAsia" w:hAnsiTheme="minorHAnsi" w:cstheme="minorBidi"/>
            <w:b w:val="0"/>
            <w:sz w:val="22"/>
            <w:szCs w:val="22"/>
          </w:rPr>
          <w:tab/>
        </w:r>
        <w:r w:rsidRPr="00FD1F87">
          <w:rPr>
            <w:rStyle w:val="Hyperlink"/>
          </w:rPr>
          <w:t>Use of temporary exclusion orders</w:t>
        </w:r>
        <w:r>
          <w:rPr>
            <w:webHidden/>
          </w:rPr>
          <w:tab/>
        </w:r>
        <w:r>
          <w:rPr>
            <w:webHidden/>
          </w:rPr>
          <w:fldChar w:fldCharType="begin"/>
        </w:r>
        <w:r>
          <w:rPr>
            <w:webHidden/>
          </w:rPr>
          <w:instrText xml:space="preserve"> PAGEREF _Toc89418779 \h </w:instrText>
        </w:r>
        <w:r>
          <w:rPr>
            <w:webHidden/>
          </w:rPr>
        </w:r>
        <w:r>
          <w:rPr>
            <w:webHidden/>
          </w:rPr>
          <w:fldChar w:fldCharType="separate"/>
        </w:r>
        <w:r w:rsidR="00FE4AFB">
          <w:rPr>
            <w:webHidden/>
          </w:rPr>
          <w:t>8</w:t>
        </w:r>
        <w:r>
          <w:rPr>
            <w:webHidden/>
          </w:rPr>
          <w:fldChar w:fldCharType="end"/>
        </w:r>
      </w:hyperlink>
    </w:p>
    <w:p w14:paraId="30A0D538" w14:textId="254C92C7" w:rsidR="00A25D23" w:rsidRDefault="00A25D23">
      <w:pPr>
        <w:pStyle w:val="TOC1"/>
        <w:rPr>
          <w:rFonts w:asciiTheme="minorHAnsi" w:eastAsiaTheme="minorEastAsia" w:hAnsiTheme="minorHAnsi" w:cstheme="minorBidi"/>
          <w:b w:val="0"/>
          <w:sz w:val="22"/>
          <w:szCs w:val="22"/>
        </w:rPr>
      </w:pPr>
      <w:hyperlink w:anchor="_Toc89418780" w:history="1">
        <w:r w:rsidRPr="00FD1F87">
          <w:rPr>
            <w:rStyle w:val="Hyperlink"/>
          </w:rPr>
          <w:t>6</w:t>
        </w:r>
        <w:r>
          <w:rPr>
            <w:rFonts w:asciiTheme="minorHAnsi" w:eastAsiaTheme="minorEastAsia" w:hAnsiTheme="minorHAnsi" w:cstheme="minorBidi"/>
            <w:b w:val="0"/>
            <w:sz w:val="22"/>
            <w:szCs w:val="22"/>
          </w:rPr>
          <w:tab/>
        </w:r>
        <w:r w:rsidRPr="00FD1F87">
          <w:rPr>
            <w:rStyle w:val="Hyperlink"/>
          </w:rPr>
          <w:t>Primary position: repeal</w:t>
        </w:r>
        <w:r>
          <w:rPr>
            <w:webHidden/>
          </w:rPr>
          <w:tab/>
        </w:r>
        <w:r>
          <w:rPr>
            <w:webHidden/>
          </w:rPr>
          <w:fldChar w:fldCharType="begin"/>
        </w:r>
        <w:r>
          <w:rPr>
            <w:webHidden/>
          </w:rPr>
          <w:instrText xml:space="preserve"> PAGEREF _Toc89418780 \h </w:instrText>
        </w:r>
        <w:r>
          <w:rPr>
            <w:webHidden/>
          </w:rPr>
        </w:r>
        <w:r>
          <w:rPr>
            <w:webHidden/>
          </w:rPr>
          <w:fldChar w:fldCharType="separate"/>
        </w:r>
        <w:r w:rsidR="00FE4AFB">
          <w:rPr>
            <w:webHidden/>
          </w:rPr>
          <w:t>10</w:t>
        </w:r>
        <w:r>
          <w:rPr>
            <w:webHidden/>
          </w:rPr>
          <w:fldChar w:fldCharType="end"/>
        </w:r>
      </w:hyperlink>
    </w:p>
    <w:p w14:paraId="2520A16F" w14:textId="0CB59707" w:rsidR="00A25D23" w:rsidRDefault="00A25D23">
      <w:pPr>
        <w:pStyle w:val="TOC1"/>
        <w:rPr>
          <w:rFonts w:asciiTheme="minorHAnsi" w:eastAsiaTheme="minorEastAsia" w:hAnsiTheme="minorHAnsi" w:cstheme="minorBidi"/>
          <w:b w:val="0"/>
          <w:sz w:val="22"/>
          <w:szCs w:val="22"/>
        </w:rPr>
      </w:pPr>
      <w:hyperlink w:anchor="_Toc89418781" w:history="1">
        <w:r w:rsidRPr="00FD1F87">
          <w:rPr>
            <w:rStyle w:val="Hyperlink"/>
          </w:rPr>
          <w:t>7</w:t>
        </w:r>
        <w:r>
          <w:rPr>
            <w:rFonts w:asciiTheme="minorHAnsi" w:eastAsiaTheme="minorEastAsia" w:hAnsiTheme="minorHAnsi" w:cstheme="minorBidi"/>
            <w:b w:val="0"/>
            <w:sz w:val="22"/>
            <w:szCs w:val="22"/>
          </w:rPr>
          <w:tab/>
        </w:r>
        <w:r w:rsidRPr="00FD1F87">
          <w:rPr>
            <w:rStyle w:val="Hyperlink"/>
          </w:rPr>
          <w:t>Alternative position: proposed amendments</w:t>
        </w:r>
        <w:r>
          <w:rPr>
            <w:webHidden/>
          </w:rPr>
          <w:tab/>
        </w:r>
        <w:r>
          <w:rPr>
            <w:webHidden/>
          </w:rPr>
          <w:fldChar w:fldCharType="begin"/>
        </w:r>
        <w:r>
          <w:rPr>
            <w:webHidden/>
          </w:rPr>
          <w:instrText xml:space="preserve"> PAGEREF _Toc89418781 \h </w:instrText>
        </w:r>
        <w:r>
          <w:rPr>
            <w:webHidden/>
          </w:rPr>
        </w:r>
        <w:r>
          <w:rPr>
            <w:webHidden/>
          </w:rPr>
          <w:fldChar w:fldCharType="separate"/>
        </w:r>
        <w:r w:rsidR="00FE4AFB">
          <w:rPr>
            <w:webHidden/>
          </w:rPr>
          <w:t>12</w:t>
        </w:r>
        <w:r>
          <w:rPr>
            <w:webHidden/>
          </w:rPr>
          <w:fldChar w:fldCharType="end"/>
        </w:r>
      </w:hyperlink>
    </w:p>
    <w:p w14:paraId="6FDDDBDD" w14:textId="303002BF" w:rsidR="00A25D23" w:rsidRDefault="00A25D23">
      <w:pPr>
        <w:pStyle w:val="TOC2"/>
        <w:rPr>
          <w:rFonts w:asciiTheme="minorHAnsi" w:eastAsiaTheme="minorEastAsia" w:hAnsiTheme="minorHAnsi" w:cstheme="minorBidi"/>
          <w:b w:val="0"/>
          <w:i w:val="0"/>
          <w:sz w:val="22"/>
          <w:szCs w:val="22"/>
        </w:rPr>
      </w:pPr>
      <w:hyperlink w:anchor="_Toc89418782" w:history="1">
        <w:r w:rsidRPr="00FD1F87">
          <w:rPr>
            <w:rStyle w:val="Hyperlink"/>
          </w:rPr>
          <w:t>7.1</w:t>
        </w:r>
        <w:r>
          <w:rPr>
            <w:rFonts w:asciiTheme="minorHAnsi" w:eastAsiaTheme="minorEastAsia" w:hAnsiTheme="minorHAnsi" w:cstheme="minorBidi"/>
            <w:b w:val="0"/>
            <w:i w:val="0"/>
            <w:sz w:val="22"/>
            <w:szCs w:val="22"/>
          </w:rPr>
          <w:tab/>
        </w:r>
        <w:r w:rsidRPr="00FD1F87">
          <w:rPr>
            <w:rStyle w:val="Hyperlink"/>
          </w:rPr>
          <w:t>Threshold for issuing a temporary exclusion order</w:t>
        </w:r>
        <w:r>
          <w:rPr>
            <w:webHidden/>
          </w:rPr>
          <w:tab/>
        </w:r>
        <w:r>
          <w:rPr>
            <w:webHidden/>
          </w:rPr>
          <w:fldChar w:fldCharType="begin"/>
        </w:r>
        <w:r>
          <w:rPr>
            <w:webHidden/>
          </w:rPr>
          <w:instrText xml:space="preserve"> PAGEREF _Toc89418782 \h </w:instrText>
        </w:r>
        <w:r>
          <w:rPr>
            <w:webHidden/>
          </w:rPr>
        </w:r>
        <w:r>
          <w:rPr>
            <w:webHidden/>
          </w:rPr>
          <w:fldChar w:fldCharType="separate"/>
        </w:r>
        <w:r w:rsidR="00FE4AFB">
          <w:rPr>
            <w:webHidden/>
          </w:rPr>
          <w:t>12</w:t>
        </w:r>
        <w:r>
          <w:rPr>
            <w:webHidden/>
          </w:rPr>
          <w:fldChar w:fldCharType="end"/>
        </w:r>
      </w:hyperlink>
    </w:p>
    <w:p w14:paraId="2D48A47F" w14:textId="62263955" w:rsidR="00A25D23" w:rsidRDefault="00A25D23">
      <w:pPr>
        <w:pStyle w:val="TOC2"/>
        <w:rPr>
          <w:rFonts w:asciiTheme="minorHAnsi" w:eastAsiaTheme="minorEastAsia" w:hAnsiTheme="minorHAnsi" w:cstheme="minorBidi"/>
          <w:b w:val="0"/>
          <w:i w:val="0"/>
          <w:sz w:val="22"/>
          <w:szCs w:val="22"/>
        </w:rPr>
      </w:pPr>
      <w:hyperlink w:anchor="_Toc89418783" w:history="1">
        <w:r w:rsidRPr="00FD1F87">
          <w:rPr>
            <w:rStyle w:val="Hyperlink"/>
          </w:rPr>
          <w:t>7.2</w:t>
        </w:r>
        <w:r>
          <w:rPr>
            <w:rFonts w:asciiTheme="minorHAnsi" w:eastAsiaTheme="minorEastAsia" w:hAnsiTheme="minorHAnsi" w:cstheme="minorBidi"/>
            <w:b w:val="0"/>
            <w:i w:val="0"/>
            <w:sz w:val="22"/>
            <w:szCs w:val="22"/>
          </w:rPr>
          <w:tab/>
        </w:r>
        <w:r w:rsidRPr="00FD1F87">
          <w:rPr>
            <w:rStyle w:val="Hyperlink"/>
          </w:rPr>
          <w:t>Fair, independent decision making</w:t>
        </w:r>
        <w:r>
          <w:rPr>
            <w:webHidden/>
          </w:rPr>
          <w:tab/>
        </w:r>
        <w:r>
          <w:rPr>
            <w:webHidden/>
          </w:rPr>
          <w:fldChar w:fldCharType="begin"/>
        </w:r>
        <w:r>
          <w:rPr>
            <w:webHidden/>
          </w:rPr>
          <w:instrText xml:space="preserve"> PAGEREF _Toc89418783 \h </w:instrText>
        </w:r>
        <w:r>
          <w:rPr>
            <w:webHidden/>
          </w:rPr>
        </w:r>
        <w:r>
          <w:rPr>
            <w:webHidden/>
          </w:rPr>
          <w:fldChar w:fldCharType="separate"/>
        </w:r>
        <w:r w:rsidR="00FE4AFB">
          <w:rPr>
            <w:webHidden/>
          </w:rPr>
          <w:t>16</w:t>
        </w:r>
        <w:r>
          <w:rPr>
            <w:webHidden/>
          </w:rPr>
          <w:fldChar w:fldCharType="end"/>
        </w:r>
      </w:hyperlink>
    </w:p>
    <w:p w14:paraId="56DB75AD" w14:textId="11CC411E" w:rsidR="00A25D23" w:rsidRDefault="00A25D23">
      <w:pPr>
        <w:pStyle w:val="TOC2"/>
        <w:rPr>
          <w:rFonts w:asciiTheme="minorHAnsi" w:eastAsiaTheme="minorEastAsia" w:hAnsiTheme="minorHAnsi" w:cstheme="minorBidi"/>
          <w:b w:val="0"/>
          <w:i w:val="0"/>
          <w:sz w:val="22"/>
          <w:szCs w:val="22"/>
        </w:rPr>
      </w:pPr>
      <w:hyperlink w:anchor="_Toc89418784" w:history="1">
        <w:r w:rsidRPr="00FD1F87">
          <w:rPr>
            <w:rStyle w:val="Hyperlink"/>
          </w:rPr>
          <w:t>7.3</w:t>
        </w:r>
        <w:r>
          <w:rPr>
            <w:rFonts w:asciiTheme="minorHAnsi" w:eastAsiaTheme="minorEastAsia" w:hAnsiTheme="minorHAnsi" w:cstheme="minorBidi"/>
            <w:b w:val="0"/>
            <w:i w:val="0"/>
            <w:sz w:val="22"/>
            <w:szCs w:val="22"/>
          </w:rPr>
          <w:tab/>
        </w:r>
        <w:r w:rsidRPr="00FD1F87">
          <w:rPr>
            <w:rStyle w:val="Hyperlink"/>
          </w:rPr>
          <w:t>Information about grounds and review rights</w:t>
        </w:r>
        <w:r>
          <w:rPr>
            <w:webHidden/>
          </w:rPr>
          <w:tab/>
        </w:r>
        <w:r>
          <w:rPr>
            <w:webHidden/>
          </w:rPr>
          <w:fldChar w:fldCharType="begin"/>
        </w:r>
        <w:r>
          <w:rPr>
            <w:webHidden/>
          </w:rPr>
          <w:instrText xml:space="preserve"> PAGEREF _Toc89418784 \h </w:instrText>
        </w:r>
        <w:r>
          <w:rPr>
            <w:webHidden/>
          </w:rPr>
        </w:r>
        <w:r>
          <w:rPr>
            <w:webHidden/>
          </w:rPr>
          <w:fldChar w:fldCharType="separate"/>
        </w:r>
        <w:r w:rsidR="00FE4AFB">
          <w:rPr>
            <w:webHidden/>
          </w:rPr>
          <w:t>20</w:t>
        </w:r>
        <w:r>
          <w:rPr>
            <w:webHidden/>
          </w:rPr>
          <w:fldChar w:fldCharType="end"/>
        </w:r>
      </w:hyperlink>
    </w:p>
    <w:p w14:paraId="3C3E4A03" w14:textId="4483CC21" w:rsidR="00A25D23" w:rsidRDefault="00A25D23">
      <w:pPr>
        <w:pStyle w:val="TOC2"/>
        <w:rPr>
          <w:rFonts w:asciiTheme="minorHAnsi" w:eastAsiaTheme="minorEastAsia" w:hAnsiTheme="minorHAnsi" w:cstheme="minorBidi"/>
          <w:b w:val="0"/>
          <w:i w:val="0"/>
          <w:sz w:val="22"/>
          <w:szCs w:val="22"/>
        </w:rPr>
      </w:pPr>
      <w:hyperlink w:anchor="_Toc89418785" w:history="1">
        <w:r w:rsidRPr="00FD1F87">
          <w:rPr>
            <w:rStyle w:val="Hyperlink"/>
          </w:rPr>
          <w:t>7.4</w:t>
        </w:r>
        <w:r>
          <w:rPr>
            <w:rFonts w:asciiTheme="minorHAnsi" w:eastAsiaTheme="minorEastAsia" w:hAnsiTheme="minorHAnsi" w:cstheme="minorBidi"/>
            <w:b w:val="0"/>
            <w:i w:val="0"/>
            <w:sz w:val="22"/>
            <w:szCs w:val="22"/>
          </w:rPr>
          <w:tab/>
        </w:r>
        <w:r w:rsidRPr="00FD1F87">
          <w:rPr>
            <w:rStyle w:val="Hyperlink"/>
          </w:rPr>
          <w:t>Rights of children</w:t>
        </w:r>
        <w:r>
          <w:rPr>
            <w:webHidden/>
          </w:rPr>
          <w:tab/>
        </w:r>
        <w:r>
          <w:rPr>
            <w:webHidden/>
          </w:rPr>
          <w:fldChar w:fldCharType="begin"/>
        </w:r>
        <w:r>
          <w:rPr>
            <w:webHidden/>
          </w:rPr>
          <w:instrText xml:space="preserve"> PAGEREF _Toc89418785 \h </w:instrText>
        </w:r>
        <w:r>
          <w:rPr>
            <w:webHidden/>
          </w:rPr>
        </w:r>
        <w:r>
          <w:rPr>
            <w:webHidden/>
          </w:rPr>
          <w:fldChar w:fldCharType="separate"/>
        </w:r>
        <w:r w:rsidR="00FE4AFB">
          <w:rPr>
            <w:webHidden/>
          </w:rPr>
          <w:t>21</w:t>
        </w:r>
        <w:r>
          <w:rPr>
            <w:webHidden/>
          </w:rPr>
          <w:fldChar w:fldCharType="end"/>
        </w:r>
      </w:hyperlink>
    </w:p>
    <w:p w14:paraId="3CAA189A" w14:textId="6318B376" w:rsidR="00A25D23" w:rsidRDefault="00A25D23">
      <w:pPr>
        <w:pStyle w:val="TOC2"/>
        <w:rPr>
          <w:rFonts w:asciiTheme="minorHAnsi" w:eastAsiaTheme="minorEastAsia" w:hAnsiTheme="minorHAnsi" w:cstheme="minorBidi"/>
          <w:b w:val="0"/>
          <w:i w:val="0"/>
          <w:sz w:val="22"/>
          <w:szCs w:val="22"/>
        </w:rPr>
      </w:pPr>
      <w:hyperlink w:anchor="_Toc89418786" w:history="1">
        <w:r w:rsidRPr="00FD1F87">
          <w:rPr>
            <w:rStyle w:val="Hyperlink"/>
          </w:rPr>
          <w:t>7.5</w:t>
        </w:r>
        <w:r>
          <w:rPr>
            <w:rFonts w:asciiTheme="minorHAnsi" w:eastAsiaTheme="minorEastAsia" w:hAnsiTheme="minorHAnsi" w:cstheme="minorBidi"/>
            <w:b w:val="0"/>
            <w:i w:val="0"/>
            <w:sz w:val="22"/>
            <w:szCs w:val="22"/>
          </w:rPr>
          <w:tab/>
        </w:r>
        <w:r w:rsidRPr="00FD1F87">
          <w:rPr>
            <w:rStyle w:val="Hyperlink"/>
          </w:rPr>
          <w:t>Mental element for offences: actual knowledge</w:t>
        </w:r>
        <w:r>
          <w:rPr>
            <w:webHidden/>
          </w:rPr>
          <w:tab/>
        </w:r>
        <w:r>
          <w:rPr>
            <w:webHidden/>
          </w:rPr>
          <w:fldChar w:fldCharType="begin"/>
        </w:r>
        <w:r>
          <w:rPr>
            <w:webHidden/>
          </w:rPr>
          <w:instrText xml:space="preserve"> PAGEREF _Toc89418786 \h </w:instrText>
        </w:r>
        <w:r>
          <w:rPr>
            <w:webHidden/>
          </w:rPr>
        </w:r>
        <w:r>
          <w:rPr>
            <w:webHidden/>
          </w:rPr>
          <w:fldChar w:fldCharType="separate"/>
        </w:r>
        <w:r w:rsidR="00FE4AFB">
          <w:rPr>
            <w:webHidden/>
          </w:rPr>
          <w:t>22</w:t>
        </w:r>
        <w:r>
          <w:rPr>
            <w:webHidden/>
          </w:rPr>
          <w:fldChar w:fldCharType="end"/>
        </w:r>
      </w:hyperlink>
    </w:p>
    <w:p w14:paraId="3183A56E" w14:textId="2E621D84" w:rsidR="005C2DD9" w:rsidRDefault="000B5B68" w:rsidP="005C2DD9">
      <w:pPr>
        <w:pStyle w:val="Heading1"/>
        <w:numPr>
          <w:ilvl w:val="0"/>
          <w:numId w:val="0"/>
        </w:numPr>
        <w:ind w:left="851" w:hanging="851"/>
        <w:rPr>
          <w:b w:val="0"/>
          <w:bCs w:val="0"/>
        </w:rPr>
      </w:pPr>
      <w:r w:rsidRPr="000465F1">
        <w:fldChar w:fldCharType="end"/>
      </w:r>
      <w:bookmarkStart w:id="1" w:name="_Toc207761830"/>
      <w:bookmarkStart w:id="2" w:name="_Toc209578266"/>
      <w:bookmarkStart w:id="3" w:name="_Toc209941766"/>
      <w:r w:rsidR="005C2DD9">
        <w:br w:type="page"/>
      </w:r>
    </w:p>
    <w:p w14:paraId="7B7BD4D0" w14:textId="6C5FC7DF" w:rsidR="003724A9" w:rsidRDefault="007E40B3" w:rsidP="00A27ABE">
      <w:pPr>
        <w:pStyle w:val="Heading1"/>
      </w:pPr>
      <w:bookmarkStart w:id="4" w:name="_Toc89418775"/>
      <w:r>
        <w:lastRenderedPageBreak/>
        <w:t>Introduction</w:t>
      </w:r>
      <w:bookmarkEnd w:id="4"/>
    </w:p>
    <w:p w14:paraId="0C92FDAF" w14:textId="06B8D55A" w:rsidR="007E40B3" w:rsidRDefault="00AA3B06" w:rsidP="007E40B3">
      <w:pPr>
        <w:pStyle w:val="ListNumber"/>
        <w:tabs>
          <w:tab w:val="clear" w:pos="360"/>
        </w:tabs>
        <w:ind w:left="1094" w:hanging="737"/>
        <w:contextualSpacing w:val="0"/>
      </w:pPr>
      <w:r>
        <w:t xml:space="preserve">The Australian Human Rights Commission makes this </w:t>
      </w:r>
      <w:r w:rsidR="00042553">
        <w:t xml:space="preserve">submission to the Parliamentary Joint Committee on Intelligence and Security </w:t>
      </w:r>
      <w:r w:rsidR="00EE1722">
        <w:t xml:space="preserve">(PJCIS) </w:t>
      </w:r>
      <w:r w:rsidR="00042553">
        <w:t xml:space="preserve">in relation to its </w:t>
      </w:r>
      <w:r w:rsidR="0056205D">
        <w:t xml:space="preserve">statutory </w:t>
      </w:r>
      <w:r w:rsidR="00042553">
        <w:t>review of the</w:t>
      </w:r>
      <w:r w:rsidR="008F18D5">
        <w:t xml:space="preserve"> operation, effectiveness and implications of the</w:t>
      </w:r>
      <w:r w:rsidR="00042553">
        <w:t xml:space="preserve"> </w:t>
      </w:r>
      <w:proofErr w:type="gramStart"/>
      <w:r w:rsidR="00042553" w:rsidRPr="0056205D">
        <w:rPr>
          <w:i/>
          <w:iCs/>
        </w:rPr>
        <w:t>Counter</w:t>
      </w:r>
      <w:r w:rsidR="0056205D" w:rsidRPr="0056205D">
        <w:rPr>
          <w:i/>
          <w:iCs/>
        </w:rPr>
        <w:t>-Terrorism</w:t>
      </w:r>
      <w:proofErr w:type="gramEnd"/>
      <w:r w:rsidR="0056205D" w:rsidRPr="0056205D">
        <w:rPr>
          <w:i/>
          <w:iCs/>
        </w:rPr>
        <w:t xml:space="preserve"> (Temporary Exclusion Orders) Act 2019</w:t>
      </w:r>
      <w:r w:rsidR="0056205D">
        <w:t xml:space="preserve"> (</w:t>
      </w:r>
      <w:proofErr w:type="spellStart"/>
      <w:r w:rsidR="0056205D">
        <w:t>Cth</w:t>
      </w:r>
      <w:proofErr w:type="spellEnd"/>
      <w:r w:rsidR="0056205D">
        <w:t xml:space="preserve">) </w:t>
      </w:r>
      <w:r w:rsidR="00E95B97">
        <w:t>(TEO Act)</w:t>
      </w:r>
      <w:r w:rsidR="003A241D">
        <w:t>,</w:t>
      </w:r>
      <w:r w:rsidR="00E95B97">
        <w:t xml:space="preserve"> </w:t>
      </w:r>
      <w:r w:rsidR="003A241D">
        <w:t xml:space="preserve">as </w:t>
      </w:r>
      <w:r w:rsidR="00B13708">
        <w:t>required by s 29</w:t>
      </w:r>
      <w:r w:rsidR="005239F4">
        <w:t>(1)</w:t>
      </w:r>
      <w:r w:rsidR="00B13708">
        <w:t xml:space="preserve">(cc) of the </w:t>
      </w:r>
      <w:r w:rsidR="00B13708" w:rsidRPr="00B13708">
        <w:rPr>
          <w:i/>
          <w:iCs/>
        </w:rPr>
        <w:t>Intelligence Services Act 2001</w:t>
      </w:r>
      <w:r w:rsidR="00B13708">
        <w:t xml:space="preserve"> (</w:t>
      </w:r>
      <w:proofErr w:type="spellStart"/>
      <w:r w:rsidR="00B13708">
        <w:t>Cth</w:t>
      </w:r>
      <w:proofErr w:type="spellEnd"/>
      <w:r w:rsidR="00B13708">
        <w:t xml:space="preserve">). </w:t>
      </w:r>
    </w:p>
    <w:p w14:paraId="47EABF7F" w14:textId="70CB563A" w:rsidR="00B13708" w:rsidRPr="007E40B3" w:rsidRDefault="00A60091" w:rsidP="007E40B3">
      <w:pPr>
        <w:pStyle w:val="ListNumber"/>
        <w:tabs>
          <w:tab w:val="clear" w:pos="360"/>
        </w:tabs>
        <w:ind w:left="1094" w:hanging="737"/>
      </w:pPr>
      <w:r>
        <w:t>In 2019, t</w:t>
      </w:r>
      <w:r w:rsidR="00E95B97">
        <w:t xml:space="preserve">he Commission made a submission to the </w:t>
      </w:r>
      <w:r w:rsidR="00CF5D6E">
        <w:t xml:space="preserve">PJCIS in relation to its inquiry </w:t>
      </w:r>
      <w:r>
        <w:t xml:space="preserve">into the </w:t>
      </w:r>
      <w:proofErr w:type="gramStart"/>
      <w:r>
        <w:t>Counter-Terrorism</w:t>
      </w:r>
      <w:proofErr w:type="gramEnd"/>
      <w:r>
        <w:t xml:space="preserve"> (Temporary Exclusion Orders) Bill 2019 (</w:t>
      </w:r>
      <w:proofErr w:type="spellStart"/>
      <w:r>
        <w:t>Cth</w:t>
      </w:r>
      <w:proofErr w:type="spellEnd"/>
      <w:r>
        <w:t>).</w:t>
      </w:r>
      <w:r w:rsidR="00492036">
        <w:rPr>
          <w:rStyle w:val="EndnoteReference"/>
        </w:rPr>
        <w:endnoteReference w:id="1"/>
      </w:r>
    </w:p>
    <w:p w14:paraId="58A01F5B" w14:textId="1B2AC199" w:rsidR="00510390" w:rsidRDefault="00CF748E" w:rsidP="00A27ABE">
      <w:pPr>
        <w:pStyle w:val="Heading1"/>
      </w:pPr>
      <w:bookmarkStart w:id="5" w:name="_Toc89418776"/>
      <w:bookmarkEnd w:id="1"/>
      <w:bookmarkEnd w:id="2"/>
      <w:bookmarkEnd w:id="3"/>
      <w:r>
        <w:t>Summary</w:t>
      </w:r>
      <w:bookmarkEnd w:id="5"/>
    </w:p>
    <w:p w14:paraId="3AAD9C9B" w14:textId="3DC08F19" w:rsidR="00464051" w:rsidRDefault="00B77459" w:rsidP="0087281A">
      <w:pPr>
        <w:pStyle w:val="ListNumber"/>
        <w:tabs>
          <w:tab w:val="clear" w:pos="360"/>
        </w:tabs>
        <w:ind w:left="1094" w:hanging="737"/>
        <w:contextualSpacing w:val="0"/>
      </w:pPr>
      <w:r>
        <w:t xml:space="preserve">There is a significant disjuncture between the language used to justify the introduction of </w:t>
      </w:r>
      <w:r w:rsidR="00146F35">
        <w:t>the TEO Act, and its practical operation</w:t>
      </w:r>
      <w:proofErr w:type="gramStart"/>
      <w:r w:rsidR="00146F35">
        <w:t>.</w:t>
      </w:r>
      <w:r w:rsidR="00DF3E3F">
        <w:t xml:space="preserve">  </w:t>
      </w:r>
      <w:proofErr w:type="gramEnd"/>
      <w:r w:rsidR="00923FE7">
        <w:t xml:space="preserve">Instead of applying to people </w:t>
      </w:r>
      <w:r w:rsidR="00060612">
        <w:t xml:space="preserve">reasonably suspected of being involved in terrorism-related conduct, the practical </w:t>
      </w:r>
      <w:r w:rsidR="00792778">
        <w:t xml:space="preserve">operation </w:t>
      </w:r>
      <w:r w:rsidR="00060612">
        <w:t xml:space="preserve">of the TEO Act is </w:t>
      </w:r>
      <w:r w:rsidR="006B1E43">
        <w:t xml:space="preserve">focused </w:t>
      </w:r>
      <w:r w:rsidR="00060612">
        <w:t xml:space="preserve">on </w:t>
      </w:r>
      <w:r w:rsidR="00C0003D">
        <w:t xml:space="preserve">relatives or associates of Australian foreign fighters, </w:t>
      </w:r>
      <w:r w:rsidR="00060612">
        <w:t xml:space="preserve">who </w:t>
      </w:r>
      <w:r w:rsidR="003D7D52">
        <w:t>may not have engaged in any criminal conduct at all</w:t>
      </w:r>
      <w:proofErr w:type="gramStart"/>
      <w:r w:rsidR="003D7D52">
        <w:t>.</w:t>
      </w:r>
      <w:r w:rsidR="00BA7100">
        <w:t xml:space="preserve">  </w:t>
      </w:r>
      <w:proofErr w:type="gramEnd"/>
    </w:p>
    <w:p w14:paraId="3B801316" w14:textId="0DE15D7B" w:rsidR="00146F35" w:rsidRDefault="00FD049D" w:rsidP="0087281A">
      <w:pPr>
        <w:pStyle w:val="ListNumber"/>
        <w:tabs>
          <w:tab w:val="clear" w:pos="360"/>
        </w:tabs>
        <w:ind w:left="1094" w:hanging="737"/>
        <w:contextualSpacing w:val="0"/>
      </w:pPr>
      <w:r>
        <w:t xml:space="preserve">When legislation of this nature was first proposed in Australia, </w:t>
      </w:r>
      <w:r w:rsidR="005B3C07">
        <w:t>the stated purpose was to</w:t>
      </w:r>
      <w:r w:rsidR="009F2142">
        <w:t xml:space="preserve"> ‘enable authorities to delay, and then monitor and control, the return and re-entry to our community of Australian foreign fighters’.</w:t>
      </w:r>
      <w:r w:rsidR="00F56CA8">
        <w:rPr>
          <w:rStyle w:val="EndnoteReference"/>
        </w:rPr>
        <w:endnoteReference w:id="2"/>
      </w:r>
      <w:r w:rsidR="00F56CA8">
        <w:t xml:space="preserve">  </w:t>
      </w:r>
      <w:r w:rsidR="001014E9">
        <w:t xml:space="preserve">The </w:t>
      </w:r>
      <w:r w:rsidR="00A50F8F">
        <w:t xml:space="preserve">phrase ‘Australian foreign fighter’ referred to Australian citizens who had travelled to conflict zones in Syria and Iraq </w:t>
      </w:r>
      <w:r w:rsidR="006B6EAC">
        <w:t xml:space="preserve">to fight with </w:t>
      </w:r>
      <w:r w:rsidR="00962AE3">
        <w:t xml:space="preserve">or provide support to </w:t>
      </w:r>
      <w:r w:rsidR="002B2E0E">
        <w:t>extremist groups.</w:t>
      </w:r>
    </w:p>
    <w:p w14:paraId="11120250" w14:textId="1602DFE9" w:rsidR="000E7B3F" w:rsidRDefault="00115CBF" w:rsidP="0087281A">
      <w:pPr>
        <w:pStyle w:val="ListNumber"/>
        <w:tabs>
          <w:tab w:val="clear" w:pos="360"/>
        </w:tabs>
        <w:ind w:left="1094" w:hanging="737"/>
        <w:contextualSpacing w:val="0"/>
      </w:pPr>
      <w:r>
        <w:t>Since 2012, at least 230 Australians have travelled to the conflict zone</w:t>
      </w:r>
      <w:proofErr w:type="gramStart"/>
      <w:r>
        <w:t xml:space="preserve">.  </w:t>
      </w:r>
      <w:proofErr w:type="gramEnd"/>
      <w:r w:rsidR="00DE2E5B">
        <w:t xml:space="preserve">As </w:t>
      </w:r>
      <w:proofErr w:type="gramStart"/>
      <w:r w:rsidR="00DE2E5B">
        <w:t>at</w:t>
      </w:r>
      <w:proofErr w:type="gramEnd"/>
      <w:r w:rsidR="00DE2E5B">
        <w:t xml:space="preserve"> October 2020, a</w:t>
      </w:r>
      <w:r>
        <w:t xml:space="preserve">round 120 </w:t>
      </w:r>
      <w:r w:rsidR="00DE2E5B">
        <w:t xml:space="preserve">had </w:t>
      </w:r>
      <w:r>
        <w:t xml:space="preserve">been killed as a result of their involvement in </w:t>
      </w:r>
      <w:r w:rsidR="003446C2">
        <w:t xml:space="preserve">the conflict </w:t>
      </w:r>
      <w:r w:rsidR="00E262AC">
        <w:t>and approximately 45 ha</w:t>
      </w:r>
      <w:r w:rsidR="00DE2E5B">
        <w:t>d</w:t>
      </w:r>
      <w:r w:rsidR="00E262AC">
        <w:t xml:space="preserve"> returned to Australia</w:t>
      </w:r>
      <w:r w:rsidR="00BD16A2">
        <w:t>,</w:t>
      </w:r>
      <w:r w:rsidR="006F46EE">
        <w:t xml:space="preserve"> </w:t>
      </w:r>
      <w:r w:rsidR="000F0451">
        <w:t xml:space="preserve">leaving only </w:t>
      </w:r>
      <w:r w:rsidR="000E7B3F">
        <w:t xml:space="preserve">around </w:t>
      </w:r>
      <w:r w:rsidR="000F0451">
        <w:t>65 still in the conflict zone.</w:t>
      </w:r>
      <w:r w:rsidR="00DA60DE">
        <w:rPr>
          <w:rStyle w:val="EndnoteReference"/>
        </w:rPr>
        <w:endnoteReference w:id="3"/>
      </w:r>
      <w:r w:rsidR="006F46EE">
        <w:t xml:space="preserve"> </w:t>
      </w:r>
      <w:r w:rsidR="000F0451">
        <w:t xml:space="preserve"> </w:t>
      </w:r>
    </w:p>
    <w:p w14:paraId="532A9D94" w14:textId="618B63C1" w:rsidR="0008009E" w:rsidRDefault="006F46EE" w:rsidP="0087281A">
      <w:pPr>
        <w:pStyle w:val="ListNumber"/>
        <w:tabs>
          <w:tab w:val="clear" w:pos="360"/>
        </w:tabs>
        <w:ind w:left="1094" w:hanging="737"/>
        <w:contextualSpacing w:val="0"/>
      </w:pPr>
      <w:r>
        <w:t xml:space="preserve">Some Australians with dual nationality have had their </w:t>
      </w:r>
      <w:r w:rsidR="003F3407">
        <w:t xml:space="preserve">Australian citizenship </w:t>
      </w:r>
      <w:r w:rsidR="00C40FBC">
        <w:t>revoked</w:t>
      </w:r>
      <w:proofErr w:type="gramStart"/>
      <w:r w:rsidR="003F3407">
        <w:t xml:space="preserve">.  </w:t>
      </w:r>
      <w:proofErr w:type="gramEnd"/>
      <w:r w:rsidR="000E7B3F">
        <w:t xml:space="preserve">The TEO Act does not apply </w:t>
      </w:r>
      <w:r w:rsidR="00252BF2">
        <w:t>to former Australian citizens.</w:t>
      </w:r>
    </w:p>
    <w:p w14:paraId="03924253" w14:textId="480F51EC" w:rsidR="002B2E0E" w:rsidRDefault="001E0F36" w:rsidP="0087281A">
      <w:pPr>
        <w:pStyle w:val="ListNumber"/>
        <w:tabs>
          <w:tab w:val="clear" w:pos="360"/>
        </w:tabs>
        <w:ind w:left="1094" w:hanging="737"/>
        <w:contextualSpacing w:val="0"/>
      </w:pPr>
      <w:r>
        <w:t>T</w:t>
      </w:r>
      <w:r w:rsidR="001C6767">
        <w:t xml:space="preserve">he Australian Federal Police </w:t>
      </w:r>
      <w:r w:rsidR="00DD33FD">
        <w:t xml:space="preserve">(AFP) </w:t>
      </w:r>
      <w:r>
        <w:t xml:space="preserve">have issued at least </w:t>
      </w:r>
      <w:r w:rsidR="0008009E">
        <w:t xml:space="preserve">40 arrest warrants in relation </w:t>
      </w:r>
      <w:r w:rsidR="000B3599">
        <w:t xml:space="preserve">to </w:t>
      </w:r>
      <w:r w:rsidR="00DD33FD">
        <w:t xml:space="preserve">alleged </w:t>
      </w:r>
      <w:r w:rsidR="000B3599">
        <w:t>Australian foreign fighters</w:t>
      </w:r>
      <w:r w:rsidR="00A5581F">
        <w:t xml:space="preserve"> who </w:t>
      </w:r>
      <w:r w:rsidR="005E5FA3">
        <w:t xml:space="preserve">are </w:t>
      </w:r>
      <w:r w:rsidR="00A5581F">
        <w:t>outside Australia</w:t>
      </w:r>
      <w:r w:rsidR="000B3599">
        <w:t>.</w:t>
      </w:r>
      <w:r w:rsidR="00DA6300">
        <w:rPr>
          <w:rStyle w:val="EndnoteReference"/>
        </w:rPr>
        <w:endnoteReference w:id="4"/>
      </w:r>
      <w:r w:rsidR="000B3599">
        <w:t xml:space="preserve">  </w:t>
      </w:r>
      <w:r w:rsidR="005E5FA3">
        <w:t xml:space="preserve">Significantly, </w:t>
      </w:r>
      <w:r w:rsidR="00DD33FD">
        <w:t xml:space="preserve">the AFP </w:t>
      </w:r>
      <w:r w:rsidR="005E5FA3">
        <w:t xml:space="preserve">have </w:t>
      </w:r>
      <w:r w:rsidR="00DD33FD">
        <w:t xml:space="preserve">confirmed that </w:t>
      </w:r>
      <w:r w:rsidR="00F03544">
        <w:t xml:space="preserve">the </w:t>
      </w:r>
      <w:r w:rsidR="008219E8">
        <w:t>temporary exclusion order (</w:t>
      </w:r>
      <w:r w:rsidR="00F03544">
        <w:t>TEO</w:t>
      </w:r>
      <w:r w:rsidR="008219E8">
        <w:t>)</w:t>
      </w:r>
      <w:r w:rsidR="00F03544">
        <w:t xml:space="preserve"> regime </w:t>
      </w:r>
      <w:r w:rsidR="005E5FA3">
        <w:t xml:space="preserve">will </w:t>
      </w:r>
      <w:r w:rsidR="00F03544" w:rsidRPr="00B31CE8">
        <w:rPr>
          <w:i/>
          <w:iCs/>
        </w:rPr>
        <w:t>not</w:t>
      </w:r>
      <w:r w:rsidR="00F03544">
        <w:t xml:space="preserve"> be used in relation to people </w:t>
      </w:r>
      <w:r w:rsidR="00155244">
        <w:t>in respect of whom</w:t>
      </w:r>
      <w:r w:rsidR="00F03544">
        <w:t xml:space="preserve"> an arrest warrant ha</w:t>
      </w:r>
      <w:r w:rsidR="00B31CE8">
        <w:t>s</w:t>
      </w:r>
      <w:r w:rsidR="00F03544">
        <w:t xml:space="preserve"> been issued.</w:t>
      </w:r>
      <w:r w:rsidR="00522769">
        <w:rPr>
          <w:rStyle w:val="EndnoteReference"/>
        </w:rPr>
        <w:endnoteReference w:id="5"/>
      </w:r>
      <w:r w:rsidR="00F03544">
        <w:t xml:space="preserve">  Those </w:t>
      </w:r>
      <w:r w:rsidR="00F03544">
        <w:lastRenderedPageBreak/>
        <w:t xml:space="preserve">people </w:t>
      </w:r>
      <w:r w:rsidR="00B31CE8">
        <w:t xml:space="preserve">will </w:t>
      </w:r>
      <w:r w:rsidR="00F03544">
        <w:t xml:space="preserve">either be extradited to </w:t>
      </w:r>
      <w:proofErr w:type="gramStart"/>
      <w:r w:rsidR="00F03544">
        <w:t>Australia, or</w:t>
      </w:r>
      <w:proofErr w:type="gramEnd"/>
      <w:r w:rsidR="00F03544">
        <w:t xml:space="preserve"> arrested on arrival</w:t>
      </w:r>
      <w:r w:rsidR="00AF423D">
        <w:t xml:space="preserve"> when they </w:t>
      </w:r>
      <w:r w:rsidR="001F1DA7">
        <w:t xml:space="preserve">seek </w:t>
      </w:r>
      <w:r w:rsidR="00AF423D">
        <w:t>to return home voluntarily</w:t>
      </w:r>
      <w:r w:rsidR="005B2A29">
        <w:t>.</w:t>
      </w:r>
    </w:p>
    <w:p w14:paraId="038886E9" w14:textId="303D16B4" w:rsidR="005B2A29" w:rsidRDefault="002D1721" w:rsidP="0087281A">
      <w:pPr>
        <w:pStyle w:val="ListNumber"/>
        <w:tabs>
          <w:tab w:val="clear" w:pos="360"/>
        </w:tabs>
        <w:ind w:left="1094" w:hanging="737"/>
        <w:contextualSpacing w:val="0"/>
      </w:pPr>
      <w:r>
        <w:t xml:space="preserve">Instead, the </w:t>
      </w:r>
      <w:r w:rsidR="000574A5">
        <w:t xml:space="preserve">practical focus of the </w:t>
      </w:r>
      <w:r>
        <w:t xml:space="preserve">TEO regime </w:t>
      </w:r>
      <w:r w:rsidR="00051C5E">
        <w:t>is</w:t>
      </w:r>
      <w:r>
        <w:t xml:space="preserve"> </w:t>
      </w:r>
      <w:r w:rsidR="000574A5">
        <w:t xml:space="preserve">on </w:t>
      </w:r>
      <w:r w:rsidR="004057E2">
        <w:t xml:space="preserve">‘associates and facilitators and relatives that haven’t been doing active fighting in that conflict zone’ </w:t>
      </w:r>
      <w:r w:rsidR="000E0E45">
        <w:t xml:space="preserve">and in respect of whom </w:t>
      </w:r>
      <w:r w:rsidR="00180D56">
        <w:t xml:space="preserve">there is not sufficient evidence available to </w:t>
      </w:r>
      <w:r w:rsidR="000E0E45">
        <w:t>justify issuing an arrest warrant</w:t>
      </w:r>
      <w:r w:rsidR="004057E2">
        <w:t>.</w:t>
      </w:r>
      <w:r w:rsidR="004057E2">
        <w:rPr>
          <w:rStyle w:val="EndnoteReference"/>
        </w:rPr>
        <w:endnoteReference w:id="6"/>
      </w:r>
    </w:p>
    <w:p w14:paraId="14671DD6" w14:textId="49EC9472" w:rsidR="004A5DE5" w:rsidRDefault="000E0E45" w:rsidP="0087281A">
      <w:pPr>
        <w:pStyle w:val="ListNumber"/>
        <w:tabs>
          <w:tab w:val="clear" w:pos="360"/>
        </w:tabs>
        <w:ind w:left="1094" w:hanging="737"/>
        <w:contextualSpacing w:val="0"/>
      </w:pPr>
      <w:r>
        <w:t>The first point to make about this group is that</w:t>
      </w:r>
      <w:r w:rsidR="001E4501">
        <w:t>, based on the numbers set out above,</w:t>
      </w:r>
      <w:r>
        <w:t xml:space="preserve"> </w:t>
      </w:r>
      <w:r w:rsidR="001E4501">
        <w:t xml:space="preserve">it appears to be a </w:t>
      </w:r>
      <w:r w:rsidR="00982E00">
        <w:t xml:space="preserve">very </w:t>
      </w:r>
      <w:r w:rsidR="001E4501">
        <w:t>small cohort</w:t>
      </w:r>
      <w:proofErr w:type="gramStart"/>
      <w:r w:rsidR="001E4501">
        <w:t xml:space="preserve">.  </w:t>
      </w:r>
      <w:proofErr w:type="gramEnd"/>
      <w:r w:rsidR="001E4501">
        <w:t xml:space="preserve">This view is supported by the fact that </w:t>
      </w:r>
      <w:r w:rsidR="006C2A3C">
        <w:t xml:space="preserve">as </w:t>
      </w:r>
      <w:proofErr w:type="gramStart"/>
      <w:r w:rsidR="006C2A3C">
        <w:t>at</w:t>
      </w:r>
      <w:proofErr w:type="gramEnd"/>
      <w:r w:rsidR="006C2A3C">
        <w:t xml:space="preserve"> 30 June 2021 </w:t>
      </w:r>
      <w:r w:rsidR="001E4501">
        <w:t xml:space="preserve">only eight TEOs </w:t>
      </w:r>
      <w:r w:rsidR="001D2B20">
        <w:t>had</w:t>
      </w:r>
      <w:r w:rsidR="001E4501">
        <w:t xml:space="preserve"> been issued</w:t>
      </w:r>
      <w:r w:rsidR="00EB7CA0">
        <w:t xml:space="preserve"> and </w:t>
      </w:r>
      <w:r w:rsidR="00A13BC9">
        <w:t xml:space="preserve">it appears </w:t>
      </w:r>
      <w:r w:rsidR="00EB7CA0">
        <w:t>between two and four people had returned to Australia pursuant to a return permit</w:t>
      </w:r>
      <w:r w:rsidR="001E4501">
        <w:t>.</w:t>
      </w:r>
    </w:p>
    <w:p w14:paraId="71186256" w14:textId="33E6E446" w:rsidR="006C2A3C" w:rsidRDefault="006C2A3C" w:rsidP="0087281A">
      <w:pPr>
        <w:pStyle w:val="ListNumber"/>
        <w:tabs>
          <w:tab w:val="clear" w:pos="360"/>
        </w:tabs>
        <w:ind w:left="1094" w:hanging="737"/>
        <w:contextualSpacing w:val="0"/>
      </w:pPr>
      <w:r>
        <w:t xml:space="preserve">The second point to make is that </w:t>
      </w:r>
      <w:r w:rsidR="005B0323">
        <w:t xml:space="preserve">the </w:t>
      </w:r>
      <w:r w:rsidR="001535AE">
        <w:t xml:space="preserve">significant human rights impact involved in the TEO scheme – preventing Australians from entering their own country for </w:t>
      </w:r>
      <w:r w:rsidR="00D20714">
        <w:t>lengthy</w:t>
      </w:r>
      <w:r w:rsidR="001535AE">
        <w:t xml:space="preserve"> periods – is far harder to justify in relation to people who </w:t>
      </w:r>
      <w:r w:rsidR="00884B3C">
        <w:t xml:space="preserve">are </w:t>
      </w:r>
      <w:r w:rsidR="00884B3C" w:rsidRPr="00982E00">
        <w:t>associates</w:t>
      </w:r>
      <w:r w:rsidR="00884B3C">
        <w:t xml:space="preserve"> </w:t>
      </w:r>
      <w:r w:rsidR="00982E00">
        <w:t xml:space="preserve">or relatives </w:t>
      </w:r>
      <w:r w:rsidR="00884B3C">
        <w:t>of Australian foreign fighters, but who may not have engaged in any criminal conduct themselves.</w:t>
      </w:r>
    </w:p>
    <w:p w14:paraId="12C617A1" w14:textId="6AEB9B8B" w:rsidR="0004052E" w:rsidRDefault="00D20714" w:rsidP="0087281A">
      <w:pPr>
        <w:pStyle w:val="ListNumber"/>
        <w:tabs>
          <w:tab w:val="clear" w:pos="360"/>
        </w:tabs>
        <w:ind w:left="1094" w:hanging="737"/>
        <w:contextualSpacing w:val="0"/>
      </w:pPr>
      <w:r>
        <w:t xml:space="preserve">The third point to make is that, </w:t>
      </w:r>
      <w:r w:rsidR="00490FA4">
        <w:t xml:space="preserve">if the AFP have </w:t>
      </w:r>
      <w:r w:rsidR="004501FD">
        <w:t xml:space="preserve">at least </w:t>
      </w:r>
      <w:r w:rsidR="00490FA4">
        <w:t xml:space="preserve">a </w:t>
      </w:r>
      <w:r w:rsidR="00944E6B">
        <w:t>‘</w:t>
      </w:r>
      <w:r w:rsidR="00490FA4">
        <w:t>reasonable suspicion</w:t>
      </w:r>
      <w:r w:rsidR="00944E6B">
        <w:t>’</w:t>
      </w:r>
      <w:r w:rsidR="00490FA4">
        <w:t xml:space="preserve"> that a person </w:t>
      </w:r>
      <w:r w:rsidR="00944E6B">
        <w:t xml:space="preserve">may have committed a terrorism-related offence, </w:t>
      </w:r>
      <w:r w:rsidR="004501FD">
        <w:t xml:space="preserve">the person </w:t>
      </w:r>
      <w:r w:rsidR="00944E6B">
        <w:t>could be immediately arrested when they return to Australia</w:t>
      </w:r>
      <w:r w:rsidR="004D4A65">
        <w:t xml:space="preserve"> without the requirement for a warrant</w:t>
      </w:r>
      <w:r w:rsidR="00944E6B">
        <w:t>.</w:t>
      </w:r>
      <w:r w:rsidR="004D4A65">
        <w:rPr>
          <w:rStyle w:val="EndnoteReference"/>
        </w:rPr>
        <w:endnoteReference w:id="7"/>
      </w:r>
      <w:r w:rsidR="00100864">
        <w:t xml:space="preserve">  If there is not even a reasonable suspicion of such conduct, there seems to be little justification for </w:t>
      </w:r>
      <w:r w:rsidR="004501FD">
        <w:t>preventing</w:t>
      </w:r>
      <w:r w:rsidR="00AB16AA">
        <w:t xml:space="preserve"> </w:t>
      </w:r>
      <w:r w:rsidR="004501FD">
        <w:t>them from returning.</w:t>
      </w:r>
    </w:p>
    <w:p w14:paraId="72C9449D" w14:textId="2D2C9494" w:rsidR="004501FD" w:rsidRDefault="0051123E" w:rsidP="0087281A">
      <w:pPr>
        <w:pStyle w:val="ListNumber"/>
        <w:tabs>
          <w:tab w:val="clear" w:pos="360"/>
        </w:tabs>
        <w:ind w:left="1094" w:hanging="737"/>
        <w:contextualSpacing w:val="0"/>
      </w:pPr>
      <w:r>
        <w:t>The primary position of the Commission is that the TEO Act should be repealed because it is not necessary</w:t>
      </w:r>
      <w:r w:rsidR="00FF6CB8">
        <w:t xml:space="preserve"> and, to the extent it applies to people not suspected of involvement in terrorism-related activity themselves, it is a disproportionate </w:t>
      </w:r>
      <w:r w:rsidR="003F09A0">
        <w:t xml:space="preserve">infringement of their right to enter their own country recognised by article 12(4) of the </w:t>
      </w:r>
      <w:r w:rsidR="003F09A0" w:rsidRPr="003F09A0">
        <w:rPr>
          <w:i/>
          <w:iCs/>
        </w:rPr>
        <w:t>International Covenant on Civil and Political Rights</w:t>
      </w:r>
      <w:r w:rsidR="003F09A0">
        <w:t xml:space="preserve"> (ICCPR).</w:t>
      </w:r>
    </w:p>
    <w:p w14:paraId="34783E80" w14:textId="51AA595E" w:rsidR="001B4A16" w:rsidRDefault="001B4A16" w:rsidP="0087281A">
      <w:pPr>
        <w:pStyle w:val="ListNumber"/>
        <w:tabs>
          <w:tab w:val="clear" w:pos="360"/>
        </w:tabs>
        <w:ind w:left="1094" w:hanging="737"/>
        <w:contextualSpacing w:val="0"/>
      </w:pPr>
      <w:r>
        <w:t xml:space="preserve">If the Commission’s primary position is not accepted, the Commission makes </w:t>
      </w:r>
      <w:proofErr w:type="gramStart"/>
      <w:r>
        <w:t>a number of</w:t>
      </w:r>
      <w:proofErr w:type="gramEnd"/>
      <w:r>
        <w:t xml:space="preserve"> recommendations to </w:t>
      </w:r>
      <w:r w:rsidR="00316F87">
        <w:t xml:space="preserve">amend the TEO Act to strengthen its safeguards and accountability measures.  Many of these recommendations are the same as those previously made by the PJCIS but not adopted by the </w:t>
      </w:r>
      <w:r w:rsidR="00A507A1">
        <w:t xml:space="preserve">Australian </w:t>
      </w:r>
      <w:r w:rsidR="00316F87">
        <w:t>Government.</w:t>
      </w:r>
    </w:p>
    <w:p w14:paraId="5BDD6CFE" w14:textId="0C5C5738" w:rsidR="00591926" w:rsidRDefault="00B25BA5" w:rsidP="00591926">
      <w:pPr>
        <w:pStyle w:val="ListNumber"/>
        <w:tabs>
          <w:tab w:val="clear" w:pos="360"/>
        </w:tabs>
        <w:ind w:left="1094" w:hanging="737"/>
        <w:contextualSpacing w:val="0"/>
      </w:pPr>
      <w:r>
        <w:t>In particular, the Commission recommends that</w:t>
      </w:r>
      <w:r w:rsidR="00591926">
        <w:t xml:space="preserve"> </w:t>
      </w:r>
      <w:r w:rsidR="009C7639">
        <w:t xml:space="preserve">the threshold for making a TEO be raised, so that it only applies to people </w:t>
      </w:r>
      <w:proofErr w:type="gramStart"/>
      <w:r w:rsidR="009C7639">
        <w:t>actually suspected</w:t>
      </w:r>
      <w:proofErr w:type="gramEnd"/>
      <w:r w:rsidR="009C7639">
        <w:t xml:space="preserve"> of </w:t>
      </w:r>
      <w:r w:rsidR="0011541D">
        <w:t>being involved</w:t>
      </w:r>
      <w:r w:rsidR="009C7639">
        <w:t xml:space="preserve"> in terrorism-related activity.</w:t>
      </w:r>
      <w:r w:rsidR="0011541D">
        <w:t xml:space="preserve"> </w:t>
      </w:r>
    </w:p>
    <w:p w14:paraId="0172C53B" w14:textId="5CEAE87C" w:rsidR="00B25BA5" w:rsidRDefault="0011541D" w:rsidP="0087281A">
      <w:pPr>
        <w:pStyle w:val="ListNumber"/>
        <w:tabs>
          <w:tab w:val="clear" w:pos="360"/>
        </w:tabs>
        <w:ind w:left="1094" w:hanging="737"/>
        <w:contextualSpacing w:val="0"/>
      </w:pPr>
      <w:r>
        <w:t xml:space="preserve">The </w:t>
      </w:r>
      <w:r w:rsidR="00500757">
        <w:t>process for making a TEO should be amended to provide additional oversight</w:t>
      </w:r>
      <w:proofErr w:type="gramStart"/>
      <w:r w:rsidR="00DE4243">
        <w:t xml:space="preserve">.  </w:t>
      </w:r>
      <w:proofErr w:type="gramEnd"/>
      <w:r w:rsidR="00DE4243">
        <w:t xml:space="preserve">The Commission’s preferred position is that the </w:t>
      </w:r>
      <w:r w:rsidR="00DE4243">
        <w:lastRenderedPageBreak/>
        <w:t xml:space="preserve">Minister should have to apply to a court </w:t>
      </w:r>
      <w:proofErr w:type="gramStart"/>
      <w:r w:rsidR="00DE4243">
        <w:t>in order for</w:t>
      </w:r>
      <w:proofErr w:type="gramEnd"/>
      <w:r w:rsidR="00DE4243">
        <w:t xml:space="preserve"> a TEO to be issued.  In the alternative, the Commission says that </w:t>
      </w:r>
      <w:r w:rsidR="00F23411">
        <w:t xml:space="preserve">the Minister should have to apply to an issuing authority, being a </w:t>
      </w:r>
      <w:r w:rsidR="009D15E1">
        <w:t xml:space="preserve">judge, a </w:t>
      </w:r>
      <w:r w:rsidR="00F23411">
        <w:t>retired judge or senior member of the Administrative Appeals Tribunal (AAT).</w:t>
      </w:r>
    </w:p>
    <w:p w14:paraId="5E1AB528" w14:textId="7F5F1ABA" w:rsidR="00F23411" w:rsidRDefault="00FF3518" w:rsidP="0087281A">
      <w:pPr>
        <w:pStyle w:val="ListNumber"/>
        <w:tabs>
          <w:tab w:val="clear" w:pos="360"/>
        </w:tabs>
        <w:ind w:left="1094" w:hanging="737"/>
        <w:contextualSpacing w:val="0"/>
      </w:pPr>
      <w:r>
        <w:t xml:space="preserve">Any TEO issued should include the grounds on which it was </w:t>
      </w:r>
      <w:proofErr w:type="gramStart"/>
      <w:r>
        <w:t>made, and</w:t>
      </w:r>
      <w:proofErr w:type="gramEnd"/>
      <w:r>
        <w:t xml:space="preserve"> identify the review rights available </w:t>
      </w:r>
      <w:r w:rsidR="008B6CC3">
        <w:t xml:space="preserve">to the </w:t>
      </w:r>
      <w:r>
        <w:t xml:space="preserve">person to </w:t>
      </w:r>
      <w:r w:rsidR="008B6CC3">
        <w:t>whom it is addressed.</w:t>
      </w:r>
    </w:p>
    <w:p w14:paraId="1008BFC2" w14:textId="47A70A5E" w:rsidR="00464051" w:rsidRDefault="0087281A" w:rsidP="0087281A">
      <w:pPr>
        <w:pStyle w:val="ListNumber"/>
        <w:tabs>
          <w:tab w:val="clear" w:pos="360"/>
        </w:tabs>
        <w:ind w:left="1094" w:hanging="737"/>
        <w:contextualSpacing w:val="0"/>
      </w:pPr>
      <w:r>
        <w:t xml:space="preserve">The Commission continues to be of the view that the </w:t>
      </w:r>
      <w:r w:rsidR="002D09EA">
        <w:t xml:space="preserve">TEO </w:t>
      </w:r>
      <w:r>
        <w:t xml:space="preserve">Act </w:t>
      </w:r>
      <w:r w:rsidR="00EC0112">
        <w:t xml:space="preserve">does not comply with the requirements of the </w:t>
      </w:r>
      <w:r w:rsidR="00EC0112" w:rsidRPr="00EC0112">
        <w:rPr>
          <w:i/>
          <w:iCs/>
        </w:rPr>
        <w:t>Convention on the Rights of the Child</w:t>
      </w:r>
      <w:r w:rsidR="00EC0112">
        <w:t xml:space="preserve"> (CRC)</w:t>
      </w:r>
      <w:proofErr w:type="gramStart"/>
      <w:r w:rsidR="00EC0112">
        <w:t>.</w:t>
      </w:r>
      <w:r w:rsidR="002D09EA">
        <w:t xml:space="preserve">  </w:t>
      </w:r>
      <w:proofErr w:type="gramEnd"/>
      <w:r w:rsidR="002D09EA">
        <w:t>The Commission’s preferred position is that the TEO Act not apply to children at all</w:t>
      </w:r>
      <w:proofErr w:type="gramStart"/>
      <w:r w:rsidR="002D09EA">
        <w:t xml:space="preserve">.  </w:t>
      </w:r>
      <w:proofErr w:type="gramEnd"/>
      <w:r w:rsidR="0061529A">
        <w:t>If the TEO Act is to have a continued operation in relation to children, the decision</w:t>
      </w:r>
      <w:r w:rsidR="00122E23">
        <w:t>-</w:t>
      </w:r>
      <w:r w:rsidR="0061529A">
        <w:t>making framework</w:t>
      </w:r>
      <w:r w:rsidR="00FE0970">
        <w:t>s</w:t>
      </w:r>
      <w:r w:rsidR="0061529A">
        <w:t xml:space="preserve"> </w:t>
      </w:r>
      <w:r w:rsidR="00FE0970">
        <w:t xml:space="preserve">for </w:t>
      </w:r>
      <w:r w:rsidR="0061529A">
        <w:t xml:space="preserve">making a TEO </w:t>
      </w:r>
      <w:r w:rsidR="00FE0970">
        <w:t xml:space="preserve">and imposing conditions on a return permit </w:t>
      </w:r>
      <w:r w:rsidR="00C75198">
        <w:t xml:space="preserve">should be amended to ensure that </w:t>
      </w:r>
      <w:r w:rsidR="009C1115">
        <w:t xml:space="preserve">no </w:t>
      </w:r>
      <w:r w:rsidR="00E41E44">
        <w:t xml:space="preserve">consideration is </w:t>
      </w:r>
      <w:r w:rsidR="009C1115">
        <w:t>treat</w:t>
      </w:r>
      <w:r w:rsidR="00E41E44">
        <w:t>ed</w:t>
      </w:r>
      <w:r w:rsidR="009C1115">
        <w:t xml:space="preserve"> as inherently more significant that the rights of the child to </w:t>
      </w:r>
      <w:r w:rsidR="00F5652F">
        <w:t>whom</w:t>
      </w:r>
      <w:r w:rsidR="009C1115">
        <w:t xml:space="preserve"> the </w:t>
      </w:r>
      <w:r w:rsidR="00E41E44">
        <w:t xml:space="preserve">TEO </w:t>
      </w:r>
      <w:r w:rsidR="009C1115">
        <w:t>or return permit applies</w:t>
      </w:r>
      <w:r w:rsidR="00E41E44">
        <w:t>.</w:t>
      </w:r>
    </w:p>
    <w:p w14:paraId="6048ACBC" w14:textId="72F268F5" w:rsidR="00C75198" w:rsidRDefault="00B97ED3" w:rsidP="0087281A">
      <w:pPr>
        <w:pStyle w:val="ListNumber"/>
        <w:tabs>
          <w:tab w:val="clear" w:pos="360"/>
        </w:tabs>
        <w:ind w:left="1094" w:hanging="737"/>
        <w:contextualSpacing w:val="0"/>
      </w:pPr>
      <w:r>
        <w:t xml:space="preserve">Finally, there should be a change to the </w:t>
      </w:r>
      <w:r w:rsidR="00DB5309">
        <w:t>elements of the offence provisions to ensure that a person cannot be convicted of failing to comply with a TEO</w:t>
      </w:r>
      <w:r w:rsidR="00F10BA1">
        <w:t>,</w:t>
      </w:r>
      <w:r w:rsidR="00DB5309">
        <w:t xml:space="preserve"> or the conditions on a return permit</w:t>
      </w:r>
      <w:r w:rsidR="00F10BA1">
        <w:t>,</w:t>
      </w:r>
      <w:r w:rsidR="00DB5309">
        <w:t xml:space="preserve"> unless they knew </w:t>
      </w:r>
      <w:r w:rsidR="005F78FF">
        <w:t xml:space="preserve">of the </w:t>
      </w:r>
      <w:r w:rsidR="001A24F4">
        <w:t xml:space="preserve">prohibitions or </w:t>
      </w:r>
      <w:r w:rsidR="005F78FF">
        <w:t>conditions that applied to them.</w:t>
      </w:r>
    </w:p>
    <w:p w14:paraId="11DFC033" w14:textId="7324084B" w:rsidR="009F2764" w:rsidRDefault="00CF748E" w:rsidP="009E08D1">
      <w:pPr>
        <w:pStyle w:val="Heading1"/>
      </w:pPr>
      <w:bookmarkStart w:id="6" w:name="_Toc89418777"/>
      <w:r>
        <w:t>Recommendations</w:t>
      </w:r>
      <w:bookmarkEnd w:id="6"/>
    </w:p>
    <w:p w14:paraId="422D09EF" w14:textId="18D88BA6" w:rsidR="00CE1A00" w:rsidRDefault="00CE1A00" w:rsidP="00F607BD">
      <w:pPr>
        <w:pStyle w:val="ListNumber"/>
        <w:tabs>
          <w:tab w:val="clear" w:pos="360"/>
        </w:tabs>
        <w:ind w:left="1094" w:hanging="737"/>
        <w:contextualSpacing w:val="0"/>
      </w:pPr>
      <w:r>
        <w:t xml:space="preserve">The Commission makes the following </w:t>
      </w:r>
      <w:r w:rsidR="008F0B35">
        <w:t xml:space="preserve">primary </w:t>
      </w:r>
      <w:r>
        <w:t>recommendation</w:t>
      </w:r>
      <w:r w:rsidR="00CC52A9">
        <w:t>.</w:t>
      </w:r>
    </w:p>
    <w:p w14:paraId="0029D1AE" w14:textId="476A783A" w:rsidR="00C41235" w:rsidRPr="00C41235" w:rsidRDefault="00C41235" w:rsidP="00C41235">
      <w:pPr>
        <w:pStyle w:val="ListNumber"/>
        <w:keepNext/>
        <w:numPr>
          <w:ilvl w:val="0"/>
          <w:numId w:val="0"/>
        </w:numPr>
        <w:ind w:left="1094"/>
        <w:contextualSpacing w:val="0"/>
        <w:rPr>
          <w:b/>
          <w:bCs/>
        </w:rPr>
      </w:pPr>
      <w:r w:rsidRPr="00C41235">
        <w:rPr>
          <w:b/>
          <w:bCs/>
        </w:rPr>
        <w:t>Recommendation 1</w:t>
      </w:r>
    </w:p>
    <w:p w14:paraId="5F5DC033" w14:textId="722427E3" w:rsidR="00C41235" w:rsidRDefault="00C41235" w:rsidP="00C41235">
      <w:pPr>
        <w:pStyle w:val="ListNumber"/>
        <w:numPr>
          <w:ilvl w:val="0"/>
          <w:numId w:val="0"/>
        </w:numPr>
        <w:ind w:left="1094"/>
        <w:contextualSpacing w:val="0"/>
      </w:pPr>
      <w:r>
        <w:t xml:space="preserve">The Commission recommends that the </w:t>
      </w:r>
      <w:proofErr w:type="gramStart"/>
      <w:r w:rsidRPr="0056205D">
        <w:rPr>
          <w:i/>
          <w:iCs/>
        </w:rPr>
        <w:t>Counter-Terrorism</w:t>
      </w:r>
      <w:proofErr w:type="gramEnd"/>
      <w:r w:rsidRPr="0056205D">
        <w:rPr>
          <w:i/>
          <w:iCs/>
        </w:rPr>
        <w:t xml:space="preserve"> (Temporary Exclusion Orders) Act 2019</w:t>
      </w:r>
      <w:r>
        <w:t xml:space="preserve"> (</w:t>
      </w:r>
      <w:proofErr w:type="spellStart"/>
      <w:r>
        <w:t>Cth</w:t>
      </w:r>
      <w:proofErr w:type="spellEnd"/>
      <w:r>
        <w:t>) be repealed.</w:t>
      </w:r>
    </w:p>
    <w:p w14:paraId="6FE120F3" w14:textId="537B933A" w:rsidR="008F0B35" w:rsidRDefault="008F0B35" w:rsidP="008F0B35">
      <w:pPr>
        <w:pStyle w:val="ListNumber"/>
        <w:keepNext/>
        <w:tabs>
          <w:tab w:val="clear" w:pos="360"/>
        </w:tabs>
        <w:ind w:left="1094" w:hanging="737"/>
        <w:contextualSpacing w:val="0"/>
      </w:pPr>
      <w:r>
        <w:t>If Recommendation 1 is not accepted, the Commission makes the following recommendations for amendment of the TEO Act</w:t>
      </w:r>
      <w:r w:rsidR="00CC52A9">
        <w:t>.</w:t>
      </w:r>
    </w:p>
    <w:p w14:paraId="76ABB2A8" w14:textId="5C263A48" w:rsidR="00352282" w:rsidRPr="00870451" w:rsidRDefault="00352282" w:rsidP="00352282">
      <w:pPr>
        <w:pStyle w:val="ListNumber"/>
        <w:keepNext/>
        <w:numPr>
          <w:ilvl w:val="0"/>
          <w:numId w:val="0"/>
        </w:numPr>
        <w:ind w:left="1094"/>
        <w:contextualSpacing w:val="0"/>
        <w:rPr>
          <w:b/>
          <w:bCs/>
        </w:rPr>
      </w:pPr>
      <w:r w:rsidRPr="00870451">
        <w:rPr>
          <w:b/>
          <w:bCs/>
        </w:rPr>
        <w:t xml:space="preserve">Recommendation </w:t>
      </w:r>
      <w:r w:rsidR="00C41235">
        <w:rPr>
          <w:b/>
          <w:bCs/>
        </w:rPr>
        <w:t>2</w:t>
      </w:r>
    </w:p>
    <w:p w14:paraId="487CA9AA" w14:textId="77777777" w:rsidR="00E96017" w:rsidRDefault="00E96017" w:rsidP="00E96017">
      <w:pPr>
        <w:pStyle w:val="ListNumber"/>
        <w:numPr>
          <w:ilvl w:val="0"/>
          <w:numId w:val="0"/>
        </w:numPr>
        <w:ind w:left="1094"/>
        <w:contextualSpacing w:val="0"/>
      </w:pPr>
      <w:r>
        <w:t>The Commission recommends that:</w:t>
      </w:r>
    </w:p>
    <w:p w14:paraId="7185BD8A" w14:textId="07BA9E59" w:rsidR="00E96017" w:rsidRDefault="00E96017" w:rsidP="00A96C9A">
      <w:pPr>
        <w:pStyle w:val="ListNumber"/>
        <w:numPr>
          <w:ilvl w:val="0"/>
          <w:numId w:val="17"/>
        </w:numPr>
        <w:contextualSpacing w:val="0"/>
      </w:pPr>
      <w:r>
        <w:t xml:space="preserve">section 10(2)(a) the </w:t>
      </w:r>
      <w:proofErr w:type="gramStart"/>
      <w:r w:rsidRPr="00601130">
        <w:rPr>
          <w:i/>
          <w:iCs/>
        </w:rPr>
        <w:t>Counter-Terrorism</w:t>
      </w:r>
      <w:proofErr w:type="gramEnd"/>
      <w:r w:rsidRPr="00601130">
        <w:rPr>
          <w:i/>
          <w:iCs/>
        </w:rPr>
        <w:t xml:space="preserve"> (Temporary Exclusion Orders) Act 2019</w:t>
      </w:r>
      <w:r>
        <w:t xml:space="preserve"> (</w:t>
      </w:r>
      <w:proofErr w:type="spellStart"/>
      <w:r>
        <w:t>Cth</w:t>
      </w:r>
      <w:proofErr w:type="spellEnd"/>
      <w:r>
        <w:t>) be amended so that the Minister must not make a temporary exclusion order in respect of a person unless the Minister reasonably suspects that:</w:t>
      </w:r>
    </w:p>
    <w:p w14:paraId="32C54EB8" w14:textId="5E8735BA" w:rsidR="00E96017" w:rsidRDefault="00E96017" w:rsidP="00A96C9A">
      <w:pPr>
        <w:pStyle w:val="ListNumber"/>
        <w:numPr>
          <w:ilvl w:val="1"/>
          <w:numId w:val="17"/>
        </w:numPr>
        <w:ind w:left="1843"/>
        <w:contextualSpacing w:val="0"/>
      </w:pPr>
      <w:r>
        <w:t>the person is, or has been, involved in terrorism-related activities outside Australia, and</w:t>
      </w:r>
    </w:p>
    <w:p w14:paraId="5669BEC9" w14:textId="1374D524" w:rsidR="00E96017" w:rsidRDefault="00E96017" w:rsidP="00A96C9A">
      <w:pPr>
        <w:pStyle w:val="ListNumber"/>
        <w:numPr>
          <w:ilvl w:val="1"/>
          <w:numId w:val="17"/>
        </w:numPr>
        <w:ind w:left="1843"/>
        <w:contextualSpacing w:val="0"/>
      </w:pPr>
      <w:r>
        <w:lastRenderedPageBreak/>
        <w:t>making the order would substantially assist in preventing the provision of support for, or the facilitation of, a terrorist act.</w:t>
      </w:r>
    </w:p>
    <w:p w14:paraId="31C90BF9" w14:textId="772D437F" w:rsidR="00E96017" w:rsidRDefault="00E96017" w:rsidP="00A96C9A">
      <w:pPr>
        <w:pStyle w:val="ListNumber"/>
        <w:numPr>
          <w:ilvl w:val="0"/>
          <w:numId w:val="17"/>
        </w:numPr>
        <w:contextualSpacing w:val="0"/>
      </w:pPr>
      <w:r>
        <w:t xml:space="preserve">section 10(2)(b) of the </w:t>
      </w:r>
      <w:proofErr w:type="gramStart"/>
      <w:r w:rsidRPr="00601130">
        <w:rPr>
          <w:i/>
          <w:iCs/>
        </w:rPr>
        <w:t>Counter-Terrorism</w:t>
      </w:r>
      <w:proofErr w:type="gramEnd"/>
      <w:r w:rsidRPr="00601130">
        <w:rPr>
          <w:i/>
          <w:iCs/>
        </w:rPr>
        <w:t xml:space="preserve"> (Temporary Exclusion Orders) Act 2019</w:t>
      </w:r>
      <w:r>
        <w:t xml:space="preserve"> (</w:t>
      </w:r>
      <w:proofErr w:type="spellStart"/>
      <w:r>
        <w:t>Cth</w:t>
      </w:r>
      <w:proofErr w:type="spellEnd"/>
      <w:r>
        <w:t>) be repealed.</w:t>
      </w:r>
    </w:p>
    <w:p w14:paraId="4CF0A16A" w14:textId="4E43C423" w:rsidR="007405ED" w:rsidRPr="00DB7FDD" w:rsidRDefault="007405ED" w:rsidP="007405ED">
      <w:pPr>
        <w:pStyle w:val="ListNumber"/>
        <w:keepNext/>
        <w:numPr>
          <w:ilvl w:val="0"/>
          <w:numId w:val="0"/>
        </w:numPr>
        <w:ind w:left="1094"/>
        <w:contextualSpacing w:val="0"/>
        <w:rPr>
          <w:b/>
          <w:bCs/>
        </w:rPr>
      </w:pPr>
      <w:r w:rsidRPr="00DB7FDD">
        <w:rPr>
          <w:b/>
          <w:bCs/>
        </w:rPr>
        <w:t xml:space="preserve">Recommendation </w:t>
      </w:r>
      <w:r w:rsidR="00C41235">
        <w:rPr>
          <w:b/>
          <w:bCs/>
        </w:rPr>
        <w:t>3</w:t>
      </w:r>
    </w:p>
    <w:p w14:paraId="466D2C4F" w14:textId="77777777" w:rsidR="007405ED" w:rsidRDefault="007405ED" w:rsidP="007405ED">
      <w:pPr>
        <w:pStyle w:val="ListNumber"/>
        <w:numPr>
          <w:ilvl w:val="0"/>
          <w:numId w:val="0"/>
        </w:numPr>
        <w:ind w:left="1094"/>
        <w:contextualSpacing w:val="0"/>
      </w:pPr>
      <w:r>
        <w:t xml:space="preserve">The Commission recommends that the provision for review of a temporary exclusion order decision by a ‘reviewing authority’ in s 14 of the </w:t>
      </w:r>
      <w:proofErr w:type="gramStart"/>
      <w:r w:rsidRPr="0056205D">
        <w:rPr>
          <w:i/>
          <w:iCs/>
        </w:rPr>
        <w:t>Counter-Terrorism</w:t>
      </w:r>
      <w:proofErr w:type="gramEnd"/>
      <w:r w:rsidRPr="0056205D">
        <w:rPr>
          <w:i/>
          <w:iCs/>
        </w:rPr>
        <w:t xml:space="preserve"> (Temporary Exclusion Orders) Act 2019</w:t>
      </w:r>
      <w:r>
        <w:t xml:space="preserve"> (</w:t>
      </w:r>
      <w:proofErr w:type="spellStart"/>
      <w:r>
        <w:t>Cth</w:t>
      </w:r>
      <w:proofErr w:type="spellEnd"/>
      <w:r>
        <w:t xml:space="preserve">) be repealed and replaced with a requirement that the Minister seek an order from a Court for the making of a temporary exclusion order based on the model in the </w:t>
      </w:r>
      <w:r w:rsidRPr="006A3883">
        <w:rPr>
          <w:i/>
          <w:iCs/>
        </w:rPr>
        <w:t>Counter-Terrorism and Security Act 2015</w:t>
      </w:r>
      <w:r>
        <w:t xml:space="preserve"> (UK).</w:t>
      </w:r>
    </w:p>
    <w:p w14:paraId="6549B381" w14:textId="556789B1" w:rsidR="007405ED" w:rsidRPr="00200CE1" w:rsidRDefault="007405ED" w:rsidP="007405ED">
      <w:pPr>
        <w:pStyle w:val="ListNumber"/>
        <w:keepNext/>
        <w:numPr>
          <w:ilvl w:val="0"/>
          <w:numId w:val="0"/>
        </w:numPr>
        <w:ind w:left="1094"/>
        <w:contextualSpacing w:val="0"/>
        <w:rPr>
          <w:b/>
          <w:bCs/>
        </w:rPr>
      </w:pPr>
      <w:r w:rsidRPr="00200CE1">
        <w:rPr>
          <w:b/>
          <w:bCs/>
        </w:rPr>
        <w:t xml:space="preserve">Recommendation </w:t>
      </w:r>
      <w:r w:rsidR="00C41235">
        <w:rPr>
          <w:b/>
          <w:bCs/>
        </w:rPr>
        <w:t>4</w:t>
      </w:r>
    </w:p>
    <w:p w14:paraId="57784FC7" w14:textId="07E6AA42" w:rsidR="007405ED" w:rsidRDefault="007405ED" w:rsidP="007405ED">
      <w:pPr>
        <w:pStyle w:val="ListNumber"/>
        <w:numPr>
          <w:ilvl w:val="0"/>
          <w:numId w:val="0"/>
        </w:numPr>
        <w:ind w:left="1094"/>
        <w:contextualSpacing w:val="0"/>
      </w:pPr>
      <w:r>
        <w:t xml:space="preserve">If Recommendation </w:t>
      </w:r>
      <w:r w:rsidR="00955C36">
        <w:t>3</w:t>
      </w:r>
      <w:r>
        <w:t xml:space="preserve"> is not accepted, the Commission recommends that the </w:t>
      </w:r>
      <w:proofErr w:type="gramStart"/>
      <w:r w:rsidRPr="0056205D">
        <w:rPr>
          <w:i/>
          <w:iCs/>
        </w:rPr>
        <w:t>Counter-Terrorism</w:t>
      </w:r>
      <w:proofErr w:type="gramEnd"/>
      <w:r w:rsidRPr="0056205D">
        <w:rPr>
          <w:i/>
          <w:iCs/>
        </w:rPr>
        <w:t xml:space="preserve"> (Temporary Exclusion Orders) Act 2019</w:t>
      </w:r>
      <w:r>
        <w:t xml:space="preserve"> (</w:t>
      </w:r>
      <w:proofErr w:type="spellStart"/>
      <w:r>
        <w:t>Cth</w:t>
      </w:r>
      <w:proofErr w:type="spellEnd"/>
      <w:r>
        <w:t xml:space="preserve">) be amended so that: </w:t>
      </w:r>
    </w:p>
    <w:p w14:paraId="3D995F0F" w14:textId="044B7ED6" w:rsidR="007405ED" w:rsidRDefault="007405ED" w:rsidP="00A96C9A">
      <w:pPr>
        <w:pStyle w:val="ListNumber"/>
        <w:numPr>
          <w:ilvl w:val="0"/>
          <w:numId w:val="17"/>
        </w:numPr>
        <w:contextualSpacing w:val="0"/>
      </w:pPr>
      <w:r>
        <w:t xml:space="preserve">subject to the third dot point below, a temporary exclusion order may only be issued by an ‘issuing authority’ (being a judge, a retired </w:t>
      </w:r>
      <w:proofErr w:type="gramStart"/>
      <w:r>
        <w:t>judge</w:t>
      </w:r>
      <w:proofErr w:type="gramEnd"/>
      <w:r>
        <w:t xml:space="preserve"> or a senior member of the Administrative Appeals Tribunal) on application by the Minister, </w:t>
      </w:r>
    </w:p>
    <w:p w14:paraId="3FE08D27" w14:textId="77777777" w:rsidR="007405ED" w:rsidRDefault="007405ED" w:rsidP="00A96C9A">
      <w:pPr>
        <w:pStyle w:val="ListNumber"/>
        <w:numPr>
          <w:ilvl w:val="0"/>
          <w:numId w:val="17"/>
        </w:numPr>
        <w:contextualSpacing w:val="0"/>
      </w:pPr>
      <w:r>
        <w:t>the issuing authority must approve any condition set out in a return permit, and</w:t>
      </w:r>
    </w:p>
    <w:p w14:paraId="2493EEAE" w14:textId="77777777" w:rsidR="007405ED" w:rsidRDefault="007405ED" w:rsidP="00A96C9A">
      <w:pPr>
        <w:pStyle w:val="ListNumber"/>
        <w:numPr>
          <w:ilvl w:val="0"/>
          <w:numId w:val="17"/>
        </w:numPr>
        <w:contextualSpacing w:val="0"/>
      </w:pPr>
      <w:r>
        <w:t>in respect of urgent situations, the Minister may issue a temporary exclusion order, or impose a condition in a return permit, without the approval of an issuing authority, provided that:</w:t>
      </w:r>
    </w:p>
    <w:p w14:paraId="5A38570F" w14:textId="77777777" w:rsidR="007405ED" w:rsidRDefault="007405ED" w:rsidP="00A96C9A">
      <w:pPr>
        <w:pStyle w:val="ListNumber"/>
        <w:numPr>
          <w:ilvl w:val="1"/>
          <w:numId w:val="17"/>
        </w:numPr>
        <w:ind w:left="1843"/>
        <w:contextualSpacing w:val="0"/>
      </w:pPr>
      <w:r>
        <w:t>the Minister obtain the approval of an issuing authority for the temporary exclusion order as soon as reasonably practicable, and</w:t>
      </w:r>
    </w:p>
    <w:p w14:paraId="3E70D016" w14:textId="77777777" w:rsidR="007405ED" w:rsidRDefault="007405ED" w:rsidP="00A96C9A">
      <w:pPr>
        <w:pStyle w:val="ListNumber"/>
        <w:numPr>
          <w:ilvl w:val="1"/>
          <w:numId w:val="17"/>
        </w:numPr>
        <w:ind w:left="1843"/>
        <w:contextualSpacing w:val="0"/>
      </w:pPr>
      <w:r w:rsidRPr="00751978">
        <w:t>if the issuing authority does not approve of the temporary exclusion order, the Minister must immediately revoke the order</w:t>
      </w:r>
      <w:r>
        <w:t>.</w:t>
      </w:r>
    </w:p>
    <w:p w14:paraId="3F1D57CD" w14:textId="77777777" w:rsidR="008329C8" w:rsidRPr="00F15515" w:rsidRDefault="008329C8" w:rsidP="008329C8">
      <w:pPr>
        <w:pStyle w:val="ListNumber"/>
        <w:keepNext/>
        <w:numPr>
          <w:ilvl w:val="0"/>
          <w:numId w:val="0"/>
        </w:numPr>
        <w:ind w:left="1094"/>
        <w:contextualSpacing w:val="0"/>
        <w:rPr>
          <w:b/>
          <w:bCs/>
        </w:rPr>
      </w:pPr>
      <w:r w:rsidRPr="00F15515">
        <w:rPr>
          <w:b/>
          <w:bCs/>
        </w:rPr>
        <w:t>Recommendation 5</w:t>
      </w:r>
    </w:p>
    <w:p w14:paraId="63BE21C5" w14:textId="22EE2AEA" w:rsidR="008329C8" w:rsidRDefault="008329C8" w:rsidP="008329C8">
      <w:pPr>
        <w:pStyle w:val="ListNumber"/>
        <w:numPr>
          <w:ilvl w:val="0"/>
          <w:numId w:val="0"/>
        </w:numPr>
        <w:ind w:left="1094"/>
        <w:contextualSpacing w:val="0"/>
      </w:pPr>
      <w:r>
        <w:t xml:space="preserve">The Commission recommends </w:t>
      </w:r>
      <w:r w:rsidR="009D12BB">
        <w:t xml:space="preserve">that the </w:t>
      </w:r>
      <w:proofErr w:type="gramStart"/>
      <w:r w:rsidR="009D12BB" w:rsidRPr="0056205D">
        <w:rPr>
          <w:i/>
          <w:iCs/>
        </w:rPr>
        <w:t>Counter-Terrorism</w:t>
      </w:r>
      <w:proofErr w:type="gramEnd"/>
      <w:r w:rsidR="009D12BB" w:rsidRPr="0056205D">
        <w:rPr>
          <w:i/>
          <w:iCs/>
        </w:rPr>
        <w:t xml:space="preserve"> (Temporary Exclusion Orders) Act 2019</w:t>
      </w:r>
      <w:r w:rsidR="009D12BB">
        <w:t xml:space="preserve"> (</w:t>
      </w:r>
      <w:proofErr w:type="spellStart"/>
      <w:r w:rsidR="009D12BB">
        <w:t>Cth</w:t>
      </w:r>
      <w:proofErr w:type="spellEnd"/>
      <w:r w:rsidR="009D12BB">
        <w:t xml:space="preserve">) be amended so that </w:t>
      </w:r>
      <w:r>
        <w:t xml:space="preserve">a temporary exclusion order </w:t>
      </w:r>
      <w:r w:rsidR="009D12BB">
        <w:t xml:space="preserve">is required to </w:t>
      </w:r>
      <w:r>
        <w:t>set out:</w:t>
      </w:r>
    </w:p>
    <w:p w14:paraId="10227BA7" w14:textId="77777777" w:rsidR="008329C8" w:rsidRDefault="008329C8" w:rsidP="00A96C9A">
      <w:pPr>
        <w:pStyle w:val="ListNumber"/>
        <w:numPr>
          <w:ilvl w:val="0"/>
          <w:numId w:val="17"/>
        </w:numPr>
        <w:contextualSpacing w:val="0"/>
      </w:pPr>
      <w:r w:rsidRPr="00FA22C3">
        <w:t xml:space="preserve">a summary of the grounds on which </w:t>
      </w:r>
      <w:r>
        <w:t xml:space="preserve">the order is </w:t>
      </w:r>
      <w:r w:rsidRPr="00FA22C3">
        <w:t>made, excluding information that is likely to prejudice national security</w:t>
      </w:r>
      <w:r>
        <w:t>, and</w:t>
      </w:r>
    </w:p>
    <w:p w14:paraId="15EE7D87" w14:textId="77777777" w:rsidR="008329C8" w:rsidRDefault="008329C8" w:rsidP="00A96C9A">
      <w:pPr>
        <w:pStyle w:val="ListNumber"/>
        <w:numPr>
          <w:ilvl w:val="0"/>
          <w:numId w:val="17"/>
        </w:numPr>
        <w:contextualSpacing w:val="0"/>
      </w:pPr>
      <w:r>
        <w:lastRenderedPageBreak/>
        <w:t>the person’s rights of review in relation to the order and any return permit made</w:t>
      </w:r>
      <w:r w:rsidRPr="00FA22C3">
        <w:t>.</w:t>
      </w:r>
    </w:p>
    <w:p w14:paraId="79B065CB" w14:textId="77777777" w:rsidR="00B217B8" w:rsidRPr="00AD41D3" w:rsidRDefault="00B217B8" w:rsidP="00B217B8">
      <w:pPr>
        <w:pStyle w:val="ListNumber"/>
        <w:keepNext/>
        <w:numPr>
          <w:ilvl w:val="0"/>
          <w:numId w:val="0"/>
        </w:numPr>
        <w:ind w:left="1094"/>
        <w:contextualSpacing w:val="0"/>
        <w:rPr>
          <w:b/>
          <w:bCs/>
        </w:rPr>
      </w:pPr>
      <w:r w:rsidRPr="00AD41D3">
        <w:rPr>
          <w:b/>
          <w:bCs/>
        </w:rPr>
        <w:t>Recommendation 6</w:t>
      </w:r>
    </w:p>
    <w:p w14:paraId="7F3E105B" w14:textId="77777777" w:rsidR="00B217B8" w:rsidRDefault="00B217B8" w:rsidP="00B217B8">
      <w:pPr>
        <w:pStyle w:val="ListNumber"/>
        <w:numPr>
          <w:ilvl w:val="0"/>
          <w:numId w:val="0"/>
        </w:numPr>
        <w:ind w:left="1094"/>
        <w:contextualSpacing w:val="0"/>
      </w:pPr>
      <w:r>
        <w:t xml:space="preserve">The Commission recommends that the </w:t>
      </w:r>
      <w:proofErr w:type="gramStart"/>
      <w:r w:rsidRPr="0056205D">
        <w:rPr>
          <w:i/>
          <w:iCs/>
        </w:rPr>
        <w:t>Counter-Terrorism</w:t>
      </w:r>
      <w:proofErr w:type="gramEnd"/>
      <w:r w:rsidRPr="0056205D">
        <w:rPr>
          <w:i/>
          <w:iCs/>
        </w:rPr>
        <w:t xml:space="preserve"> (Temporary Exclusion Orders) Act 2019</w:t>
      </w:r>
      <w:r>
        <w:t xml:space="preserve"> (</w:t>
      </w:r>
      <w:proofErr w:type="spellStart"/>
      <w:r>
        <w:t>Cth</w:t>
      </w:r>
      <w:proofErr w:type="spellEnd"/>
      <w:r>
        <w:t>) be amended to exclude its application to children.</w:t>
      </w:r>
    </w:p>
    <w:p w14:paraId="0B067DC1" w14:textId="77777777" w:rsidR="00B217B8" w:rsidRPr="00AD41D3" w:rsidRDefault="00B217B8" w:rsidP="00B217B8">
      <w:pPr>
        <w:pStyle w:val="ListNumber"/>
        <w:keepNext/>
        <w:numPr>
          <w:ilvl w:val="0"/>
          <w:numId w:val="0"/>
        </w:numPr>
        <w:ind w:left="1094"/>
        <w:contextualSpacing w:val="0"/>
        <w:rPr>
          <w:b/>
          <w:bCs/>
        </w:rPr>
      </w:pPr>
      <w:r w:rsidRPr="00AD41D3">
        <w:rPr>
          <w:b/>
          <w:bCs/>
        </w:rPr>
        <w:t>Recommendation 7</w:t>
      </w:r>
    </w:p>
    <w:p w14:paraId="131310FC" w14:textId="77777777" w:rsidR="00B217B8" w:rsidRDefault="00B217B8" w:rsidP="00B217B8">
      <w:pPr>
        <w:pStyle w:val="ListNumber"/>
        <w:numPr>
          <w:ilvl w:val="0"/>
          <w:numId w:val="0"/>
        </w:numPr>
        <w:ind w:left="1094"/>
        <w:contextualSpacing w:val="0"/>
      </w:pPr>
      <w:r>
        <w:t xml:space="preserve">In the alternative to recommendation 6, the Commission recommends that the </w:t>
      </w:r>
      <w:proofErr w:type="gramStart"/>
      <w:r w:rsidRPr="0056205D">
        <w:rPr>
          <w:i/>
          <w:iCs/>
        </w:rPr>
        <w:t>Counter-Terrorism</w:t>
      </w:r>
      <w:proofErr w:type="gramEnd"/>
      <w:r w:rsidRPr="0056205D">
        <w:rPr>
          <w:i/>
          <w:iCs/>
        </w:rPr>
        <w:t xml:space="preserve"> (Temporary Exclusion Orders) Act 2019</w:t>
      </w:r>
      <w:r>
        <w:t xml:space="preserve"> (</w:t>
      </w:r>
      <w:proofErr w:type="spellStart"/>
      <w:r>
        <w:t>Cth</w:t>
      </w:r>
      <w:proofErr w:type="spellEnd"/>
      <w:r>
        <w:t>) be amended so that the assessment of:</w:t>
      </w:r>
    </w:p>
    <w:p w14:paraId="5D7F4C0B" w14:textId="77777777" w:rsidR="00B217B8" w:rsidRDefault="00B217B8" w:rsidP="00B217B8">
      <w:pPr>
        <w:pStyle w:val="ListNumber"/>
        <w:numPr>
          <w:ilvl w:val="0"/>
          <w:numId w:val="17"/>
        </w:numPr>
        <w:contextualSpacing w:val="0"/>
      </w:pPr>
      <w:r>
        <w:t xml:space="preserve">whether to make a temporary exclusion order, and </w:t>
      </w:r>
    </w:p>
    <w:p w14:paraId="77951A2F" w14:textId="77777777" w:rsidR="00B217B8" w:rsidRDefault="00B217B8" w:rsidP="00B217B8">
      <w:pPr>
        <w:pStyle w:val="ListNumber"/>
        <w:numPr>
          <w:ilvl w:val="0"/>
          <w:numId w:val="17"/>
        </w:numPr>
        <w:contextualSpacing w:val="0"/>
      </w:pPr>
      <w:r>
        <w:t xml:space="preserve">what conditions should be included on a return permit </w:t>
      </w:r>
    </w:p>
    <w:p w14:paraId="2E1A7543" w14:textId="1AFC600E" w:rsidR="00B217B8" w:rsidRDefault="00B217B8" w:rsidP="00B217B8">
      <w:pPr>
        <w:pStyle w:val="ListNumber"/>
        <w:numPr>
          <w:ilvl w:val="0"/>
          <w:numId w:val="0"/>
        </w:numPr>
        <w:ind w:left="1134"/>
        <w:contextualSpacing w:val="0"/>
      </w:pPr>
      <w:r>
        <w:t xml:space="preserve">does not treat any factor as inherently more significant that the rights of the child to </w:t>
      </w:r>
      <w:r w:rsidR="002F5775">
        <w:t>whom</w:t>
      </w:r>
      <w:r>
        <w:t xml:space="preserve"> the temporary exclusion order or return permit applies.</w:t>
      </w:r>
    </w:p>
    <w:p w14:paraId="543BE0DC" w14:textId="77777777" w:rsidR="007F1B1F" w:rsidRPr="00FE1C32" w:rsidRDefault="007F1B1F" w:rsidP="007F1B1F">
      <w:pPr>
        <w:pStyle w:val="ListNumber"/>
        <w:keepNext/>
        <w:numPr>
          <w:ilvl w:val="0"/>
          <w:numId w:val="0"/>
        </w:numPr>
        <w:ind w:left="1094"/>
        <w:contextualSpacing w:val="0"/>
        <w:rPr>
          <w:b/>
          <w:bCs/>
        </w:rPr>
      </w:pPr>
      <w:r w:rsidRPr="00FE1C32">
        <w:rPr>
          <w:b/>
          <w:bCs/>
        </w:rPr>
        <w:t>Recommendation 8</w:t>
      </w:r>
    </w:p>
    <w:p w14:paraId="182E416C" w14:textId="77777777" w:rsidR="007F1B1F" w:rsidRDefault="007F1B1F" w:rsidP="007F1B1F">
      <w:pPr>
        <w:pStyle w:val="ListNumber"/>
        <w:numPr>
          <w:ilvl w:val="0"/>
          <w:numId w:val="0"/>
        </w:numPr>
        <w:ind w:left="1094"/>
        <w:contextualSpacing w:val="0"/>
      </w:pPr>
      <w:r>
        <w:t xml:space="preserve">The Commission recommends that the </w:t>
      </w:r>
      <w:proofErr w:type="gramStart"/>
      <w:r w:rsidRPr="0056205D">
        <w:rPr>
          <w:i/>
          <w:iCs/>
        </w:rPr>
        <w:t>Counter-Terrorism</w:t>
      </w:r>
      <w:proofErr w:type="gramEnd"/>
      <w:r w:rsidRPr="0056205D">
        <w:rPr>
          <w:i/>
          <w:iCs/>
        </w:rPr>
        <w:t xml:space="preserve"> (Temporary Exclusion Orders) Act 2019</w:t>
      </w:r>
      <w:r>
        <w:t xml:space="preserve"> (</w:t>
      </w:r>
      <w:proofErr w:type="spellStart"/>
      <w:r>
        <w:t>Cth</w:t>
      </w:r>
      <w:proofErr w:type="spellEnd"/>
      <w:r>
        <w:t>) be amended so that, in any prosecution for a breach of an offence provision, the prosecution must prove that the defendant had knowledge of the existence of the temporary exclusion order or of the relevant return permit condition (as applicable).</w:t>
      </w:r>
    </w:p>
    <w:p w14:paraId="4070BC07" w14:textId="21294D09" w:rsidR="002E5DCE" w:rsidRDefault="00E70EB3" w:rsidP="002E5DCE">
      <w:pPr>
        <w:pStyle w:val="Heading1"/>
      </w:pPr>
      <w:bookmarkStart w:id="7" w:name="_Toc89418778"/>
      <w:r>
        <w:t>The TEO Act</w:t>
      </w:r>
      <w:bookmarkEnd w:id="7"/>
    </w:p>
    <w:p w14:paraId="3FEA3F58" w14:textId="06D243B9" w:rsidR="002E5DCE" w:rsidRDefault="002E5DCE" w:rsidP="002E5DCE">
      <w:pPr>
        <w:pStyle w:val="ListNumber"/>
        <w:tabs>
          <w:tab w:val="clear" w:pos="360"/>
        </w:tabs>
        <w:ind w:left="1094" w:hanging="737"/>
        <w:contextualSpacing w:val="0"/>
      </w:pPr>
      <w:r>
        <w:t xml:space="preserve">The </w:t>
      </w:r>
      <w:proofErr w:type="gramStart"/>
      <w:r w:rsidRPr="00B87F64">
        <w:t>Counter-Terrorism</w:t>
      </w:r>
      <w:proofErr w:type="gramEnd"/>
      <w:r w:rsidRPr="00B87F64">
        <w:t xml:space="preserve"> (Temporary Exclusion Orders) </w:t>
      </w:r>
      <w:r>
        <w:t xml:space="preserve">Bill </w:t>
      </w:r>
      <w:r w:rsidRPr="00B87F64">
        <w:t>2019 (</w:t>
      </w:r>
      <w:proofErr w:type="spellStart"/>
      <w:r w:rsidRPr="00B87F64">
        <w:t>Cth</w:t>
      </w:r>
      <w:proofErr w:type="spellEnd"/>
      <w:r w:rsidRPr="00B87F64">
        <w:t>)</w:t>
      </w:r>
      <w:r>
        <w:t xml:space="preserve"> was first introduced in February 2019.  It was the subject of inquiry by the PJCIS which reported in April 2019</w:t>
      </w:r>
      <w:proofErr w:type="gramStart"/>
      <w:r>
        <w:t xml:space="preserve">.  </w:t>
      </w:r>
      <w:proofErr w:type="gramEnd"/>
      <w:r>
        <w:t>The Bill lapsed with the dissolution of the 45</w:t>
      </w:r>
      <w:r w:rsidRPr="001D77DA">
        <w:rPr>
          <w:vertAlign w:val="superscript"/>
        </w:rPr>
        <w:t>th</w:t>
      </w:r>
      <w:r>
        <w:t xml:space="preserve"> Parliament. </w:t>
      </w:r>
    </w:p>
    <w:p w14:paraId="188CF4E7" w14:textId="5FE2CF05" w:rsidR="002E5DCE" w:rsidRDefault="002E5DCE" w:rsidP="002E5DCE">
      <w:pPr>
        <w:pStyle w:val="ListNumber"/>
        <w:tabs>
          <w:tab w:val="clear" w:pos="360"/>
        </w:tabs>
        <w:ind w:left="1094" w:hanging="737"/>
        <w:contextualSpacing w:val="0"/>
      </w:pPr>
      <w:r>
        <w:t xml:space="preserve">Following the 2019 federal election, the Bill was reintroduced with amendments to reflect the </w:t>
      </w:r>
      <w:r w:rsidR="000E6838">
        <w:t xml:space="preserve">Australian </w:t>
      </w:r>
      <w:r>
        <w:t xml:space="preserve">Government’s response to the recommendations of the PJCIS. </w:t>
      </w:r>
    </w:p>
    <w:p w14:paraId="729C04E7" w14:textId="23631BCC" w:rsidR="002E5DCE" w:rsidRDefault="002E5DCE" w:rsidP="002E5DCE">
      <w:pPr>
        <w:pStyle w:val="ListNumber"/>
        <w:tabs>
          <w:tab w:val="clear" w:pos="360"/>
        </w:tabs>
        <w:ind w:left="1094" w:hanging="737"/>
        <w:contextualSpacing w:val="0"/>
      </w:pPr>
      <w:r>
        <w:t xml:space="preserve">In its current form, the TEO Act </w:t>
      </w:r>
      <w:r w:rsidR="0099732E">
        <w:t xml:space="preserve">allows </w:t>
      </w:r>
      <w:r w:rsidR="008E21C3">
        <w:t xml:space="preserve">the responsible Minister to make a </w:t>
      </w:r>
      <w:r w:rsidR="00E16A5C">
        <w:t xml:space="preserve">TEO </w:t>
      </w:r>
      <w:r w:rsidR="008E21C3">
        <w:t>that prevents a</w:t>
      </w:r>
      <w:r w:rsidR="00BD00F3">
        <w:t>n Australian citizen over the age of 14</w:t>
      </w:r>
      <w:r w:rsidR="008E21C3">
        <w:t xml:space="preserve"> </w:t>
      </w:r>
      <w:r w:rsidR="00BE5CDE">
        <w:t>year</w:t>
      </w:r>
      <w:r w:rsidR="00F20C24">
        <w:t>s</w:t>
      </w:r>
      <w:r w:rsidR="00BE5CDE">
        <w:t xml:space="preserve"> old who is outside Australia </w:t>
      </w:r>
      <w:r w:rsidR="008E21C3">
        <w:t xml:space="preserve">from </w:t>
      </w:r>
      <w:r w:rsidR="00BD00F3">
        <w:t>re-</w:t>
      </w:r>
      <w:r w:rsidR="008E21C3">
        <w:t xml:space="preserve">entering Australia for </w:t>
      </w:r>
      <w:r w:rsidR="00F20C24">
        <w:t xml:space="preserve">a period of </w:t>
      </w:r>
      <w:r w:rsidR="008E21C3">
        <w:t>up to 2 years</w:t>
      </w:r>
      <w:r w:rsidR="00DE05A6">
        <w:t>.</w:t>
      </w:r>
      <w:r w:rsidR="00EB65F8">
        <w:rPr>
          <w:rStyle w:val="EndnoteReference"/>
        </w:rPr>
        <w:endnoteReference w:id="8"/>
      </w:r>
      <w:r w:rsidR="00DE05A6">
        <w:t xml:space="preserve"> </w:t>
      </w:r>
      <w:r w:rsidR="00BD00F3">
        <w:t xml:space="preserve"> It is an offence </w:t>
      </w:r>
      <w:r w:rsidR="00BE5CDE">
        <w:t xml:space="preserve">punishable by up to 2 years imprisonment </w:t>
      </w:r>
      <w:r w:rsidR="00355BA8">
        <w:t xml:space="preserve">for a person to </w:t>
      </w:r>
      <w:r w:rsidR="00CB6E11">
        <w:t xml:space="preserve">enter Australia </w:t>
      </w:r>
      <w:r w:rsidR="00355BA8">
        <w:t xml:space="preserve">if a TEO is in force in relation to </w:t>
      </w:r>
      <w:r w:rsidR="00D316D4">
        <w:t>them</w:t>
      </w:r>
      <w:r w:rsidR="00355BA8">
        <w:t>.</w:t>
      </w:r>
      <w:r w:rsidR="00DC13D2">
        <w:rPr>
          <w:rStyle w:val="EndnoteReference"/>
        </w:rPr>
        <w:endnoteReference w:id="9"/>
      </w:r>
      <w:r w:rsidR="00355BA8">
        <w:t xml:space="preserve"> </w:t>
      </w:r>
    </w:p>
    <w:p w14:paraId="6A0443A7" w14:textId="684FCB49" w:rsidR="00B433B2" w:rsidRDefault="00AF5527" w:rsidP="002E5DCE">
      <w:pPr>
        <w:pStyle w:val="ListNumber"/>
        <w:tabs>
          <w:tab w:val="clear" w:pos="360"/>
        </w:tabs>
        <w:ind w:left="1094" w:hanging="737"/>
        <w:contextualSpacing w:val="0"/>
      </w:pPr>
      <w:r>
        <w:lastRenderedPageBreak/>
        <w:t xml:space="preserve">If a TEO is made, </w:t>
      </w:r>
      <w:r w:rsidR="007C31C2">
        <w:t xml:space="preserve">the Minister must refer </w:t>
      </w:r>
      <w:r w:rsidR="00DB458C">
        <w:t>the decision to make the TEO</w:t>
      </w:r>
      <w:r w:rsidR="002E4DEB">
        <w:t xml:space="preserve"> </w:t>
      </w:r>
      <w:r w:rsidR="00253E5D">
        <w:t xml:space="preserve">to </w:t>
      </w:r>
      <w:r w:rsidR="002E4DEB">
        <w:t xml:space="preserve">a </w:t>
      </w:r>
      <w:r>
        <w:t>‘reviewing authority’</w:t>
      </w:r>
      <w:r w:rsidR="00253E5D">
        <w:t xml:space="preserve"> for review</w:t>
      </w:r>
      <w:proofErr w:type="gramStart"/>
      <w:r w:rsidR="00253E5D">
        <w:t xml:space="preserve">.  </w:t>
      </w:r>
      <w:proofErr w:type="gramEnd"/>
      <w:r w:rsidR="00253E5D">
        <w:t xml:space="preserve">The reviewing authority </w:t>
      </w:r>
      <w:r w:rsidR="003B368F">
        <w:t xml:space="preserve">is a former judge or senior member of the </w:t>
      </w:r>
      <w:r w:rsidR="00A351B7">
        <w:t>AAT</w:t>
      </w:r>
      <w:proofErr w:type="gramStart"/>
      <w:r w:rsidR="003B368F">
        <w:t>.</w:t>
      </w:r>
      <w:r w:rsidR="0064024A">
        <w:t xml:space="preserve">  </w:t>
      </w:r>
      <w:proofErr w:type="gramEnd"/>
      <w:r w:rsidR="0064024A">
        <w:t xml:space="preserve">If the reviewing authority is of the opinion that </w:t>
      </w:r>
      <w:r w:rsidR="00DB458C">
        <w:t xml:space="preserve">the </w:t>
      </w:r>
      <w:r w:rsidR="00253E5D">
        <w:t xml:space="preserve">decision involved </w:t>
      </w:r>
      <w:r w:rsidR="003C0BA8">
        <w:t>a specified error of law, the decision is taken never to have been made.</w:t>
      </w:r>
      <w:r w:rsidR="00EB65F8">
        <w:rPr>
          <w:rStyle w:val="EndnoteReference"/>
        </w:rPr>
        <w:endnoteReference w:id="10"/>
      </w:r>
    </w:p>
    <w:p w14:paraId="2C58014E" w14:textId="6972E658" w:rsidR="00E71A9F" w:rsidRDefault="0008749C" w:rsidP="00E47707">
      <w:pPr>
        <w:pStyle w:val="ListNumber"/>
        <w:tabs>
          <w:tab w:val="clear" w:pos="360"/>
        </w:tabs>
        <w:ind w:left="1094" w:hanging="737"/>
        <w:contextualSpacing w:val="0"/>
      </w:pPr>
      <w:r>
        <w:t xml:space="preserve">The Minister must issue a return permit to a person </w:t>
      </w:r>
      <w:r w:rsidR="0091657E">
        <w:t>who is subject to a TEO if the person applies for one</w:t>
      </w:r>
      <w:r w:rsidR="00D20B68">
        <w:t xml:space="preserve"> (or if the person is being deported or extradited to Australia)</w:t>
      </w:r>
      <w:proofErr w:type="gramStart"/>
      <w:r w:rsidR="0091657E">
        <w:t xml:space="preserve">.  </w:t>
      </w:r>
      <w:proofErr w:type="gramEnd"/>
      <w:r w:rsidR="00D20B68">
        <w:t>The Minister also has a discretion to issue a return permit.</w:t>
      </w:r>
      <w:r w:rsidR="00E71A9F">
        <w:rPr>
          <w:rStyle w:val="EndnoteReference"/>
        </w:rPr>
        <w:endnoteReference w:id="11"/>
      </w:r>
      <w:r w:rsidR="00D20B68">
        <w:t xml:space="preserve">  </w:t>
      </w:r>
      <w:r w:rsidR="00211B6F">
        <w:t>If a return permit is issued, then the TEO is revoked.</w:t>
      </w:r>
      <w:r w:rsidR="00211B6F">
        <w:rPr>
          <w:rStyle w:val="EndnoteReference"/>
        </w:rPr>
        <w:endnoteReference w:id="12"/>
      </w:r>
      <w:r w:rsidR="00211B6F">
        <w:t xml:space="preserve">  Subject to any conditions imposed by the return permit, the person would then be able to return to Australia. </w:t>
      </w:r>
    </w:p>
    <w:p w14:paraId="26F75A64" w14:textId="569638E1" w:rsidR="00771C36" w:rsidRDefault="00D20B68" w:rsidP="00E47707">
      <w:pPr>
        <w:pStyle w:val="ListNumber"/>
        <w:tabs>
          <w:tab w:val="clear" w:pos="360"/>
        </w:tabs>
        <w:ind w:left="1094" w:hanging="737"/>
        <w:contextualSpacing w:val="0"/>
      </w:pPr>
      <w:r>
        <w:t xml:space="preserve">The return permit may contain conditions </w:t>
      </w:r>
      <w:r w:rsidR="00760E47">
        <w:t xml:space="preserve">including </w:t>
      </w:r>
      <w:r w:rsidR="00A25620">
        <w:t>what are described as ‘</w:t>
      </w:r>
      <w:r w:rsidR="00A277EF">
        <w:t>pre-entry conditions</w:t>
      </w:r>
      <w:r w:rsidR="00A25620">
        <w:t>’ that control when a person may return to Australia</w:t>
      </w:r>
      <w:proofErr w:type="gramStart"/>
      <w:r w:rsidR="00A25620">
        <w:t xml:space="preserve">.  </w:t>
      </w:r>
      <w:proofErr w:type="gramEnd"/>
      <w:r w:rsidR="00A25620">
        <w:t xml:space="preserve">A pre-entry condition </w:t>
      </w:r>
      <w:r w:rsidR="00301CCE">
        <w:t xml:space="preserve">may </w:t>
      </w:r>
      <w:r w:rsidR="005C5A84">
        <w:t>be one of the following</w:t>
      </w:r>
      <w:r w:rsidR="00A277EF">
        <w:t xml:space="preserve">: </w:t>
      </w:r>
    </w:p>
    <w:p w14:paraId="5007A693" w14:textId="56C336F6" w:rsidR="00A277EF" w:rsidRDefault="00301CCE" w:rsidP="00A96C9A">
      <w:pPr>
        <w:pStyle w:val="ListNumber"/>
        <w:numPr>
          <w:ilvl w:val="0"/>
          <w:numId w:val="17"/>
        </w:numPr>
        <w:contextualSpacing w:val="0"/>
      </w:pPr>
      <w:r>
        <w:t xml:space="preserve">The person </w:t>
      </w:r>
      <w:r w:rsidRPr="00FC2383">
        <w:rPr>
          <w:u w:val="single"/>
        </w:rPr>
        <w:t>must not</w:t>
      </w:r>
      <w:r>
        <w:t xml:space="preserve"> enter Australia during a specified period</w:t>
      </w:r>
      <w:proofErr w:type="gramStart"/>
      <w:r>
        <w:t xml:space="preserve">.  </w:t>
      </w:r>
      <w:proofErr w:type="gramEnd"/>
      <w:r>
        <w:t xml:space="preserve">This period can be up to 12 </w:t>
      </w:r>
      <w:proofErr w:type="gramStart"/>
      <w:r>
        <w:t>months, but</w:t>
      </w:r>
      <w:proofErr w:type="gramEnd"/>
      <w:r>
        <w:t xml:space="preserve"> </w:t>
      </w:r>
      <w:r w:rsidR="00ED460F">
        <w:t xml:space="preserve">must not be longer that the period ‘reasonably necessary to assess the risk posed by the entry of the person to Australia </w:t>
      </w:r>
      <w:r w:rsidR="00FC2383">
        <w:t>and to make appropriate arrangements for that entry’.</w:t>
      </w:r>
    </w:p>
    <w:p w14:paraId="65AB2156" w14:textId="3BB4E461" w:rsidR="00FC2383" w:rsidRDefault="00FC2383" w:rsidP="00A96C9A">
      <w:pPr>
        <w:pStyle w:val="ListNumber"/>
        <w:numPr>
          <w:ilvl w:val="0"/>
          <w:numId w:val="17"/>
        </w:numPr>
        <w:contextualSpacing w:val="0"/>
      </w:pPr>
      <w:r>
        <w:t xml:space="preserve">The person </w:t>
      </w:r>
      <w:r w:rsidRPr="00FC2383">
        <w:rPr>
          <w:u w:val="single"/>
        </w:rPr>
        <w:t>must</w:t>
      </w:r>
      <w:r>
        <w:t xml:space="preserve"> enter Australia within a specified period</w:t>
      </w:r>
      <w:r w:rsidR="00772B32">
        <w:t xml:space="preserve"> or</w:t>
      </w:r>
      <w:r w:rsidR="002148B4">
        <w:t xml:space="preserve"> on a specified date</w:t>
      </w:r>
      <w:proofErr w:type="gramStart"/>
      <w:r>
        <w:t xml:space="preserve">.  </w:t>
      </w:r>
      <w:proofErr w:type="gramEnd"/>
      <w:r w:rsidR="008C00F7">
        <w:t xml:space="preserve">If </w:t>
      </w:r>
      <w:r w:rsidR="007E34B5">
        <w:t>a</w:t>
      </w:r>
      <w:r w:rsidR="008C00F7">
        <w:t xml:space="preserve"> condition </w:t>
      </w:r>
      <w:r w:rsidR="007E34B5">
        <w:t xml:space="preserve">of this nature </w:t>
      </w:r>
      <w:r w:rsidR="008C00F7">
        <w:t xml:space="preserve">is imposed, the </w:t>
      </w:r>
      <w:r w:rsidR="009D0829">
        <w:t xml:space="preserve">period </w:t>
      </w:r>
      <w:r w:rsidR="002148B4">
        <w:t xml:space="preserve">or date </w:t>
      </w:r>
      <w:r w:rsidR="009D0829">
        <w:t xml:space="preserve">must </w:t>
      </w:r>
      <w:r w:rsidR="008C00F7">
        <w:t>be within 3 months of when the permit was issued.</w:t>
      </w:r>
    </w:p>
    <w:p w14:paraId="566F54F4" w14:textId="706AD03A" w:rsidR="00AA3521" w:rsidRDefault="00AA3521" w:rsidP="00A96C9A">
      <w:pPr>
        <w:pStyle w:val="ListNumber"/>
        <w:numPr>
          <w:ilvl w:val="0"/>
          <w:numId w:val="17"/>
        </w:numPr>
        <w:contextualSpacing w:val="0"/>
      </w:pPr>
      <w:r>
        <w:t xml:space="preserve">The person </w:t>
      </w:r>
      <w:proofErr w:type="gramStart"/>
      <w:r w:rsidR="00FD2C64">
        <w:t>enter</w:t>
      </w:r>
      <w:proofErr w:type="gramEnd"/>
      <w:r w:rsidR="00FD2C64">
        <w:t xml:space="preserve"> Australia in a specified manner.  For example, in combination with one of the above conditions as to timing, </w:t>
      </w:r>
      <w:r w:rsidR="00147376">
        <w:t>a return permit could require a person to return to Australia on a particular flight on a particular date.</w:t>
      </w:r>
      <w:r w:rsidR="00B276D1">
        <w:rPr>
          <w:rStyle w:val="EndnoteReference"/>
        </w:rPr>
        <w:endnoteReference w:id="13"/>
      </w:r>
    </w:p>
    <w:p w14:paraId="33818608" w14:textId="3CACACC8" w:rsidR="00760E47" w:rsidRDefault="00752D62" w:rsidP="00E47707">
      <w:pPr>
        <w:pStyle w:val="ListNumber"/>
        <w:tabs>
          <w:tab w:val="clear" w:pos="360"/>
        </w:tabs>
        <w:ind w:left="1094" w:hanging="737"/>
        <w:contextualSpacing w:val="0"/>
      </w:pPr>
      <w:r>
        <w:t>The return permit may also contain ‘post-entry</w:t>
      </w:r>
      <w:r w:rsidR="00F075C3">
        <w:t xml:space="preserve"> </w:t>
      </w:r>
      <w:proofErr w:type="gramStart"/>
      <w:r w:rsidR="00F075C3">
        <w:t>conditions’</w:t>
      </w:r>
      <w:proofErr w:type="gramEnd"/>
      <w:r w:rsidR="00F075C3">
        <w:t xml:space="preserve">.  These may include </w:t>
      </w:r>
      <w:r w:rsidR="00D3159C">
        <w:t xml:space="preserve">notification requirements in relation to the person’s place of residence, </w:t>
      </w:r>
      <w:r w:rsidR="002264B2">
        <w:t xml:space="preserve">place of </w:t>
      </w:r>
      <w:r w:rsidR="00D3159C">
        <w:t xml:space="preserve">employment, </w:t>
      </w:r>
      <w:r w:rsidR="002264B2">
        <w:t xml:space="preserve">place of </w:t>
      </w:r>
      <w:r w:rsidR="00D3159C">
        <w:t>education</w:t>
      </w:r>
      <w:r w:rsidR="002264B2">
        <w:t xml:space="preserve">, </w:t>
      </w:r>
      <w:r w:rsidR="00960B9D">
        <w:t xml:space="preserve">contact with specified individuals, travel </w:t>
      </w:r>
      <w:proofErr w:type="gramStart"/>
      <w:r w:rsidR="00960B9D">
        <w:t>intentions</w:t>
      </w:r>
      <w:proofErr w:type="gramEnd"/>
      <w:r w:rsidR="00BC7B3A">
        <w:t xml:space="preserve"> and</w:t>
      </w:r>
      <w:r w:rsidR="00960B9D">
        <w:t xml:space="preserve"> </w:t>
      </w:r>
      <w:r w:rsidR="00E10792">
        <w:t xml:space="preserve">use of telecommunications </w:t>
      </w:r>
      <w:r w:rsidR="007C4C81">
        <w:t>services</w:t>
      </w:r>
      <w:r w:rsidR="00BC7B3A">
        <w:t>.</w:t>
      </w:r>
      <w:r w:rsidR="00D3159C">
        <w:t xml:space="preserve"> </w:t>
      </w:r>
      <w:r w:rsidR="00BC7B3A">
        <w:t xml:space="preserve"> They may also include conditions </w:t>
      </w:r>
      <w:r w:rsidR="0044130E">
        <w:t xml:space="preserve">requiring the surrender of a passport or </w:t>
      </w:r>
      <w:r w:rsidR="008251B5">
        <w:t xml:space="preserve">prohibiting the application for </w:t>
      </w:r>
      <w:r w:rsidR="0044130E">
        <w:t>a passport.</w:t>
      </w:r>
      <w:r w:rsidR="00FA1FF6">
        <w:rPr>
          <w:rStyle w:val="EndnoteReference"/>
        </w:rPr>
        <w:endnoteReference w:id="14"/>
      </w:r>
      <w:r w:rsidR="0044130E">
        <w:t xml:space="preserve"> </w:t>
      </w:r>
    </w:p>
    <w:p w14:paraId="2C0F1A13" w14:textId="616BFFAD" w:rsidR="009578CC" w:rsidRDefault="009578CC" w:rsidP="00E47707">
      <w:pPr>
        <w:pStyle w:val="ListNumber"/>
        <w:tabs>
          <w:tab w:val="clear" w:pos="360"/>
        </w:tabs>
        <w:ind w:left="1094" w:hanging="737"/>
        <w:contextualSpacing w:val="0"/>
      </w:pPr>
      <w:r>
        <w:t>Failure to comply with either a pre-entry condition or a post-entry condition is an offence punishable by up to two years imprisonment.</w:t>
      </w:r>
      <w:r>
        <w:rPr>
          <w:rStyle w:val="EndnoteReference"/>
        </w:rPr>
        <w:endnoteReference w:id="15"/>
      </w:r>
    </w:p>
    <w:p w14:paraId="3FB0888B" w14:textId="1733BDB0" w:rsidR="00CE1A00" w:rsidRDefault="000B3DA4" w:rsidP="000B3DA4">
      <w:pPr>
        <w:pStyle w:val="Heading1"/>
      </w:pPr>
      <w:bookmarkStart w:id="8" w:name="_Toc89418779"/>
      <w:r>
        <w:t>Use of temporary exclusion orders</w:t>
      </w:r>
      <w:bookmarkEnd w:id="8"/>
    </w:p>
    <w:p w14:paraId="35625C7D" w14:textId="09E4E306" w:rsidR="000B3DA4" w:rsidRDefault="009F7D00" w:rsidP="00CE1A00">
      <w:pPr>
        <w:pStyle w:val="ListNumber"/>
        <w:tabs>
          <w:tab w:val="clear" w:pos="360"/>
        </w:tabs>
        <w:ind w:left="1094" w:hanging="737"/>
        <w:contextualSpacing w:val="0"/>
      </w:pPr>
      <w:r>
        <w:t xml:space="preserve">There is little public information about the use </w:t>
      </w:r>
      <w:r w:rsidR="00E87FEA">
        <w:t>that has been made of temporary exclusion orders.</w:t>
      </w:r>
    </w:p>
    <w:p w14:paraId="138F5262" w14:textId="0F1AB085" w:rsidR="00E87FEA" w:rsidRDefault="00106F4E" w:rsidP="00CE1A00">
      <w:pPr>
        <w:pStyle w:val="ListNumber"/>
        <w:tabs>
          <w:tab w:val="clear" w:pos="360"/>
        </w:tabs>
        <w:ind w:left="1094" w:hanging="737"/>
        <w:contextualSpacing w:val="0"/>
      </w:pPr>
      <w:r>
        <w:lastRenderedPageBreak/>
        <w:t>T</w:t>
      </w:r>
      <w:r w:rsidR="006750B0">
        <w:t xml:space="preserve">he Minister must </w:t>
      </w:r>
      <w:r>
        <w:t xml:space="preserve">publish </w:t>
      </w:r>
      <w:r w:rsidR="006750B0">
        <w:t xml:space="preserve">an annual report including </w:t>
      </w:r>
      <w:r w:rsidR="00563F7E">
        <w:t>certain kinds of information.</w:t>
      </w:r>
      <w:r>
        <w:rPr>
          <w:rStyle w:val="EndnoteReference"/>
        </w:rPr>
        <w:endnoteReference w:id="16"/>
      </w:r>
      <w:r w:rsidR="00563F7E">
        <w:t xml:space="preserve">  Similar reporting requirements exist </w:t>
      </w:r>
      <w:r w:rsidR="00815337">
        <w:t xml:space="preserve">in relation to </w:t>
      </w:r>
      <w:r w:rsidR="00563F7E">
        <w:t>other extraordinary counter-terrorism powers</w:t>
      </w:r>
      <w:r w:rsidR="003C6405">
        <w:t xml:space="preserve"> and the practice of the </w:t>
      </w:r>
      <w:r w:rsidR="001E0207">
        <w:t xml:space="preserve">Australian </w:t>
      </w:r>
      <w:r w:rsidR="003C6405">
        <w:t>Government has been to combine those reports into a single document</w:t>
      </w:r>
      <w:proofErr w:type="gramStart"/>
      <w:r w:rsidR="00563F7E">
        <w:t xml:space="preserve">.  </w:t>
      </w:r>
      <w:proofErr w:type="gramEnd"/>
      <w:r w:rsidR="006877AE">
        <w:t xml:space="preserve">Only one annual report has been published </w:t>
      </w:r>
      <w:r w:rsidR="00C8361C">
        <w:t xml:space="preserve">(for the 2019-20 year) </w:t>
      </w:r>
      <w:r w:rsidR="006877AE">
        <w:t>since</w:t>
      </w:r>
      <w:r w:rsidR="00C8361C">
        <w:t xml:space="preserve"> the TEO Act </w:t>
      </w:r>
      <w:r w:rsidR="00583F7B">
        <w:t>came into force</w:t>
      </w:r>
      <w:r w:rsidR="007473F0">
        <w:t xml:space="preserve"> on 30 July 2019</w:t>
      </w:r>
      <w:r w:rsidR="00583F7B">
        <w:t>.</w:t>
      </w:r>
      <w:r w:rsidR="005F4361">
        <w:rPr>
          <w:rStyle w:val="EndnoteReference"/>
        </w:rPr>
        <w:endnoteReference w:id="17"/>
      </w:r>
    </w:p>
    <w:p w14:paraId="39526422" w14:textId="4C3F85E6" w:rsidR="006877AE" w:rsidRDefault="006877AE" w:rsidP="00CE1A00">
      <w:pPr>
        <w:pStyle w:val="ListNumber"/>
        <w:tabs>
          <w:tab w:val="clear" w:pos="360"/>
        </w:tabs>
        <w:ind w:left="1094" w:hanging="737"/>
        <w:contextualSpacing w:val="0"/>
      </w:pPr>
      <w:r>
        <w:t xml:space="preserve">Separately, the </w:t>
      </w:r>
      <w:r w:rsidR="00F33303">
        <w:t xml:space="preserve">standard </w:t>
      </w:r>
      <w:r>
        <w:t xml:space="preserve">annual reports of the Department of Home Affairs </w:t>
      </w:r>
      <w:r w:rsidR="005F4361">
        <w:t xml:space="preserve">contain some </w:t>
      </w:r>
      <w:r w:rsidR="008E16C6">
        <w:t xml:space="preserve">less extensive </w:t>
      </w:r>
      <w:r w:rsidR="005F4361">
        <w:t xml:space="preserve">information on the use of </w:t>
      </w:r>
      <w:r w:rsidR="009F6E7B">
        <w:t>TEOs</w:t>
      </w:r>
      <w:r w:rsidR="005F4361">
        <w:t>.</w:t>
      </w:r>
    </w:p>
    <w:p w14:paraId="38C42AB7" w14:textId="07BC40C4" w:rsidR="00695377" w:rsidRDefault="005F4361" w:rsidP="00CE1A00">
      <w:pPr>
        <w:pStyle w:val="ListNumber"/>
        <w:tabs>
          <w:tab w:val="clear" w:pos="360"/>
        </w:tabs>
        <w:ind w:left="1094" w:hanging="737"/>
        <w:contextualSpacing w:val="0"/>
      </w:pPr>
      <w:r>
        <w:t>Based on that information, it appears that</w:t>
      </w:r>
      <w:r w:rsidR="00695377">
        <w:t xml:space="preserve"> </w:t>
      </w:r>
      <w:r w:rsidR="009B40A5">
        <w:t xml:space="preserve">as </w:t>
      </w:r>
      <w:proofErr w:type="gramStart"/>
      <w:r w:rsidR="009B40A5">
        <w:t>at</w:t>
      </w:r>
      <w:proofErr w:type="gramEnd"/>
      <w:r w:rsidR="009B40A5">
        <w:t xml:space="preserve"> 30 June 2021 </w:t>
      </w:r>
      <w:r w:rsidR="00695377">
        <w:t xml:space="preserve">a total of eight </w:t>
      </w:r>
      <w:r w:rsidR="00AA2B95">
        <w:t>TEOs</w:t>
      </w:r>
      <w:r w:rsidR="00695377">
        <w:t xml:space="preserve"> ha</w:t>
      </w:r>
      <w:r w:rsidR="009B40A5">
        <w:t>d</w:t>
      </w:r>
      <w:r w:rsidR="00695377">
        <w:t xml:space="preserve"> been made</w:t>
      </w:r>
      <w:r w:rsidR="009C6FF2">
        <w:t xml:space="preserve"> and </w:t>
      </w:r>
      <w:r w:rsidR="00B6655C">
        <w:t xml:space="preserve">between two and </w:t>
      </w:r>
      <w:r w:rsidR="009C6FF2">
        <w:t>four people had returned to Australia</w:t>
      </w:r>
      <w:r w:rsidR="00020EE6">
        <w:t xml:space="preserve"> pursuant to a return permit</w:t>
      </w:r>
      <w:r w:rsidR="009B40A5">
        <w:t>.</w:t>
      </w:r>
    </w:p>
    <w:p w14:paraId="4A2B227F" w14:textId="2035EF96" w:rsidR="005F4361" w:rsidRDefault="00695377" w:rsidP="00CE1A00">
      <w:pPr>
        <w:pStyle w:val="ListNumber"/>
        <w:tabs>
          <w:tab w:val="clear" w:pos="360"/>
        </w:tabs>
        <w:ind w:left="1094" w:hanging="737"/>
        <w:contextualSpacing w:val="0"/>
      </w:pPr>
      <w:r>
        <w:t>Fi</w:t>
      </w:r>
      <w:r w:rsidR="00213956">
        <w:t xml:space="preserve">ve </w:t>
      </w:r>
      <w:r w:rsidR="003A20F0">
        <w:t xml:space="preserve">TEOs </w:t>
      </w:r>
      <w:r w:rsidR="00213956">
        <w:t>were made in 2019-20</w:t>
      </w:r>
      <w:r w:rsidR="00935494">
        <w:t xml:space="preserve">, all in relation to people </w:t>
      </w:r>
      <w:r w:rsidR="00D44E9A">
        <w:t xml:space="preserve">aged </w:t>
      </w:r>
      <w:r w:rsidR="00935494">
        <w:t>18 years and older</w:t>
      </w:r>
      <w:proofErr w:type="gramStart"/>
      <w:r w:rsidR="00935494">
        <w:t xml:space="preserve">.  </w:t>
      </w:r>
      <w:proofErr w:type="gramEnd"/>
      <w:r w:rsidR="00935494">
        <w:t>During that year</w:t>
      </w:r>
      <w:r w:rsidR="00496715">
        <w:t>,</w:t>
      </w:r>
      <w:r w:rsidR="00935494">
        <w:t xml:space="preserve"> one return permit was issued </w:t>
      </w:r>
      <w:r w:rsidR="00F8756A">
        <w:t>(</w:t>
      </w:r>
      <w:r w:rsidR="00D44E9A">
        <w:t xml:space="preserve">without </w:t>
      </w:r>
      <w:r w:rsidR="005950E0">
        <w:t xml:space="preserve">any </w:t>
      </w:r>
      <w:r w:rsidR="00883006">
        <w:t xml:space="preserve">pre- or post-entry </w:t>
      </w:r>
      <w:r w:rsidR="00D44E9A">
        <w:t>conditions</w:t>
      </w:r>
      <w:r w:rsidR="00F8756A">
        <w:t>)</w:t>
      </w:r>
      <w:r w:rsidR="00496715">
        <w:t xml:space="preserve">, </w:t>
      </w:r>
      <w:r w:rsidR="003C684F">
        <w:t xml:space="preserve">the </w:t>
      </w:r>
      <w:r w:rsidR="003A20F0">
        <w:t xml:space="preserve">TEO </w:t>
      </w:r>
      <w:r w:rsidR="003C684F">
        <w:t>in relation to that person was revoked,</w:t>
      </w:r>
      <w:r w:rsidR="00D44E9A">
        <w:t xml:space="preserve"> </w:t>
      </w:r>
      <w:r w:rsidR="00935494">
        <w:t xml:space="preserve">and the person subject to </w:t>
      </w:r>
      <w:r w:rsidR="003C684F">
        <w:t xml:space="preserve">the </w:t>
      </w:r>
      <w:r w:rsidR="00935494">
        <w:t>return permit</w:t>
      </w:r>
      <w:r w:rsidR="00D44E9A">
        <w:t xml:space="preserve"> entered Australia</w:t>
      </w:r>
      <w:proofErr w:type="gramStart"/>
      <w:r w:rsidR="00D44E9A">
        <w:t xml:space="preserve">. </w:t>
      </w:r>
      <w:r w:rsidR="0026716B">
        <w:t xml:space="preserve"> </w:t>
      </w:r>
      <w:proofErr w:type="gramEnd"/>
      <w:r w:rsidR="0026716B">
        <w:t>No-one was charged with an offence under the TEO Act.</w:t>
      </w:r>
    </w:p>
    <w:p w14:paraId="0782F248" w14:textId="2D911B5A" w:rsidR="0026716B" w:rsidRDefault="0026716B" w:rsidP="00CE1A00">
      <w:pPr>
        <w:pStyle w:val="ListNumber"/>
        <w:tabs>
          <w:tab w:val="clear" w:pos="360"/>
        </w:tabs>
        <w:ind w:left="1094" w:hanging="737"/>
        <w:contextualSpacing w:val="0"/>
      </w:pPr>
      <w:r>
        <w:t xml:space="preserve">In 2020-21, </w:t>
      </w:r>
      <w:r w:rsidR="008E16C6">
        <w:t xml:space="preserve">it appears that </w:t>
      </w:r>
      <w:r w:rsidR="005758D2">
        <w:t xml:space="preserve">three </w:t>
      </w:r>
      <w:r w:rsidR="003A20F0">
        <w:t>TEOs</w:t>
      </w:r>
      <w:r w:rsidR="005758D2">
        <w:t xml:space="preserve"> were made.</w:t>
      </w:r>
      <w:r w:rsidR="005758D2">
        <w:rPr>
          <w:rStyle w:val="EndnoteReference"/>
        </w:rPr>
        <w:endnoteReference w:id="18"/>
      </w:r>
      <w:r w:rsidR="006F08D3">
        <w:t xml:space="preserve">  Three </w:t>
      </w:r>
      <w:r w:rsidR="00B651F5">
        <w:t>return permits were issued</w:t>
      </w:r>
      <w:proofErr w:type="gramStart"/>
      <w:r w:rsidR="00C559BD">
        <w:t xml:space="preserve">.  </w:t>
      </w:r>
      <w:proofErr w:type="gramEnd"/>
      <w:r w:rsidR="00CD511A">
        <w:t xml:space="preserve">The language of the </w:t>
      </w:r>
      <w:r w:rsidR="00BC01F0">
        <w:t xml:space="preserve">Department’s </w:t>
      </w:r>
      <w:r w:rsidR="00CD511A">
        <w:t>annual report is not entirely clear, but i</w:t>
      </w:r>
      <w:r w:rsidR="00B651F5">
        <w:t xml:space="preserve">t appears that two of these permits </w:t>
      </w:r>
      <w:r w:rsidR="00793651">
        <w:t xml:space="preserve">may have been </w:t>
      </w:r>
      <w:r w:rsidR="00B651F5">
        <w:t xml:space="preserve">issued in relation to </w:t>
      </w:r>
      <w:r w:rsidR="0081348A">
        <w:t>TEOs</w:t>
      </w:r>
      <w:r w:rsidR="00B651F5">
        <w:t xml:space="preserve"> made </w:t>
      </w:r>
      <w:r w:rsidR="00C559BD">
        <w:t>in 2019-2</w:t>
      </w:r>
      <w:r w:rsidR="002C3138">
        <w:t>0</w:t>
      </w:r>
      <w:r w:rsidR="00C559BD">
        <w:t xml:space="preserve"> </w:t>
      </w:r>
      <w:r w:rsidR="00300754">
        <w:t xml:space="preserve">and one </w:t>
      </w:r>
      <w:r w:rsidR="00BC01F0">
        <w:t xml:space="preserve">permit issued </w:t>
      </w:r>
      <w:r w:rsidR="00C559BD">
        <w:t xml:space="preserve">in relation to a </w:t>
      </w:r>
      <w:r w:rsidR="0081348A">
        <w:t xml:space="preserve">TEO </w:t>
      </w:r>
      <w:r w:rsidR="00C559BD">
        <w:t>made in 2020-21</w:t>
      </w:r>
      <w:proofErr w:type="gramStart"/>
      <w:r w:rsidR="00B651F5">
        <w:t>.</w:t>
      </w:r>
      <w:r w:rsidR="004178E5">
        <w:t xml:space="preserve">  </w:t>
      </w:r>
      <w:proofErr w:type="gramEnd"/>
      <w:r w:rsidR="004178E5">
        <w:t>In relation to the most recent return permit, the Department said:</w:t>
      </w:r>
    </w:p>
    <w:p w14:paraId="3C6C904C" w14:textId="768C8A9D" w:rsidR="004178E5" w:rsidRDefault="00E90ADB" w:rsidP="00F12A07">
      <w:pPr>
        <w:pStyle w:val="ListNumber"/>
        <w:numPr>
          <w:ilvl w:val="0"/>
          <w:numId w:val="0"/>
        </w:numPr>
        <w:ind w:left="1440"/>
        <w:contextualSpacing w:val="0"/>
        <w:rPr>
          <w:sz w:val="22"/>
          <w:szCs w:val="22"/>
        </w:rPr>
      </w:pPr>
      <w:r w:rsidRPr="007358C0">
        <w:rPr>
          <w:sz w:val="22"/>
          <w:szCs w:val="22"/>
        </w:rPr>
        <w:t>An Australian citizen, who had previously been convicted of terrorism offences offshore, expressed an intention to return to Australia. The Minister for Home Affairs made a TEO and then subsequently issued a Return Permit in relation to the person. The person’s eventual return to Australia was controlled under the MACTI framework</w:t>
      </w:r>
      <w:r w:rsidR="007F40A0" w:rsidRPr="007358C0">
        <w:rPr>
          <w:sz w:val="22"/>
          <w:szCs w:val="22"/>
        </w:rPr>
        <w:t xml:space="preserve"> [Management of Australians of Counter Terrorism Interest Offshore]</w:t>
      </w:r>
      <w:r w:rsidRPr="007358C0">
        <w:rPr>
          <w:sz w:val="22"/>
          <w:szCs w:val="22"/>
        </w:rPr>
        <w:t>. The Return Permit imposed conditions upon the person once they returned to Australia, such as</w:t>
      </w:r>
      <w:r w:rsidR="007358C0" w:rsidRPr="007358C0">
        <w:rPr>
          <w:sz w:val="22"/>
          <w:szCs w:val="22"/>
        </w:rPr>
        <w:t xml:space="preserve"> </w:t>
      </w:r>
      <w:r w:rsidRPr="007358C0">
        <w:rPr>
          <w:sz w:val="22"/>
          <w:szCs w:val="22"/>
        </w:rPr>
        <w:t>notifying the Department of intended address and place of work. These</w:t>
      </w:r>
      <w:r w:rsidR="007358C0" w:rsidRPr="007358C0">
        <w:rPr>
          <w:sz w:val="22"/>
          <w:szCs w:val="22"/>
        </w:rPr>
        <w:t xml:space="preserve"> </w:t>
      </w:r>
      <w:r w:rsidRPr="007358C0">
        <w:rPr>
          <w:sz w:val="22"/>
          <w:szCs w:val="22"/>
        </w:rPr>
        <w:t>conditions assist law enforcement and intelligence agency to monitor the</w:t>
      </w:r>
      <w:r w:rsidR="007358C0" w:rsidRPr="007358C0">
        <w:rPr>
          <w:sz w:val="22"/>
          <w:szCs w:val="22"/>
        </w:rPr>
        <w:t xml:space="preserve"> </w:t>
      </w:r>
      <w:r w:rsidRPr="007358C0">
        <w:rPr>
          <w:sz w:val="22"/>
          <w:szCs w:val="22"/>
        </w:rPr>
        <w:t>risk posed by the person. Should the person fail to comply with Return</w:t>
      </w:r>
      <w:r w:rsidR="007358C0" w:rsidRPr="007358C0">
        <w:rPr>
          <w:sz w:val="22"/>
          <w:szCs w:val="22"/>
        </w:rPr>
        <w:t xml:space="preserve"> </w:t>
      </w:r>
      <w:r w:rsidRPr="007358C0">
        <w:rPr>
          <w:sz w:val="22"/>
          <w:szCs w:val="22"/>
        </w:rPr>
        <w:t>Permit conditions, they face a maximum penalty of two years imprisonment.</w:t>
      </w:r>
      <w:r w:rsidR="007358C0">
        <w:rPr>
          <w:rStyle w:val="EndnoteReference"/>
        </w:rPr>
        <w:endnoteReference w:id="19"/>
      </w:r>
    </w:p>
    <w:p w14:paraId="6D293CC6" w14:textId="3C696DE3" w:rsidR="00EA6D81" w:rsidRDefault="00EA6D81" w:rsidP="00EA6D81">
      <w:pPr>
        <w:pStyle w:val="ListNumber"/>
        <w:tabs>
          <w:tab w:val="clear" w:pos="360"/>
        </w:tabs>
        <w:ind w:left="1094" w:hanging="737"/>
        <w:contextualSpacing w:val="0"/>
      </w:pPr>
      <w:r>
        <w:t xml:space="preserve">The Commission has not identified any </w:t>
      </w:r>
      <w:r w:rsidR="009476A5">
        <w:t xml:space="preserve">legal </w:t>
      </w:r>
      <w:r>
        <w:t>cases that have considered the TEO Act.</w:t>
      </w:r>
    </w:p>
    <w:p w14:paraId="4EE8B02E" w14:textId="506BA292" w:rsidR="001A616E" w:rsidRDefault="001A616E" w:rsidP="00B2101F">
      <w:pPr>
        <w:pStyle w:val="Heading1"/>
      </w:pPr>
      <w:bookmarkStart w:id="9" w:name="_Toc89418780"/>
      <w:r>
        <w:lastRenderedPageBreak/>
        <w:t>Primary position: repeal</w:t>
      </w:r>
      <w:bookmarkEnd w:id="9"/>
    </w:p>
    <w:p w14:paraId="5BD8A6AF" w14:textId="5E5C8573" w:rsidR="00D13417" w:rsidRDefault="00D11928" w:rsidP="00D13417">
      <w:pPr>
        <w:pStyle w:val="ListNumber"/>
        <w:tabs>
          <w:tab w:val="clear" w:pos="360"/>
        </w:tabs>
        <w:ind w:left="1094" w:hanging="737"/>
        <w:contextualSpacing w:val="0"/>
      </w:pPr>
      <w:r>
        <w:t>The primary position of the Commission is that the TEO Act should be repealed because it is not necessary</w:t>
      </w:r>
      <w:r w:rsidR="00F518C8">
        <w:t>.</w:t>
      </w:r>
    </w:p>
    <w:p w14:paraId="0E4FF2B1" w14:textId="4C0AB504" w:rsidR="00F518C8" w:rsidRDefault="00F518C8" w:rsidP="00D13417">
      <w:pPr>
        <w:pStyle w:val="ListNumber"/>
        <w:tabs>
          <w:tab w:val="clear" w:pos="360"/>
        </w:tabs>
        <w:ind w:left="1094" w:hanging="737"/>
        <w:contextualSpacing w:val="0"/>
      </w:pPr>
      <w:r>
        <w:t xml:space="preserve">The TEO Act was introduced </w:t>
      </w:r>
      <w:r w:rsidR="00926862">
        <w:t xml:space="preserve">in response to </w:t>
      </w:r>
      <w:r w:rsidR="00AF5053">
        <w:t xml:space="preserve">a group of people described as ‘Australian foreign fighters’: Australians who travelled to conflict zones in Syria and Iraq </w:t>
      </w:r>
      <w:r w:rsidR="009A3A29">
        <w:t xml:space="preserve">to fight </w:t>
      </w:r>
      <w:r w:rsidR="00A35C5F">
        <w:t xml:space="preserve">for or otherwise support </w:t>
      </w:r>
      <w:r w:rsidR="000A593B">
        <w:t xml:space="preserve">extremist </w:t>
      </w:r>
      <w:r w:rsidR="00A35C5F">
        <w:t>groups</w:t>
      </w:r>
      <w:r w:rsidR="009A3A29">
        <w:t>, and who may later seek to return to Australia.</w:t>
      </w:r>
    </w:p>
    <w:p w14:paraId="60CE1099" w14:textId="515B90D4" w:rsidR="009A3A29" w:rsidRDefault="009A3A29" w:rsidP="00D13417">
      <w:pPr>
        <w:pStyle w:val="ListNumber"/>
        <w:tabs>
          <w:tab w:val="clear" w:pos="360"/>
        </w:tabs>
        <w:ind w:left="1094" w:hanging="737"/>
        <w:contextualSpacing w:val="0"/>
      </w:pPr>
      <w:r>
        <w:t xml:space="preserve">At the time that </w:t>
      </w:r>
      <w:r w:rsidR="00147E6A">
        <w:t>the first Bill was being considered by the PJCIS</w:t>
      </w:r>
      <w:r w:rsidR="00F85562">
        <w:t xml:space="preserve"> in March 2019</w:t>
      </w:r>
      <w:r w:rsidR="00147E6A">
        <w:t xml:space="preserve">, there were </w:t>
      </w:r>
      <w:r w:rsidR="00F85562">
        <w:t>approximately 90 Australians still in the conflict zone.</w:t>
      </w:r>
      <w:r w:rsidR="007A559E">
        <w:rPr>
          <w:rStyle w:val="EndnoteReference"/>
        </w:rPr>
        <w:endnoteReference w:id="20"/>
      </w:r>
      <w:r w:rsidR="00DE331C">
        <w:t xml:space="preserve">  </w:t>
      </w:r>
      <w:r w:rsidR="003A5598">
        <w:t xml:space="preserve">By </w:t>
      </w:r>
      <w:r w:rsidR="00F60EF7">
        <w:t>the time the amended Bill was introduced, this number was down to 80.</w:t>
      </w:r>
      <w:r w:rsidR="00EC2BD7">
        <w:rPr>
          <w:rStyle w:val="EndnoteReference"/>
        </w:rPr>
        <w:endnoteReference w:id="21"/>
      </w:r>
      <w:r w:rsidR="00F60EF7">
        <w:t xml:space="preserve">  </w:t>
      </w:r>
      <w:r w:rsidR="00C426FD">
        <w:t xml:space="preserve">It seems that the number may now be </w:t>
      </w:r>
      <w:r w:rsidR="00C70B00">
        <w:t>as low as 65.</w:t>
      </w:r>
      <w:r w:rsidR="00D0122A">
        <w:rPr>
          <w:rStyle w:val="EndnoteReference"/>
        </w:rPr>
        <w:endnoteReference w:id="22"/>
      </w:r>
      <w:r w:rsidR="00C70B00">
        <w:t xml:space="preserve">  </w:t>
      </w:r>
      <w:r w:rsidR="00DE331C">
        <w:t xml:space="preserve">The </w:t>
      </w:r>
      <w:r w:rsidR="00D853F1">
        <w:t>AFP</w:t>
      </w:r>
      <w:r w:rsidR="00DE331C">
        <w:t xml:space="preserve"> confirmed </w:t>
      </w:r>
      <w:r w:rsidR="00D853F1">
        <w:t xml:space="preserve">during the PJCIS hearing </w:t>
      </w:r>
      <w:r w:rsidR="00DE331C">
        <w:t>that there were arrest warrants in place for 28 of those people</w:t>
      </w:r>
      <w:r w:rsidR="00A5147E">
        <w:t xml:space="preserve">, </w:t>
      </w:r>
      <w:r w:rsidR="00406CC7">
        <w:t>described as ‘active fighters’</w:t>
      </w:r>
      <w:r w:rsidR="001E5FF6">
        <w:t>,</w:t>
      </w:r>
      <w:r w:rsidR="00406CC7">
        <w:t xml:space="preserve"> </w:t>
      </w:r>
      <w:r w:rsidR="00A5147E">
        <w:t xml:space="preserve">but that the TEO regime was not necessary </w:t>
      </w:r>
      <w:r w:rsidR="00D67359">
        <w:t>in relation to those people because, once they arrived in Australia</w:t>
      </w:r>
      <w:r w:rsidR="00C343B4">
        <w:t xml:space="preserve"> (whether by extradition or otherwise)</w:t>
      </w:r>
      <w:r w:rsidR="00D67359">
        <w:t xml:space="preserve">, they could immediately </w:t>
      </w:r>
      <w:r w:rsidR="0021785E">
        <w:t xml:space="preserve">be </w:t>
      </w:r>
      <w:r w:rsidR="00D67359">
        <w:t>arrested pursuant to the terms of those warrants</w:t>
      </w:r>
      <w:r w:rsidR="00DE331C">
        <w:t>.</w:t>
      </w:r>
      <w:r w:rsidR="001E5FF6">
        <w:rPr>
          <w:rStyle w:val="EndnoteReference"/>
        </w:rPr>
        <w:endnoteReference w:id="23"/>
      </w:r>
      <w:r w:rsidR="0006666E">
        <w:t xml:space="preserve">  </w:t>
      </w:r>
      <w:r w:rsidR="001564BB">
        <w:t>By December 2019, the number of active arrest warrants had increased to 40.</w:t>
      </w:r>
      <w:r w:rsidR="001564BB">
        <w:rPr>
          <w:rStyle w:val="EndnoteReference"/>
        </w:rPr>
        <w:endnoteReference w:id="24"/>
      </w:r>
      <w:r w:rsidR="001564BB">
        <w:t xml:space="preserve">  </w:t>
      </w:r>
      <w:r w:rsidR="0093556F">
        <w:t xml:space="preserve">Those </w:t>
      </w:r>
      <w:r w:rsidR="004038D5">
        <w:t>charged with criminal offences could be remanded in custody (likely, given the presumption against bail</w:t>
      </w:r>
      <w:r w:rsidR="00155FCB">
        <w:t xml:space="preserve"> for </w:t>
      </w:r>
      <w:r w:rsidR="00464E7B">
        <w:t>terrorism related offences</w:t>
      </w:r>
      <w:r w:rsidR="00155FCB">
        <w:t>)</w:t>
      </w:r>
      <w:r w:rsidR="008464C4">
        <w:rPr>
          <w:rStyle w:val="EndnoteReference"/>
        </w:rPr>
        <w:endnoteReference w:id="25"/>
      </w:r>
      <w:r w:rsidR="00155FCB">
        <w:t xml:space="preserve"> or released subject to bail conditions</w:t>
      </w:r>
      <w:r w:rsidR="00464E7B">
        <w:t xml:space="preserve">.  </w:t>
      </w:r>
    </w:p>
    <w:p w14:paraId="0E38ADC3" w14:textId="47C9D510" w:rsidR="00D67359" w:rsidRDefault="00CE407B" w:rsidP="00D13417">
      <w:pPr>
        <w:pStyle w:val="ListNumber"/>
        <w:tabs>
          <w:tab w:val="clear" w:pos="360"/>
        </w:tabs>
        <w:ind w:left="1094" w:hanging="737"/>
        <w:contextualSpacing w:val="0"/>
      </w:pPr>
      <w:r>
        <w:t>Instead, i</w:t>
      </w:r>
      <w:r w:rsidR="00DD4BC4">
        <w:t xml:space="preserve">t was suggested that the TEO </w:t>
      </w:r>
      <w:r w:rsidR="00942C99">
        <w:t xml:space="preserve">regime was necessary in relation to </w:t>
      </w:r>
      <w:r w:rsidR="00870023">
        <w:t xml:space="preserve">‘associates and facilitators and relatives that haven’t been doing active fighting </w:t>
      </w:r>
      <w:r w:rsidR="00FF3AD5">
        <w:t xml:space="preserve">in that conflict zone’ and in respect of whom there may be challenges in </w:t>
      </w:r>
      <w:r w:rsidR="00A54E39">
        <w:t>obtaining sufficient evidence of criminal conduct.</w:t>
      </w:r>
      <w:r w:rsidR="009A654E">
        <w:rPr>
          <w:rStyle w:val="EndnoteReference"/>
        </w:rPr>
        <w:endnoteReference w:id="26"/>
      </w:r>
    </w:p>
    <w:p w14:paraId="328CBDEF" w14:textId="53EA406A" w:rsidR="00FF3AD5" w:rsidRDefault="000A3AAB" w:rsidP="00667DD0">
      <w:pPr>
        <w:pStyle w:val="ListNumber"/>
        <w:keepNext/>
        <w:tabs>
          <w:tab w:val="clear" w:pos="360"/>
        </w:tabs>
        <w:ind w:left="1094" w:hanging="737"/>
        <w:contextualSpacing w:val="0"/>
      </w:pPr>
      <w:r>
        <w:t>This argument is unconvincing given:</w:t>
      </w:r>
    </w:p>
    <w:p w14:paraId="5FBA45B2" w14:textId="3D62428F" w:rsidR="009A3750" w:rsidRDefault="009A3750" w:rsidP="00A96C9A">
      <w:pPr>
        <w:pStyle w:val="ListNumber"/>
        <w:numPr>
          <w:ilvl w:val="0"/>
          <w:numId w:val="19"/>
        </w:numPr>
        <w:ind w:left="1437"/>
        <w:contextualSpacing w:val="0"/>
      </w:pPr>
      <w:r>
        <w:t>the broad offences that attach to mere presence in the conflict zone in Syria and Iraq</w:t>
      </w:r>
    </w:p>
    <w:p w14:paraId="0810951C" w14:textId="77777777" w:rsidR="009A3750" w:rsidRDefault="009A3750" w:rsidP="00A96C9A">
      <w:pPr>
        <w:pStyle w:val="ListNumber"/>
        <w:numPr>
          <w:ilvl w:val="0"/>
          <w:numId w:val="19"/>
        </w:numPr>
        <w:ind w:left="1434" w:hanging="357"/>
        <w:contextualSpacing w:val="0"/>
      </w:pPr>
      <w:r>
        <w:t>the reduced threshold for the arrest of a person for such an offence</w:t>
      </w:r>
    </w:p>
    <w:p w14:paraId="7F3505AC" w14:textId="7B276BE3" w:rsidR="009A3750" w:rsidRDefault="00E77E63" w:rsidP="00A96C9A">
      <w:pPr>
        <w:pStyle w:val="ListNumber"/>
        <w:numPr>
          <w:ilvl w:val="0"/>
          <w:numId w:val="19"/>
        </w:numPr>
        <w:ind w:left="1434" w:hanging="357"/>
        <w:contextualSpacing w:val="0"/>
      </w:pPr>
      <w:r>
        <w:t xml:space="preserve">the ability of police to hold people for questioning </w:t>
      </w:r>
      <w:r w:rsidR="0016597E">
        <w:t>before charging them with such an offence</w:t>
      </w:r>
    </w:p>
    <w:p w14:paraId="302781A9" w14:textId="0191F308" w:rsidR="009A3750" w:rsidRDefault="009A3750" w:rsidP="00A96C9A">
      <w:pPr>
        <w:pStyle w:val="ListNumber"/>
        <w:numPr>
          <w:ilvl w:val="0"/>
          <w:numId w:val="19"/>
        </w:numPr>
        <w:ind w:left="1434" w:hanging="357"/>
        <w:contextualSpacing w:val="0"/>
      </w:pPr>
      <w:r>
        <w:t>the other measures in place to impose limits on the conduct of people in Australia, including control orders</w:t>
      </w:r>
      <w:r w:rsidR="0089467E">
        <w:t>.</w:t>
      </w:r>
      <w:r>
        <w:t xml:space="preserve"> </w:t>
      </w:r>
    </w:p>
    <w:p w14:paraId="4EA3A337" w14:textId="334DBD04" w:rsidR="00BB4040" w:rsidRDefault="00433148" w:rsidP="00D13417">
      <w:pPr>
        <w:pStyle w:val="ListNumber"/>
        <w:tabs>
          <w:tab w:val="clear" w:pos="360"/>
        </w:tabs>
        <w:ind w:left="1094" w:hanging="737"/>
        <w:contextualSpacing w:val="0"/>
      </w:pPr>
      <w:r>
        <w:t xml:space="preserve">In relation to </w:t>
      </w:r>
      <w:r w:rsidR="001705D1">
        <w:t>(a)</w:t>
      </w:r>
      <w:r>
        <w:t xml:space="preserve">, </w:t>
      </w:r>
      <w:r w:rsidR="00F26CF0">
        <w:t xml:space="preserve">it is an offence against s 119.2 of the </w:t>
      </w:r>
      <w:r w:rsidR="00F26CF0" w:rsidRPr="00826BAA">
        <w:rPr>
          <w:i/>
          <w:iCs/>
        </w:rPr>
        <w:t>Criminal Code</w:t>
      </w:r>
      <w:r w:rsidR="00F26CF0">
        <w:t xml:space="preserve"> </w:t>
      </w:r>
      <w:r w:rsidR="00FC560B">
        <w:t xml:space="preserve">for an Australian citizen to enter or remain in </w:t>
      </w:r>
      <w:r w:rsidR="00886051">
        <w:t>an area of a foreign country which is the subject of a declaration made by the Minister for For</w:t>
      </w:r>
      <w:r w:rsidR="006C11B4">
        <w:t>eign Affairs</w:t>
      </w:r>
      <w:proofErr w:type="gramStart"/>
      <w:r w:rsidR="00182D97">
        <w:t xml:space="preserve">.  </w:t>
      </w:r>
      <w:proofErr w:type="gramEnd"/>
      <w:r w:rsidR="00C07DFE">
        <w:t xml:space="preserve">Two areas have been </w:t>
      </w:r>
      <w:r w:rsidR="002529A2">
        <w:t>declared</w:t>
      </w:r>
      <w:r w:rsidR="00C07DFE">
        <w:t>:</w:t>
      </w:r>
    </w:p>
    <w:p w14:paraId="50107D04" w14:textId="6F22856D" w:rsidR="00C07DFE" w:rsidRDefault="000F4E1C" w:rsidP="00A96C9A">
      <w:pPr>
        <w:pStyle w:val="ListNumber"/>
        <w:numPr>
          <w:ilvl w:val="0"/>
          <w:numId w:val="20"/>
        </w:numPr>
        <w:contextualSpacing w:val="0"/>
      </w:pPr>
      <w:r>
        <w:lastRenderedPageBreak/>
        <w:t>a</w:t>
      </w:r>
      <w:r w:rsidR="00C07DFE">
        <w:t>l-Ra</w:t>
      </w:r>
      <w:r>
        <w:t>qqa Province in Syria (from 4 December 2014 to 27 November 2017)</w:t>
      </w:r>
    </w:p>
    <w:p w14:paraId="606B3F95" w14:textId="7D468310" w:rsidR="000F4E1C" w:rsidRDefault="000F4E1C" w:rsidP="00A96C9A">
      <w:pPr>
        <w:pStyle w:val="ListNumber"/>
        <w:numPr>
          <w:ilvl w:val="0"/>
          <w:numId w:val="20"/>
        </w:numPr>
        <w:contextualSpacing w:val="0"/>
      </w:pPr>
      <w:r>
        <w:t xml:space="preserve">Mosul district, </w:t>
      </w:r>
      <w:r w:rsidR="009310D9">
        <w:t>Ninewa Province in Iraq (from 2 March 2015 to 19</w:t>
      </w:r>
      <w:r w:rsidR="00AE61EC">
        <w:t> </w:t>
      </w:r>
      <w:r w:rsidR="009310D9">
        <w:t>December 2019).</w:t>
      </w:r>
      <w:r w:rsidR="00AE61EC">
        <w:rPr>
          <w:rStyle w:val="EndnoteReference"/>
        </w:rPr>
        <w:endnoteReference w:id="27"/>
      </w:r>
    </w:p>
    <w:p w14:paraId="2D22E3B4" w14:textId="640CF319" w:rsidR="009A3750" w:rsidRDefault="00C05C8B" w:rsidP="00D13417">
      <w:pPr>
        <w:pStyle w:val="ListNumber"/>
        <w:tabs>
          <w:tab w:val="clear" w:pos="360"/>
        </w:tabs>
        <w:ind w:left="1094" w:hanging="737"/>
        <w:contextualSpacing w:val="0"/>
      </w:pPr>
      <w:r>
        <w:t xml:space="preserve">Significantly, mere presence in the area (unless one of the exceptions </w:t>
      </w:r>
      <w:r w:rsidR="00FA6BBE">
        <w:t>in ss 119.2(3)</w:t>
      </w:r>
      <w:proofErr w:type="gramStart"/>
      <w:r w:rsidR="00FA6BBE">
        <w:t>–(</w:t>
      </w:r>
      <w:proofErr w:type="gramEnd"/>
      <w:r w:rsidR="00FA6BBE">
        <w:t xml:space="preserve">5) </w:t>
      </w:r>
      <w:r>
        <w:t xml:space="preserve">applies) is sufficient to have </w:t>
      </w:r>
      <w:r w:rsidR="008E2FD9">
        <w:t>committed the offence.  There is no requirement, for example, to be an ‘active fighter’.</w:t>
      </w:r>
      <w:r w:rsidR="00826BAA">
        <w:t xml:space="preserve"> </w:t>
      </w:r>
    </w:p>
    <w:p w14:paraId="11D76E52" w14:textId="113A9120" w:rsidR="00610D29" w:rsidRDefault="00FA6FFA" w:rsidP="00D13417">
      <w:pPr>
        <w:pStyle w:val="ListNumber"/>
        <w:tabs>
          <w:tab w:val="clear" w:pos="360"/>
        </w:tabs>
        <w:ind w:left="1094" w:hanging="737"/>
        <w:contextualSpacing w:val="0"/>
      </w:pPr>
      <w:r>
        <w:t xml:space="preserve">In relation to </w:t>
      </w:r>
      <w:r w:rsidR="001705D1">
        <w:t>(b)</w:t>
      </w:r>
      <w:r>
        <w:t xml:space="preserve">, </w:t>
      </w:r>
      <w:r w:rsidR="001D010C">
        <w:t>since 2014</w:t>
      </w:r>
      <w:r w:rsidR="00440609">
        <w:t xml:space="preserve"> police have had the ability to arrest a person without a warrant in relation to a terrorism offence </w:t>
      </w:r>
      <w:r w:rsidR="002209C7">
        <w:t xml:space="preserve">(including an offence against s 119.2 of the </w:t>
      </w:r>
      <w:r w:rsidR="002209C7" w:rsidRPr="00D55F84">
        <w:rPr>
          <w:i/>
          <w:iCs/>
        </w:rPr>
        <w:t>Criminal Code</w:t>
      </w:r>
      <w:r w:rsidR="002209C7">
        <w:t xml:space="preserve">) </w:t>
      </w:r>
      <w:r w:rsidR="00440609">
        <w:t xml:space="preserve">if they ‘suspect on reasonable grounds’ that the person has committed </w:t>
      </w:r>
      <w:r w:rsidR="00173C30">
        <w:t>an offence.</w:t>
      </w:r>
      <w:r w:rsidR="002209C7">
        <w:rPr>
          <w:rStyle w:val="EndnoteReference"/>
        </w:rPr>
        <w:endnoteReference w:id="28"/>
      </w:r>
      <w:r w:rsidR="00173C30">
        <w:t xml:space="preserve">  This is a lower threshold that ‘belief on reasonable grounds’ which applies to all other Commonwealth offences.</w:t>
      </w:r>
      <w:r w:rsidR="004618EA">
        <w:rPr>
          <w:rStyle w:val="EndnoteReference"/>
        </w:rPr>
        <w:endnoteReference w:id="29"/>
      </w:r>
      <w:r w:rsidR="00173C30">
        <w:t xml:space="preserve"> </w:t>
      </w:r>
      <w:r w:rsidR="00F006B3">
        <w:t xml:space="preserve"> </w:t>
      </w:r>
    </w:p>
    <w:p w14:paraId="5724C379" w14:textId="4B6FD6E1" w:rsidR="00FA6FFA" w:rsidRDefault="00E308D1" w:rsidP="009C7053">
      <w:pPr>
        <w:pStyle w:val="ListNumber"/>
        <w:tabs>
          <w:tab w:val="clear" w:pos="360"/>
        </w:tabs>
        <w:ind w:left="1094" w:hanging="737"/>
        <w:contextualSpacing w:val="0"/>
      </w:pPr>
      <w:r>
        <w:t xml:space="preserve">In relation to (c), if a person has been arrested </w:t>
      </w:r>
      <w:r w:rsidR="00B00AB6">
        <w:t>in relation to a Commonwealth offence</w:t>
      </w:r>
      <w:r w:rsidR="00076293">
        <w:t xml:space="preserve">, the police </w:t>
      </w:r>
      <w:proofErr w:type="gramStart"/>
      <w:r w:rsidR="00076293">
        <w:t>have the ability to</w:t>
      </w:r>
      <w:proofErr w:type="gramEnd"/>
      <w:r w:rsidR="00076293">
        <w:t xml:space="preserve"> question the person under the pre-charge detention regime in Part IC of the Crimes Act for the purpose of investigating whether they committed the offence.</w:t>
      </w:r>
      <w:r w:rsidR="001F0C14">
        <w:t xml:space="preserve">  In the case of a person arrested in relation to a terrorism</w:t>
      </w:r>
      <w:r w:rsidR="001D7BC3">
        <w:t xml:space="preserve"> </w:t>
      </w:r>
      <w:r w:rsidR="001F0C14">
        <w:t>offence, they may be held for the purpose of investigation (including</w:t>
      </w:r>
      <w:r w:rsidR="001D7BC3">
        <w:t xml:space="preserve"> </w:t>
      </w:r>
      <w:r w:rsidR="001F0C14">
        <w:t>questioning) for up to 24 hours after arrest (with the approval of a</w:t>
      </w:r>
      <w:r w:rsidR="001D7BC3">
        <w:t xml:space="preserve"> </w:t>
      </w:r>
      <w:r w:rsidR="001F0C14">
        <w:t>Magistrate).</w:t>
      </w:r>
      <w:r w:rsidR="00F9366F">
        <w:rPr>
          <w:rStyle w:val="EndnoteReference"/>
        </w:rPr>
        <w:endnoteReference w:id="30"/>
      </w:r>
      <w:r w:rsidR="001F0C14">
        <w:t xml:space="preserve"> However, this investigation period may be paused for a</w:t>
      </w:r>
      <w:r w:rsidR="001D7BC3">
        <w:t xml:space="preserve"> </w:t>
      </w:r>
      <w:r w:rsidR="001F0C14">
        <w:t>variety of reasons. The total period that a person may be held,</w:t>
      </w:r>
      <w:r w:rsidR="001D7BC3">
        <w:t xml:space="preserve"> </w:t>
      </w:r>
      <w:r w:rsidR="001F0C14">
        <w:t>including any pauses in the investigation, is eight days (again, with the</w:t>
      </w:r>
      <w:r w:rsidR="001D7BC3">
        <w:t xml:space="preserve"> </w:t>
      </w:r>
      <w:r w:rsidR="001F0C14">
        <w:t>approval of a Magistrate).</w:t>
      </w:r>
      <w:r w:rsidR="001B166B">
        <w:rPr>
          <w:rStyle w:val="EndnoteReference"/>
        </w:rPr>
        <w:endnoteReference w:id="31"/>
      </w:r>
    </w:p>
    <w:p w14:paraId="5FC70E59" w14:textId="63F53BB9" w:rsidR="0098615F" w:rsidRDefault="0098615F" w:rsidP="009C7053">
      <w:pPr>
        <w:pStyle w:val="ListNumber"/>
        <w:tabs>
          <w:tab w:val="clear" w:pos="360"/>
        </w:tabs>
        <w:ind w:left="1094" w:hanging="737"/>
        <w:contextualSpacing w:val="0"/>
      </w:pPr>
      <w:r>
        <w:t>In relation to (d), there is a</w:t>
      </w:r>
      <w:r w:rsidR="00D4322C">
        <w:t>n existing ability to seek a control order in relation to a person</w:t>
      </w:r>
      <w:r w:rsidR="00B91138">
        <w:t xml:space="preserve">, with a similar threshold </w:t>
      </w:r>
      <w:r w:rsidR="00020232">
        <w:t>to that in s 10(2)</w:t>
      </w:r>
      <w:r w:rsidR="003D6085">
        <w:t>(a)</w:t>
      </w:r>
      <w:r w:rsidR="00020232">
        <w:t xml:space="preserve"> of the TEO Act</w:t>
      </w:r>
      <w:r w:rsidR="00DF357D">
        <w:t>.</w:t>
      </w:r>
      <w:r w:rsidR="00B11748">
        <w:rPr>
          <w:rStyle w:val="EndnoteReference"/>
        </w:rPr>
        <w:endnoteReference w:id="32"/>
      </w:r>
      <w:r w:rsidR="00DF357D">
        <w:t xml:space="preserve">  An </w:t>
      </w:r>
      <w:r w:rsidR="00B11748">
        <w:t>interim control order can be obtained on an</w:t>
      </w:r>
      <w:r w:rsidR="00DE7FFE">
        <w:t xml:space="preserve"> urgent</w:t>
      </w:r>
      <w:r w:rsidR="00CB68F1">
        <w:t xml:space="preserve"> </w:t>
      </w:r>
      <w:r w:rsidR="00CB68F1" w:rsidRPr="00B11748">
        <w:rPr>
          <w:i/>
          <w:iCs/>
        </w:rPr>
        <w:t xml:space="preserve">ex </w:t>
      </w:r>
      <w:proofErr w:type="spellStart"/>
      <w:r w:rsidR="00CB68F1" w:rsidRPr="00B11748">
        <w:rPr>
          <w:i/>
          <w:iCs/>
        </w:rPr>
        <w:t>parte</w:t>
      </w:r>
      <w:proofErr w:type="spellEnd"/>
      <w:r w:rsidR="00CB68F1">
        <w:t xml:space="preserve"> basis</w:t>
      </w:r>
      <w:r w:rsidR="00DE7FFE">
        <w:t xml:space="preserve"> </w:t>
      </w:r>
      <w:r w:rsidR="00CB68F1">
        <w:t>by telephone, fax, email or other electronic means.</w:t>
      </w:r>
      <w:r w:rsidR="004F5975">
        <w:rPr>
          <w:rStyle w:val="EndnoteReference"/>
        </w:rPr>
        <w:endnoteReference w:id="33"/>
      </w:r>
      <w:r w:rsidR="00F95AAA">
        <w:t xml:space="preserve">  </w:t>
      </w:r>
      <w:r w:rsidR="0047589F">
        <w:t xml:space="preserve">In </w:t>
      </w:r>
      <w:r w:rsidR="00553583">
        <w:t xml:space="preserve">November </w:t>
      </w:r>
      <w:r w:rsidR="0047589F">
        <w:t>2019</w:t>
      </w:r>
      <w:r w:rsidR="00553583">
        <w:t xml:space="preserve"> (after the TEO Act was already in force)</w:t>
      </w:r>
      <w:r w:rsidR="0047589F">
        <w:t>, a</w:t>
      </w:r>
      <w:r w:rsidR="00F95AAA">
        <w:t xml:space="preserve"> control order </w:t>
      </w:r>
      <w:r w:rsidR="0047589F">
        <w:t xml:space="preserve">was </w:t>
      </w:r>
      <w:r w:rsidR="00F95AAA">
        <w:t xml:space="preserve">granted in relation to a </w:t>
      </w:r>
      <w:r w:rsidR="00E95081">
        <w:t xml:space="preserve">young woman </w:t>
      </w:r>
      <w:r w:rsidR="00F95AAA">
        <w:t xml:space="preserve">who </w:t>
      </w:r>
      <w:r w:rsidR="003D6232">
        <w:t xml:space="preserve">intended to travel to </w:t>
      </w:r>
      <w:r w:rsidR="00497873">
        <w:t xml:space="preserve">the conflict zone for the purpose of </w:t>
      </w:r>
      <w:r w:rsidR="00E95081">
        <w:t>either providing medical assistance to fighters and others or to marry an Islamic State fighter, but who was prevented from doing so before she got on a plane from Adelaide.</w:t>
      </w:r>
      <w:r w:rsidR="00F066D4">
        <w:rPr>
          <w:rStyle w:val="EndnoteReference"/>
        </w:rPr>
        <w:endnoteReference w:id="34"/>
      </w:r>
      <w:r w:rsidR="00E95081">
        <w:t xml:space="preserve">  There is no reason to think that a control order would not be available in relation to a person who had successfully travelled to the conflict zone for such a purpose.</w:t>
      </w:r>
    </w:p>
    <w:p w14:paraId="0FE3EEFC" w14:textId="751A2CF1" w:rsidR="00DD50E2" w:rsidRDefault="00DD50E2" w:rsidP="00D13417">
      <w:pPr>
        <w:pStyle w:val="ListNumber"/>
        <w:tabs>
          <w:tab w:val="clear" w:pos="360"/>
        </w:tabs>
        <w:ind w:left="1094" w:hanging="737"/>
        <w:contextualSpacing w:val="0"/>
      </w:pPr>
      <w:r>
        <w:t>In combination, these provisions indicate that i</w:t>
      </w:r>
      <w:r w:rsidRPr="00DD50E2">
        <w:t xml:space="preserve">f there is a reasonable suspicion that a person </w:t>
      </w:r>
      <w:r w:rsidR="001E65A9">
        <w:t xml:space="preserve">was </w:t>
      </w:r>
      <w:r w:rsidRPr="00DD50E2">
        <w:t>unlawfully present in a conflict zone</w:t>
      </w:r>
      <w:r w:rsidR="001E65A9">
        <w:t xml:space="preserve"> in Syria or Iraq, they could be arrested immediately on arrival in Australia </w:t>
      </w:r>
      <w:r w:rsidR="001E65A9">
        <w:lastRenderedPageBreak/>
        <w:t xml:space="preserve">and, if necessary, held for a limited time for questioning to determine whether </w:t>
      </w:r>
      <w:r w:rsidR="00DF6163">
        <w:t xml:space="preserve">further evidence </w:t>
      </w:r>
      <w:r w:rsidR="00DE08BD">
        <w:t>could</w:t>
      </w:r>
      <w:r w:rsidR="00DF6163">
        <w:t xml:space="preserve"> be obtained to support </w:t>
      </w:r>
      <w:r w:rsidR="003C435C">
        <w:t>a charge</w:t>
      </w:r>
      <w:proofErr w:type="gramStart"/>
      <w:r w:rsidR="00DF6163">
        <w:t xml:space="preserve">.  </w:t>
      </w:r>
      <w:proofErr w:type="gramEnd"/>
      <w:r w:rsidR="001B4CB9">
        <w:t>Alternatively, police could apply for a control order</w:t>
      </w:r>
      <w:proofErr w:type="gramStart"/>
      <w:r w:rsidR="001B4CB9">
        <w:t xml:space="preserve">.  </w:t>
      </w:r>
      <w:proofErr w:type="gramEnd"/>
      <w:r w:rsidR="00DF6163">
        <w:t xml:space="preserve">If there is no </w:t>
      </w:r>
      <w:r w:rsidR="00B57CE2">
        <w:t xml:space="preserve">reasonable </w:t>
      </w:r>
      <w:r w:rsidR="00DF6163">
        <w:t xml:space="preserve">suspicion that a person has been </w:t>
      </w:r>
      <w:r w:rsidR="009A51AA">
        <w:t xml:space="preserve">unlawfully present in </w:t>
      </w:r>
      <w:r w:rsidR="00B57CE2">
        <w:t xml:space="preserve">the </w:t>
      </w:r>
      <w:r w:rsidR="009A51AA">
        <w:t>conflict zone</w:t>
      </w:r>
      <w:r w:rsidR="007F6088">
        <w:t xml:space="preserve"> or </w:t>
      </w:r>
      <w:r w:rsidR="00B57CE2">
        <w:t>has engaged in terrorism-related activity</w:t>
      </w:r>
      <w:r w:rsidR="009A51AA">
        <w:t>, there is rightly no power to arrest the person</w:t>
      </w:r>
      <w:proofErr w:type="gramStart"/>
      <w:r w:rsidR="009A51AA">
        <w:t xml:space="preserve">.  </w:t>
      </w:r>
      <w:proofErr w:type="gramEnd"/>
      <w:r w:rsidR="009A51AA">
        <w:t xml:space="preserve">Nor should there be a mechanism, such as the TEO Act, to prevent them from </w:t>
      </w:r>
      <w:r w:rsidR="00B05894">
        <w:t>re-</w:t>
      </w:r>
      <w:r w:rsidR="009A51AA">
        <w:t>entering Australia.</w:t>
      </w:r>
    </w:p>
    <w:p w14:paraId="14A5E66B" w14:textId="46B57B0D" w:rsidR="00C76572" w:rsidRDefault="00B11A04" w:rsidP="00D13417">
      <w:pPr>
        <w:pStyle w:val="ListNumber"/>
        <w:tabs>
          <w:tab w:val="clear" w:pos="360"/>
        </w:tabs>
        <w:ind w:left="1094" w:hanging="737"/>
        <w:contextualSpacing w:val="0"/>
      </w:pPr>
      <w:r>
        <w:t>Some of these mechanisms for dealing with people who were present in Syria and Iraq raise other human rights concerns</w:t>
      </w:r>
      <w:proofErr w:type="gramStart"/>
      <w:r>
        <w:t xml:space="preserve">.  </w:t>
      </w:r>
      <w:proofErr w:type="gramEnd"/>
      <w:r>
        <w:t>T</w:t>
      </w:r>
      <w:r w:rsidR="00C76572">
        <w:t xml:space="preserve">he ‘declared areas’ offences and the control order regime </w:t>
      </w:r>
      <w:r w:rsidR="00CA6C8A">
        <w:t>have both been subject to criticism by the Commission in previous submissions to this Committee</w:t>
      </w:r>
      <w:r>
        <w:t>.</w:t>
      </w:r>
      <w:r w:rsidR="00E83393">
        <w:rPr>
          <w:rStyle w:val="EndnoteReference"/>
        </w:rPr>
        <w:endnoteReference w:id="35"/>
      </w:r>
      <w:r>
        <w:t xml:space="preserve">  However</w:t>
      </w:r>
      <w:r w:rsidR="009A51AA">
        <w:t xml:space="preserve">, </w:t>
      </w:r>
      <w:r w:rsidR="00CA6C8A">
        <w:t>the</w:t>
      </w:r>
      <w:r w:rsidR="00F34425">
        <w:t xml:space="preserve"> </w:t>
      </w:r>
      <w:r w:rsidR="004214A0">
        <w:t xml:space="preserve">continued </w:t>
      </w:r>
      <w:r w:rsidR="00F34425">
        <w:t xml:space="preserve">existence of these provisions demonstrates that the TEO Act is not necessary. </w:t>
      </w:r>
    </w:p>
    <w:p w14:paraId="52AF8056" w14:textId="4AB5CF16" w:rsidR="00F34425" w:rsidRPr="00F34425" w:rsidRDefault="00F34425" w:rsidP="00F34425">
      <w:pPr>
        <w:pStyle w:val="ListNumber"/>
        <w:keepNext/>
        <w:numPr>
          <w:ilvl w:val="0"/>
          <w:numId w:val="0"/>
        </w:numPr>
        <w:ind w:left="1094"/>
        <w:contextualSpacing w:val="0"/>
        <w:rPr>
          <w:b/>
          <w:bCs/>
        </w:rPr>
      </w:pPr>
      <w:r w:rsidRPr="00F34425">
        <w:rPr>
          <w:b/>
          <w:bCs/>
        </w:rPr>
        <w:t>Recommendation 1</w:t>
      </w:r>
    </w:p>
    <w:p w14:paraId="2723ABAF" w14:textId="2557266A" w:rsidR="00F34425" w:rsidRDefault="00F34425" w:rsidP="00F34425">
      <w:pPr>
        <w:pStyle w:val="ListNumber"/>
        <w:numPr>
          <w:ilvl w:val="0"/>
          <w:numId w:val="0"/>
        </w:numPr>
        <w:ind w:left="1094"/>
        <w:contextualSpacing w:val="0"/>
      </w:pPr>
      <w:r>
        <w:t xml:space="preserve">The Commission recommends that the </w:t>
      </w:r>
      <w:proofErr w:type="gramStart"/>
      <w:r w:rsidR="00955C36" w:rsidRPr="0056205D">
        <w:rPr>
          <w:i/>
          <w:iCs/>
        </w:rPr>
        <w:t>Counter-Terrorism</w:t>
      </w:r>
      <w:proofErr w:type="gramEnd"/>
      <w:r w:rsidR="00955C36" w:rsidRPr="0056205D">
        <w:rPr>
          <w:i/>
          <w:iCs/>
        </w:rPr>
        <w:t xml:space="preserve"> (Temporary Exclusion Orders) Act 2019</w:t>
      </w:r>
      <w:r w:rsidR="00955C36">
        <w:t xml:space="preserve"> (</w:t>
      </w:r>
      <w:proofErr w:type="spellStart"/>
      <w:r w:rsidR="00955C36">
        <w:t>Cth</w:t>
      </w:r>
      <w:proofErr w:type="spellEnd"/>
      <w:r w:rsidR="00955C36">
        <w:t xml:space="preserve">) </w:t>
      </w:r>
      <w:r>
        <w:t>be repealed.</w:t>
      </w:r>
    </w:p>
    <w:p w14:paraId="2C94D7BC" w14:textId="2126EC6F" w:rsidR="004E7B77" w:rsidRDefault="0049300D" w:rsidP="00B2101F">
      <w:pPr>
        <w:pStyle w:val="Heading1"/>
      </w:pPr>
      <w:bookmarkStart w:id="10" w:name="_Toc89418781"/>
      <w:r>
        <w:t>Alternative position: p</w:t>
      </w:r>
      <w:r w:rsidR="00B2101F">
        <w:t xml:space="preserve">roposed </w:t>
      </w:r>
      <w:r w:rsidR="001A616E">
        <w:t>amendment</w:t>
      </w:r>
      <w:r w:rsidR="0005024D">
        <w:t>s</w:t>
      </w:r>
      <w:bookmarkEnd w:id="10"/>
    </w:p>
    <w:p w14:paraId="7A81ADDA" w14:textId="19FFA490" w:rsidR="0005024D" w:rsidRDefault="0005024D" w:rsidP="0005024D">
      <w:pPr>
        <w:pStyle w:val="ListNumber"/>
        <w:tabs>
          <w:tab w:val="clear" w:pos="360"/>
        </w:tabs>
        <w:ind w:left="1094" w:hanging="737"/>
        <w:contextualSpacing w:val="0"/>
      </w:pPr>
      <w:r>
        <w:t xml:space="preserve">If the PJCIS does not accept the Commission’s primary recommendation, </w:t>
      </w:r>
      <w:r w:rsidR="00D7747F">
        <w:t xml:space="preserve">the Commission makes the following recommendations for amendment of the TEO Act to </w:t>
      </w:r>
      <w:r w:rsidR="00187E41">
        <w:t xml:space="preserve">strengthen </w:t>
      </w:r>
      <w:r w:rsidR="00275768">
        <w:t xml:space="preserve">its </w:t>
      </w:r>
      <w:r w:rsidR="00187E41">
        <w:t xml:space="preserve">safeguards and accountability </w:t>
      </w:r>
      <w:r w:rsidR="008B6798">
        <w:t>measures</w:t>
      </w:r>
      <w:proofErr w:type="gramStart"/>
      <w:r w:rsidR="00275768">
        <w:t xml:space="preserve">.  </w:t>
      </w:r>
      <w:proofErr w:type="gramEnd"/>
      <w:r w:rsidR="00275768">
        <w:t>Many of these recommendations are the same as those previously made by the PJCIS.</w:t>
      </w:r>
    </w:p>
    <w:p w14:paraId="77E12165" w14:textId="50681CD9" w:rsidR="003F0B14" w:rsidRDefault="003A7748" w:rsidP="003F0B14">
      <w:pPr>
        <w:pStyle w:val="Heading2"/>
      </w:pPr>
      <w:bookmarkStart w:id="11" w:name="_Toc89418782"/>
      <w:r>
        <w:t xml:space="preserve">Threshold for issuing </w:t>
      </w:r>
      <w:r w:rsidR="003F0B14">
        <w:t xml:space="preserve">a </w:t>
      </w:r>
      <w:r w:rsidR="00895031">
        <w:t>temporary exclusion order</w:t>
      </w:r>
      <w:bookmarkEnd w:id="11"/>
    </w:p>
    <w:p w14:paraId="658522D9" w14:textId="32B89314" w:rsidR="00D96A9C" w:rsidRDefault="00BE0E45" w:rsidP="009E5E23">
      <w:pPr>
        <w:pStyle w:val="ListNumber"/>
        <w:tabs>
          <w:tab w:val="clear" w:pos="360"/>
        </w:tabs>
        <w:ind w:left="1094" w:hanging="737"/>
        <w:contextualSpacing w:val="0"/>
      </w:pPr>
      <w:r>
        <w:t xml:space="preserve">When the Prime Minister first announced the proposed TEO scheme, he said that it would apply to ‘Australians involved in terrorism </w:t>
      </w:r>
      <w:proofErr w:type="gramStart"/>
      <w:r>
        <w:t>overseas’</w:t>
      </w:r>
      <w:proofErr w:type="gramEnd"/>
      <w:r>
        <w:t>.</w:t>
      </w:r>
      <w:r>
        <w:rPr>
          <w:rStyle w:val="EndnoteReference"/>
        </w:rPr>
        <w:endnoteReference w:id="36"/>
      </w:r>
      <w:r w:rsidR="0054734C">
        <w:t xml:space="preserve">  </w:t>
      </w:r>
      <w:r w:rsidR="00D10C57">
        <w:t xml:space="preserve">This cohort was also described as ‘Australian foreign fighters’, </w:t>
      </w:r>
      <w:r w:rsidR="00E8450C">
        <w:t xml:space="preserve">‘Australians who had travelled to the conflict zone in Iraq and Syria’ and ‘those </w:t>
      </w:r>
      <w:r w:rsidR="002701BE">
        <w:t>who seek to do us harm’.</w:t>
      </w:r>
    </w:p>
    <w:p w14:paraId="3D34CBC6" w14:textId="40131314" w:rsidR="00BE0E45" w:rsidRDefault="0054734C" w:rsidP="009E5E23">
      <w:pPr>
        <w:pStyle w:val="ListNumber"/>
        <w:tabs>
          <w:tab w:val="clear" w:pos="360"/>
        </w:tabs>
        <w:ind w:left="1094" w:hanging="737"/>
        <w:contextualSpacing w:val="0"/>
      </w:pPr>
      <w:r>
        <w:t>However, the Act as passed is not limited to Australians involved in terrorism</w:t>
      </w:r>
      <w:proofErr w:type="gramStart"/>
      <w:r>
        <w:t>.</w:t>
      </w:r>
      <w:r w:rsidR="00C47AE4">
        <w:t xml:space="preserve">  </w:t>
      </w:r>
      <w:proofErr w:type="gramEnd"/>
      <w:r w:rsidR="00C47AE4">
        <w:t xml:space="preserve">It does not require those </w:t>
      </w:r>
      <w:r w:rsidR="00166969">
        <w:t xml:space="preserve">who are </w:t>
      </w:r>
      <w:r w:rsidR="00C47AE4">
        <w:t>refused entry to Australia to have travelled to conflict zones</w:t>
      </w:r>
      <w:r w:rsidR="00B01132">
        <w:t xml:space="preserve"> </w:t>
      </w:r>
      <w:r w:rsidR="000D0365">
        <w:t>in Iraq or Syria</w:t>
      </w:r>
      <w:r w:rsidR="00E330FD">
        <w:t>, or to or ‘declared areas’</w:t>
      </w:r>
      <w:r w:rsidR="000D0365">
        <w:t xml:space="preserve"> contrary to the requirements of s 119</w:t>
      </w:r>
      <w:r w:rsidR="005E52A8">
        <w:t>.2</w:t>
      </w:r>
      <w:r w:rsidR="000D0365">
        <w:t xml:space="preserve"> of the </w:t>
      </w:r>
      <w:r w:rsidR="000D0365" w:rsidRPr="00B01132">
        <w:rPr>
          <w:i/>
          <w:iCs/>
        </w:rPr>
        <w:t>Criminal Code</w:t>
      </w:r>
      <w:proofErr w:type="gramStart"/>
      <w:r w:rsidR="000D0365">
        <w:t xml:space="preserve">.  </w:t>
      </w:r>
      <w:proofErr w:type="gramEnd"/>
      <w:r w:rsidR="000D0365">
        <w:t xml:space="preserve">In fact, it does not </w:t>
      </w:r>
      <w:r w:rsidR="00364504">
        <w:t xml:space="preserve">even </w:t>
      </w:r>
      <w:r w:rsidR="000D0365">
        <w:t>require them to have engaged in any</w:t>
      </w:r>
      <w:r w:rsidR="009E3D3B">
        <w:t xml:space="preserve"> alleged criminal conduct or</w:t>
      </w:r>
      <w:r w:rsidR="000D0365">
        <w:t xml:space="preserve"> </w:t>
      </w:r>
      <w:r w:rsidR="00183D65">
        <w:t xml:space="preserve">any </w:t>
      </w:r>
      <w:r w:rsidR="000D0365">
        <w:t xml:space="preserve">conduct </w:t>
      </w:r>
      <w:r w:rsidR="003A5773">
        <w:t>adverse to Australia’s interests at all.</w:t>
      </w:r>
    </w:p>
    <w:p w14:paraId="09665774" w14:textId="3222E32B" w:rsidR="003A5773" w:rsidRDefault="00586E2E" w:rsidP="009E5E23">
      <w:pPr>
        <w:pStyle w:val="ListNumber"/>
        <w:tabs>
          <w:tab w:val="clear" w:pos="360"/>
        </w:tabs>
        <w:ind w:left="1094" w:hanging="737"/>
        <w:contextualSpacing w:val="0"/>
      </w:pPr>
      <w:r>
        <w:lastRenderedPageBreak/>
        <w:t xml:space="preserve">This is contrary to a key recommendation of </w:t>
      </w:r>
      <w:r w:rsidR="008F0A82">
        <w:t>the unanimous PJCIS report in 2019</w:t>
      </w:r>
      <w:proofErr w:type="gramStart"/>
      <w:r w:rsidR="008F0A82">
        <w:t xml:space="preserve">.  </w:t>
      </w:r>
      <w:proofErr w:type="gramEnd"/>
      <w:r w:rsidR="008F0A82">
        <w:t>The PJCIS recommended that</w:t>
      </w:r>
      <w:r w:rsidR="00980656">
        <w:t xml:space="preserve"> </w:t>
      </w:r>
      <w:r w:rsidR="004B673C">
        <w:t>the Bill be amended so that the Minister must not make a TEO in respect of a person unless the Minister reasonably suspects that</w:t>
      </w:r>
      <w:r w:rsidR="008F0A82">
        <w:t>:</w:t>
      </w:r>
    </w:p>
    <w:p w14:paraId="192C8601" w14:textId="3832E37F" w:rsidR="008F0A82" w:rsidRDefault="00A31C25" w:rsidP="00A96C9A">
      <w:pPr>
        <w:pStyle w:val="ListNumber"/>
        <w:numPr>
          <w:ilvl w:val="0"/>
          <w:numId w:val="17"/>
        </w:numPr>
        <w:contextualSpacing w:val="0"/>
      </w:pPr>
      <w:r>
        <w:t>t</w:t>
      </w:r>
      <w:r w:rsidR="004B673C">
        <w:t>he person is, or has been, involved in terrorism-related activities outside Australia</w:t>
      </w:r>
      <w:r>
        <w:t>, and</w:t>
      </w:r>
    </w:p>
    <w:p w14:paraId="2B197C04" w14:textId="703E2F54" w:rsidR="00554232" w:rsidRDefault="00A31C25" w:rsidP="00A96C9A">
      <w:pPr>
        <w:pStyle w:val="ListNumber"/>
        <w:numPr>
          <w:ilvl w:val="0"/>
          <w:numId w:val="17"/>
        </w:numPr>
        <w:contextualSpacing w:val="0"/>
      </w:pPr>
      <w:r>
        <w:t>making the order would substantially assist in preventing the provision of support for, or the facilitation of, a terrorist act.</w:t>
      </w:r>
      <w:r w:rsidR="00394D62">
        <w:rPr>
          <w:rStyle w:val="EndnoteReference"/>
        </w:rPr>
        <w:endnoteReference w:id="37"/>
      </w:r>
    </w:p>
    <w:p w14:paraId="79F7AA2C" w14:textId="17D40415" w:rsidR="00A31C25" w:rsidRDefault="00A31C25" w:rsidP="009E5E23">
      <w:pPr>
        <w:pStyle w:val="ListNumber"/>
        <w:tabs>
          <w:tab w:val="clear" w:pos="360"/>
        </w:tabs>
        <w:ind w:left="1094" w:hanging="737"/>
        <w:contextualSpacing w:val="0"/>
      </w:pPr>
      <w:r>
        <w:t>The Commission agrees with this recommendation.</w:t>
      </w:r>
    </w:p>
    <w:p w14:paraId="065F0959" w14:textId="311BD36B" w:rsidR="00A31C25" w:rsidRDefault="00A31C25" w:rsidP="009E5E23">
      <w:pPr>
        <w:pStyle w:val="ListNumber"/>
        <w:tabs>
          <w:tab w:val="clear" w:pos="360"/>
        </w:tabs>
        <w:ind w:left="1094" w:hanging="737"/>
        <w:contextualSpacing w:val="0"/>
      </w:pPr>
      <w:r>
        <w:t xml:space="preserve">If </w:t>
      </w:r>
      <w:r w:rsidR="00F83AB0">
        <w:t>this change were made to the TEO Act</w:t>
      </w:r>
      <w:r>
        <w:t xml:space="preserve">, </w:t>
      </w:r>
      <w:r w:rsidR="00F83AB0">
        <w:t xml:space="preserve">it </w:t>
      </w:r>
      <w:r>
        <w:t>would bring the Act into line with the UK legislation on which it is based</w:t>
      </w:r>
      <w:proofErr w:type="gramStart"/>
      <w:r w:rsidR="00981132">
        <w:t xml:space="preserve">.  </w:t>
      </w:r>
      <w:proofErr w:type="gramEnd"/>
      <w:r w:rsidR="00367531">
        <w:t>Section 2(3) of t</w:t>
      </w:r>
      <w:r w:rsidR="00981132">
        <w:t xml:space="preserve">he </w:t>
      </w:r>
      <w:proofErr w:type="gramStart"/>
      <w:r w:rsidR="00981132" w:rsidRPr="006A3883">
        <w:rPr>
          <w:i/>
          <w:iCs/>
        </w:rPr>
        <w:t>Counter-Terrorism</w:t>
      </w:r>
      <w:proofErr w:type="gramEnd"/>
      <w:r w:rsidR="00981132" w:rsidRPr="006A3883">
        <w:rPr>
          <w:i/>
          <w:iCs/>
        </w:rPr>
        <w:t xml:space="preserve"> and Security Act 2015</w:t>
      </w:r>
      <w:r w:rsidR="00981132">
        <w:t xml:space="preserve"> (UK)</w:t>
      </w:r>
      <w:r w:rsidR="00367531">
        <w:t xml:space="preserve"> requires that before a TEO is issued</w:t>
      </w:r>
      <w:r w:rsidR="00E53507">
        <w:t xml:space="preserve"> in relation to an individual</w:t>
      </w:r>
      <w:r w:rsidR="00367531">
        <w:t xml:space="preserve">, the Secretary of </w:t>
      </w:r>
      <w:r w:rsidR="00E53507">
        <w:t>State must reasonably suspect that the individual is, or has been, involved in terrorism-related activity outside the United Kingdom.</w:t>
      </w:r>
    </w:p>
    <w:p w14:paraId="5924B4F0" w14:textId="3ADD4531" w:rsidR="00394D62" w:rsidRDefault="009127CE" w:rsidP="009E5E23">
      <w:pPr>
        <w:pStyle w:val="ListNumber"/>
        <w:tabs>
          <w:tab w:val="clear" w:pos="360"/>
        </w:tabs>
        <w:ind w:left="1094" w:hanging="737"/>
        <w:contextualSpacing w:val="0"/>
      </w:pPr>
      <w:r>
        <w:t xml:space="preserve">The </w:t>
      </w:r>
      <w:r w:rsidR="00795E32">
        <w:t xml:space="preserve">Australian </w:t>
      </w:r>
      <w:r>
        <w:t xml:space="preserve">Government </w:t>
      </w:r>
      <w:r w:rsidR="005C6E61">
        <w:t xml:space="preserve">argued that if such an amendment were made, </w:t>
      </w:r>
      <w:r w:rsidR="00281063">
        <w:t xml:space="preserve">the scheme would apply to </w:t>
      </w:r>
      <w:r w:rsidR="005C6E61">
        <w:t xml:space="preserve">fewer people </w:t>
      </w:r>
      <w:r w:rsidR="00281063">
        <w:t>thus ‘undermining its utility’</w:t>
      </w:r>
      <w:r w:rsidR="00837C32">
        <w:t xml:space="preserve">: </w:t>
      </w:r>
    </w:p>
    <w:p w14:paraId="333D9BDE" w14:textId="282FCF95" w:rsidR="00837C32" w:rsidRPr="008506CA" w:rsidRDefault="008506CA" w:rsidP="00BC0011">
      <w:pPr>
        <w:pStyle w:val="ListNumber"/>
        <w:numPr>
          <w:ilvl w:val="0"/>
          <w:numId w:val="0"/>
        </w:numPr>
        <w:ind w:left="1440"/>
        <w:contextualSpacing w:val="0"/>
        <w:rPr>
          <w:sz w:val="22"/>
          <w:szCs w:val="22"/>
        </w:rPr>
      </w:pPr>
      <w:r w:rsidRPr="008506CA">
        <w:rPr>
          <w:sz w:val="22"/>
          <w:szCs w:val="22"/>
        </w:rPr>
        <w:t>Implementing the recommendation</w:t>
      </w:r>
      <w:r w:rsidR="00630FD8">
        <w:rPr>
          <w:sz w:val="22"/>
          <w:szCs w:val="22"/>
        </w:rPr>
        <w:t xml:space="preserve"> [of the PJCIS]</w:t>
      </w:r>
      <w:r w:rsidRPr="008506CA">
        <w:rPr>
          <w:sz w:val="22"/>
          <w:szCs w:val="22"/>
        </w:rPr>
        <w:t xml:space="preserve"> to require the Minister to suspect the person is or has been involved in terrorism-related activities outside Australia would restrict the operation of the scheme to </w:t>
      </w:r>
      <w:proofErr w:type="gramStart"/>
      <w:r w:rsidRPr="008506CA">
        <w:rPr>
          <w:sz w:val="22"/>
          <w:szCs w:val="22"/>
        </w:rPr>
        <w:t>high risk</w:t>
      </w:r>
      <w:proofErr w:type="gramEnd"/>
      <w:r w:rsidRPr="008506CA">
        <w:rPr>
          <w:sz w:val="22"/>
          <w:szCs w:val="22"/>
        </w:rPr>
        <w:t xml:space="preserve"> individuals only. Proposed section 10(2) would set out a two-part test which will be significantly harder to make out, thus reducing the number of individuals eligible for a TEO and undermining the utility of the scheme.</w:t>
      </w:r>
      <w:r w:rsidR="00630FD8">
        <w:rPr>
          <w:rStyle w:val="EndnoteReference"/>
          <w:szCs w:val="22"/>
        </w:rPr>
        <w:endnoteReference w:id="38"/>
      </w:r>
    </w:p>
    <w:p w14:paraId="21B259CB" w14:textId="3BEE9DF4" w:rsidR="00A83605" w:rsidRDefault="00837C32" w:rsidP="00604578">
      <w:pPr>
        <w:pStyle w:val="ListNumber"/>
        <w:tabs>
          <w:tab w:val="clear" w:pos="360"/>
        </w:tabs>
        <w:ind w:left="1094" w:hanging="737"/>
        <w:contextualSpacing w:val="0"/>
      </w:pPr>
      <w:r>
        <w:t>This criticism misses the point</w:t>
      </w:r>
      <w:proofErr w:type="gramStart"/>
      <w:r>
        <w:t xml:space="preserve">.  </w:t>
      </w:r>
      <w:proofErr w:type="gramEnd"/>
      <w:r w:rsidR="00281063">
        <w:t xml:space="preserve">The </w:t>
      </w:r>
      <w:r w:rsidR="0010210A">
        <w:t>utility</w:t>
      </w:r>
      <w:r w:rsidR="008506CA">
        <w:t xml:space="preserve"> of a TEO scheme should not be judged on </w:t>
      </w:r>
      <w:r w:rsidR="00D8333B" w:rsidRPr="0048292E">
        <w:rPr>
          <w:i/>
          <w:iCs/>
        </w:rPr>
        <w:t>how many</w:t>
      </w:r>
      <w:r w:rsidR="00D8333B">
        <w:t xml:space="preserve"> </w:t>
      </w:r>
      <w:r w:rsidR="008506CA">
        <w:t>people</w:t>
      </w:r>
      <w:r w:rsidR="00E752E7">
        <w:t xml:space="preserve"> </w:t>
      </w:r>
      <w:r w:rsidR="00D8333B">
        <w:t>it applies to</w:t>
      </w:r>
      <w:r w:rsidR="008506CA">
        <w:t xml:space="preserve">, but on whether </w:t>
      </w:r>
      <w:r w:rsidR="00A83605">
        <w:t xml:space="preserve">the </w:t>
      </w:r>
      <w:r w:rsidR="008A6B54">
        <w:t xml:space="preserve">range </w:t>
      </w:r>
      <w:r w:rsidR="00A83605">
        <w:t>of people it applies to is appropriate</w:t>
      </w:r>
      <w:proofErr w:type="gramStart"/>
      <w:r w:rsidR="00A83605">
        <w:t xml:space="preserve">. </w:t>
      </w:r>
      <w:r w:rsidR="00145AB2">
        <w:t xml:space="preserve"> </w:t>
      </w:r>
      <w:proofErr w:type="gramEnd"/>
      <w:r w:rsidR="00E67F20">
        <w:t xml:space="preserve">In assessing whether the scope is appropriate, regard </w:t>
      </w:r>
      <w:r w:rsidR="00145AB2">
        <w:t xml:space="preserve">should be had </w:t>
      </w:r>
      <w:r w:rsidR="00E67F20">
        <w:t xml:space="preserve">to </w:t>
      </w:r>
      <w:r w:rsidR="0075263D">
        <w:t xml:space="preserve">both the stated objectives of the scheme and to </w:t>
      </w:r>
      <w:r w:rsidR="00E67F20">
        <w:t xml:space="preserve">Australia’s human rights obligations. </w:t>
      </w:r>
    </w:p>
    <w:p w14:paraId="2F9EEF1E" w14:textId="12C7946B" w:rsidR="00145AB2" w:rsidRDefault="00E03818" w:rsidP="009E5E23">
      <w:pPr>
        <w:pStyle w:val="ListNumber"/>
        <w:tabs>
          <w:tab w:val="clear" w:pos="360"/>
        </w:tabs>
        <w:ind w:left="1094" w:hanging="737"/>
        <w:contextualSpacing w:val="0"/>
      </w:pPr>
      <w:r>
        <w:t xml:space="preserve">The starting point for analysis is that </w:t>
      </w:r>
      <w:r w:rsidR="00A732CF">
        <w:t>the regime under the TEO Act applies only to Australian citizens</w:t>
      </w:r>
      <w:proofErr w:type="gramStart"/>
      <w:r w:rsidR="003459E6">
        <w:t xml:space="preserve">.  </w:t>
      </w:r>
      <w:proofErr w:type="gramEnd"/>
      <w:r w:rsidR="003459E6">
        <w:t>The Australian citizens must be</w:t>
      </w:r>
      <w:r w:rsidR="009B0A1F">
        <w:t xml:space="preserve"> over the age of 14 years old </w:t>
      </w:r>
      <w:r w:rsidR="003459E6">
        <w:t>and</w:t>
      </w:r>
      <w:r w:rsidR="00AC220A">
        <w:t xml:space="preserve"> be</w:t>
      </w:r>
      <w:r w:rsidR="003459E6">
        <w:t xml:space="preserve"> located </w:t>
      </w:r>
      <w:r w:rsidR="009B0A1F">
        <w:t>outside Australia</w:t>
      </w:r>
      <w:r w:rsidR="00A732CF">
        <w:t>.</w:t>
      </w:r>
      <w:r w:rsidR="003459E6">
        <w:rPr>
          <w:rStyle w:val="EndnoteReference"/>
        </w:rPr>
        <w:endnoteReference w:id="39"/>
      </w:r>
      <w:r w:rsidR="00A732CF">
        <w:t xml:space="preserve">  </w:t>
      </w:r>
      <w:r w:rsidR="00EF4034">
        <w:t>Article 12(4) of the ICCPR provides that ‘</w:t>
      </w:r>
      <w:r w:rsidR="00EF4034" w:rsidRPr="00EF4034">
        <w:t>no one shall be arbitrarily deprived of the right to enter his own country</w:t>
      </w:r>
      <w:r w:rsidR="00796E04">
        <w:t>’</w:t>
      </w:r>
      <w:proofErr w:type="gramStart"/>
      <w:r w:rsidR="00796E04">
        <w:t>.</w:t>
      </w:r>
      <w:r w:rsidR="00E37595">
        <w:t xml:space="preserve">  </w:t>
      </w:r>
      <w:proofErr w:type="gramEnd"/>
      <w:r w:rsidR="00912371">
        <w:t>Self-evidently, t</w:t>
      </w:r>
      <w:r w:rsidR="00E37595">
        <w:t>his right includes the right to return</w:t>
      </w:r>
      <w:r w:rsidR="00912371">
        <w:t xml:space="preserve"> after having left one’s own country.</w:t>
      </w:r>
      <w:r w:rsidR="00912371">
        <w:rPr>
          <w:rStyle w:val="EndnoteReference"/>
        </w:rPr>
        <w:endnoteReference w:id="40"/>
      </w:r>
    </w:p>
    <w:p w14:paraId="312EA9B2" w14:textId="6C15EABA" w:rsidR="00796E04" w:rsidRDefault="00B3354F" w:rsidP="009E5E23">
      <w:pPr>
        <w:pStyle w:val="ListNumber"/>
        <w:tabs>
          <w:tab w:val="clear" w:pos="360"/>
        </w:tabs>
        <w:ind w:left="1094" w:hanging="737"/>
        <w:contextualSpacing w:val="0"/>
      </w:pPr>
      <w:r>
        <w:t>The TEO Act interferes with this right</w:t>
      </w:r>
      <w:proofErr w:type="gramStart"/>
      <w:r>
        <w:t xml:space="preserve">.  </w:t>
      </w:r>
      <w:proofErr w:type="gramEnd"/>
      <w:r>
        <w:t xml:space="preserve">First, the </w:t>
      </w:r>
      <w:r w:rsidR="00507DA1">
        <w:t xml:space="preserve">making of a TEO has the effect of </w:t>
      </w:r>
      <w:r w:rsidR="00957336">
        <w:t xml:space="preserve">depriving </w:t>
      </w:r>
      <w:r w:rsidR="00507DA1">
        <w:t xml:space="preserve">an Australian citizen </w:t>
      </w:r>
      <w:r w:rsidR="00957336">
        <w:t>of their right to enter Australia for a period of up to 2 years at a time</w:t>
      </w:r>
      <w:proofErr w:type="gramStart"/>
      <w:r w:rsidR="00957336">
        <w:t xml:space="preserve">.  </w:t>
      </w:r>
      <w:proofErr w:type="gramEnd"/>
      <w:r w:rsidR="00957336">
        <w:t xml:space="preserve">While </w:t>
      </w:r>
      <w:r w:rsidR="007456FA">
        <w:t xml:space="preserve">a temporary </w:t>
      </w:r>
      <w:r w:rsidR="007456FA">
        <w:lastRenderedPageBreak/>
        <w:t xml:space="preserve">entry permit must be granted on application, </w:t>
      </w:r>
      <w:r w:rsidR="00640A77">
        <w:t xml:space="preserve">any such permit may be made subject to conditions that </w:t>
      </w:r>
      <w:r w:rsidR="00ED1F0D">
        <w:t>depriv</w:t>
      </w:r>
      <w:r w:rsidR="00917080">
        <w:t>e</w:t>
      </w:r>
      <w:r w:rsidR="00ED1F0D">
        <w:t xml:space="preserve"> </w:t>
      </w:r>
      <w:r w:rsidR="00640A77">
        <w:t xml:space="preserve">the </w:t>
      </w:r>
      <w:r w:rsidR="00ED1F0D">
        <w:t>Australian citizen of the right to enter Australia for up to 12 months.</w:t>
      </w:r>
      <w:r w:rsidR="00957336">
        <w:t xml:space="preserve"> </w:t>
      </w:r>
    </w:p>
    <w:p w14:paraId="2E55AA21" w14:textId="419A9D7E" w:rsidR="00C63223" w:rsidRDefault="00924D51" w:rsidP="009E5E23">
      <w:pPr>
        <w:pStyle w:val="ListNumber"/>
        <w:tabs>
          <w:tab w:val="clear" w:pos="360"/>
        </w:tabs>
        <w:ind w:left="1094" w:hanging="737"/>
        <w:contextualSpacing w:val="0"/>
      </w:pPr>
      <w:r>
        <w:t>The</w:t>
      </w:r>
      <w:r w:rsidR="003D0696">
        <w:t xml:space="preserve"> human</w:t>
      </w:r>
      <w:r>
        <w:t xml:space="preserve"> right under article 12(4) </w:t>
      </w:r>
      <w:r w:rsidR="00917080">
        <w:t xml:space="preserve">of the ICCPR </w:t>
      </w:r>
      <w:r>
        <w:t xml:space="preserve">may be </w:t>
      </w:r>
      <w:r w:rsidR="00126BF8">
        <w:t xml:space="preserve">subject to limitations, but </w:t>
      </w:r>
      <w:r w:rsidR="00CC20C5">
        <w:t xml:space="preserve">only if </w:t>
      </w:r>
      <w:r w:rsidR="00F9398E">
        <w:t>those limitations are in accordance with the provisions of the ICCPR</w:t>
      </w:r>
      <w:proofErr w:type="gramStart"/>
      <w:r w:rsidR="00F9398E">
        <w:t>.  In particular, Australia</w:t>
      </w:r>
      <w:proofErr w:type="gramEnd"/>
      <w:r w:rsidR="00F9398E">
        <w:t xml:space="preserve"> must demonstrate the necessity of the limitation</w:t>
      </w:r>
      <w:r w:rsidR="00C63223">
        <w:t xml:space="preserve"> and it may only take measures that are reasonable and proportionate in carrying out legitimate aims.</w:t>
      </w:r>
      <w:r w:rsidR="00C63223">
        <w:rPr>
          <w:rStyle w:val="EndnoteReference"/>
        </w:rPr>
        <w:endnoteReference w:id="41"/>
      </w:r>
    </w:p>
    <w:p w14:paraId="2E0AAD61" w14:textId="5BFCE3D9" w:rsidR="00ED1F0D" w:rsidRDefault="001D380E" w:rsidP="009E5E23">
      <w:pPr>
        <w:pStyle w:val="ListNumber"/>
        <w:tabs>
          <w:tab w:val="clear" w:pos="360"/>
        </w:tabs>
        <w:ind w:left="1094" w:hanging="737"/>
        <w:contextualSpacing w:val="0"/>
      </w:pPr>
      <w:r>
        <w:t xml:space="preserve">There is no objects clause in the TEO Act, but the purpose of the </w:t>
      </w:r>
      <w:r w:rsidR="00182380">
        <w:t>legislation was made clear in the second reading speech for the amended Bill</w:t>
      </w:r>
      <w:proofErr w:type="gramStart"/>
      <w:r w:rsidR="00182380">
        <w:t xml:space="preserve">.  </w:t>
      </w:r>
      <w:proofErr w:type="gramEnd"/>
      <w:r w:rsidR="00182380">
        <w:t xml:space="preserve">The Minister for Home Affairs said that </w:t>
      </w:r>
      <w:r w:rsidR="00496857">
        <w:t>the purpose of the scheme was to ‘delay Australians of counterterrorism interest from re-entering Australia, until appropriate protections are in place’.</w:t>
      </w:r>
      <w:r w:rsidR="00D80A84">
        <w:rPr>
          <w:rStyle w:val="EndnoteReference"/>
        </w:rPr>
        <w:endnoteReference w:id="42"/>
      </w:r>
      <w:r w:rsidR="00496857">
        <w:t xml:space="preserve"> </w:t>
      </w:r>
    </w:p>
    <w:p w14:paraId="43982D03" w14:textId="0864A164" w:rsidR="008B488D" w:rsidRDefault="007D769A" w:rsidP="000C7928">
      <w:pPr>
        <w:pStyle w:val="ListNumber"/>
        <w:tabs>
          <w:tab w:val="clear" w:pos="360"/>
        </w:tabs>
        <w:ind w:left="1094" w:hanging="737"/>
        <w:contextualSpacing w:val="0"/>
      </w:pPr>
      <w:r>
        <w:t xml:space="preserve">The Commission accepts that this </w:t>
      </w:r>
      <w:r w:rsidR="00225B4C">
        <w:t xml:space="preserve">may be </w:t>
      </w:r>
      <w:r>
        <w:t xml:space="preserve">a legitimate objective </w:t>
      </w:r>
      <w:r w:rsidR="00F443B0">
        <w:t>that justifies an interference with the right under article 12(4) of the ICCPR</w:t>
      </w:r>
      <w:proofErr w:type="gramStart"/>
      <w:r w:rsidR="00DE70B8">
        <w:t>.</w:t>
      </w:r>
      <w:r w:rsidR="00F443B0">
        <w:t xml:space="preserve"> </w:t>
      </w:r>
      <w:r w:rsidR="00845FA7">
        <w:t xml:space="preserve"> </w:t>
      </w:r>
      <w:proofErr w:type="gramEnd"/>
      <w:r w:rsidR="008B488D">
        <w:t xml:space="preserve">However, </w:t>
      </w:r>
      <w:r w:rsidR="00B830E1">
        <w:t xml:space="preserve">when assessing whether the law </w:t>
      </w:r>
      <w:r w:rsidR="008839B3">
        <w:t xml:space="preserve">is reasonable and </w:t>
      </w:r>
      <w:r w:rsidR="0016496F">
        <w:t xml:space="preserve">whether any restrictions on the right are </w:t>
      </w:r>
      <w:r w:rsidR="008839B3">
        <w:t xml:space="preserve">proportionate, it is necessary to examine whether the law </w:t>
      </w:r>
      <w:r w:rsidR="00F64CFC">
        <w:t xml:space="preserve">is appropriately targeted to achieving </w:t>
      </w:r>
      <w:r w:rsidR="00151D7A">
        <w:t>its</w:t>
      </w:r>
      <w:r w:rsidR="00F64CFC">
        <w:t xml:space="preserve"> objective and whether alternatives are available that would </w:t>
      </w:r>
      <w:r w:rsidR="00122852">
        <w:t xml:space="preserve">achieve the purpose in a way that is </w:t>
      </w:r>
      <w:r w:rsidR="00F64CFC">
        <w:t>less restrictive of the human right in question</w:t>
      </w:r>
      <w:proofErr w:type="gramStart"/>
      <w:r w:rsidR="00F64CFC">
        <w:t>.</w:t>
      </w:r>
      <w:r w:rsidR="00CC010F">
        <w:t xml:space="preserve">  </w:t>
      </w:r>
      <w:proofErr w:type="gramEnd"/>
      <w:r w:rsidR="00CC010F">
        <w:t xml:space="preserve">The </w:t>
      </w:r>
      <w:r w:rsidR="00967B6D">
        <w:t xml:space="preserve">United Nations Human Rights Committee has emphasised </w:t>
      </w:r>
      <w:r w:rsidR="00FD3E09">
        <w:t xml:space="preserve">that the assessment of reasonableness is a stringent one due to the </w:t>
      </w:r>
      <w:r w:rsidR="00BD5F40">
        <w:t xml:space="preserve">nature of the right engaged: </w:t>
      </w:r>
    </w:p>
    <w:p w14:paraId="4818096E" w14:textId="31D46E17" w:rsidR="00BD5F40" w:rsidRPr="00BD5F40" w:rsidRDefault="00BD5F40" w:rsidP="00BD5F40">
      <w:pPr>
        <w:pStyle w:val="ListNumber"/>
        <w:numPr>
          <w:ilvl w:val="0"/>
          <w:numId w:val="0"/>
        </w:numPr>
        <w:ind w:left="1440"/>
        <w:contextualSpacing w:val="0"/>
        <w:rPr>
          <w:sz w:val="22"/>
          <w:szCs w:val="22"/>
        </w:rPr>
      </w:pPr>
      <w:r w:rsidRPr="00BD5F40">
        <w:rPr>
          <w:sz w:val="22"/>
          <w:szCs w:val="22"/>
        </w:rPr>
        <w:t>[T]he Committee considers that there are few, if any, circumstances in which deprivation of the right to enter one’s own country could be reasonable.</w:t>
      </w:r>
      <w:r w:rsidR="000F4134">
        <w:rPr>
          <w:rStyle w:val="EndnoteReference"/>
        </w:rPr>
        <w:endnoteReference w:id="43"/>
      </w:r>
    </w:p>
    <w:p w14:paraId="35B68CA0" w14:textId="6130FC4B" w:rsidR="006769BD" w:rsidRDefault="003D4306" w:rsidP="006769BD">
      <w:pPr>
        <w:pStyle w:val="ListNumber"/>
        <w:tabs>
          <w:tab w:val="clear" w:pos="360"/>
        </w:tabs>
        <w:ind w:left="1094" w:hanging="737"/>
        <w:contextualSpacing w:val="0"/>
      </w:pPr>
      <w:r>
        <w:t>Other than the factual prerequisites for the issue of a TEO discussed above, t</w:t>
      </w:r>
      <w:r w:rsidR="006769BD">
        <w:t xml:space="preserve">here are </w:t>
      </w:r>
      <w:proofErr w:type="gramStart"/>
      <w:r w:rsidR="006769BD">
        <w:t>a number of</w:t>
      </w:r>
      <w:proofErr w:type="gramEnd"/>
      <w:r w:rsidR="006769BD">
        <w:t xml:space="preserve"> prerequisites that depend either on a ‘suspicion’ held by the Minister or </w:t>
      </w:r>
      <w:r w:rsidR="00D249DD">
        <w:t xml:space="preserve">on advice provided by </w:t>
      </w:r>
      <w:r w:rsidR="006769BD">
        <w:t>the Australian Security Intelligence Organisation (ASIO)</w:t>
      </w:r>
      <w:r w:rsidR="00D249DD">
        <w:t xml:space="preserve"> that the person </w:t>
      </w:r>
      <w:r w:rsidR="009961C8">
        <w:t>is a risk to security for reasons related to politically motivated violence</w:t>
      </w:r>
      <w:r w:rsidR="006769BD">
        <w:t xml:space="preserve">. </w:t>
      </w:r>
    </w:p>
    <w:p w14:paraId="373D9F42" w14:textId="77777777" w:rsidR="006769BD" w:rsidRDefault="006769BD" w:rsidP="006769BD">
      <w:pPr>
        <w:pStyle w:val="ListNumber"/>
        <w:tabs>
          <w:tab w:val="clear" w:pos="360"/>
        </w:tabs>
        <w:ind w:left="1094" w:hanging="737"/>
        <w:contextualSpacing w:val="0"/>
      </w:pPr>
      <w:r>
        <w:t>As to the views of the Minister, a TEO may be granted if the Minister ‘suspects on reasonable grounds’ that making the TEO would ‘substantially assist’ in:</w:t>
      </w:r>
    </w:p>
    <w:p w14:paraId="5213653E" w14:textId="77777777" w:rsidR="006769BD" w:rsidRDefault="006769BD" w:rsidP="00A96C9A">
      <w:pPr>
        <w:pStyle w:val="ListNumber"/>
        <w:numPr>
          <w:ilvl w:val="0"/>
          <w:numId w:val="16"/>
        </w:numPr>
        <w:ind w:left="1454"/>
        <w:contextualSpacing w:val="0"/>
      </w:pPr>
      <w:r>
        <w:t>preventing a terrorist act</w:t>
      </w:r>
    </w:p>
    <w:p w14:paraId="4D1FD330" w14:textId="77777777" w:rsidR="006769BD" w:rsidRDefault="006769BD" w:rsidP="00A96C9A">
      <w:pPr>
        <w:pStyle w:val="ListNumber"/>
        <w:numPr>
          <w:ilvl w:val="0"/>
          <w:numId w:val="16"/>
        </w:numPr>
        <w:ind w:left="1454"/>
        <w:contextualSpacing w:val="0"/>
      </w:pPr>
      <w:r>
        <w:t xml:space="preserve">preventing training being provided to, received </w:t>
      </w:r>
      <w:proofErr w:type="gramStart"/>
      <w:r>
        <w:t>from</w:t>
      </w:r>
      <w:proofErr w:type="gramEnd"/>
      <w:r>
        <w:t xml:space="preserve"> or participated in with a listed terrorist organisation</w:t>
      </w:r>
    </w:p>
    <w:p w14:paraId="58F5C635" w14:textId="77777777" w:rsidR="006769BD" w:rsidRDefault="006769BD" w:rsidP="00A96C9A">
      <w:pPr>
        <w:pStyle w:val="ListNumber"/>
        <w:numPr>
          <w:ilvl w:val="0"/>
          <w:numId w:val="16"/>
        </w:numPr>
        <w:ind w:left="1454"/>
        <w:contextualSpacing w:val="0"/>
      </w:pPr>
      <w:r>
        <w:t>preventing the provision of support for, or the facilitation of, a terrorist act</w:t>
      </w:r>
    </w:p>
    <w:p w14:paraId="67C1BD10" w14:textId="01456E0F" w:rsidR="006769BD" w:rsidRDefault="006769BD" w:rsidP="00A96C9A">
      <w:pPr>
        <w:pStyle w:val="ListNumber"/>
        <w:numPr>
          <w:ilvl w:val="0"/>
          <w:numId w:val="16"/>
        </w:numPr>
        <w:ind w:left="1454"/>
        <w:contextualSpacing w:val="0"/>
      </w:pPr>
      <w:r>
        <w:lastRenderedPageBreak/>
        <w:t xml:space="preserve">preventing the provision of support or resources to an organisation that would help the organisation engage in </w:t>
      </w:r>
      <w:r w:rsidR="009654F9" w:rsidRPr="009654F9">
        <w:t>preparing, planning, assisting in or fostering the doing of a terrorist act</w:t>
      </w:r>
      <w:r>
        <w:t>.</w:t>
      </w:r>
      <w:r>
        <w:rPr>
          <w:rStyle w:val="EndnoteReference"/>
        </w:rPr>
        <w:endnoteReference w:id="44"/>
      </w:r>
      <w:r>
        <w:t xml:space="preserve"> </w:t>
      </w:r>
    </w:p>
    <w:p w14:paraId="0E7EF88A" w14:textId="39ACE55F" w:rsidR="006769BD" w:rsidRDefault="006769BD" w:rsidP="006769BD">
      <w:pPr>
        <w:pStyle w:val="ListNumber"/>
        <w:tabs>
          <w:tab w:val="clear" w:pos="360"/>
        </w:tabs>
        <w:ind w:left="1094" w:hanging="737"/>
        <w:contextualSpacing w:val="0"/>
      </w:pPr>
      <w:r>
        <w:t xml:space="preserve">Significantly, it is </w:t>
      </w:r>
      <w:r w:rsidRPr="000428F7">
        <w:rPr>
          <w:i/>
          <w:iCs/>
        </w:rPr>
        <w:t>not</w:t>
      </w:r>
      <w:r>
        <w:t xml:space="preserve"> necessary that the person the subject of the TEO be suspected of engaging in any of this conduct themselves</w:t>
      </w:r>
      <w:proofErr w:type="gramStart"/>
      <w:r>
        <w:t xml:space="preserve">.  </w:t>
      </w:r>
      <w:proofErr w:type="gramEnd"/>
      <w:r>
        <w:t>The four factors in s 10(2)(a)(</w:t>
      </w:r>
      <w:proofErr w:type="spellStart"/>
      <w:r>
        <w:t>i</w:t>
      </w:r>
      <w:proofErr w:type="spellEnd"/>
      <w:r>
        <w:t xml:space="preserve">)–(iv) of the TEO Act are drafted entirely in the passive tense. </w:t>
      </w:r>
    </w:p>
    <w:p w14:paraId="381184EC" w14:textId="498DF642" w:rsidR="006769BD" w:rsidRDefault="006769BD" w:rsidP="006769BD">
      <w:pPr>
        <w:pStyle w:val="ListNumber"/>
        <w:tabs>
          <w:tab w:val="clear" w:pos="360"/>
        </w:tabs>
        <w:ind w:left="1094" w:hanging="737"/>
        <w:contextualSpacing w:val="0"/>
      </w:pPr>
      <w:r>
        <w:t>The threshold for making a TEO under this limb is very low</w:t>
      </w:r>
      <w:proofErr w:type="gramStart"/>
      <w:r>
        <w:t xml:space="preserve">.  </w:t>
      </w:r>
      <w:proofErr w:type="gramEnd"/>
      <w:r>
        <w:t xml:space="preserve">As is clear from </w:t>
      </w:r>
      <w:r w:rsidR="00F029CA">
        <w:t xml:space="preserve">case law in relation to </w:t>
      </w:r>
      <w:r>
        <w:t>control order</w:t>
      </w:r>
      <w:r w:rsidR="00F029CA">
        <w:t>s</w:t>
      </w:r>
      <w:r w:rsidR="004B5E8C">
        <w:t>,</w:t>
      </w:r>
      <w:r w:rsidR="00F029CA">
        <w:t xml:space="preserve"> where similar language is used</w:t>
      </w:r>
      <w:r>
        <w:t xml:space="preserve">, </w:t>
      </w:r>
      <w:r w:rsidR="009D41DA">
        <w:t xml:space="preserve">the phrase </w:t>
      </w:r>
      <w:r w:rsidR="004B5E8C">
        <w:t>‘substantially assist’ does not require the assistance provided to be large.</w:t>
      </w:r>
      <w:r w:rsidR="00740E57">
        <w:rPr>
          <w:rStyle w:val="EndnoteReference"/>
        </w:rPr>
        <w:endnoteReference w:id="45"/>
      </w:r>
      <w:r w:rsidR="004B5E8C">
        <w:t xml:space="preserve">  Rather, </w:t>
      </w:r>
      <w:r>
        <w:t>something will ‘substantially assist’ if the assistance provided is ‘non-trivial’.</w:t>
      </w:r>
      <w:r>
        <w:rPr>
          <w:rStyle w:val="EndnoteReference"/>
        </w:rPr>
        <w:endnoteReference w:id="46"/>
      </w:r>
      <w:r>
        <w:t xml:space="preserve">  In combination then, the Minister must have no more than a suspicion that making the order would have a non-trivial impact on preventing an outcome that the subject of the TEO need not themselves be involved in.  </w:t>
      </w:r>
      <w:r w:rsidR="00D94BAC">
        <w:t xml:space="preserve">If the Minister had a suspicion of this nature, it </w:t>
      </w:r>
      <w:r>
        <w:t xml:space="preserve">would be enough to prevent an Australian citizen over the age of 14 </w:t>
      </w:r>
      <w:r w:rsidR="00613617">
        <w:t xml:space="preserve">years old </w:t>
      </w:r>
      <w:r>
        <w:t>from re-entering their own country.</w:t>
      </w:r>
    </w:p>
    <w:p w14:paraId="132533D2" w14:textId="42146E30" w:rsidR="006769BD" w:rsidRDefault="006769BD" w:rsidP="006769BD">
      <w:pPr>
        <w:pStyle w:val="ListNumber"/>
        <w:tabs>
          <w:tab w:val="clear" w:pos="360"/>
        </w:tabs>
        <w:ind w:left="1094" w:hanging="737"/>
        <w:contextualSpacing w:val="0"/>
      </w:pPr>
      <w:r>
        <w:t>The position is different in relation to the assessment by ASIO</w:t>
      </w:r>
      <w:proofErr w:type="gramStart"/>
      <w:r>
        <w:t xml:space="preserve">.  </w:t>
      </w:r>
      <w:proofErr w:type="gramEnd"/>
      <w:r>
        <w:t>The person must have been assessed as being directly or indirectly a risk to security for reasons related to politically motivated violence.</w:t>
      </w:r>
      <w:r>
        <w:rPr>
          <w:rStyle w:val="EndnoteReference"/>
        </w:rPr>
        <w:endnoteReference w:id="47"/>
      </w:r>
      <w:r w:rsidR="002A77D3">
        <w:t xml:space="preserve"> </w:t>
      </w:r>
      <w:r w:rsidR="00CF0AC3">
        <w:t xml:space="preserve">However, </w:t>
      </w:r>
      <w:r w:rsidR="002E4594">
        <w:t xml:space="preserve">the Commission agrees with the view formed by the PJCIS in the last inquiry, that </w:t>
      </w:r>
      <w:r w:rsidR="00A52A60">
        <w:t>it should not be enough for the relevant decision maker to have received advice from ASIO to this effect</w:t>
      </w:r>
      <w:proofErr w:type="gramStart"/>
      <w:r w:rsidR="00A52A60">
        <w:t xml:space="preserve">.  </w:t>
      </w:r>
      <w:proofErr w:type="gramEnd"/>
      <w:r w:rsidR="00A52A60">
        <w:t xml:space="preserve">Rather, the relevant decision maker should </w:t>
      </w:r>
      <w:r w:rsidR="00263B27">
        <w:t>themselves form a view about the risk posed by the potential subject of the TEO</w:t>
      </w:r>
      <w:proofErr w:type="gramStart"/>
      <w:r w:rsidR="00263B27">
        <w:t xml:space="preserve">.  </w:t>
      </w:r>
      <w:proofErr w:type="gramEnd"/>
      <w:r w:rsidR="00263B27">
        <w:t xml:space="preserve">Advice from ASIO </w:t>
      </w:r>
      <w:r w:rsidR="00E62B17">
        <w:t xml:space="preserve">could legitimately be referred to for the purposes of forming this opinion. </w:t>
      </w:r>
    </w:p>
    <w:p w14:paraId="75415575" w14:textId="42B007B4" w:rsidR="00653BD7" w:rsidRDefault="00653BD7" w:rsidP="006769BD">
      <w:pPr>
        <w:pStyle w:val="ListNumber"/>
        <w:tabs>
          <w:tab w:val="clear" w:pos="360"/>
        </w:tabs>
        <w:ind w:left="1094" w:hanging="737"/>
        <w:contextualSpacing w:val="0"/>
      </w:pPr>
      <w:r>
        <w:t xml:space="preserve">The Commission considers that </w:t>
      </w:r>
      <w:r w:rsidR="00E61068">
        <w:t xml:space="preserve">the ability to make a TEO in relation to a person who is not </w:t>
      </w:r>
      <w:r w:rsidR="00BB26D9">
        <w:t xml:space="preserve">suspected of being involved in any </w:t>
      </w:r>
      <w:r w:rsidR="00F364AB">
        <w:t xml:space="preserve">terrorism-related </w:t>
      </w:r>
      <w:r w:rsidR="00BB26D9">
        <w:t xml:space="preserve">activity </w:t>
      </w:r>
      <w:r w:rsidR="00565E94">
        <w:t xml:space="preserve">themselves </w:t>
      </w:r>
      <w:r w:rsidR="009C77C2">
        <w:t xml:space="preserve">does not bear a tight enough correlation with the stated purpose of the TEO </w:t>
      </w:r>
      <w:proofErr w:type="gramStart"/>
      <w:r w:rsidR="009C77C2">
        <w:t>scheme</w:t>
      </w:r>
      <w:r w:rsidR="00F364AB">
        <w:t>,</w:t>
      </w:r>
      <w:r w:rsidR="009C77C2">
        <w:t xml:space="preserve"> and</w:t>
      </w:r>
      <w:proofErr w:type="gramEnd"/>
      <w:r w:rsidR="009C77C2">
        <w:t xml:space="preserve"> </w:t>
      </w:r>
      <w:r w:rsidR="00051573">
        <w:t>does not fall within the narrow category of cases that justify preventing Australian citizens from returning to their own country.</w:t>
      </w:r>
    </w:p>
    <w:p w14:paraId="68A54E57" w14:textId="281EEA50" w:rsidR="006769BD" w:rsidRDefault="00D556D6" w:rsidP="009E5E23">
      <w:pPr>
        <w:pStyle w:val="ListNumber"/>
        <w:tabs>
          <w:tab w:val="clear" w:pos="360"/>
        </w:tabs>
        <w:ind w:left="1094" w:hanging="737"/>
        <w:contextualSpacing w:val="0"/>
      </w:pPr>
      <w:r>
        <w:t xml:space="preserve">Clearly a less </w:t>
      </w:r>
      <w:r w:rsidR="00534A99">
        <w:t>restrictive alternative</w:t>
      </w:r>
      <w:r w:rsidR="00AC3BB2">
        <w:t xml:space="preserve"> to s 10(2)(a) of the TEO Act</w:t>
      </w:r>
      <w:r w:rsidR="00534A99">
        <w:t xml:space="preserve"> is available that would achieve the policy objective of </w:t>
      </w:r>
      <w:r w:rsidR="00702BB7">
        <w:t>delaying Australians of counter-terrorism interest from re-entering Australia, until appropriate protections are in place</w:t>
      </w:r>
      <w:proofErr w:type="gramStart"/>
      <w:r w:rsidR="00702BB7">
        <w:t xml:space="preserve">.  </w:t>
      </w:r>
      <w:proofErr w:type="gramEnd"/>
      <w:r w:rsidR="00702BB7">
        <w:t xml:space="preserve">That </w:t>
      </w:r>
      <w:r w:rsidR="001714BB">
        <w:t>altern</w:t>
      </w:r>
      <w:r w:rsidR="004D5D3A">
        <w:t>a</w:t>
      </w:r>
      <w:r w:rsidR="001714BB">
        <w:t>tive</w:t>
      </w:r>
      <w:r w:rsidR="00702BB7">
        <w:t xml:space="preserve"> is limiting the scheme to </w:t>
      </w:r>
      <w:r w:rsidR="00653119">
        <w:t>people reasonably suspect</w:t>
      </w:r>
      <w:r w:rsidR="001714BB">
        <w:t xml:space="preserve">ed </w:t>
      </w:r>
      <w:r w:rsidR="004D5D3A">
        <w:t xml:space="preserve">of being </w:t>
      </w:r>
      <w:r w:rsidR="00653119">
        <w:t>involved in terrorism-related activities outside Australia</w:t>
      </w:r>
      <w:r w:rsidR="00702BB7">
        <w:t>.</w:t>
      </w:r>
    </w:p>
    <w:p w14:paraId="52659C99" w14:textId="378EF0CD" w:rsidR="00702BB7" w:rsidRPr="00870451" w:rsidRDefault="00870451" w:rsidP="004B274A">
      <w:pPr>
        <w:pStyle w:val="ListNumber"/>
        <w:keepNext/>
        <w:numPr>
          <w:ilvl w:val="0"/>
          <w:numId w:val="0"/>
        </w:numPr>
        <w:ind w:left="1094"/>
        <w:contextualSpacing w:val="0"/>
        <w:rPr>
          <w:b/>
          <w:bCs/>
        </w:rPr>
      </w:pPr>
      <w:r w:rsidRPr="00870451">
        <w:rPr>
          <w:b/>
          <w:bCs/>
        </w:rPr>
        <w:lastRenderedPageBreak/>
        <w:t xml:space="preserve">Recommendation </w:t>
      </w:r>
      <w:r w:rsidR="00955C36">
        <w:rPr>
          <w:b/>
          <w:bCs/>
        </w:rPr>
        <w:t>2</w:t>
      </w:r>
    </w:p>
    <w:p w14:paraId="24FA2540" w14:textId="77777777" w:rsidR="00370BF4" w:rsidRDefault="00370BF4" w:rsidP="00370BF4">
      <w:pPr>
        <w:pStyle w:val="ListNumber"/>
        <w:numPr>
          <w:ilvl w:val="0"/>
          <w:numId w:val="0"/>
        </w:numPr>
        <w:ind w:left="1094"/>
        <w:contextualSpacing w:val="0"/>
      </w:pPr>
      <w:r>
        <w:t>The Commission recommends that:</w:t>
      </w:r>
    </w:p>
    <w:p w14:paraId="2B73C82A" w14:textId="77777777" w:rsidR="00370BF4" w:rsidRDefault="00370BF4" w:rsidP="00A96C9A">
      <w:pPr>
        <w:pStyle w:val="ListNumber"/>
        <w:numPr>
          <w:ilvl w:val="0"/>
          <w:numId w:val="17"/>
        </w:numPr>
        <w:contextualSpacing w:val="0"/>
      </w:pPr>
      <w:r>
        <w:t xml:space="preserve">section 10(2)(a) the </w:t>
      </w:r>
      <w:proofErr w:type="gramStart"/>
      <w:r w:rsidRPr="00601130">
        <w:rPr>
          <w:i/>
          <w:iCs/>
        </w:rPr>
        <w:t>Counter-Terrorism</w:t>
      </w:r>
      <w:proofErr w:type="gramEnd"/>
      <w:r w:rsidRPr="00601130">
        <w:rPr>
          <w:i/>
          <w:iCs/>
        </w:rPr>
        <w:t xml:space="preserve"> (Temporary Exclusion Orders) Act 2019</w:t>
      </w:r>
      <w:r>
        <w:t xml:space="preserve"> (</w:t>
      </w:r>
      <w:proofErr w:type="spellStart"/>
      <w:r>
        <w:t>Cth</w:t>
      </w:r>
      <w:proofErr w:type="spellEnd"/>
      <w:r>
        <w:t>) be amended so that the Minister must not make a temporary exclusion order in respect of a person unless the Minister reasonably suspects that:</w:t>
      </w:r>
    </w:p>
    <w:p w14:paraId="13D2CAC7" w14:textId="77777777" w:rsidR="00370BF4" w:rsidRDefault="00370BF4" w:rsidP="00A96C9A">
      <w:pPr>
        <w:pStyle w:val="ListNumber"/>
        <w:numPr>
          <w:ilvl w:val="1"/>
          <w:numId w:val="17"/>
        </w:numPr>
        <w:ind w:left="1843"/>
        <w:contextualSpacing w:val="0"/>
      </w:pPr>
      <w:r>
        <w:t>the person is, or has been, involved in terrorism-related activities outside Australia, and</w:t>
      </w:r>
    </w:p>
    <w:p w14:paraId="18B9EDC4" w14:textId="77777777" w:rsidR="00370BF4" w:rsidRDefault="00370BF4" w:rsidP="00A96C9A">
      <w:pPr>
        <w:pStyle w:val="ListNumber"/>
        <w:numPr>
          <w:ilvl w:val="1"/>
          <w:numId w:val="17"/>
        </w:numPr>
        <w:ind w:left="1843"/>
        <w:contextualSpacing w:val="0"/>
      </w:pPr>
      <w:r>
        <w:t>making the order would substantially assist in preventing the provision of support for, or the facilitation of, a terrorist act.</w:t>
      </w:r>
    </w:p>
    <w:p w14:paraId="2FE337E5" w14:textId="77777777" w:rsidR="00370BF4" w:rsidRDefault="00370BF4" w:rsidP="00A96C9A">
      <w:pPr>
        <w:pStyle w:val="ListNumber"/>
        <w:numPr>
          <w:ilvl w:val="0"/>
          <w:numId w:val="17"/>
        </w:numPr>
        <w:contextualSpacing w:val="0"/>
      </w:pPr>
      <w:r>
        <w:t xml:space="preserve">section 10(2)(b) of the </w:t>
      </w:r>
      <w:proofErr w:type="gramStart"/>
      <w:r w:rsidRPr="00601130">
        <w:rPr>
          <w:i/>
          <w:iCs/>
        </w:rPr>
        <w:t>Counter-Terrorism</w:t>
      </w:r>
      <w:proofErr w:type="gramEnd"/>
      <w:r w:rsidRPr="00601130">
        <w:rPr>
          <w:i/>
          <w:iCs/>
        </w:rPr>
        <w:t xml:space="preserve"> (Temporary Exclusion Orders) Act 2019</w:t>
      </w:r>
      <w:r>
        <w:t xml:space="preserve"> (</w:t>
      </w:r>
      <w:proofErr w:type="spellStart"/>
      <w:r>
        <w:t>Cth</w:t>
      </w:r>
      <w:proofErr w:type="spellEnd"/>
      <w:r>
        <w:t>) be repealed.</w:t>
      </w:r>
    </w:p>
    <w:p w14:paraId="4C4C061F" w14:textId="06BA68E5" w:rsidR="003F0B14" w:rsidRDefault="00874C37" w:rsidP="00874C37">
      <w:pPr>
        <w:pStyle w:val="Heading2"/>
      </w:pPr>
      <w:bookmarkStart w:id="12" w:name="_Toc89418783"/>
      <w:r>
        <w:t>Fair, independent decision making</w:t>
      </w:r>
      <w:bookmarkEnd w:id="12"/>
    </w:p>
    <w:p w14:paraId="008BEE35" w14:textId="5993FF6F" w:rsidR="009806DD" w:rsidRDefault="00311468" w:rsidP="00A43682">
      <w:pPr>
        <w:pStyle w:val="ListNumber"/>
        <w:tabs>
          <w:tab w:val="clear" w:pos="360"/>
        </w:tabs>
        <w:ind w:left="1094" w:hanging="737"/>
        <w:contextualSpacing w:val="0"/>
      </w:pPr>
      <w:r>
        <w:t>As noted above, t</w:t>
      </w:r>
      <w:r w:rsidR="009806DD">
        <w:t xml:space="preserve">he TEO Act is based on </w:t>
      </w:r>
      <w:r w:rsidR="006A3883">
        <w:t xml:space="preserve">a </w:t>
      </w:r>
      <w:r w:rsidR="001E7711">
        <w:t xml:space="preserve">similar </w:t>
      </w:r>
      <w:r w:rsidR="006A3883">
        <w:t xml:space="preserve">scheme </w:t>
      </w:r>
      <w:r w:rsidR="001E7711">
        <w:t>that exists in the United Kingdom</w:t>
      </w:r>
      <w:r w:rsidR="0099020B">
        <w:t xml:space="preserve"> </w:t>
      </w:r>
      <w:r w:rsidR="006A3883">
        <w:t xml:space="preserve">under the </w:t>
      </w:r>
      <w:proofErr w:type="gramStart"/>
      <w:r w:rsidR="006A3883" w:rsidRPr="006A3883">
        <w:rPr>
          <w:i/>
          <w:iCs/>
        </w:rPr>
        <w:t>Counter-Terrorism</w:t>
      </w:r>
      <w:proofErr w:type="gramEnd"/>
      <w:r w:rsidR="006A3883" w:rsidRPr="006A3883">
        <w:rPr>
          <w:i/>
          <w:iCs/>
        </w:rPr>
        <w:t xml:space="preserve"> and Security Act 2015</w:t>
      </w:r>
      <w:r w:rsidR="006A3883">
        <w:t xml:space="preserve"> (UK). </w:t>
      </w:r>
    </w:p>
    <w:p w14:paraId="191347AB" w14:textId="11239FDA" w:rsidR="009628F2" w:rsidRDefault="001E7711" w:rsidP="00A43682">
      <w:pPr>
        <w:pStyle w:val="ListNumber"/>
        <w:tabs>
          <w:tab w:val="clear" w:pos="360"/>
        </w:tabs>
        <w:ind w:left="1094" w:hanging="737"/>
        <w:contextualSpacing w:val="0"/>
      </w:pPr>
      <w:r>
        <w:t xml:space="preserve">However, </w:t>
      </w:r>
      <w:r w:rsidR="00172238">
        <w:t>the TEO Act differs from the UK legislation in a key respect</w:t>
      </w:r>
      <w:proofErr w:type="gramStart"/>
      <w:r w:rsidR="00172238">
        <w:t xml:space="preserve">.  </w:t>
      </w:r>
      <w:proofErr w:type="gramEnd"/>
      <w:r w:rsidR="00172238">
        <w:t xml:space="preserve">In the UK, </w:t>
      </w:r>
      <w:r w:rsidR="00324864">
        <w:t>the Secretary of State must apply to a court for permission to impose a TEO on a particular person.</w:t>
      </w:r>
      <w:r w:rsidR="009D492B">
        <w:rPr>
          <w:rStyle w:val="EndnoteReference"/>
        </w:rPr>
        <w:endnoteReference w:id="48"/>
      </w:r>
      <w:r w:rsidR="00324864">
        <w:t xml:space="preserve">  </w:t>
      </w:r>
      <w:r w:rsidR="002330BC">
        <w:t xml:space="preserve">The court will review </w:t>
      </w:r>
      <w:r w:rsidR="00343F2A">
        <w:t>each of the elements of the decision of the Secretary of State to determine whether the decision was ‘obviously flawed’.</w:t>
      </w:r>
      <w:r w:rsidR="00E269BB">
        <w:rPr>
          <w:rStyle w:val="EndnoteReference"/>
        </w:rPr>
        <w:endnoteReference w:id="49"/>
      </w:r>
      <w:r w:rsidR="00343F2A">
        <w:t xml:space="preserve">  This includes a review of whether </w:t>
      </w:r>
      <w:r w:rsidR="00A96BE6">
        <w:t xml:space="preserve">there was a reasonable basis for the Secretary of State to suspect that the individual was </w:t>
      </w:r>
      <w:r w:rsidR="009D492B">
        <w:t>involved in terrorism-related activity outside of the UK.</w:t>
      </w:r>
    </w:p>
    <w:p w14:paraId="3ADD96A2" w14:textId="040D9C9D" w:rsidR="00941778" w:rsidRDefault="00324864" w:rsidP="00A43682">
      <w:pPr>
        <w:pStyle w:val="ListNumber"/>
        <w:tabs>
          <w:tab w:val="clear" w:pos="360"/>
        </w:tabs>
        <w:ind w:left="1094" w:hanging="737"/>
        <w:contextualSpacing w:val="0"/>
      </w:pPr>
      <w:r>
        <w:t xml:space="preserve">In Australia, the Minister </w:t>
      </w:r>
      <w:r w:rsidR="00CA5010">
        <w:t>may make a TEO without any involvement of a court</w:t>
      </w:r>
      <w:proofErr w:type="gramStart"/>
      <w:r w:rsidR="002330BC">
        <w:t xml:space="preserve">.  </w:t>
      </w:r>
      <w:proofErr w:type="gramEnd"/>
      <w:r w:rsidR="002330BC">
        <w:t>T</w:t>
      </w:r>
      <w:r w:rsidR="00CA5010">
        <w:t xml:space="preserve">he TEO is then subject to a limited form of review </w:t>
      </w:r>
      <w:r w:rsidR="00BE6B28">
        <w:t>by a former judge</w:t>
      </w:r>
      <w:r w:rsidR="00BF7AC7">
        <w:t xml:space="preserve"> or former senior AAT member</w:t>
      </w:r>
      <w:r w:rsidR="00BE6B28">
        <w:t xml:space="preserve"> </w:t>
      </w:r>
      <w:r w:rsidR="00CA5010">
        <w:t xml:space="preserve">for certain kinds of legal error (but not to assess </w:t>
      </w:r>
      <w:proofErr w:type="gramStart"/>
      <w:r w:rsidR="00CA5010">
        <w:t>whether or not</w:t>
      </w:r>
      <w:proofErr w:type="gramEnd"/>
      <w:r w:rsidR="00CA5010">
        <w:t xml:space="preserve"> it was appropriate to make the TEO).</w:t>
      </w:r>
      <w:r w:rsidR="00CD04C3">
        <w:rPr>
          <w:rStyle w:val="EndnoteReference"/>
        </w:rPr>
        <w:endnoteReference w:id="50"/>
      </w:r>
    </w:p>
    <w:p w14:paraId="684C9EFB" w14:textId="36FEC9A8" w:rsidR="00CA5010" w:rsidRDefault="00575E73" w:rsidP="00A43682">
      <w:pPr>
        <w:pStyle w:val="ListNumber"/>
        <w:tabs>
          <w:tab w:val="clear" w:pos="360"/>
        </w:tabs>
        <w:ind w:left="1094" w:hanging="737"/>
        <w:contextualSpacing w:val="0"/>
      </w:pPr>
      <w:r>
        <w:t xml:space="preserve">In the UK, in urgent cases, the Secretary of State may impose a TEO without first seeking the permission of </w:t>
      </w:r>
      <w:r w:rsidR="00577CC5">
        <w:t>a court</w:t>
      </w:r>
      <w:proofErr w:type="gramStart"/>
      <w:r w:rsidR="00577CC5">
        <w:t xml:space="preserve">.  </w:t>
      </w:r>
      <w:proofErr w:type="gramEnd"/>
      <w:r w:rsidR="00577CC5">
        <w:t>However, in those circumstances, the Secretary of State must then</w:t>
      </w:r>
      <w:r w:rsidR="0005099F">
        <w:t xml:space="preserve"> immediately </w:t>
      </w:r>
      <w:r w:rsidR="00393D23">
        <w:t xml:space="preserve">refer the matter to a court, which will </w:t>
      </w:r>
      <w:r w:rsidR="00D426C8">
        <w:t>determine whether the decision was obviously flawed.</w:t>
      </w:r>
      <w:r w:rsidR="00D426C8">
        <w:rPr>
          <w:rStyle w:val="EndnoteReference"/>
        </w:rPr>
        <w:endnoteReference w:id="51"/>
      </w:r>
    </w:p>
    <w:p w14:paraId="4FBD09BE" w14:textId="70ECFF5F" w:rsidR="00112CFC" w:rsidRDefault="001D04ED" w:rsidP="00A43682">
      <w:pPr>
        <w:pStyle w:val="ListNumber"/>
        <w:tabs>
          <w:tab w:val="clear" w:pos="360"/>
        </w:tabs>
        <w:ind w:left="1094" w:hanging="737"/>
        <w:contextualSpacing w:val="0"/>
      </w:pPr>
      <w:r>
        <w:t>In the previous PJCIS review</w:t>
      </w:r>
      <w:r w:rsidR="00917B08">
        <w:t xml:space="preserve">, </w:t>
      </w:r>
      <w:r w:rsidR="005131EE">
        <w:t xml:space="preserve">concerns were expressed about the degree of power that the proposed </w:t>
      </w:r>
      <w:r w:rsidR="00B71124">
        <w:t xml:space="preserve">Australian </w:t>
      </w:r>
      <w:r w:rsidR="005131EE">
        <w:t>regime would vest in the Executive</w:t>
      </w:r>
      <w:proofErr w:type="gramStart"/>
      <w:r w:rsidR="005131EE">
        <w:t xml:space="preserve">.  </w:t>
      </w:r>
      <w:proofErr w:type="gramEnd"/>
      <w:r w:rsidR="005131EE">
        <w:t>T</w:t>
      </w:r>
      <w:r w:rsidR="00917B08">
        <w:t xml:space="preserve">he </w:t>
      </w:r>
      <w:r w:rsidR="005131EE">
        <w:t xml:space="preserve">PJCIS </w:t>
      </w:r>
      <w:r w:rsidR="00917B08">
        <w:t xml:space="preserve">heard evidence from </w:t>
      </w:r>
      <w:proofErr w:type="gramStart"/>
      <w:r w:rsidR="00917B08">
        <w:t>a number of</w:t>
      </w:r>
      <w:proofErr w:type="gramEnd"/>
      <w:r w:rsidR="00917B08">
        <w:t xml:space="preserve"> </w:t>
      </w:r>
      <w:r w:rsidR="00A210DD">
        <w:t xml:space="preserve">parties </w:t>
      </w:r>
      <w:r w:rsidR="00857D92">
        <w:t xml:space="preserve">that if a </w:t>
      </w:r>
      <w:r w:rsidR="00857D92">
        <w:lastRenderedPageBreak/>
        <w:t xml:space="preserve">TEO regime were introduced, decisions should be </w:t>
      </w:r>
      <w:r w:rsidR="006703F8">
        <w:t>made by a court or another independent decision maker.</w:t>
      </w:r>
      <w:r w:rsidR="001A610A">
        <w:rPr>
          <w:rStyle w:val="EndnoteReference"/>
        </w:rPr>
        <w:endnoteReference w:id="52"/>
      </w:r>
      <w:r w:rsidR="006703F8">
        <w:t xml:space="preserve"> </w:t>
      </w:r>
    </w:p>
    <w:p w14:paraId="1F9D4742" w14:textId="5949396C" w:rsidR="00BF0D34" w:rsidRDefault="005131EE" w:rsidP="00A43682">
      <w:pPr>
        <w:pStyle w:val="ListNumber"/>
        <w:tabs>
          <w:tab w:val="clear" w:pos="360"/>
        </w:tabs>
        <w:ind w:left="1094" w:hanging="737"/>
        <w:contextualSpacing w:val="0"/>
      </w:pPr>
      <w:r>
        <w:t xml:space="preserve">The Department of Home Affairs submitted that </w:t>
      </w:r>
      <w:r w:rsidR="00F969BF">
        <w:t xml:space="preserve">a requirement for judicial authorisation </w:t>
      </w:r>
      <w:r w:rsidR="006C08F9">
        <w:t>had been</w:t>
      </w:r>
      <w:r w:rsidR="00F969BF">
        <w:t xml:space="preserve"> rejected on the basis that</w:t>
      </w:r>
      <w:r w:rsidR="00461782">
        <w:t>, without it,</w:t>
      </w:r>
      <w:r w:rsidR="00F969BF">
        <w:t xml:space="preserve"> </w:t>
      </w:r>
      <w:r w:rsidR="00BF0D34">
        <w:t xml:space="preserve">the regime </w:t>
      </w:r>
      <w:r w:rsidR="00461782">
        <w:t xml:space="preserve">would be </w:t>
      </w:r>
      <w:r w:rsidR="007E1598">
        <w:t>quicker and cheaper</w:t>
      </w:r>
      <w:r w:rsidR="001A610A">
        <w:t xml:space="preserve"> to administer</w:t>
      </w:r>
      <w:r w:rsidR="007E1598">
        <w:t>:</w:t>
      </w:r>
    </w:p>
    <w:p w14:paraId="55FAA6AD" w14:textId="498C617A" w:rsidR="007E1598" w:rsidRPr="001A610A" w:rsidRDefault="001A610A" w:rsidP="001A610A">
      <w:pPr>
        <w:pStyle w:val="ListNumber"/>
        <w:numPr>
          <w:ilvl w:val="0"/>
          <w:numId w:val="0"/>
        </w:numPr>
        <w:ind w:left="1440"/>
        <w:contextualSpacing w:val="0"/>
        <w:rPr>
          <w:sz w:val="22"/>
          <w:szCs w:val="22"/>
        </w:rPr>
      </w:pPr>
      <w:r w:rsidRPr="001A610A">
        <w:rPr>
          <w:sz w:val="22"/>
          <w:szCs w:val="22"/>
        </w:rPr>
        <w:t>The bill has been drafted with a ministerial discretion rather than a judicial discretion so that it sets itself apart from the processes that we have got, for example, under the control order regime, which is a time-consuming and resource-intensive process. This is intended to cover the period when people are in another jurisdiction for a shorter period after their arrival into Australia. The necessity to have judicial decision-making processes involved in that wasn’t seen as necessary.</w:t>
      </w:r>
      <w:r w:rsidR="0089332A">
        <w:rPr>
          <w:rStyle w:val="EndnoteReference"/>
        </w:rPr>
        <w:endnoteReference w:id="53"/>
      </w:r>
    </w:p>
    <w:p w14:paraId="38E38870" w14:textId="0BD64A6D" w:rsidR="00BF0D34" w:rsidRDefault="001A610A" w:rsidP="00A43682">
      <w:pPr>
        <w:pStyle w:val="ListNumber"/>
        <w:tabs>
          <w:tab w:val="clear" w:pos="360"/>
        </w:tabs>
        <w:ind w:left="1094" w:hanging="737"/>
        <w:contextualSpacing w:val="0"/>
      </w:pPr>
      <w:r>
        <w:t xml:space="preserve">The PJCIS was not persuaded </w:t>
      </w:r>
      <w:r w:rsidR="007B761D">
        <w:t xml:space="preserve">that a </w:t>
      </w:r>
      <w:r w:rsidR="009741A9">
        <w:t>regime based on m</w:t>
      </w:r>
      <w:r w:rsidR="007B761D">
        <w:t xml:space="preserve">inisterial discretion </w:t>
      </w:r>
      <w:r w:rsidR="009741A9">
        <w:t xml:space="preserve">was appropriate and </w:t>
      </w:r>
      <w:r>
        <w:t>recommended that</w:t>
      </w:r>
      <w:r w:rsidR="009741A9">
        <w:t xml:space="preserve"> </w:t>
      </w:r>
      <w:r w:rsidR="00FF70AC">
        <w:t>the Bill be amended so that a TEO may only be issued by an ‘issuing authority’</w:t>
      </w:r>
      <w:r w:rsidR="000478CC">
        <w:t xml:space="preserve"> (being a judge, a retired judge or a senior member of the AAT) on application by the Minister.</w:t>
      </w:r>
      <w:r w:rsidR="000E4A24">
        <w:rPr>
          <w:rStyle w:val="EndnoteReference"/>
        </w:rPr>
        <w:endnoteReference w:id="54"/>
      </w:r>
      <w:r w:rsidR="000478CC">
        <w:t xml:space="preserve">  The PJCIS noted that such a regime would be consistent with the regime that applies in relation to preventative detention orders.</w:t>
      </w:r>
      <w:r w:rsidR="00B90C5D">
        <w:rPr>
          <w:rStyle w:val="EndnoteReference"/>
        </w:rPr>
        <w:endnoteReference w:id="55"/>
      </w:r>
    </w:p>
    <w:p w14:paraId="45C94D84" w14:textId="64FB1662" w:rsidR="003A3A89" w:rsidRDefault="00065ECD" w:rsidP="00A43682">
      <w:pPr>
        <w:pStyle w:val="ListNumber"/>
        <w:tabs>
          <w:tab w:val="clear" w:pos="360"/>
        </w:tabs>
        <w:ind w:left="1094" w:hanging="737"/>
        <w:contextualSpacing w:val="0"/>
      </w:pPr>
      <w:proofErr w:type="gramStart"/>
      <w:r>
        <w:t>On the basis of</w:t>
      </w:r>
      <w:proofErr w:type="gramEnd"/>
      <w:r>
        <w:t xml:space="preserve"> the evidence presented to it, t</w:t>
      </w:r>
      <w:r w:rsidR="003A3A89">
        <w:t xml:space="preserve">he PJCIS was of the view that </w:t>
      </w:r>
      <w:r w:rsidR="00E51085">
        <w:t xml:space="preserve">a requirement </w:t>
      </w:r>
      <w:r w:rsidR="001A6AE0">
        <w:t xml:space="preserve">that a decision be made by an issuing authority, rather than the Minister, </w:t>
      </w:r>
      <w:r w:rsidR="00E51085">
        <w:t xml:space="preserve">would </w:t>
      </w:r>
      <w:r w:rsidR="00CF6C7C">
        <w:t xml:space="preserve">enhance the protection of individual rights without </w:t>
      </w:r>
      <w:r w:rsidR="00E51085">
        <w:t>compromis</w:t>
      </w:r>
      <w:r w:rsidR="00CF6C7C">
        <w:t>ing</w:t>
      </w:r>
      <w:r w:rsidR="00E51085">
        <w:t xml:space="preserve"> the operational effectiveness of the scheme.</w:t>
      </w:r>
      <w:r w:rsidR="00E51085">
        <w:rPr>
          <w:rStyle w:val="EndnoteReference"/>
        </w:rPr>
        <w:endnoteReference w:id="56"/>
      </w:r>
    </w:p>
    <w:p w14:paraId="4BA80A1B" w14:textId="0FC3D030" w:rsidR="00C357F3" w:rsidRDefault="00EC7769" w:rsidP="00A43682">
      <w:pPr>
        <w:pStyle w:val="ListNumber"/>
        <w:tabs>
          <w:tab w:val="clear" w:pos="360"/>
        </w:tabs>
        <w:ind w:left="1094" w:hanging="737"/>
        <w:contextualSpacing w:val="0"/>
      </w:pPr>
      <w:r>
        <w:t>The Australian Government did not accept the recommendation of the PJCIS</w:t>
      </w:r>
      <w:proofErr w:type="gramStart"/>
      <w:r>
        <w:t xml:space="preserve">.  </w:t>
      </w:r>
      <w:proofErr w:type="gramEnd"/>
      <w:r w:rsidR="00F909B7">
        <w:t xml:space="preserve">Instead, it </w:t>
      </w:r>
      <w:r w:rsidR="00BB3E9C">
        <w:t>adopted a hybrid model pursuant to which the decision</w:t>
      </w:r>
      <w:r w:rsidR="00935613">
        <w:t>-</w:t>
      </w:r>
      <w:r w:rsidR="00BB3E9C">
        <w:t xml:space="preserve">making power is still vested </w:t>
      </w:r>
      <w:r w:rsidR="00925A7A">
        <w:t>in</w:t>
      </w:r>
      <w:r w:rsidR="00BB3E9C">
        <w:t xml:space="preserve"> the Minister, </w:t>
      </w:r>
      <w:r w:rsidR="00B228A2">
        <w:t xml:space="preserve">but a ‘reviewing authority’ is then charged with conducting a review </w:t>
      </w:r>
      <w:r w:rsidR="002E0E99">
        <w:t>in relation to a limited range of legal grounds</w:t>
      </w:r>
      <w:proofErr w:type="gramStart"/>
      <w:r w:rsidR="002E0E99">
        <w:t xml:space="preserve">.  </w:t>
      </w:r>
      <w:proofErr w:type="gramEnd"/>
      <w:r w:rsidR="002E0E99">
        <w:t xml:space="preserve">The justification </w:t>
      </w:r>
      <w:r w:rsidR="00596E3F">
        <w:t xml:space="preserve">given by </w:t>
      </w:r>
      <w:r w:rsidR="002E0E99">
        <w:t xml:space="preserve">the Australian Government for </w:t>
      </w:r>
      <w:r w:rsidR="00935613">
        <w:t xml:space="preserve">taking this course </w:t>
      </w:r>
      <w:r w:rsidR="002E0E99">
        <w:t>was that:</w:t>
      </w:r>
    </w:p>
    <w:p w14:paraId="385B3D46" w14:textId="00E4FE2A" w:rsidR="002E0E99" w:rsidRDefault="006B3126" w:rsidP="006117A8">
      <w:pPr>
        <w:pStyle w:val="ListNumber"/>
        <w:numPr>
          <w:ilvl w:val="0"/>
          <w:numId w:val="0"/>
        </w:numPr>
        <w:ind w:left="1440"/>
        <w:contextualSpacing w:val="0"/>
        <w:rPr>
          <w:sz w:val="22"/>
          <w:szCs w:val="22"/>
        </w:rPr>
      </w:pPr>
      <w:r w:rsidRPr="00DB2355">
        <w:rPr>
          <w:sz w:val="22"/>
          <w:szCs w:val="22"/>
        </w:rPr>
        <w:t xml:space="preserve">[T]his approach appropriately balances independent oversight </w:t>
      </w:r>
      <w:r w:rsidR="006117A8" w:rsidRPr="00DB2355">
        <w:rPr>
          <w:sz w:val="22"/>
          <w:szCs w:val="22"/>
        </w:rPr>
        <w:t>of the scheme with operational requirements in an international and dynamic threat environment.</w:t>
      </w:r>
    </w:p>
    <w:p w14:paraId="1DDDAE6C" w14:textId="1A52EF68" w:rsidR="00C4776D" w:rsidRPr="00C4776D" w:rsidRDefault="00C4776D" w:rsidP="00386E96">
      <w:pPr>
        <w:pStyle w:val="ListNumber"/>
        <w:numPr>
          <w:ilvl w:val="0"/>
          <w:numId w:val="0"/>
        </w:numPr>
        <w:ind w:left="1440"/>
        <w:contextualSpacing w:val="0"/>
        <w:rPr>
          <w:sz w:val="22"/>
          <w:szCs w:val="22"/>
        </w:rPr>
      </w:pPr>
      <w:r w:rsidRPr="00C4776D">
        <w:rPr>
          <w:sz w:val="22"/>
          <w:szCs w:val="22"/>
        </w:rPr>
        <w:t>The new provisions will provide that the Minister</w:t>
      </w:r>
      <w:r>
        <w:rPr>
          <w:sz w:val="22"/>
          <w:szCs w:val="22"/>
        </w:rPr>
        <w:t xml:space="preserve"> </w:t>
      </w:r>
      <w:r w:rsidRPr="00C4776D">
        <w:rPr>
          <w:sz w:val="22"/>
          <w:szCs w:val="22"/>
        </w:rPr>
        <w:t>can make a TEO which comes into effect</w:t>
      </w:r>
      <w:r>
        <w:rPr>
          <w:sz w:val="22"/>
          <w:szCs w:val="22"/>
        </w:rPr>
        <w:t xml:space="preserve"> </w:t>
      </w:r>
      <w:r w:rsidRPr="00C4776D">
        <w:rPr>
          <w:sz w:val="22"/>
          <w:szCs w:val="22"/>
        </w:rPr>
        <w:t>immediately and without a reviewing authority’s</w:t>
      </w:r>
      <w:r>
        <w:rPr>
          <w:sz w:val="22"/>
          <w:szCs w:val="22"/>
        </w:rPr>
        <w:t xml:space="preserve"> </w:t>
      </w:r>
      <w:r w:rsidRPr="00C4776D">
        <w:rPr>
          <w:sz w:val="22"/>
          <w:szCs w:val="22"/>
        </w:rPr>
        <w:t>permission if the Minister reasonably considers it</w:t>
      </w:r>
      <w:r>
        <w:rPr>
          <w:sz w:val="22"/>
          <w:szCs w:val="22"/>
        </w:rPr>
        <w:t xml:space="preserve"> </w:t>
      </w:r>
      <w:r w:rsidRPr="00C4776D">
        <w:rPr>
          <w:sz w:val="22"/>
          <w:szCs w:val="22"/>
        </w:rPr>
        <w:t>necessary due to the urgency of the matter,</w:t>
      </w:r>
      <w:r>
        <w:rPr>
          <w:sz w:val="22"/>
          <w:szCs w:val="22"/>
        </w:rPr>
        <w:t xml:space="preserve"> </w:t>
      </w:r>
      <w:r w:rsidRPr="00C4776D">
        <w:rPr>
          <w:sz w:val="22"/>
          <w:szCs w:val="22"/>
        </w:rPr>
        <w:t>provided that:</w:t>
      </w:r>
    </w:p>
    <w:p w14:paraId="2CD56E5E" w14:textId="6B5F0BBA" w:rsidR="00C4776D" w:rsidRPr="00C4776D" w:rsidRDefault="00C4776D" w:rsidP="00A96C9A">
      <w:pPr>
        <w:pStyle w:val="ListNumber"/>
        <w:numPr>
          <w:ilvl w:val="0"/>
          <w:numId w:val="18"/>
        </w:numPr>
        <w:ind w:left="1797" w:hanging="357"/>
        <w:contextualSpacing w:val="0"/>
        <w:rPr>
          <w:sz w:val="22"/>
          <w:szCs w:val="22"/>
        </w:rPr>
      </w:pPr>
      <w:r w:rsidRPr="00C4776D">
        <w:rPr>
          <w:sz w:val="22"/>
          <w:szCs w:val="22"/>
        </w:rPr>
        <w:t>the reviewing authority reviews the TEO as soon as</w:t>
      </w:r>
      <w:r>
        <w:rPr>
          <w:sz w:val="22"/>
          <w:szCs w:val="22"/>
        </w:rPr>
        <w:t xml:space="preserve"> </w:t>
      </w:r>
      <w:r w:rsidRPr="00C4776D">
        <w:rPr>
          <w:sz w:val="22"/>
          <w:szCs w:val="22"/>
        </w:rPr>
        <w:t>reasonably practicable, and</w:t>
      </w:r>
    </w:p>
    <w:p w14:paraId="4A225963" w14:textId="022F0526" w:rsidR="00C4776D" w:rsidRDefault="00C4776D" w:rsidP="00A96C9A">
      <w:pPr>
        <w:pStyle w:val="ListNumber"/>
        <w:numPr>
          <w:ilvl w:val="0"/>
          <w:numId w:val="18"/>
        </w:numPr>
        <w:ind w:left="1797" w:hanging="357"/>
        <w:contextualSpacing w:val="0"/>
        <w:rPr>
          <w:sz w:val="22"/>
          <w:szCs w:val="22"/>
        </w:rPr>
      </w:pPr>
      <w:r w:rsidRPr="00C4776D">
        <w:rPr>
          <w:sz w:val="22"/>
          <w:szCs w:val="22"/>
        </w:rPr>
        <w:lastRenderedPageBreak/>
        <w:t>if the reviewing authority decides the decision is</w:t>
      </w:r>
      <w:r>
        <w:rPr>
          <w:sz w:val="22"/>
          <w:szCs w:val="22"/>
        </w:rPr>
        <w:t xml:space="preserve"> </w:t>
      </w:r>
      <w:r w:rsidRPr="00C4776D">
        <w:rPr>
          <w:sz w:val="22"/>
          <w:szCs w:val="22"/>
        </w:rPr>
        <w:t>flawed, the TEO will not be valid.</w:t>
      </w:r>
    </w:p>
    <w:p w14:paraId="4498CB98" w14:textId="6FFD91C4" w:rsidR="00C4776D" w:rsidRPr="001B0873" w:rsidRDefault="00C4776D" w:rsidP="009F37F1">
      <w:pPr>
        <w:pStyle w:val="ListNumber"/>
        <w:numPr>
          <w:ilvl w:val="0"/>
          <w:numId w:val="0"/>
        </w:numPr>
        <w:ind w:left="1440"/>
        <w:contextualSpacing w:val="0"/>
        <w:rPr>
          <w:sz w:val="22"/>
          <w:szCs w:val="22"/>
        </w:rPr>
      </w:pPr>
      <w:r w:rsidRPr="001B0873">
        <w:rPr>
          <w:sz w:val="22"/>
          <w:szCs w:val="22"/>
        </w:rPr>
        <w:t>The reviewing authority will not review the</w:t>
      </w:r>
      <w:r w:rsidR="001B0873">
        <w:rPr>
          <w:sz w:val="22"/>
          <w:szCs w:val="22"/>
        </w:rPr>
        <w:t xml:space="preserve"> </w:t>
      </w:r>
      <w:r w:rsidRPr="001B0873">
        <w:rPr>
          <w:sz w:val="22"/>
          <w:szCs w:val="22"/>
        </w:rPr>
        <w:t>conditions set out in a return permit.</w:t>
      </w:r>
    </w:p>
    <w:p w14:paraId="4FB337E2" w14:textId="66DD93E0" w:rsidR="008B1289" w:rsidRDefault="001B0873" w:rsidP="00A43682">
      <w:pPr>
        <w:pStyle w:val="ListNumber"/>
        <w:tabs>
          <w:tab w:val="clear" w:pos="360"/>
        </w:tabs>
        <w:ind w:left="1094" w:hanging="737"/>
        <w:contextualSpacing w:val="0"/>
      </w:pPr>
      <w:r>
        <w:t xml:space="preserve">The essence of the rationale by the Australian Government is that the approach it has adopted would allow </w:t>
      </w:r>
      <w:r w:rsidR="009B237D">
        <w:t xml:space="preserve">the Minister to act </w:t>
      </w:r>
      <w:r w:rsidR="00D80516">
        <w:t>immediately</w:t>
      </w:r>
      <w:r w:rsidR="00293653">
        <w:t xml:space="preserve"> in urgent circumstances</w:t>
      </w:r>
      <w:proofErr w:type="gramStart"/>
      <w:r w:rsidR="00F318F2">
        <w:t xml:space="preserve">.  </w:t>
      </w:r>
      <w:proofErr w:type="gramEnd"/>
      <w:r w:rsidR="008B1289">
        <w:t xml:space="preserve">However, this ignores the balance of the </w:t>
      </w:r>
      <w:r w:rsidR="00136C62">
        <w:t>recommendation made by the PJCIS which was in the following form:</w:t>
      </w:r>
    </w:p>
    <w:p w14:paraId="27FE54B0" w14:textId="77777777" w:rsidR="00400AB0" w:rsidRPr="0075053B" w:rsidRDefault="00400AB0" w:rsidP="00136C62">
      <w:pPr>
        <w:pStyle w:val="ListNumber"/>
        <w:numPr>
          <w:ilvl w:val="0"/>
          <w:numId w:val="0"/>
        </w:numPr>
        <w:ind w:left="1094"/>
        <w:contextualSpacing w:val="0"/>
        <w:rPr>
          <w:sz w:val="22"/>
          <w:szCs w:val="22"/>
        </w:rPr>
      </w:pPr>
      <w:r w:rsidRPr="0075053B">
        <w:rPr>
          <w:sz w:val="22"/>
          <w:szCs w:val="22"/>
        </w:rPr>
        <w:tab/>
      </w:r>
      <w:r w:rsidRPr="0075053B">
        <w:rPr>
          <w:sz w:val="22"/>
          <w:szCs w:val="22"/>
        </w:rPr>
        <w:tab/>
        <w:t>The Committee recommends that the Bill be amended so that: …</w:t>
      </w:r>
    </w:p>
    <w:p w14:paraId="0271831D" w14:textId="77777777" w:rsidR="0075053B" w:rsidRPr="0075053B" w:rsidRDefault="00ED1BA0" w:rsidP="00A96C9A">
      <w:pPr>
        <w:pStyle w:val="ListNumber"/>
        <w:numPr>
          <w:ilvl w:val="0"/>
          <w:numId w:val="18"/>
        </w:numPr>
        <w:ind w:left="1843"/>
        <w:contextualSpacing w:val="0"/>
        <w:rPr>
          <w:sz w:val="22"/>
          <w:szCs w:val="22"/>
        </w:rPr>
      </w:pPr>
      <w:r w:rsidRPr="0075053B">
        <w:rPr>
          <w:sz w:val="22"/>
          <w:szCs w:val="22"/>
        </w:rPr>
        <w:t>i</w:t>
      </w:r>
      <w:r w:rsidR="00400AB0" w:rsidRPr="0075053B">
        <w:rPr>
          <w:sz w:val="22"/>
          <w:szCs w:val="22"/>
        </w:rPr>
        <w:t>n respect of urgent situations, the Minister may issue a temporary exclusion order</w:t>
      </w:r>
      <w:r w:rsidRPr="0075053B">
        <w:rPr>
          <w:sz w:val="22"/>
          <w:szCs w:val="22"/>
        </w:rPr>
        <w:t>, or impose a condition in a return permit</w:t>
      </w:r>
      <w:r w:rsidR="0075053B" w:rsidRPr="0075053B">
        <w:rPr>
          <w:sz w:val="22"/>
          <w:szCs w:val="22"/>
        </w:rPr>
        <w:t>, without the approval of an issuing authority, provided that:</w:t>
      </w:r>
    </w:p>
    <w:p w14:paraId="37BA6897" w14:textId="77777777" w:rsidR="0075053B" w:rsidRPr="0075053B" w:rsidRDefault="0075053B" w:rsidP="00A96C9A">
      <w:pPr>
        <w:pStyle w:val="ListNumber"/>
        <w:numPr>
          <w:ilvl w:val="1"/>
          <w:numId w:val="18"/>
        </w:numPr>
        <w:ind w:left="2268"/>
        <w:contextualSpacing w:val="0"/>
        <w:rPr>
          <w:sz w:val="22"/>
          <w:szCs w:val="22"/>
        </w:rPr>
      </w:pPr>
      <w:r w:rsidRPr="0075053B">
        <w:rPr>
          <w:sz w:val="22"/>
          <w:szCs w:val="22"/>
        </w:rPr>
        <w:t>the Minister obtain the approval of an issuing authority for the temporary exclusion order as soon as reasonably practicable; and</w:t>
      </w:r>
    </w:p>
    <w:p w14:paraId="6641EEEB" w14:textId="2FE15149" w:rsidR="00136C62" w:rsidRDefault="0075053B" w:rsidP="00A96C9A">
      <w:pPr>
        <w:pStyle w:val="ListNumber"/>
        <w:numPr>
          <w:ilvl w:val="1"/>
          <w:numId w:val="18"/>
        </w:numPr>
        <w:ind w:left="2268"/>
        <w:contextualSpacing w:val="0"/>
      </w:pPr>
      <w:r w:rsidRPr="0075053B">
        <w:rPr>
          <w:sz w:val="22"/>
          <w:szCs w:val="22"/>
        </w:rPr>
        <w:t>if the issuing authority does not approve of the temporary exclusion order, the Minister must immediately revoke the order.</w:t>
      </w:r>
      <w:r>
        <w:rPr>
          <w:rStyle w:val="EndnoteReference"/>
          <w:szCs w:val="22"/>
        </w:rPr>
        <w:endnoteReference w:id="57"/>
      </w:r>
      <w:r w:rsidR="00400AB0">
        <w:t xml:space="preserve"> </w:t>
      </w:r>
    </w:p>
    <w:p w14:paraId="45FC5063" w14:textId="007E01DE" w:rsidR="002E0E99" w:rsidRDefault="00ED1BA0" w:rsidP="00A43682">
      <w:pPr>
        <w:pStyle w:val="ListNumber"/>
        <w:tabs>
          <w:tab w:val="clear" w:pos="360"/>
        </w:tabs>
        <w:ind w:left="1094" w:hanging="737"/>
        <w:contextualSpacing w:val="0"/>
      </w:pPr>
      <w:r>
        <w:t>The Commission submits that t</w:t>
      </w:r>
      <w:r w:rsidR="00F318F2">
        <w:t xml:space="preserve">here are at least two ways that </w:t>
      </w:r>
      <w:r w:rsidR="001E11EA">
        <w:t xml:space="preserve">the scheme could be amended </w:t>
      </w:r>
      <w:proofErr w:type="gramStart"/>
      <w:r w:rsidR="001E11EA">
        <w:t>in order to</w:t>
      </w:r>
      <w:proofErr w:type="gramEnd"/>
      <w:r w:rsidR="001E11EA">
        <w:t xml:space="preserve"> </w:t>
      </w:r>
      <w:r w:rsidR="002F7E0C">
        <w:t>facilitate immediate steps being taken while still ensuring that the substantive decision is taken by an independent decision maker rather than the Executive.</w:t>
      </w:r>
    </w:p>
    <w:p w14:paraId="3DDD662D" w14:textId="1F31D4DB" w:rsidR="002F7E0C" w:rsidRDefault="002F7E0C" w:rsidP="00A43682">
      <w:pPr>
        <w:pStyle w:val="ListNumber"/>
        <w:tabs>
          <w:tab w:val="clear" w:pos="360"/>
        </w:tabs>
        <w:ind w:left="1094" w:hanging="737"/>
        <w:contextualSpacing w:val="0"/>
      </w:pPr>
      <w:r>
        <w:t>First, the model used in the UK could be adopted</w:t>
      </w:r>
      <w:proofErr w:type="gramStart"/>
      <w:r>
        <w:t xml:space="preserve">.  </w:t>
      </w:r>
      <w:proofErr w:type="gramEnd"/>
      <w:r>
        <w:t xml:space="preserve">This would involve </w:t>
      </w:r>
      <w:r w:rsidR="001710A9">
        <w:t>an application being made by the Minister to a court for permission to issue a TEO</w:t>
      </w:r>
      <w:proofErr w:type="gramStart"/>
      <w:r w:rsidR="001710A9">
        <w:t xml:space="preserve">.  </w:t>
      </w:r>
      <w:proofErr w:type="gramEnd"/>
      <w:r w:rsidR="001710A9">
        <w:t>In urgent cases, the Minister could issue a TEO without the need to go to court</w:t>
      </w:r>
      <w:proofErr w:type="gramStart"/>
      <w:r w:rsidR="001710A9">
        <w:t xml:space="preserve">.  </w:t>
      </w:r>
      <w:proofErr w:type="gramEnd"/>
      <w:r w:rsidR="001710A9">
        <w:t>In those circumstances</w:t>
      </w:r>
      <w:r>
        <w:t xml:space="preserve">, </w:t>
      </w:r>
      <w:r w:rsidR="001710A9">
        <w:t xml:space="preserve">the Minister would need to </w:t>
      </w:r>
      <w:r w:rsidR="00023DDF">
        <w:t>immediately refer the matter to court for an urgent determination</w:t>
      </w:r>
      <w:proofErr w:type="gramStart"/>
      <w:r w:rsidR="00023DDF">
        <w:t>.</w:t>
      </w:r>
      <w:r w:rsidR="002005D9">
        <w:t xml:space="preserve">  </w:t>
      </w:r>
      <w:proofErr w:type="gramEnd"/>
      <w:r w:rsidR="002005D9">
        <w:t xml:space="preserve">This is the Commission’s preferred option because </w:t>
      </w:r>
      <w:r w:rsidR="003E1979">
        <w:t>of the increased safeguards involved in judicial proceedings.</w:t>
      </w:r>
    </w:p>
    <w:p w14:paraId="28E651F9" w14:textId="78B74E2D" w:rsidR="00F8373F" w:rsidRDefault="003E1979" w:rsidP="00A43682">
      <w:pPr>
        <w:pStyle w:val="ListNumber"/>
        <w:tabs>
          <w:tab w:val="clear" w:pos="360"/>
        </w:tabs>
        <w:ind w:left="1094" w:hanging="737"/>
        <w:contextualSpacing w:val="0"/>
      </w:pPr>
      <w:r>
        <w:t>Alternatively</w:t>
      </w:r>
      <w:r w:rsidR="001710A9">
        <w:t>,</w:t>
      </w:r>
      <w:r w:rsidR="00023DDF">
        <w:t xml:space="preserve"> </w:t>
      </w:r>
      <w:r w:rsidR="00F8373F">
        <w:t>the regime recommended by the PJCIS in its previous report could be adopted.</w:t>
      </w:r>
    </w:p>
    <w:p w14:paraId="481F0DB2" w14:textId="65AC6273" w:rsidR="00373868" w:rsidRDefault="00CE5D15" w:rsidP="00A43682">
      <w:pPr>
        <w:pStyle w:val="ListNumber"/>
        <w:tabs>
          <w:tab w:val="clear" w:pos="360"/>
        </w:tabs>
        <w:ind w:left="1094" w:hanging="737"/>
        <w:contextualSpacing w:val="0"/>
      </w:pPr>
      <w:r>
        <w:t xml:space="preserve">The regime that has been adopted in the TEO Act not only provides fewer safeguards, </w:t>
      </w:r>
      <w:proofErr w:type="gramStart"/>
      <w:r>
        <w:t>it</w:t>
      </w:r>
      <w:proofErr w:type="gramEnd"/>
      <w:r>
        <w:t xml:space="preserve"> is also constitutionally suspect.</w:t>
      </w:r>
      <w:r w:rsidR="001536CB">
        <w:t xml:space="preserve">  The kind of review </w:t>
      </w:r>
      <w:r w:rsidR="00A40CAD">
        <w:t xml:space="preserve">that s 14 of the TEO Act </w:t>
      </w:r>
      <w:r w:rsidR="001536CB">
        <w:t>envisage</w:t>
      </w:r>
      <w:r w:rsidR="00A40CAD">
        <w:t>s will be done by a reviewing authority has the hallmarks of an exercise of judicial power</w:t>
      </w:r>
      <w:proofErr w:type="gramStart"/>
      <w:r w:rsidR="00A40CAD">
        <w:t>.</w:t>
      </w:r>
      <w:r w:rsidR="001536CB">
        <w:t xml:space="preserve"> </w:t>
      </w:r>
      <w:r w:rsidR="00663081">
        <w:t xml:space="preserve"> </w:t>
      </w:r>
      <w:proofErr w:type="gramEnd"/>
      <w:r w:rsidR="00F42EA5">
        <w:t xml:space="preserve">If, in the opinion of the reviewing authority, a TEO decision was affected by </w:t>
      </w:r>
      <w:r w:rsidR="00762D64">
        <w:t xml:space="preserve">one of </w:t>
      </w:r>
      <w:proofErr w:type="gramStart"/>
      <w:r w:rsidR="00762D64">
        <w:t>a number of</w:t>
      </w:r>
      <w:proofErr w:type="gramEnd"/>
      <w:r w:rsidR="00762D64">
        <w:t xml:space="preserve"> </w:t>
      </w:r>
      <w:r w:rsidR="0001257E">
        <w:t xml:space="preserve">specified </w:t>
      </w:r>
      <w:r w:rsidR="00F42EA5">
        <w:t>legal error</w:t>
      </w:r>
      <w:r w:rsidR="00762D64">
        <w:t>s</w:t>
      </w:r>
      <w:r w:rsidR="00BA5C71">
        <w:t xml:space="preserve"> (which have been drafted using the language of jurisdictional error)</w:t>
      </w:r>
      <w:r w:rsidR="00F42EA5">
        <w:t>, the consequence is that the TEO decision is taken never to have been made.</w:t>
      </w:r>
      <w:r w:rsidR="00F42EA5">
        <w:rPr>
          <w:rStyle w:val="EndnoteReference"/>
        </w:rPr>
        <w:endnoteReference w:id="58"/>
      </w:r>
      <w:r w:rsidR="00F42EA5">
        <w:t xml:space="preserve">  </w:t>
      </w:r>
      <w:r w:rsidR="00347784">
        <w:t xml:space="preserve">In effect, the reviewing authority is deciding whether the TEO decision was void </w:t>
      </w:r>
      <w:r w:rsidR="00347784" w:rsidRPr="00347784">
        <w:rPr>
          <w:i/>
          <w:iCs/>
        </w:rPr>
        <w:t>ab initio</w:t>
      </w:r>
      <w:r w:rsidR="00347784">
        <w:t xml:space="preserve">.  </w:t>
      </w:r>
      <w:r w:rsidR="00663081">
        <w:lastRenderedPageBreak/>
        <w:t xml:space="preserve">Significantly, </w:t>
      </w:r>
      <w:r w:rsidR="00F42EA5">
        <w:t xml:space="preserve">this means that </w:t>
      </w:r>
      <w:r w:rsidR="00663081">
        <w:t>the reviewing authority has the power to</w:t>
      </w:r>
      <w:r w:rsidR="00CB139C">
        <w:t xml:space="preserve"> make a </w:t>
      </w:r>
      <w:r w:rsidR="00341249">
        <w:t xml:space="preserve">binding </w:t>
      </w:r>
      <w:r w:rsidR="00762591">
        <w:t xml:space="preserve">and authoritative </w:t>
      </w:r>
      <w:r w:rsidR="0052024F">
        <w:t xml:space="preserve">decision </w:t>
      </w:r>
      <w:r w:rsidR="00341249">
        <w:t>in relation to a controversy about legal rights</w:t>
      </w:r>
      <w:r w:rsidR="0037472D">
        <w:t>.</w:t>
      </w:r>
      <w:r w:rsidR="00EC0709">
        <w:rPr>
          <w:rStyle w:val="EndnoteReference"/>
        </w:rPr>
        <w:endnoteReference w:id="59"/>
      </w:r>
      <w:r w:rsidR="0037472D">
        <w:t xml:space="preserve">  The opinion formed by the reviewing authority under s 14 is a </w:t>
      </w:r>
      <w:r w:rsidR="00CB139C">
        <w:t>decision</w:t>
      </w:r>
      <w:r w:rsidR="0037472D">
        <w:t xml:space="preserve"> settling for the future</w:t>
      </w:r>
      <w:r w:rsidR="00265F9D">
        <w:t xml:space="preserve"> a question about the </w:t>
      </w:r>
      <w:r w:rsidR="007F60FD">
        <w:t>validity of a</w:t>
      </w:r>
      <w:r w:rsidR="008746D3">
        <w:t xml:space="preserve"> TEO</w:t>
      </w:r>
      <w:r w:rsidR="00184FBA">
        <w:t xml:space="preserve"> decision</w:t>
      </w:r>
      <w:r w:rsidR="007F60FD">
        <w:t xml:space="preserve"> </w:t>
      </w:r>
      <w:r w:rsidR="004D4A49">
        <w:t>(which</w:t>
      </w:r>
      <w:r w:rsidR="008746D3">
        <w:t>,</w:t>
      </w:r>
      <w:r w:rsidR="004D4A49">
        <w:t xml:space="preserve"> in turn</w:t>
      </w:r>
      <w:r w:rsidR="008746D3">
        <w:t>,</w:t>
      </w:r>
      <w:r w:rsidR="004D4A49">
        <w:t xml:space="preserve"> </w:t>
      </w:r>
      <w:r w:rsidR="007F60FD">
        <w:t xml:space="preserve">impacts on </w:t>
      </w:r>
      <w:r w:rsidR="00265F9D">
        <w:t xml:space="preserve">a person’s right to re-enter </w:t>
      </w:r>
      <w:r w:rsidR="007F60FD">
        <w:t>Australia</w:t>
      </w:r>
      <w:r w:rsidR="004D4A49">
        <w:t>)</w:t>
      </w:r>
      <w:r w:rsidR="007F60FD">
        <w:t>.</w:t>
      </w:r>
      <w:r w:rsidR="008C67E3">
        <w:rPr>
          <w:rStyle w:val="EndnoteReference"/>
        </w:rPr>
        <w:endnoteReference w:id="60"/>
      </w:r>
      <w:r w:rsidR="008C67E3">
        <w:t xml:space="preserve"> </w:t>
      </w:r>
      <w:r w:rsidR="007F60FD">
        <w:t xml:space="preserve"> </w:t>
      </w:r>
      <w:r w:rsidR="00096451">
        <w:t>However, the reviewing authority is not a court</w:t>
      </w:r>
      <w:r w:rsidR="00B6782F">
        <w:t xml:space="preserve"> and is not vested with judicial power</w:t>
      </w:r>
      <w:r w:rsidR="00096451">
        <w:t xml:space="preserve">.  This raises the real prospect that </w:t>
      </w:r>
      <w:r w:rsidR="00D04128">
        <w:t>the review provision is invalid.</w:t>
      </w:r>
    </w:p>
    <w:p w14:paraId="117EBB87" w14:textId="2A1C9A91" w:rsidR="008F6D8A" w:rsidRDefault="008F6D8A" w:rsidP="00A43682">
      <w:pPr>
        <w:pStyle w:val="ListNumber"/>
        <w:tabs>
          <w:tab w:val="clear" w:pos="360"/>
        </w:tabs>
        <w:ind w:left="1094" w:hanging="737"/>
        <w:contextualSpacing w:val="0"/>
      </w:pPr>
      <w:r>
        <w:t xml:space="preserve">The TEO </w:t>
      </w:r>
      <w:r w:rsidR="00A7240B">
        <w:t>Act</w:t>
      </w:r>
      <w:r>
        <w:t xml:space="preserve"> </w:t>
      </w:r>
      <w:r w:rsidR="00D04128">
        <w:t xml:space="preserve">itself </w:t>
      </w:r>
      <w:r>
        <w:t xml:space="preserve">recognises that </w:t>
      </w:r>
      <w:r w:rsidR="00033132">
        <w:t xml:space="preserve">the </w:t>
      </w:r>
      <w:r w:rsidR="00D04128">
        <w:t xml:space="preserve">review provision </w:t>
      </w:r>
      <w:r w:rsidR="00AA0575">
        <w:t xml:space="preserve">may well be constitutionally </w:t>
      </w:r>
      <w:r w:rsidR="00A7240B">
        <w:t>invalid</w:t>
      </w:r>
      <w:r w:rsidR="003E7FB0">
        <w:t xml:space="preserve"> by building in</w:t>
      </w:r>
      <w:r w:rsidR="005943DB">
        <w:t xml:space="preserve"> a default position if this turns out to be the case</w:t>
      </w:r>
      <w:proofErr w:type="gramStart"/>
      <w:r w:rsidR="00AA0575">
        <w:t xml:space="preserve">.  </w:t>
      </w:r>
      <w:proofErr w:type="gramEnd"/>
      <w:r w:rsidR="003E7FB0">
        <w:t xml:space="preserve">Section 30 of the </w:t>
      </w:r>
      <w:r w:rsidR="005943DB">
        <w:t xml:space="preserve">TEO </w:t>
      </w:r>
      <w:r w:rsidR="0087002B">
        <w:t xml:space="preserve">Act provides that if </w:t>
      </w:r>
      <w:r w:rsidR="005943DB">
        <w:t xml:space="preserve">s 14 </w:t>
      </w:r>
      <w:r w:rsidR="0087002B">
        <w:t xml:space="preserve">is invalid, </w:t>
      </w:r>
      <w:r w:rsidR="00287471">
        <w:t xml:space="preserve">then the rest of the Act continues to operate </w:t>
      </w:r>
      <w:r w:rsidR="00287471" w:rsidRPr="005943DB">
        <w:rPr>
          <w:i/>
          <w:iCs/>
        </w:rPr>
        <w:t>without</w:t>
      </w:r>
      <w:r w:rsidR="00287471">
        <w:t xml:space="preserve"> provision for review</w:t>
      </w:r>
      <w:r w:rsidR="00D21975">
        <w:t xml:space="preserve"> by a reviewing authority</w:t>
      </w:r>
      <w:r w:rsidR="00287471">
        <w:t>.</w:t>
      </w:r>
      <w:r w:rsidR="00D21975">
        <w:rPr>
          <w:rStyle w:val="EndnoteReference"/>
        </w:rPr>
        <w:endnoteReference w:id="61"/>
      </w:r>
    </w:p>
    <w:p w14:paraId="19A89739" w14:textId="20769B86" w:rsidR="00B919EC" w:rsidRDefault="00B919EC" w:rsidP="00B919EC">
      <w:pPr>
        <w:pStyle w:val="ListNumber"/>
        <w:tabs>
          <w:tab w:val="clear" w:pos="360"/>
        </w:tabs>
        <w:ind w:left="1094" w:hanging="737"/>
        <w:contextualSpacing w:val="0"/>
      </w:pPr>
      <w:r>
        <w:t xml:space="preserve">The Commission submits that </w:t>
      </w:r>
      <w:r w:rsidR="00F17C2C">
        <w:t xml:space="preserve">the rights of review of Australian citizens under </w:t>
      </w:r>
      <w:r>
        <w:t>the TEO Act should</w:t>
      </w:r>
      <w:r w:rsidR="005C6CBA">
        <w:t xml:space="preserve"> not</w:t>
      </w:r>
      <w:r>
        <w:t xml:space="preserve"> be </w:t>
      </w:r>
      <w:r w:rsidR="00F17C2C">
        <w:t xml:space="preserve">made dependent on a </w:t>
      </w:r>
      <w:r w:rsidR="00DE19CA">
        <w:t>scheme of dubious constitutional validity.</w:t>
      </w:r>
      <w:r w:rsidR="00C65659">
        <w:t xml:space="preserve"> </w:t>
      </w:r>
    </w:p>
    <w:p w14:paraId="47122D43" w14:textId="7FF6286C" w:rsidR="00E77E7A" w:rsidRDefault="00DB7FDD" w:rsidP="00A43682">
      <w:pPr>
        <w:pStyle w:val="ListNumber"/>
        <w:tabs>
          <w:tab w:val="clear" w:pos="360"/>
        </w:tabs>
        <w:ind w:left="1094" w:hanging="737"/>
        <w:contextualSpacing w:val="0"/>
      </w:pPr>
      <w:r>
        <w:t>T</w:t>
      </w:r>
      <w:r w:rsidR="00A6356B">
        <w:t>he Commission notes that t</w:t>
      </w:r>
      <w:r w:rsidR="00E77E7A">
        <w:t xml:space="preserve">he Government accepted recommendation 18 of the PJCIS report that it obtain legal advice from the Solicitor General on the </w:t>
      </w:r>
      <w:r w:rsidR="00BC11A0">
        <w:t>constitutional validity of the final form of the Bill.</w:t>
      </w:r>
      <w:r w:rsidR="008B4EC7">
        <w:rPr>
          <w:rStyle w:val="EndnoteReference"/>
        </w:rPr>
        <w:endnoteReference w:id="62"/>
      </w:r>
      <w:r w:rsidR="00BC11A0">
        <w:t xml:space="preserve">  The Commission suggests that the PJCIS ask for a copy of this advice.</w:t>
      </w:r>
    </w:p>
    <w:p w14:paraId="25DD0732" w14:textId="293F7A83" w:rsidR="00B919EC" w:rsidRPr="00DB7FDD" w:rsidRDefault="00DB7FDD" w:rsidP="00020356">
      <w:pPr>
        <w:pStyle w:val="ListNumber"/>
        <w:keepNext/>
        <w:numPr>
          <w:ilvl w:val="0"/>
          <w:numId w:val="0"/>
        </w:numPr>
        <w:ind w:left="1094"/>
        <w:contextualSpacing w:val="0"/>
        <w:rPr>
          <w:b/>
          <w:bCs/>
        </w:rPr>
      </w:pPr>
      <w:r w:rsidRPr="00DB7FDD">
        <w:rPr>
          <w:b/>
          <w:bCs/>
        </w:rPr>
        <w:t xml:space="preserve">Recommendation </w:t>
      </w:r>
      <w:r w:rsidR="00955C36">
        <w:rPr>
          <w:b/>
          <w:bCs/>
        </w:rPr>
        <w:t>3</w:t>
      </w:r>
    </w:p>
    <w:p w14:paraId="415A0BD9" w14:textId="4F7D41F2" w:rsidR="00DB7FDD" w:rsidRDefault="00DB7FDD" w:rsidP="00DB7FDD">
      <w:pPr>
        <w:pStyle w:val="ListNumber"/>
        <w:numPr>
          <w:ilvl w:val="0"/>
          <w:numId w:val="0"/>
        </w:numPr>
        <w:ind w:left="1094"/>
        <w:contextualSpacing w:val="0"/>
      </w:pPr>
      <w:r>
        <w:t xml:space="preserve">The Commission recommends that </w:t>
      </w:r>
      <w:r w:rsidR="009F3A48">
        <w:t xml:space="preserve">the </w:t>
      </w:r>
      <w:r w:rsidR="0009084A">
        <w:t xml:space="preserve">provision for review of a </w:t>
      </w:r>
      <w:r w:rsidR="00200CE1">
        <w:t xml:space="preserve">temporary exclusion order </w:t>
      </w:r>
      <w:r w:rsidR="0009084A">
        <w:t xml:space="preserve">decision by a ‘reviewing authority’ in s 14 of the </w:t>
      </w:r>
      <w:proofErr w:type="gramStart"/>
      <w:r w:rsidR="0009084A" w:rsidRPr="0056205D">
        <w:rPr>
          <w:i/>
          <w:iCs/>
        </w:rPr>
        <w:t>Counter-Terrorism</w:t>
      </w:r>
      <w:proofErr w:type="gramEnd"/>
      <w:r w:rsidR="0009084A" w:rsidRPr="0056205D">
        <w:rPr>
          <w:i/>
          <w:iCs/>
        </w:rPr>
        <w:t xml:space="preserve"> (Temporary Exclusion Orders) Act 2019</w:t>
      </w:r>
      <w:r w:rsidR="0009084A">
        <w:t xml:space="preserve"> (</w:t>
      </w:r>
      <w:proofErr w:type="spellStart"/>
      <w:r w:rsidR="0009084A">
        <w:t>Cth</w:t>
      </w:r>
      <w:proofErr w:type="spellEnd"/>
      <w:r w:rsidR="0009084A">
        <w:t xml:space="preserve">) be </w:t>
      </w:r>
      <w:r w:rsidR="003132F4">
        <w:t xml:space="preserve">repealed and </w:t>
      </w:r>
      <w:r w:rsidR="0009084A">
        <w:t xml:space="preserve">replaced with a </w:t>
      </w:r>
      <w:r w:rsidR="003132F4">
        <w:t>requirement that the Minister seek an order from a Court for the making of a temporary exclusion order</w:t>
      </w:r>
      <w:r w:rsidR="006F43EB">
        <w:t xml:space="preserve"> based on the model in the </w:t>
      </w:r>
      <w:r w:rsidR="001B57A0" w:rsidRPr="006A3883">
        <w:rPr>
          <w:i/>
          <w:iCs/>
        </w:rPr>
        <w:t>Counter-Terrorism and Security Act 2015</w:t>
      </w:r>
      <w:r w:rsidR="001B57A0">
        <w:t xml:space="preserve"> (UK)</w:t>
      </w:r>
      <w:r w:rsidR="003132F4">
        <w:t>.</w:t>
      </w:r>
    </w:p>
    <w:p w14:paraId="7B9BF5E0" w14:textId="09521479" w:rsidR="00200CE1" w:rsidRPr="00200CE1" w:rsidRDefault="00200CE1" w:rsidP="00200CE1">
      <w:pPr>
        <w:pStyle w:val="ListNumber"/>
        <w:keepNext/>
        <w:numPr>
          <w:ilvl w:val="0"/>
          <w:numId w:val="0"/>
        </w:numPr>
        <w:ind w:left="1094"/>
        <w:contextualSpacing w:val="0"/>
        <w:rPr>
          <w:b/>
          <w:bCs/>
        </w:rPr>
      </w:pPr>
      <w:r w:rsidRPr="00200CE1">
        <w:rPr>
          <w:b/>
          <w:bCs/>
        </w:rPr>
        <w:t xml:space="preserve">Recommendation </w:t>
      </w:r>
      <w:r w:rsidR="00955C36">
        <w:rPr>
          <w:b/>
          <w:bCs/>
        </w:rPr>
        <w:t>4</w:t>
      </w:r>
    </w:p>
    <w:p w14:paraId="4828AEBD" w14:textId="77777777" w:rsidR="004C48B5" w:rsidRDefault="004C48B5" w:rsidP="004C48B5">
      <w:pPr>
        <w:pStyle w:val="ListNumber"/>
        <w:numPr>
          <w:ilvl w:val="0"/>
          <w:numId w:val="0"/>
        </w:numPr>
        <w:ind w:left="1094"/>
        <w:contextualSpacing w:val="0"/>
      </w:pPr>
      <w:r>
        <w:t xml:space="preserve">If Recommendation 3 is not accepted, the Commission recommends that the </w:t>
      </w:r>
      <w:proofErr w:type="gramStart"/>
      <w:r w:rsidRPr="0056205D">
        <w:rPr>
          <w:i/>
          <w:iCs/>
        </w:rPr>
        <w:t>Counter-Terrorism</w:t>
      </w:r>
      <w:proofErr w:type="gramEnd"/>
      <w:r w:rsidRPr="0056205D">
        <w:rPr>
          <w:i/>
          <w:iCs/>
        </w:rPr>
        <w:t xml:space="preserve"> (Temporary Exclusion Orders) Act 2019</w:t>
      </w:r>
      <w:r>
        <w:t xml:space="preserve"> (</w:t>
      </w:r>
      <w:proofErr w:type="spellStart"/>
      <w:r>
        <w:t>Cth</w:t>
      </w:r>
      <w:proofErr w:type="spellEnd"/>
      <w:r>
        <w:t xml:space="preserve">) be amended so that: </w:t>
      </w:r>
    </w:p>
    <w:p w14:paraId="5BC465B8" w14:textId="77777777" w:rsidR="004C48B5" w:rsidRDefault="004C48B5" w:rsidP="00A96C9A">
      <w:pPr>
        <w:pStyle w:val="ListNumber"/>
        <w:numPr>
          <w:ilvl w:val="0"/>
          <w:numId w:val="17"/>
        </w:numPr>
        <w:contextualSpacing w:val="0"/>
      </w:pPr>
      <w:r>
        <w:t xml:space="preserve">subject to the third dot point below, a temporary exclusion order may only be issued by an ‘issuing authority’ (being a judge, a retired </w:t>
      </w:r>
      <w:proofErr w:type="gramStart"/>
      <w:r>
        <w:t>judge</w:t>
      </w:r>
      <w:proofErr w:type="gramEnd"/>
      <w:r>
        <w:t xml:space="preserve"> or a senior member of the Administrative Appeals Tribunal) on application by the Minister, </w:t>
      </w:r>
    </w:p>
    <w:p w14:paraId="187F349D" w14:textId="77777777" w:rsidR="004C48B5" w:rsidRDefault="004C48B5" w:rsidP="00A96C9A">
      <w:pPr>
        <w:pStyle w:val="ListNumber"/>
        <w:numPr>
          <w:ilvl w:val="0"/>
          <w:numId w:val="17"/>
        </w:numPr>
        <w:contextualSpacing w:val="0"/>
      </w:pPr>
      <w:r>
        <w:t>the issuing authority must approve any condition set out in a return permit, and</w:t>
      </w:r>
    </w:p>
    <w:p w14:paraId="63122CAC" w14:textId="77777777" w:rsidR="004C48B5" w:rsidRDefault="004C48B5" w:rsidP="00A96C9A">
      <w:pPr>
        <w:pStyle w:val="ListNumber"/>
        <w:numPr>
          <w:ilvl w:val="0"/>
          <w:numId w:val="17"/>
        </w:numPr>
        <w:contextualSpacing w:val="0"/>
      </w:pPr>
      <w:r>
        <w:lastRenderedPageBreak/>
        <w:t>in respect of urgent situations, the Minister may issue a temporary exclusion order, or impose a condition in a return permit, without the approval of an issuing authority, provided that:</w:t>
      </w:r>
    </w:p>
    <w:p w14:paraId="4B48A0D2" w14:textId="77777777" w:rsidR="004C48B5" w:rsidRDefault="004C48B5" w:rsidP="00A96C9A">
      <w:pPr>
        <w:pStyle w:val="ListNumber"/>
        <w:numPr>
          <w:ilvl w:val="1"/>
          <w:numId w:val="17"/>
        </w:numPr>
        <w:ind w:left="1843"/>
        <w:contextualSpacing w:val="0"/>
      </w:pPr>
      <w:r>
        <w:t>the Minister obtain the approval of an issuing authority for the temporary exclusion order as soon as reasonably practicable, and</w:t>
      </w:r>
    </w:p>
    <w:p w14:paraId="3C4E6611" w14:textId="77777777" w:rsidR="004C48B5" w:rsidRDefault="004C48B5" w:rsidP="00A96C9A">
      <w:pPr>
        <w:pStyle w:val="ListNumber"/>
        <w:numPr>
          <w:ilvl w:val="1"/>
          <w:numId w:val="17"/>
        </w:numPr>
        <w:ind w:left="1843"/>
        <w:contextualSpacing w:val="0"/>
      </w:pPr>
      <w:r w:rsidRPr="00751978">
        <w:t>if the issuing authority does not approve of the temporary exclusion order, the Minister must immediately revoke the order</w:t>
      </w:r>
      <w:r>
        <w:t>.</w:t>
      </w:r>
    </w:p>
    <w:p w14:paraId="386BD240" w14:textId="1AFC005F" w:rsidR="002223FA" w:rsidRDefault="00B36171" w:rsidP="00B36171">
      <w:pPr>
        <w:pStyle w:val="Heading2"/>
      </w:pPr>
      <w:bookmarkStart w:id="13" w:name="_Toc89418784"/>
      <w:r>
        <w:t>Information about grounds and review rights</w:t>
      </w:r>
      <w:bookmarkEnd w:id="13"/>
    </w:p>
    <w:p w14:paraId="4FF0BC61" w14:textId="20298F92" w:rsidR="002278FE" w:rsidRDefault="0026136A" w:rsidP="00D82A34">
      <w:pPr>
        <w:pStyle w:val="ListNumber"/>
        <w:tabs>
          <w:tab w:val="clear" w:pos="360"/>
        </w:tabs>
        <w:ind w:left="1094" w:hanging="737"/>
        <w:contextualSpacing w:val="0"/>
      </w:pPr>
      <w:r>
        <w:t xml:space="preserve">Regardless of the identity of the </w:t>
      </w:r>
      <w:r w:rsidR="00F77C16">
        <w:t xml:space="preserve">person or body given the power to make a TEO, </w:t>
      </w:r>
      <w:r w:rsidR="00B966BD">
        <w:t xml:space="preserve">the order should </w:t>
      </w:r>
      <w:r w:rsidR="00997A20">
        <w:t xml:space="preserve">include </w:t>
      </w:r>
      <w:r w:rsidR="0069534C">
        <w:t>a summary of the grounds on which it was made</w:t>
      </w:r>
      <w:r w:rsidR="00D159EA">
        <w:t xml:space="preserve">, excluding any information that </w:t>
      </w:r>
      <w:r w:rsidR="00554D1D">
        <w:t>is likely to prejudice national security</w:t>
      </w:r>
      <w:proofErr w:type="gramStart"/>
      <w:r w:rsidR="00B966BD">
        <w:t xml:space="preserve">.  </w:t>
      </w:r>
      <w:proofErr w:type="gramEnd"/>
      <w:r w:rsidR="00B966BD">
        <w:t xml:space="preserve">It should also include </w:t>
      </w:r>
      <w:r w:rsidR="002C23F2">
        <w:t>details of the person’s right</w:t>
      </w:r>
      <w:r w:rsidR="002060A4">
        <w:t>s of review in relation to the order</w:t>
      </w:r>
      <w:proofErr w:type="gramStart"/>
      <w:r w:rsidR="00B966BD">
        <w:t>.  Both of these</w:t>
      </w:r>
      <w:proofErr w:type="gramEnd"/>
      <w:r w:rsidR="00B966BD">
        <w:t xml:space="preserve"> things were recommended by the PJCIS in </w:t>
      </w:r>
      <w:r w:rsidR="001E3613">
        <w:t xml:space="preserve">its </w:t>
      </w:r>
      <w:r w:rsidR="002278FE">
        <w:t>previous review.</w:t>
      </w:r>
      <w:r w:rsidR="004078F2">
        <w:rPr>
          <w:rStyle w:val="EndnoteReference"/>
        </w:rPr>
        <w:endnoteReference w:id="63"/>
      </w:r>
      <w:r w:rsidR="002278FE">
        <w:t xml:space="preserve"> </w:t>
      </w:r>
    </w:p>
    <w:p w14:paraId="11903F20" w14:textId="4B4F4CD3" w:rsidR="00D7717D" w:rsidRDefault="0090104F" w:rsidP="00E063FC">
      <w:pPr>
        <w:pStyle w:val="ListNumber"/>
        <w:tabs>
          <w:tab w:val="clear" w:pos="360"/>
        </w:tabs>
        <w:ind w:left="1094" w:hanging="737"/>
        <w:contextualSpacing w:val="0"/>
      </w:pPr>
      <w:r>
        <w:t xml:space="preserve">Providing a statement of the grounds for </w:t>
      </w:r>
      <w:r w:rsidR="00297732">
        <w:t xml:space="preserve">the exercise of extraordinary powers such as these </w:t>
      </w:r>
      <w:r w:rsidR="00A27700">
        <w:t xml:space="preserve">would </w:t>
      </w:r>
      <w:r w:rsidR="002C1AE9">
        <w:t xml:space="preserve">fulfil </w:t>
      </w:r>
      <w:r w:rsidR="00297732">
        <w:t xml:space="preserve">an important public function </w:t>
      </w:r>
      <w:r w:rsidR="001E4DCB">
        <w:t xml:space="preserve">of identifying the </w:t>
      </w:r>
      <w:r w:rsidR="002C1AE9">
        <w:t xml:space="preserve">claimed </w:t>
      </w:r>
      <w:r w:rsidR="006562E3">
        <w:t xml:space="preserve">basis for the </w:t>
      </w:r>
      <w:r w:rsidR="00B179F7">
        <w:t>TEO</w:t>
      </w:r>
      <w:r w:rsidR="006562E3">
        <w:t xml:space="preserve">, so that </w:t>
      </w:r>
      <w:r w:rsidR="006D3F2E">
        <w:t>it</w:t>
      </w:r>
      <w:r w:rsidR="006562E3">
        <w:t xml:space="preserve"> </w:t>
      </w:r>
      <w:r w:rsidR="00792862">
        <w:t xml:space="preserve">could </w:t>
      </w:r>
      <w:r w:rsidR="006562E3">
        <w:t xml:space="preserve">be </w:t>
      </w:r>
      <w:r w:rsidR="00792862">
        <w:t xml:space="preserve">properly </w:t>
      </w:r>
      <w:r w:rsidR="006562E3">
        <w:t xml:space="preserve">examined for the purpose of assessing whether </w:t>
      </w:r>
      <w:r w:rsidR="00213805">
        <w:t>it</w:t>
      </w:r>
      <w:r w:rsidR="006D3F2E">
        <w:t xml:space="preserve"> </w:t>
      </w:r>
      <w:r w:rsidR="006562E3">
        <w:t>was lawfully made</w:t>
      </w:r>
      <w:proofErr w:type="gramStart"/>
      <w:r w:rsidR="006562E3">
        <w:t xml:space="preserve">.  </w:t>
      </w:r>
      <w:proofErr w:type="gramEnd"/>
      <w:r w:rsidR="00CD6EE5">
        <w:t xml:space="preserve">That is, </w:t>
      </w:r>
      <w:r w:rsidR="00433DE0">
        <w:t>the statement</w:t>
      </w:r>
      <w:r w:rsidR="00CD6EE5">
        <w:t xml:space="preserve"> would assist in any application for judicial review</w:t>
      </w:r>
      <w:proofErr w:type="gramStart"/>
      <w:r w:rsidR="00CD6EE5">
        <w:t xml:space="preserve">.  </w:t>
      </w:r>
      <w:proofErr w:type="gramEnd"/>
      <w:r w:rsidR="00F15515">
        <w:t>The</w:t>
      </w:r>
      <w:r w:rsidR="0086749C">
        <w:t xml:space="preserve">re do not appear to be any compelling </w:t>
      </w:r>
      <w:r w:rsidR="00F15515">
        <w:t>policy reason</w:t>
      </w:r>
      <w:r w:rsidR="0086749C">
        <w:t>s</w:t>
      </w:r>
      <w:r w:rsidR="00F15515">
        <w:t xml:space="preserve"> why a statement of grounds, excluding national security information, should not be included in a TEO</w:t>
      </w:r>
      <w:proofErr w:type="gramStart"/>
      <w:r w:rsidR="00F15515">
        <w:t>.</w:t>
      </w:r>
      <w:r w:rsidR="008A5D40">
        <w:t xml:space="preserve">  </w:t>
      </w:r>
      <w:proofErr w:type="gramEnd"/>
      <w:r w:rsidR="00D7717D">
        <w:t>As the PJCIS noted at the time, it would make the TEO regime consistent with the current regimes for control orders</w:t>
      </w:r>
      <w:r w:rsidR="00D7717D">
        <w:rPr>
          <w:rStyle w:val="EndnoteReference"/>
        </w:rPr>
        <w:endnoteReference w:id="64"/>
      </w:r>
      <w:r w:rsidR="00D7717D">
        <w:t xml:space="preserve"> and preventative detention orders.</w:t>
      </w:r>
      <w:r w:rsidR="00D7717D">
        <w:rPr>
          <w:rStyle w:val="EndnoteReference"/>
        </w:rPr>
        <w:endnoteReference w:id="65"/>
      </w:r>
      <w:r w:rsidR="00D7717D">
        <w:t xml:space="preserve">  </w:t>
      </w:r>
    </w:p>
    <w:p w14:paraId="4899E5D8" w14:textId="057D36A0" w:rsidR="001F165B" w:rsidRDefault="001F165B" w:rsidP="00E063FC">
      <w:pPr>
        <w:pStyle w:val="ListNumber"/>
        <w:tabs>
          <w:tab w:val="clear" w:pos="360"/>
        </w:tabs>
        <w:ind w:left="1094" w:hanging="737"/>
        <w:contextualSpacing w:val="0"/>
      </w:pPr>
      <w:r>
        <w:t>Wh</w:t>
      </w:r>
      <w:r w:rsidR="002D62FB">
        <w:t xml:space="preserve">ile a TEO must </w:t>
      </w:r>
      <w:r w:rsidR="00321FEC">
        <w:t>‘</w:t>
      </w:r>
      <w:r w:rsidR="002D62FB">
        <w:t>state</w:t>
      </w:r>
      <w:r w:rsidR="00321FEC">
        <w:t xml:space="preserve"> that the person may have review rights in relation to the decision to make the order’,</w:t>
      </w:r>
      <w:r w:rsidR="00916E14">
        <w:rPr>
          <w:rStyle w:val="EndnoteReference"/>
        </w:rPr>
        <w:endnoteReference w:id="66"/>
      </w:r>
      <w:r w:rsidR="00321FEC">
        <w:t xml:space="preserve"> it would be </w:t>
      </w:r>
      <w:r w:rsidR="00916E14">
        <w:t>preferable for the TEO to specify what those review rights are.</w:t>
      </w:r>
    </w:p>
    <w:p w14:paraId="2A736E30" w14:textId="18A5E65F" w:rsidR="00E57135" w:rsidRPr="00F15515" w:rsidRDefault="00F15515" w:rsidP="00F15515">
      <w:pPr>
        <w:pStyle w:val="ListNumber"/>
        <w:keepNext/>
        <w:numPr>
          <w:ilvl w:val="0"/>
          <w:numId w:val="0"/>
        </w:numPr>
        <w:ind w:left="1094"/>
        <w:contextualSpacing w:val="0"/>
        <w:rPr>
          <w:b/>
          <w:bCs/>
        </w:rPr>
      </w:pPr>
      <w:r w:rsidRPr="00F15515">
        <w:rPr>
          <w:b/>
          <w:bCs/>
        </w:rPr>
        <w:t>Recommendation 5</w:t>
      </w:r>
    </w:p>
    <w:p w14:paraId="58F6CBCF" w14:textId="00C74EDE" w:rsidR="00635C88" w:rsidRDefault="004C2811" w:rsidP="00635C88">
      <w:pPr>
        <w:pStyle w:val="ListNumber"/>
        <w:numPr>
          <w:ilvl w:val="0"/>
          <w:numId w:val="0"/>
        </w:numPr>
        <w:ind w:left="1094"/>
        <w:contextualSpacing w:val="0"/>
      </w:pPr>
      <w:r>
        <w:t xml:space="preserve">The Commission recommends that the </w:t>
      </w:r>
      <w:proofErr w:type="gramStart"/>
      <w:r w:rsidRPr="0056205D">
        <w:rPr>
          <w:i/>
          <w:iCs/>
        </w:rPr>
        <w:t>Counter-Terrorism</w:t>
      </w:r>
      <w:proofErr w:type="gramEnd"/>
      <w:r w:rsidRPr="0056205D">
        <w:rPr>
          <w:i/>
          <w:iCs/>
        </w:rPr>
        <w:t xml:space="preserve"> (Temporary Exclusion Orders) Act 2019</w:t>
      </w:r>
      <w:r>
        <w:t xml:space="preserve"> (</w:t>
      </w:r>
      <w:proofErr w:type="spellStart"/>
      <w:r>
        <w:t>Cth</w:t>
      </w:r>
      <w:proofErr w:type="spellEnd"/>
      <w:r>
        <w:t>) be amended so that a temporary exclusion order is required to set out:</w:t>
      </w:r>
    </w:p>
    <w:p w14:paraId="0EF5B592" w14:textId="77777777" w:rsidR="00635C88" w:rsidRDefault="00635C88" w:rsidP="00A96C9A">
      <w:pPr>
        <w:pStyle w:val="ListNumber"/>
        <w:numPr>
          <w:ilvl w:val="0"/>
          <w:numId w:val="17"/>
        </w:numPr>
        <w:contextualSpacing w:val="0"/>
      </w:pPr>
      <w:r w:rsidRPr="00FA22C3">
        <w:t xml:space="preserve">a summary of the grounds on which </w:t>
      </w:r>
      <w:r>
        <w:t xml:space="preserve">the order is </w:t>
      </w:r>
      <w:r w:rsidRPr="00FA22C3">
        <w:t>made, excluding information that is likely to prejudice national security</w:t>
      </w:r>
      <w:r>
        <w:t>, and</w:t>
      </w:r>
    </w:p>
    <w:p w14:paraId="03434EB3" w14:textId="77777777" w:rsidR="00635C88" w:rsidRDefault="00635C88" w:rsidP="00A96C9A">
      <w:pPr>
        <w:pStyle w:val="ListNumber"/>
        <w:numPr>
          <w:ilvl w:val="0"/>
          <w:numId w:val="17"/>
        </w:numPr>
        <w:contextualSpacing w:val="0"/>
      </w:pPr>
      <w:r>
        <w:t>the person’s rights of review in relation to the order and any return permit made</w:t>
      </w:r>
      <w:r w:rsidRPr="00FA22C3">
        <w:t>.</w:t>
      </w:r>
    </w:p>
    <w:p w14:paraId="07650FFB" w14:textId="74BFD281" w:rsidR="0069534C" w:rsidRDefault="0069534C" w:rsidP="0069534C">
      <w:pPr>
        <w:pStyle w:val="Heading2"/>
      </w:pPr>
      <w:bookmarkStart w:id="14" w:name="_Toc89418785"/>
      <w:r>
        <w:lastRenderedPageBreak/>
        <w:t>Rights of children</w:t>
      </w:r>
      <w:bookmarkEnd w:id="14"/>
    </w:p>
    <w:p w14:paraId="7D50A5D2" w14:textId="5CD56AB6" w:rsidR="003A5DBD" w:rsidRDefault="00D57ADA" w:rsidP="003A7748">
      <w:pPr>
        <w:pStyle w:val="ListNumber"/>
        <w:tabs>
          <w:tab w:val="clear" w:pos="360"/>
        </w:tabs>
        <w:ind w:left="1094" w:hanging="737"/>
        <w:contextualSpacing w:val="0"/>
      </w:pPr>
      <w:r>
        <w:t>The Commission reiterates the submissions it previously made in relation to the rights of children.</w:t>
      </w:r>
      <w:r w:rsidR="00190FDD">
        <w:rPr>
          <w:rStyle w:val="EndnoteReference"/>
        </w:rPr>
        <w:endnoteReference w:id="67"/>
      </w:r>
      <w:r>
        <w:t xml:space="preserve">  First, it submits that </w:t>
      </w:r>
      <w:r w:rsidR="00B0762E">
        <w:t xml:space="preserve">the TEO regime should not apply to </w:t>
      </w:r>
      <w:r w:rsidR="00EE4E07">
        <w:t>Australian children</w:t>
      </w:r>
      <w:r w:rsidR="00484C9D">
        <w:t xml:space="preserve"> with the result that they are prevented from re-entering Australia</w:t>
      </w:r>
      <w:proofErr w:type="gramStart"/>
      <w:r>
        <w:t xml:space="preserve">.  </w:t>
      </w:r>
      <w:proofErr w:type="gramEnd"/>
    </w:p>
    <w:p w14:paraId="7B29C934" w14:textId="4AD63713" w:rsidR="007F74EC" w:rsidRDefault="00E6736E" w:rsidP="003A7748">
      <w:pPr>
        <w:pStyle w:val="ListNumber"/>
        <w:tabs>
          <w:tab w:val="clear" w:pos="360"/>
        </w:tabs>
        <w:ind w:left="1094" w:hanging="737"/>
        <w:contextualSpacing w:val="0"/>
      </w:pPr>
      <w:r>
        <w:t xml:space="preserve">At the last PJCIS hearing, </w:t>
      </w:r>
      <w:r w:rsidR="003D52FA">
        <w:t xml:space="preserve">the Department of Home Affairs suggested that because the UK regime did not include </w:t>
      </w:r>
      <w:r w:rsidR="008F7300">
        <w:t>a criterion in relation to age, it applied to people of any age, including children</w:t>
      </w:r>
      <w:proofErr w:type="gramStart"/>
      <w:r w:rsidR="008F7300">
        <w:t xml:space="preserve">.  </w:t>
      </w:r>
      <w:proofErr w:type="gramEnd"/>
      <w:r w:rsidR="009909C7">
        <w:t>It was suggested that t</w:t>
      </w:r>
      <w:r w:rsidR="008F7300">
        <w:t>he TEO Act</w:t>
      </w:r>
      <w:r w:rsidR="009909C7">
        <w:t xml:space="preserve">, in providing a minimum age of 14 years </w:t>
      </w:r>
      <w:r w:rsidR="003C6641">
        <w:t>was therefore more protective of children’s rights.</w:t>
      </w:r>
      <w:r w:rsidR="003711DF">
        <w:rPr>
          <w:rStyle w:val="EndnoteReference"/>
        </w:rPr>
        <w:endnoteReference w:id="68"/>
      </w:r>
      <w:r w:rsidR="003711DF">
        <w:t xml:space="preserve">  This is not the view of </w:t>
      </w:r>
      <w:r w:rsidR="00DC342F">
        <w:t xml:space="preserve">Mr Jonathan Hall QC, </w:t>
      </w:r>
      <w:r w:rsidR="003711DF">
        <w:t>the Independent Reviewer of Terrorism Legislation in the UK</w:t>
      </w:r>
      <w:r w:rsidR="00DC342F">
        <w:t>,</w:t>
      </w:r>
      <w:r w:rsidR="003711DF">
        <w:t xml:space="preserve"> who said in his most recent report:</w:t>
      </w:r>
    </w:p>
    <w:p w14:paraId="1A314B4F" w14:textId="016EF0CE" w:rsidR="003711DF" w:rsidRPr="006A60C3" w:rsidRDefault="005F004B" w:rsidP="00277692">
      <w:pPr>
        <w:pStyle w:val="ListNumber"/>
        <w:numPr>
          <w:ilvl w:val="0"/>
          <w:numId w:val="0"/>
        </w:numPr>
        <w:ind w:left="1440"/>
        <w:contextualSpacing w:val="0"/>
        <w:rPr>
          <w:sz w:val="22"/>
          <w:szCs w:val="22"/>
        </w:rPr>
      </w:pPr>
      <w:r w:rsidRPr="006A60C3">
        <w:rPr>
          <w:sz w:val="22"/>
          <w:szCs w:val="22"/>
        </w:rPr>
        <w:t xml:space="preserve">In principle, TPIMs </w:t>
      </w:r>
      <w:r w:rsidR="00B97FCE" w:rsidRPr="006A60C3">
        <w:rPr>
          <w:sz w:val="22"/>
          <w:szCs w:val="22"/>
        </w:rPr>
        <w:t>[Terrorism Prevention and</w:t>
      </w:r>
      <w:r w:rsidR="006A60C3">
        <w:rPr>
          <w:sz w:val="22"/>
          <w:szCs w:val="22"/>
        </w:rPr>
        <w:t xml:space="preserve"> </w:t>
      </w:r>
      <w:r w:rsidR="00B97FCE" w:rsidRPr="006A60C3">
        <w:rPr>
          <w:sz w:val="22"/>
          <w:szCs w:val="22"/>
        </w:rPr>
        <w:t>Investigation Measures</w:t>
      </w:r>
      <w:r w:rsidR="006A60C3">
        <w:rPr>
          <w:sz w:val="22"/>
          <w:szCs w:val="22"/>
        </w:rPr>
        <w:t xml:space="preserve">] </w:t>
      </w:r>
      <w:r w:rsidRPr="006A60C3">
        <w:rPr>
          <w:sz w:val="22"/>
          <w:szCs w:val="22"/>
        </w:rPr>
        <w:t>and TEOs could be imposed on children, although the lack of attention to the needs of children suggests that Parliament never contemplated that they would be</w:t>
      </w:r>
      <w:proofErr w:type="gramStart"/>
      <w:r w:rsidRPr="006A60C3">
        <w:rPr>
          <w:sz w:val="22"/>
          <w:szCs w:val="22"/>
        </w:rPr>
        <w:t xml:space="preserve">. </w:t>
      </w:r>
      <w:r w:rsidR="006A60C3">
        <w:rPr>
          <w:sz w:val="22"/>
          <w:szCs w:val="22"/>
        </w:rPr>
        <w:t xml:space="preserve"> </w:t>
      </w:r>
      <w:proofErr w:type="gramEnd"/>
      <w:r w:rsidRPr="006A60C3">
        <w:rPr>
          <w:sz w:val="22"/>
          <w:szCs w:val="22"/>
        </w:rPr>
        <w:t xml:space="preserve">In each case the requirement for </w:t>
      </w:r>
      <w:r w:rsidR="006A60C3">
        <w:rPr>
          <w:sz w:val="22"/>
          <w:szCs w:val="22"/>
        </w:rPr>
        <w:t>“</w:t>
      </w:r>
      <w:r w:rsidRPr="006A60C3">
        <w:rPr>
          <w:sz w:val="22"/>
          <w:szCs w:val="22"/>
        </w:rPr>
        <w:t>involvement in terrorism-related activity” suggests, even if not strictly required under the terms of the legislation, a degree of moral culpability that does not sit well with the position of children who have</w:t>
      </w:r>
      <w:r w:rsidR="005B709D" w:rsidRPr="006A60C3">
        <w:rPr>
          <w:sz w:val="22"/>
          <w:szCs w:val="22"/>
        </w:rPr>
        <w:t xml:space="preserve"> only become involved because of parental influence or pressure.</w:t>
      </w:r>
      <w:r w:rsidR="005B709D">
        <w:rPr>
          <w:rStyle w:val="EndnoteReference"/>
          <w:szCs w:val="22"/>
        </w:rPr>
        <w:endnoteReference w:id="69"/>
      </w:r>
    </w:p>
    <w:p w14:paraId="07921DCA" w14:textId="7E94EFC4" w:rsidR="007015CB" w:rsidRDefault="00E9693F" w:rsidP="003A7748">
      <w:pPr>
        <w:pStyle w:val="ListNumber"/>
        <w:tabs>
          <w:tab w:val="clear" w:pos="360"/>
        </w:tabs>
        <w:ind w:left="1094" w:hanging="737"/>
        <w:contextualSpacing w:val="0"/>
      </w:pPr>
      <w:r>
        <w:t>If Commission’s primary position is not accepted</w:t>
      </w:r>
      <w:r w:rsidR="00D57ADA">
        <w:t xml:space="preserve">, it submits that the </w:t>
      </w:r>
      <w:r w:rsidR="00484C9D">
        <w:t xml:space="preserve">TEO </w:t>
      </w:r>
      <w:r w:rsidR="00D57ADA">
        <w:t xml:space="preserve">scheme should be amended so that </w:t>
      </w:r>
      <w:r w:rsidR="00AF7D4E">
        <w:t xml:space="preserve">the rights of children are </w:t>
      </w:r>
      <w:proofErr w:type="gramStart"/>
      <w:r w:rsidR="00AF7D4E">
        <w:t>taken into account</w:t>
      </w:r>
      <w:proofErr w:type="gramEnd"/>
      <w:r w:rsidR="00AF7D4E">
        <w:t xml:space="preserve"> in a way that is consistent with Australia’s international obligat</w:t>
      </w:r>
      <w:r w:rsidR="00D12B3A">
        <w:t>i</w:t>
      </w:r>
      <w:r w:rsidR="00AF7D4E">
        <w:t xml:space="preserve">ons. </w:t>
      </w:r>
    </w:p>
    <w:p w14:paraId="4FFB14FB" w14:textId="674C09C9" w:rsidR="006769BD" w:rsidRDefault="00B0080D" w:rsidP="006769BD">
      <w:pPr>
        <w:pStyle w:val="ListNumber"/>
        <w:tabs>
          <w:tab w:val="clear" w:pos="360"/>
        </w:tabs>
        <w:ind w:left="1094" w:hanging="737"/>
        <w:contextualSpacing w:val="0"/>
      </w:pPr>
      <w:r>
        <w:t>Currently, i</w:t>
      </w:r>
      <w:r w:rsidR="006769BD">
        <w:t>f the Minister proposes to make a TEO in relation to a child aged between 14 and 17 years old,</w:t>
      </w:r>
      <w:r w:rsidR="00F0446E">
        <w:t xml:space="preserve"> or to impose conditions on a return permit in relation to such as child,</w:t>
      </w:r>
      <w:r w:rsidR="006769BD">
        <w:t xml:space="preserve"> the Minister must have regard to the best interests of the child</w:t>
      </w:r>
      <w:proofErr w:type="gramStart"/>
      <w:r w:rsidR="006769BD">
        <w:t xml:space="preserve">.  </w:t>
      </w:r>
      <w:proofErr w:type="gramEnd"/>
      <w:r w:rsidR="006769BD">
        <w:t>While the legislation suggests that the child’s best interests are ‘a primary’ consideration, it is clear from the context of the Act that this language is misleading</w:t>
      </w:r>
      <w:proofErr w:type="gramStart"/>
      <w:r w:rsidR="006769BD">
        <w:t xml:space="preserve">.  </w:t>
      </w:r>
      <w:proofErr w:type="gramEnd"/>
      <w:r w:rsidR="006769BD">
        <w:t>That is because the Act provides that ‘the paramount’ consideration is the protection of the Australian community.</w:t>
      </w:r>
      <w:r w:rsidR="006769BD">
        <w:rPr>
          <w:rStyle w:val="EndnoteReference"/>
        </w:rPr>
        <w:endnoteReference w:id="70"/>
      </w:r>
      <w:r w:rsidR="006769BD">
        <w:t xml:space="preserve">  The </w:t>
      </w:r>
      <w:r w:rsidR="006769BD" w:rsidRPr="007D34F7">
        <w:t>starting</w:t>
      </w:r>
      <w:r w:rsidR="006769BD">
        <w:t xml:space="preserve"> point</w:t>
      </w:r>
      <w:r>
        <w:t>, therefore,</w:t>
      </w:r>
      <w:r w:rsidR="006769BD">
        <w:t xml:space="preserve"> is that the protection of the community is assessed as inherently more significant than the best interests of the child</w:t>
      </w:r>
      <w:proofErr w:type="gramStart"/>
      <w:r w:rsidR="006769BD">
        <w:t xml:space="preserve">.  </w:t>
      </w:r>
      <w:proofErr w:type="gramEnd"/>
      <w:r w:rsidR="006769BD">
        <w:t xml:space="preserve">At the highest, the best interests of the child can be no more than a </w:t>
      </w:r>
      <w:r w:rsidR="006769BD" w:rsidRPr="007D34F7">
        <w:rPr>
          <w:i/>
          <w:iCs/>
        </w:rPr>
        <w:t>secondary</w:t>
      </w:r>
      <w:r w:rsidR="006769BD">
        <w:t xml:space="preserve"> consideration, even if the potential impact on a child is grave and any potential benefit to the community </w:t>
      </w:r>
      <w:proofErr w:type="gramStart"/>
      <w:r w:rsidR="006769BD">
        <w:t>as a whole is</w:t>
      </w:r>
      <w:proofErr w:type="gramEnd"/>
      <w:r w:rsidR="006769BD">
        <w:t xml:space="preserve"> slight.</w:t>
      </w:r>
    </w:p>
    <w:p w14:paraId="6E60D2D9" w14:textId="1B69DD45" w:rsidR="006769BD" w:rsidRDefault="006769BD" w:rsidP="006769BD">
      <w:pPr>
        <w:pStyle w:val="ListNumber"/>
        <w:tabs>
          <w:tab w:val="clear" w:pos="360"/>
        </w:tabs>
        <w:ind w:left="1094" w:hanging="737"/>
        <w:contextualSpacing w:val="0"/>
      </w:pPr>
      <w:proofErr w:type="gramStart"/>
      <w:r>
        <w:t>It is clear that this</w:t>
      </w:r>
      <w:proofErr w:type="gramEnd"/>
      <w:r>
        <w:t xml:space="preserve"> is contrary to the requirements of article 3 of the CRC, pursuant to which Australia has committed that ‘in all actions </w:t>
      </w:r>
      <w:r>
        <w:lastRenderedPageBreak/>
        <w:t xml:space="preserve">concerning children … the best interests of the child shall be a primary consideration’.  As the High Court has noted: </w:t>
      </w:r>
    </w:p>
    <w:p w14:paraId="1385BDBB" w14:textId="77777777" w:rsidR="006769BD" w:rsidRDefault="006769BD" w:rsidP="002061BA">
      <w:pPr>
        <w:pStyle w:val="ListNumber"/>
        <w:numPr>
          <w:ilvl w:val="0"/>
          <w:numId w:val="0"/>
        </w:numPr>
        <w:ind w:left="1440"/>
        <w:contextualSpacing w:val="0"/>
      </w:pPr>
      <w:r w:rsidRPr="00B469BC">
        <w:rPr>
          <w:sz w:val="22"/>
          <w:szCs w:val="22"/>
        </w:rPr>
        <w:t xml:space="preserve">The concluding words of Art 3.1 … give those interests </w:t>
      </w:r>
      <w:r w:rsidRPr="00B469BC">
        <w:rPr>
          <w:i/>
          <w:iCs/>
          <w:sz w:val="22"/>
          <w:szCs w:val="22"/>
        </w:rPr>
        <w:t>first importance</w:t>
      </w:r>
      <w:r w:rsidRPr="00B469BC">
        <w:rPr>
          <w:sz w:val="22"/>
          <w:szCs w:val="22"/>
        </w:rPr>
        <w:t xml:space="preserve"> along with such other considerations as may, in the circumstances of a given case, </w:t>
      </w:r>
      <w:r w:rsidRPr="00B469BC">
        <w:rPr>
          <w:i/>
          <w:iCs/>
          <w:sz w:val="22"/>
          <w:szCs w:val="22"/>
        </w:rPr>
        <w:t>require equal, but not paramount, weight</w:t>
      </w:r>
      <w:r w:rsidRPr="00B469BC">
        <w:rPr>
          <w:sz w:val="22"/>
          <w:szCs w:val="22"/>
        </w:rPr>
        <w:t>.</w:t>
      </w:r>
      <w:r>
        <w:rPr>
          <w:rStyle w:val="EndnoteReference"/>
        </w:rPr>
        <w:endnoteReference w:id="71"/>
      </w:r>
    </w:p>
    <w:p w14:paraId="0CCC5BD2" w14:textId="5CB7E479" w:rsidR="006769BD" w:rsidRDefault="00396D5C" w:rsidP="006769BD">
      <w:pPr>
        <w:pStyle w:val="ListNumber"/>
        <w:tabs>
          <w:tab w:val="clear" w:pos="360"/>
        </w:tabs>
        <w:ind w:left="1094" w:hanging="737"/>
        <w:contextualSpacing w:val="0"/>
      </w:pPr>
      <w:r>
        <w:t xml:space="preserve">A requirement to treat the best interests of the child as a primary consideration does not </w:t>
      </w:r>
      <w:r w:rsidR="002F02BA">
        <w:t>inexorably lead to a requirement to act in conformity with those interests</w:t>
      </w:r>
      <w:proofErr w:type="gramStart"/>
      <w:r w:rsidR="002F02BA">
        <w:t xml:space="preserve">.  </w:t>
      </w:r>
      <w:proofErr w:type="gramEnd"/>
      <w:r w:rsidR="00671689">
        <w:t>Under article 3 of the CRC, i</w:t>
      </w:r>
      <w:r w:rsidR="002F02BA">
        <w:t xml:space="preserve">t is open to a decision maker </w:t>
      </w:r>
      <w:r w:rsidR="00671689">
        <w:t>to depart from the best interests of a child</w:t>
      </w:r>
      <w:proofErr w:type="gramStart"/>
      <w:r w:rsidR="00671689">
        <w:t xml:space="preserve">.  </w:t>
      </w:r>
      <w:proofErr w:type="gramEnd"/>
      <w:r w:rsidR="00671689">
        <w:t xml:space="preserve">However, to do so </w:t>
      </w:r>
      <w:r w:rsidR="001036E2">
        <w:t xml:space="preserve">consistently with Australia’s international law obligations, there are two requirements: </w:t>
      </w:r>
    </w:p>
    <w:p w14:paraId="3AB7F308" w14:textId="41A61026" w:rsidR="001036E2" w:rsidRDefault="001036E2" w:rsidP="00A96C9A">
      <w:pPr>
        <w:pStyle w:val="ListNumber"/>
        <w:numPr>
          <w:ilvl w:val="0"/>
          <w:numId w:val="17"/>
        </w:numPr>
        <w:contextualSpacing w:val="0"/>
      </w:pPr>
      <w:r>
        <w:t>the decision maker must not treat any other factor as inherently more significant that the best interests of the child</w:t>
      </w:r>
    </w:p>
    <w:p w14:paraId="2B5FB98D" w14:textId="70A2B7B2" w:rsidR="001036E2" w:rsidRDefault="001036E2" w:rsidP="00A96C9A">
      <w:pPr>
        <w:pStyle w:val="ListNumber"/>
        <w:numPr>
          <w:ilvl w:val="0"/>
          <w:numId w:val="17"/>
        </w:numPr>
        <w:contextualSpacing w:val="0"/>
      </w:pPr>
      <w:r>
        <w:t>the strength of other relevant considerations must outweigh the consideration of the best interests of the child, understood as a primary consideration.</w:t>
      </w:r>
      <w:r>
        <w:rPr>
          <w:rStyle w:val="EndnoteReference"/>
        </w:rPr>
        <w:endnoteReference w:id="72"/>
      </w:r>
    </w:p>
    <w:p w14:paraId="16EB3333" w14:textId="0702E030" w:rsidR="006769BD" w:rsidRDefault="006769BD" w:rsidP="006769BD">
      <w:pPr>
        <w:pStyle w:val="ListNumber"/>
        <w:tabs>
          <w:tab w:val="clear" w:pos="360"/>
        </w:tabs>
        <w:ind w:left="1094" w:hanging="737"/>
        <w:contextualSpacing w:val="0"/>
      </w:pPr>
      <w:r>
        <w:t xml:space="preserve">A similar structure, also contrary to the requirements of article 3 of the </w:t>
      </w:r>
      <w:r w:rsidRPr="00771C36">
        <w:t>CRC</w:t>
      </w:r>
      <w:r>
        <w:t>, is contained in the law relating to control orders.</w:t>
      </w:r>
      <w:r w:rsidR="00C4526C">
        <w:rPr>
          <w:rStyle w:val="EndnoteReference"/>
        </w:rPr>
        <w:endnoteReference w:id="73"/>
      </w:r>
    </w:p>
    <w:p w14:paraId="2872F932" w14:textId="6E7275B2" w:rsidR="00447851" w:rsidRPr="00AD41D3" w:rsidRDefault="0037294A" w:rsidP="00AD41D3">
      <w:pPr>
        <w:pStyle w:val="ListNumber"/>
        <w:keepNext/>
        <w:numPr>
          <w:ilvl w:val="0"/>
          <w:numId w:val="0"/>
        </w:numPr>
        <w:ind w:left="1094"/>
        <w:contextualSpacing w:val="0"/>
        <w:rPr>
          <w:b/>
          <w:bCs/>
        </w:rPr>
      </w:pPr>
      <w:r w:rsidRPr="00AD41D3">
        <w:rPr>
          <w:b/>
          <w:bCs/>
        </w:rPr>
        <w:t>Recommendation 6</w:t>
      </w:r>
    </w:p>
    <w:p w14:paraId="5C731105" w14:textId="15D09BFE" w:rsidR="0037294A" w:rsidRDefault="0037294A" w:rsidP="00AD41D3">
      <w:pPr>
        <w:pStyle w:val="ListNumber"/>
        <w:numPr>
          <w:ilvl w:val="0"/>
          <w:numId w:val="0"/>
        </w:numPr>
        <w:ind w:left="1094"/>
        <w:contextualSpacing w:val="0"/>
      </w:pPr>
      <w:r>
        <w:t xml:space="preserve">The Commission recommends that the </w:t>
      </w:r>
      <w:proofErr w:type="gramStart"/>
      <w:r w:rsidRPr="0056205D">
        <w:rPr>
          <w:i/>
          <w:iCs/>
        </w:rPr>
        <w:t>Counter-Terrorism</w:t>
      </w:r>
      <w:proofErr w:type="gramEnd"/>
      <w:r w:rsidRPr="0056205D">
        <w:rPr>
          <w:i/>
          <w:iCs/>
        </w:rPr>
        <w:t xml:space="preserve"> (Temporary Exclusion Orders) Act 2019</w:t>
      </w:r>
      <w:r>
        <w:t xml:space="preserve"> (</w:t>
      </w:r>
      <w:proofErr w:type="spellStart"/>
      <w:r>
        <w:t>Cth</w:t>
      </w:r>
      <w:proofErr w:type="spellEnd"/>
      <w:r>
        <w:t xml:space="preserve">) be amended to </w:t>
      </w:r>
      <w:r w:rsidR="00AD41D3">
        <w:t>exclude its application to children.</w:t>
      </w:r>
    </w:p>
    <w:p w14:paraId="158E21BE" w14:textId="11576FD2" w:rsidR="00AD41D3" w:rsidRPr="00AD41D3" w:rsidRDefault="00AD41D3" w:rsidP="00AD41D3">
      <w:pPr>
        <w:pStyle w:val="ListNumber"/>
        <w:keepNext/>
        <w:numPr>
          <w:ilvl w:val="0"/>
          <w:numId w:val="0"/>
        </w:numPr>
        <w:ind w:left="1094"/>
        <w:contextualSpacing w:val="0"/>
        <w:rPr>
          <w:b/>
          <w:bCs/>
        </w:rPr>
      </w:pPr>
      <w:r w:rsidRPr="00AD41D3">
        <w:rPr>
          <w:b/>
          <w:bCs/>
        </w:rPr>
        <w:t>Recommendation 7</w:t>
      </w:r>
    </w:p>
    <w:p w14:paraId="0890A7B1" w14:textId="22BD8C81" w:rsidR="00D719BD" w:rsidRDefault="00AD41D3" w:rsidP="00AD41D3">
      <w:pPr>
        <w:pStyle w:val="ListNumber"/>
        <w:numPr>
          <w:ilvl w:val="0"/>
          <w:numId w:val="0"/>
        </w:numPr>
        <w:ind w:left="1094"/>
        <w:contextualSpacing w:val="0"/>
      </w:pPr>
      <w:r>
        <w:t xml:space="preserve">In the alternative to recommendation 6, the Commission recommends </w:t>
      </w:r>
      <w:r w:rsidR="0060657D">
        <w:t xml:space="preserve">that the </w:t>
      </w:r>
      <w:proofErr w:type="gramStart"/>
      <w:r w:rsidR="0060657D" w:rsidRPr="0056205D">
        <w:rPr>
          <w:i/>
          <w:iCs/>
        </w:rPr>
        <w:t>Counter-Terrorism</w:t>
      </w:r>
      <w:proofErr w:type="gramEnd"/>
      <w:r w:rsidR="0060657D" w:rsidRPr="0056205D">
        <w:rPr>
          <w:i/>
          <w:iCs/>
        </w:rPr>
        <w:t xml:space="preserve"> (Temporary Exclusion Orders) Act 2019</w:t>
      </w:r>
      <w:r w:rsidR="0060657D">
        <w:t xml:space="preserve"> (</w:t>
      </w:r>
      <w:proofErr w:type="spellStart"/>
      <w:r w:rsidR="0060657D">
        <w:t>Cth</w:t>
      </w:r>
      <w:proofErr w:type="spellEnd"/>
      <w:r w:rsidR="0060657D">
        <w:t xml:space="preserve">) be amended </w:t>
      </w:r>
      <w:r w:rsidR="00B217B8">
        <w:t xml:space="preserve">so that the </w:t>
      </w:r>
      <w:r w:rsidR="009A79A2">
        <w:t>assessment of</w:t>
      </w:r>
      <w:r w:rsidR="00D719BD">
        <w:t>:</w:t>
      </w:r>
    </w:p>
    <w:p w14:paraId="3CA1057F" w14:textId="25640A5A" w:rsidR="00D719BD" w:rsidRDefault="009A79A2" w:rsidP="00A96C9A">
      <w:pPr>
        <w:pStyle w:val="ListNumber"/>
        <w:numPr>
          <w:ilvl w:val="0"/>
          <w:numId w:val="17"/>
        </w:numPr>
        <w:contextualSpacing w:val="0"/>
      </w:pPr>
      <w:r>
        <w:t>whether to make a temporary exclusion order</w:t>
      </w:r>
      <w:r w:rsidR="00A96C9A">
        <w:t>,</w:t>
      </w:r>
      <w:r>
        <w:t xml:space="preserve"> and </w:t>
      </w:r>
    </w:p>
    <w:p w14:paraId="74DAD0EC" w14:textId="77777777" w:rsidR="00AB022B" w:rsidRDefault="00D719BD" w:rsidP="00A96C9A">
      <w:pPr>
        <w:pStyle w:val="ListNumber"/>
        <w:numPr>
          <w:ilvl w:val="0"/>
          <w:numId w:val="17"/>
        </w:numPr>
        <w:contextualSpacing w:val="0"/>
      </w:pPr>
      <w:r>
        <w:t xml:space="preserve">what conditions should be included </w:t>
      </w:r>
      <w:r w:rsidR="00AB022B">
        <w:t xml:space="preserve">on a return permit </w:t>
      </w:r>
    </w:p>
    <w:p w14:paraId="029029A2" w14:textId="4944164C" w:rsidR="00AD41D3" w:rsidRDefault="00B217B8" w:rsidP="00AB022B">
      <w:pPr>
        <w:pStyle w:val="ListNumber"/>
        <w:numPr>
          <w:ilvl w:val="0"/>
          <w:numId w:val="0"/>
        </w:numPr>
        <w:ind w:left="1134"/>
        <w:contextualSpacing w:val="0"/>
      </w:pPr>
      <w:r>
        <w:t xml:space="preserve">does not </w:t>
      </w:r>
      <w:r w:rsidR="009A79A2">
        <w:t xml:space="preserve">treat any factor as inherently more significant that the rights of the child to </w:t>
      </w:r>
      <w:r w:rsidR="008D00A1">
        <w:t>whom</w:t>
      </w:r>
      <w:r w:rsidR="009A79A2">
        <w:t xml:space="preserve"> the </w:t>
      </w:r>
      <w:r w:rsidR="00AB022B">
        <w:t xml:space="preserve">temporary exclusion order </w:t>
      </w:r>
      <w:r w:rsidR="009A79A2">
        <w:t>or return permit applies</w:t>
      </w:r>
      <w:r w:rsidR="00AB022B">
        <w:t>.</w:t>
      </w:r>
    </w:p>
    <w:p w14:paraId="7E956D45" w14:textId="2FC6C350" w:rsidR="005C0971" w:rsidRDefault="00B74301" w:rsidP="00B74301">
      <w:pPr>
        <w:pStyle w:val="Heading2"/>
      </w:pPr>
      <w:bookmarkStart w:id="15" w:name="_Toc89418786"/>
      <w:r>
        <w:t xml:space="preserve">Mental element for </w:t>
      </w:r>
      <w:r w:rsidR="00AF0291">
        <w:t>offences</w:t>
      </w:r>
      <w:r>
        <w:t>: actual knowledge</w:t>
      </w:r>
      <w:bookmarkEnd w:id="15"/>
    </w:p>
    <w:p w14:paraId="4C71BFB7" w14:textId="563D7372" w:rsidR="001767EA" w:rsidRDefault="00E92209" w:rsidP="006769BD">
      <w:pPr>
        <w:pStyle w:val="ListNumber"/>
        <w:tabs>
          <w:tab w:val="clear" w:pos="360"/>
        </w:tabs>
        <w:ind w:left="1094" w:hanging="737"/>
        <w:contextualSpacing w:val="0"/>
      </w:pPr>
      <w:r>
        <w:t xml:space="preserve">The final issue raised by the Commission </w:t>
      </w:r>
      <w:r w:rsidR="00094A7B">
        <w:t xml:space="preserve">relates to the </w:t>
      </w:r>
      <w:r w:rsidR="004863C8">
        <w:t>fault</w:t>
      </w:r>
      <w:r w:rsidR="00094A7B">
        <w:t xml:space="preserve"> element for </w:t>
      </w:r>
      <w:r w:rsidR="008B7439">
        <w:t xml:space="preserve">the offences of entering Australia </w:t>
      </w:r>
      <w:r w:rsidR="00533A98">
        <w:t xml:space="preserve">contrary to the requirements of a TEO (s 8) or </w:t>
      </w:r>
      <w:r w:rsidR="006C3C7B">
        <w:t xml:space="preserve">contrary to a </w:t>
      </w:r>
      <w:r w:rsidR="00311DD6">
        <w:t xml:space="preserve">pre-entry condition imposed </w:t>
      </w:r>
      <w:r w:rsidR="005F773C">
        <w:t xml:space="preserve">on a return </w:t>
      </w:r>
      <w:r w:rsidR="005F773C">
        <w:lastRenderedPageBreak/>
        <w:t>permit (s 20)</w:t>
      </w:r>
      <w:proofErr w:type="gramStart"/>
      <w:r w:rsidR="00533A98">
        <w:t xml:space="preserve">. </w:t>
      </w:r>
      <w:r w:rsidR="005F773C">
        <w:t xml:space="preserve"> </w:t>
      </w:r>
      <w:proofErr w:type="gramEnd"/>
      <w:r w:rsidR="005F773C">
        <w:t xml:space="preserve">In either case, </w:t>
      </w:r>
      <w:r w:rsidR="002358CF">
        <w:t>no fault element is specified in the offence</w:t>
      </w:r>
      <w:proofErr w:type="gramStart"/>
      <w:r w:rsidR="00774A13">
        <w:t xml:space="preserve">.  </w:t>
      </w:r>
      <w:proofErr w:type="gramEnd"/>
      <w:r w:rsidR="00774A13">
        <w:t xml:space="preserve">The result is that </w:t>
      </w:r>
      <w:r w:rsidR="002358CF">
        <w:t xml:space="preserve">the </w:t>
      </w:r>
      <w:r w:rsidR="00A802EE">
        <w:t xml:space="preserve">default </w:t>
      </w:r>
      <w:r w:rsidR="00003DCD">
        <w:t xml:space="preserve">fault element </w:t>
      </w:r>
      <w:r w:rsidR="00A802EE">
        <w:t>of ‘recklessness’ applies</w:t>
      </w:r>
      <w:r w:rsidR="001767EA">
        <w:t xml:space="preserve"> to:</w:t>
      </w:r>
    </w:p>
    <w:p w14:paraId="66FE00B0" w14:textId="21C8FAC3" w:rsidR="0089133E" w:rsidRDefault="0089133E" w:rsidP="0089133E">
      <w:pPr>
        <w:pStyle w:val="ListNumber"/>
        <w:numPr>
          <w:ilvl w:val="0"/>
          <w:numId w:val="17"/>
        </w:numPr>
        <w:contextualSpacing w:val="0"/>
      </w:pPr>
      <w:r>
        <w:t xml:space="preserve">the circumstance that a </w:t>
      </w:r>
      <w:r w:rsidR="00120236">
        <w:t>TEO</w:t>
      </w:r>
      <w:r>
        <w:t xml:space="preserve"> is in force in relation to the person</w:t>
      </w:r>
      <w:r w:rsidR="00774A13">
        <w:t xml:space="preserve"> (in relation to an offence against s 8)</w:t>
      </w:r>
      <w:r>
        <w:t xml:space="preserve">; or </w:t>
      </w:r>
    </w:p>
    <w:p w14:paraId="43D85AC4" w14:textId="3CFA1DBD" w:rsidR="00094A7B" w:rsidRDefault="0089133E" w:rsidP="0089133E">
      <w:pPr>
        <w:pStyle w:val="ListNumber"/>
        <w:numPr>
          <w:ilvl w:val="0"/>
          <w:numId w:val="17"/>
        </w:numPr>
        <w:contextualSpacing w:val="0"/>
      </w:pPr>
      <w:r>
        <w:t>the circumstance</w:t>
      </w:r>
      <w:r w:rsidR="00740BD6">
        <w:t>s</w:t>
      </w:r>
      <w:r>
        <w:t xml:space="preserve"> that </w:t>
      </w:r>
      <w:r w:rsidR="00740BD6">
        <w:t xml:space="preserve">a return permit is in force in relation to the person and that it contains a condition </w:t>
      </w:r>
      <w:r w:rsidR="001D53BD">
        <w:t>that the person must not enter Australia during a specified period</w:t>
      </w:r>
      <w:r w:rsidR="00774A13">
        <w:t xml:space="preserve"> (in relation to an offence against s 20)</w:t>
      </w:r>
      <w:r w:rsidR="00A802EE">
        <w:t>.</w:t>
      </w:r>
      <w:r w:rsidR="00A802EE">
        <w:rPr>
          <w:rStyle w:val="EndnoteReference"/>
        </w:rPr>
        <w:endnoteReference w:id="74"/>
      </w:r>
    </w:p>
    <w:p w14:paraId="680BDDA8" w14:textId="70E521B7" w:rsidR="00577A89" w:rsidRDefault="00813688" w:rsidP="006769BD">
      <w:pPr>
        <w:pStyle w:val="ListNumber"/>
        <w:tabs>
          <w:tab w:val="clear" w:pos="360"/>
        </w:tabs>
        <w:ind w:left="1094" w:hanging="737"/>
        <w:contextualSpacing w:val="0"/>
      </w:pPr>
      <w:r>
        <w:t xml:space="preserve">A TEO comes into force as soon as </w:t>
      </w:r>
      <w:r w:rsidR="0046284D">
        <w:t xml:space="preserve">the </w:t>
      </w:r>
      <w:r>
        <w:t>review by the re</w:t>
      </w:r>
      <w:r w:rsidR="00C16023">
        <w:t xml:space="preserve">viewing authority </w:t>
      </w:r>
      <w:r w:rsidR="0046284D">
        <w:t xml:space="preserve">is concluded </w:t>
      </w:r>
      <w:r w:rsidR="00C16023">
        <w:t xml:space="preserve">(or, in urgent cases, as soon as </w:t>
      </w:r>
      <w:r w:rsidR="0046284D">
        <w:t xml:space="preserve">the TEO </w:t>
      </w:r>
      <w:r w:rsidR="00C16023">
        <w:t>is made by the Minister).</w:t>
      </w:r>
      <w:r w:rsidR="00E14303">
        <w:rPr>
          <w:rStyle w:val="EndnoteReference"/>
        </w:rPr>
        <w:endnoteReference w:id="75"/>
      </w:r>
      <w:r w:rsidR="00C16023">
        <w:t xml:space="preserve">  As soon as practicable after the TEO comes into force, t</w:t>
      </w:r>
      <w:r w:rsidR="00577A89">
        <w:t xml:space="preserve">he </w:t>
      </w:r>
      <w:r w:rsidR="00023FB4">
        <w:t xml:space="preserve">Minister </w:t>
      </w:r>
      <w:r w:rsidR="00495A7C">
        <w:t xml:space="preserve">must </w:t>
      </w:r>
      <w:r w:rsidR="00023FB4">
        <w:t xml:space="preserve">take steps that the Minister considers ‘reasonable and practicable’ to bring </w:t>
      </w:r>
      <w:r w:rsidR="00FE145A">
        <w:t>the TEO to the attention of the person to whom it relates.</w:t>
      </w:r>
      <w:r w:rsidR="00E14303">
        <w:rPr>
          <w:rStyle w:val="EndnoteReference"/>
        </w:rPr>
        <w:endnoteReference w:id="76"/>
      </w:r>
      <w:r w:rsidR="00FE145A">
        <w:t xml:space="preserve">  However, there is no obligation to serve a copy of the TEO on the person if the Minister does not </w:t>
      </w:r>
      <w:r w:rsidR="00864E23">
        <w:t>consider it reasonable and practicable to do so.</w:t>
      </w:r>
      <w:r w:rsidR="00E5247D">
        <w:t xml:space="preserve">  It is therefore entirely possible that TEO will be in force in relation to a person without them knowing that this is the case.</w:t>
      </w:r>
    </w:p>
    <w:p w14:paraId="318F83A0" w14:textId="7FD2A59A" w:rsidR="00E5247D" w:rsidRDefault="0075263A" w:rsidP="006769BD">
      <w:pPr>
        <w:pStyle w:val="ListNumber"/>
        <w:tabs>
          <w:tab w:val="clear" w:pos="360"/>
        </w:tabs>
        <w:ind w:left="1094" w:hanging="737"/>
        <w:contextualSpacing w:val="0"/>
      </w:pPr>
      <w:r>
        <w:t>W</w:t>
      </w:r>
      <w:r w:rsidR="001640FF">
        <w:t xml:space="preserve">hile the Minister must issue a return permit to a person on application, the Minister also has a general </w:t>
      </w:r>
      <w:r w:rsidR="00646288">
        <w:t>discretion to issue a return permit to a person if the Minister considers that it is appropriate to do so.</w:t>
      </w:r>
      <w:r w:rsidR="00646288">
        <w:rPr>
          <w:rStyle w:val="EndnoteReference"/>
        </w:rPr>
        <w:endnoteReference w:id="77"/>
      </w:r>
      <w:r>
        <w:t xml:space="preserve">  A return permit comes into force on the day specified in the permit.</w:t>
      </w:r>
      <w:r>
        <w:rPr>
          <w:rStyle w:val="EndnoteReference"/>
        </w:rPr>
        <w:endnoteReference w:id="78"/>
      </w:r>
      <w:r>
        <w:t xml:space="preserve">  </w:t>
      </w:r>
      <w:r w:rsidR="0053745E">
        <w:t>The Minister must cause a copy of the return permit to be served personally on the person to whom it relates.</w:t>
      </w:r>
      <w:r w:rsidR="00DF277F">
        <w:rPr>
          <w:rStyle w:val="EndnoteReference"/>
        </w:rPr>
        <w:endnoteReference w:id="79"/>
      </w:r>
      <w:r w:rsidR="0053745E">
        <w:t xml:space="preserve">  However, service is not a prerequisite for the </w:t>
      </w:r>
      <w:r w:rsidR="00DF277F">
        <w:t>permit coming into force.  Again, it is possible for a return permit to be in force in relation to a person without their knowledge.</w:t>
      </w:r>
    </w:p>
    <w:p w14:paraId="4344309E" w14:textId="20A0C2B0" w:rsidR="00864E23" w:rsidRDefault="00354232" w:rsidP="006769BD">
      <w:pPr>
        <w:pStyle w:val="ListNumber"/>
        <w:tabs>
          <w:tab w:val="clear" w:pos="360"/>
        </w:tabs>
        <w:ind w:left="1094" w:hanging="737"/>
        <w:contextualSpacing w:val="0"/>
      </w:pPr>
      <w:r>
        <w:t>A</w:t>
      </w:r>
      <w:r w:rsidR="008D02CB">
        <w:t xml:space="preserve"> person is reckless with respect to a circumstance </w:t>
      </w:r>
      <w:r w:rsidR="00504930">
        <w:t>(</w:t>
      </w:r>
      <w:proofErr w:type="spellStart"/>
      <w:r w:rsidR="00504930">
        <w:t>eg</w:t>
      </w:r>
      <w:proofErr w:type="spellEnd"/>
      <w:r w:rsidR="00504930">
        <w:t xml:space="preserve"> the fact at TEO has been issued</w:t>
      </w:r>
      <w:r w:rsidR="00EC04AF">
        <w:t xml:space="preserve"> in relation to them</w:t>
      </w:r>
      <w:r w:rsidR="00504930">
        <w:t xml:space="preserve">) </w:t>
      </w:r>
      <w:r w:rsidR="008D02CB">
        <w:t xml:space="preserve">if the person </w:t>
      </w:r>
      <w:r w:rsidR="00504930">
        <w:t xml:space="preserve">is aware of a substantial risk that the circumstance exists or will </w:t>
      </w:r>
      <w:r w:rsidR="00EC04AF">
        <w:t xml:space="preserve">exist and, having regard </w:t>
      </w:r>
      <w:r w:rsidR="00B62BEE">
        <w:t>to known circumstances</w:t>
      </w:r>
      <w:r w:rsidR="00D307FD">
        <w:t>,</w:t>
      </w:r>
      <w:r w:rsidR="00B62BEE">
        <w:t xml:space="preserve"> it is unjustifiable to take the risk</w:t>
      </w:r>
      <w:r w:rsidR="005B26F5">
        <w:t>.</w:t>
      </w:r>
      <w:r w:rsidR="00EB3DC6">
        <w:rPr>
          <w:rStyle w:val="EndnoteReference"/>
        </w:rPr>
        <w:endnoteReference w:id="80"/>
      </w:r>
      <w:r w:rsidR="005B26F5">
        <w:t xml:space="preserve">  </w:t>
      </w:r>
      <w:r w:rsidR="00A4508A">
        <w:t>It seems possible that a prosecutor may argue that any</w:t>
      </w:r>
      <w:r w:rsidR="00802FF7">
        <w:t xml:space="preserve"> Australian who has been in the conflict zone </w:t>
      </w:r>
      <w:r w:rsidR="00C70E07">
        <w:t xml:space="preserve">in Syria or Iraq </w:t>
      </w:r>
      <w:r w:rsidR="00802FF7">
        <w:t xml:space="preserve">should be aware of a substantial risk that a TEO has been made </w:t>
      </w:r>
      <w:r w:rsidR="001641DE">
        <w:t>in relation to them</w:t>
      </w:r>
      <w:r w:rsidR="00F418CA">
        <w:t xml:space="preserve"> because this is the general purpose of the legislative regime</w:t>
      </w:r>
      <w:r w:rsidR="001641DE">
        <w:t>.</w:t>
      </w:r>
      <w:r w:rsidR="00A25CF2">
        <w:rPr>
          <w:rStyle w:val="EndnoteReference"/>
        </w:rPr>
        <w:endnoteReference w:id="81"/>
      </w:r>
      <w:r w:rsidR="001641DE">
        <w:t xml:space="preserve">  If this is the case, the </w:t>
      </w:r>
      <w:r w:rsidR="00292A5F">
        <w:t xml:space="preserve">practical </w:t>
      </w:r>
      <w:r w:rsidR="001641DE">
        <w:t xml:space="preserve">effect of the offence provision is to prevent </w:t>
      </w:r>
      <w:r w:rsidR="001641DE" w:rsidRPr="00C70E07">
        <w:rPr>
          <w:i/>
          <w:iCs/>
        </w:rPr>
        <w:t>any</w:t>
      </w:r>
      <w:r w:rsidR="001641DE">
        <w:t xml:space="preserve"> Australian </w:t>
      </w:r>
      <w:r w:rsidR="00C70E07">
        <w:t xml:space="preserve">in that position </w:t>
      </w:r>
      <w:r w:rsidR="001641DE">
        <w:t>returning to Australia, regardless of whether or not a TEO has in fact been made in relation to them.  Such a</w:t>
      </w:r>
      <w:r w:rsidR="00E86276">
        <w:t xml:space="preserve">n offence provision is too broad. </w:t>
      </w:r>
    </w:p>
    <w:p w14:paraId="267C57FC" w14:textId="77777777" w:rsidR="00354232" w:rsidRDefault="00354232" w:rsidP="00354232">
      <w:pPr>
        <w:pStyle w:val="ListNumber"/>
        <w:tabs>
          <w:tab w:val="clear" w:pos="360"/>
        </w:tabs>
        <w:ind w:left="1094" w:hanging="737"/>
        <w:contextualSpacing w:val="0"/>
      </w:pPr>
      <w:r>
        <w:lastRenderedPageBreak/>
        <w:t>This issue does not arise in relation to the UK legislation because, there, a TEO only comes into force when notice of it is given to the person affected.</w:t>
      </w:r>
      <w:r>
        <w:rPr>
          <w:rStyle w:val="EndnoteReference"/>
        </w:rPr>
        <w:endnoteReference w:id="82"/>
      </w:r>
    </w:p>
    <w:p w14:paraId="62965D64" w14:textId="604B3510" w:rsidR="00094A7B" w:rsidRDefault="00C738D5" w:rsidP="006769BD">
      <w:pPr>
        <w:pStyle w:val="ListNumber"/>
        <w:tabs>
          <w:tab w:val="clear" w:pos="360"/>
        </w:tabs>
        <w:ind w:left="1094" w:hanging="737"/>
        <w:contextualSpacing w:val="0"/>
      </w:pPr>
      <w:r>
        <w:t xml:space="preserve">In the Commission’s view, it would be more appropriate for these </w:t>
      </w:r>
      <w:r w:rsidR="00D0683F">
        <w:t xml:space="preserve">offences only </w:t>
      </w:r>
      <w:r w:rsidR="00232925">
        <w:t xml:space="preserve">to </w:t>
      </w:r>
      <w:r w:rsidR="00D0683F">
        <w:t>apply if the person subject to the TEO or return permit ha</w:t>
      </w:r>
      <w:r w:rsidR="00E86276">
        <w:t>s</w:t>
      </w:r>
      <w:r w:rsidR="00D0683F">
        <w:t xml:space="preserve"> actual knowledge </w:t>
      </w:r>
      <w:r w:rsidR="00537881">
        <w:t xml:space="preserve">that they </w:t>
      </w:r>
      <w:r w:rsidR="00E86276">
        <w:t xml:space="preserve">are </w:t>
      </w:r>
      <w:r w:rsidR="00537881">
        <w:t>not permitted to return to Australia</w:t>
      </w:r>
      <w:proofErr w:type="gramStart"/>
      <w:r w:rsidR="00537881">
        <w:t>.</w:t>
      </w:r>
      <w:r w:rsidR="0095326F">
        <w:t xml:space="preserve">  </w:t>
      </w:r>
      <w:proofErr w:type="gramEnd"/>
      <w:r w:rsidR="0095326F">
        <w:t>This was also the view taken by the PJCIS in its recommendations to the Australian Government.</w:t>
      </w:r>
      <w:r w:rsidR="0095326F">
        <w:rPr>
          <w:rStyle w:val="EndnoteReference"/>
        </w:rPr>
        <w:endnoteReference w:id="83"/>
      </w:r>
      <w:r w:rsidR="0095326F">
        <w:t xml:space="preserve"> </w:t>
      </w:r>
    </w:p>
    <w:p w14:paraId="65FE3B40" w14:textId="10B8DE32" w:rsidR="00E4792A" w:rsidRDefault="00715D17" w:rsidP="003A7748">
      <w:pPr>
        <w:pStyle w:val="ListNumber"/>
        <w:tabs>
          <w:tab w:val="clear" w:pos="360"/>
        </w:tabs>
        <w:ind w:left="1094" w:hanging="737"/>
        <w:contextualSpacing w:val="0"/>
      </w:pPr>
      <w:r>
        <w:t xml:space="preserve">While the Government did not </w:t>
      </w:r>
      <w:r w:rsidR="00F05350">
        <w:t xml:space="preserve">initially </w:t>
      </w:r>
      <w:r>
        <w:t xml:space="preserve">accept this recommendation, it noted that the further review of </w:t>
      </w:r>
      <w:r w:rsidR="00F05350">
        <w:t>the TEO Act by the PJCIS would be an opportunity to consider this recommendation further.</w:t>
      </w:r>
      <w:r w:rsidR="00FE1C32">
        <w:rPr>
          <w:rStyle w:val="EndnoteReference"/>
        </w:rPr>
        <w:endnoteReference w:id="84"/>
      </w:r>
    </w:p>
    <w:p w14:paraId="4300CCAD" w14:textId="2A8DD2E5" w:rsidR="00FE1C32" w:rsidRPr="00FE1C32" w:rsidRDefault="00FE1C32" w:rsidP="00FE1C32">
      <w:pPr>
        <w:pStyle w:val="ListNumber"/>
        <w:keepNext/>
        <w:numPr>
          <w:ilvl w:val="0"/>
          <w:numId w:val="0"/>
        </w:numPr>
        <w:ind w:left="1094"/>
        <w:contextualSpacing w:val="0"/>
        <w:rPr>
          <w:b/>
          <w:bCs/>
        </w:rPr>
      </w:pPr>
      <w:r w:rsidRPr="00FE1C32">
        <w:rPr>
          <w:b/>
          <w:bCs/>
        </w:rPr>
        <w:t>Recommendation 8</w:t>
      </w:r>
    </w:p>
    <w:p w14:paraId="41ACA27E" w14:textId="4557E1D9" w:rsidR="00FE1C32" w:rsidRDefault="00FE1C32" w:rsidP="00FE1C32">
      <w:pPr>
        <w:pStyle w:val="ListNumber"/>
        <w:numPr>
          <w:ilvl w:val="0"/>
          <w:numId w:val="0"/>
        </w:numPr>
        <w:ind w:left="1094"/>
        <w:contextualSpacing w:val="0"/>
      </w:pPr>
      <w:r>
        <w:t xml:space="preserve">The Commission recommends that </w:t>
      </w:r>
      <w:r w:rsidR="001B49CC">
        <w:t xml:space="preserve">the </w:t>
      </w:r>
      <w:proofErr w:type="gramStart"/>
      <w:r w:rsidR="001B49CC" w:rsidRPr="0056205D">
        <w:rPr>
          <w:i/>
          <w:iCs/>
        </w:rPr>
        <w:t>Counter-Terrorism</w:t>
      </w:r>
      <w:proofErr w:type="gramEnd"/>
      <w:r w:rsidR="001B49CC" w:rsidRPr="0056205D">
        <w:rPr>
          <w:i/>
          <w:iCs/>
        </w:rPr>
        <w:t xml:space="preserve"> (Temporary Exclusion Orders) Act 2019</w:t>
      </w:r>
      <w:r w:rsidR="001B49CC">
        <w:t xml:space="preserve"> (</w:t>
      </w:r>
      <w:proofErr w:type="spellStart"/>
      <w:r w:rsidR="001B49CC">
        <w:t>Cth</w:t>
      </w:r>
      <w:proofErr w:type="spellEnd"/>
      <w:r w:rsidR="001B49CC">
        <w:t xml:space="preserve">) be amended so that, in any prosecution for a breach of an offence </w:t>
      </w:r>
      <w:r w:rsidR="007F1B1F">
        <w:t>provision, the prosecution must prove that the defendant had knowledge of the existence of the temporary exclusion order or of the relevant return permit condition (as applicable).</w:t>
      </w:r>
    </w:p>
    <w:p w14:paraId="0AA9BF90" w14:textId="2D26AB04" w:rsidR="007F1B1F" w:rsidRDefault="007F1B1F">
      <w:pPr>
        <w:spacing w:before="0" w:after="0"/>
      </w:pPr>
      <w:r>
        <w:br w:type="page"/>
      </w:r>
    </w:p>
    <w:p w14:paraId="3F7B78AB" w14:textId="4B8F51A4" w:rsidR="007F1B1F" w:rsidRPr="007F1B1F" w:rsidRDefault="007F1B1F" w:rsidP="007F1B1F">
      <w:pPr>
        <w:pStyle w:val="ListNumber"/>
        <w:numPr>
          <w:ilvl w:val="0"/>
          <w:numId w:val="0"/>
        </w:numPr>
        <w:ind w:left="360" w:hanging="360"/>
        <w:contextualSpacing w:val="0"/>
        <w:rPr>
          <w:b/>
          <w:bCs/>
          <w:sz w:val="28"/>
          <w:szCs w:val="28"/>
        </w:rPr>
      </w:pPr>
      <w:r w:rsidRPr="007F1B1F">
        <w:rPr>
          <w:b/>
          <w:bCs/>
          <w:sz w:val="28"/>
          <w:szCs w:val="28"/>
        </w:rPr>
        <w:lastRenderedPageBreak/>
        <w:t>Endnotes</w:t>
      </w:r>
    </w:p>
    <w:sectPr w:rsidR="007F1B1F" w:rsidRPr="007F1B1F" w:rsidSect="00460EE0">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A39E" w14:textId="77777777" w:rsidR="00FD660B" w:rsidRDefault="00FD660B" w:rsidP="00F14C6D">
      <w:r>
        <w:separator/>
      </w:r>
    </w:p>
  </w:endnote>
  <w:endnote w:type="continuationSeparator" w:id="0">
    <w:p w14:paraId="05535C2B" w14:textId="77777777" w:rsidR="00FD660B" w:rsidRDefault="00FD660B" w:rsidP="00F14C6D">
      <w:r>
        <w:continuationSeparator/>
      </w:r>
    </w:p>
  </w:endnote>
  <w:endnote w:id="1">
    <w:p w14:paraId="43B7E7DB" w14:textId="48DAFF4A" w:rsidR="00492036" w:rsidRPr="00492036" w:rsidRDefault="00492036" w:rsidP="005C47F7">
      <w:pPr>
        <w:pStyle w:val="EndnoteText"/>
        <w:ind w:left="284" w:hanging="284"/>
        <w:rPr>
          <w:lang w:val="en-US"/>
        </w:rPr>
      </w:pPr>
      <w:r>
        <w:rPr>
          <w:rStyle w:val="EndnoteReference"/>
        </w:rPr>
        <w:endnoteRef/>
      </w:r>
      <w:r>
        <w:t xml:space="preserve"> </w:t>
      </w:r>
      <w:r>
        <w:rPr>
          <w:lang w:val="en-US"/>
        </w:rPr>
        <w:tab/>
        <w:t xml:space="preserve">Australian Human Rights Commission, </w:t>
      </w:r>
      <w:r w:rsidRPr="00E350EC">
        <w:rPr>
          <w:i/>
          <w:iCs/>
          <w:lang w:val="en-US"/>
        </w:rPr>
        <w:t>Counter-Terrorism (Temporary Exclusion Orders) Bill 2019 (Cth)</w:t>
      </w:r>
      <w:r>
        <w:rPr>
          <w:lang w:val="en-US"/>
        </w:rPr>
        <w:t xml:space="preserve">, submission to the Parliamentary Joint Committee on Intelligence and Security, 8 March 2019, </w:t>
      </w:r>
      <w:hyperlink r:id="rId1" w:history="1">
        <w:r w:rsidR="00E350EC" w:rsidRPr="00E93ED3">
          <w:rPr>
            <w:rStyle w:val="Hyperlink"/>
            <w:lang w:val="en-US"/>
          </w:rPr>
          <w:t>https://www.aph.gov.au/DocumentStore.ashx?id=372fe9e7-3d94-4ba4-9bad-eff0c1084111&amp;subId=667095</w:t>
        </w:r>
      </w:hyperlink>
      <w:r w:rsidR="00E350EC">
        <w:rPr>
          <w:lang w:val="en-US"/>
        </w:rPr>
        <w:t xml:space="preserve">. </w:t>
      </w:r>
    </w:p>
  </w:endnote>
  <w:endnote w:id="2">
    <w:p w14:paraId="0FF446D2" w14:textId="61C6D81B" w:rsidR="00F56CA8" w:rsidRPr="00F56CA8" w:rsidRDefault="00F56CA8" w:rsidP="005C47F7">
      <w:pPr>
        <w:pStyle w:val="EndnoteText"/>
        <w:ind w:left="284" w:hanging="284"/>
        <w:rPr>
          <w:lang w:val="en-US"/>
        </w:rPr>
      </w:pPr>
      <w:r>
        <w:rPr>
          <w:rStyle w:val="EndnoteReference"/>
        </w:rPr>
        <w:endnoteRef/>
      </w:r>
      <w:r>
        <w:t xml:space="preserve"> </w:t>
      </w:r>
      <w:r>
        <w:rPr>
          <w:lang w:val="en-US"/>
        </w:rPr>
        <w:tab/>
        <w:t xml:space="preserve">The Hon Scott Morrison MP, Prime Minister and the Hon Peter Dutton MP, Minister for Home Affairs, ‘Combatting Australian terrorists’, </w:t>
      </w:r>
      <w:r w:rsidRPr="00216CAA">
        <w:rPr>
          <w:i/>
          <w:iCs/>
          <w:lang w:val="en-US"/>
        </w:rPr>
        <w:t>Media release</w:t>
      </w:r>
      <w:r>
        <w:rPr>
          <w:lang w:val="en-US"/>
        </w:rPr>
        <w:t xml:space="preserve">, 22 November 2018, </w:t>
      </w:r>
      <w:hyperlink r:id="rId2" w:history="1">
        <w:r w:rsidRPr="005D5EF7">
          <w:rPr>
            <w:rStyle w:val="Hyperlink"/>
            <w:lang w:val="en-US"/>
          </w:rPr>
          <w:t>https://www.pm.gov.au/media/combatting-australian-terrorists</w:t>
        </w:r>
      </w:hyperlink>
      <w:r>
        <w:rPr>
          <w:lang w:val="en-US"/>
        </w:rPr>
        <w:t>.</w:t>
      </w:r>
    </w:p>
  </w:endnote>
  <w:endnote w:id="3">
    <w:p w14:paraId="1F408369" w14:textId="77777777" w:rsidR="00DA60DE" w:rsidRPr="0094115D" w:rsidRDefault="00DA60DE" w:rsidP="005C47F7">
      <w:pPr>
        <w:pStyle w:val="EndnoteText"/>
        <w:ind w:left="284" w:hanging="284"/>
        <w:rPr>
          <w:lang w:val="en-US"/>
        </w:rPr>
      </w:pPr>
      <w:r>
        <w:rPr>
          <w:rStyle w:val="EndnoteReference"/>
        </w:rPr>
        <w:endnoteRef/>
      </w:r>
      <w:r>
        <w:t xml:space="preserve"> </w:t>
      </w:r>
      <w:r>
        <w:rPr>
          <w:lang w:val="en-US"/>
        </w:rPr>
        <w:tab/>
        <w:t xml:space="preserve">Independent National Security Legislation Monitor, </w:t>
      </w:r>
      <w:r w:rsidRPr="00867D5B">
        <w:rPr>
          <w:i/>
          <w:iCs/>
          <w:lang w:val="en-US"/>
        </w:rPr>
        <w:t>Annual Report 201</w:t>
      </w:r>
      <w:r>
        <w:rPr>
          <w:i/>
          <w:iCs/>
          <w:lang w:val="en-US"/>
        </w:rPr>
        <w:t>9</w:t>
      </w:r>
      <w:r w:rsidRPr="00867D5B">
        <w:rPr>
          <w:i/>
          <w:iCs/>
          <w:lang w:val="en-US"/>
        </w:rPr>
        <w:t>–</w:t>
      </w:r>
      <w:r>
        <w:rPr>
          <w:i/>
          <w:iCs/>
          <w:lang w:val="en-US"/>
        </w:rPr>
        <w:t>20</w:t>
      </w:r>
      <w:r>
        <w:rPr>
          <w:lang w:val="en-US"/>
        </w:rPr>
        <w:t xml:space="preserve">, at [27], </w:t>
      </w:r>
      <w:hyperlink r:id="rId3" w:history="1">
        <w:r w:rsidRPr="00637F9C">
          <w:rPr>
            <w:rStyle w:val="Hyperlink"/>
            <w:lang w:val="en-US"/>
          </w:rPr>
          <w:t>https://www.inslm.gov.au/sites/default/files/2021-02/inslm-annual-report-2019-2020.pdf</w:t>
        </w:r>
      </w:hyperlink>
      <w:r>
        <w:rPr>
          <w:lang w:val="en-US"/>
        </w:rPr>
        <w:t xml:space="preserve">. </w:t>
      </w:r>
    </w:p>
  </w:endnote>
  <w:endnote w:id="4">
    <w:p w14:paraId="33A873E9" w14:textId="448EFCAD" w:rsidR="00DA6300" w:rsidRPr="00DA6300" w:rsidRDefault="00DA6300" w:rsidP="005C47F7">
      <w:pPr>
        <w:pStyle w:val="EndnoteText"/>
        <w:ind w:left="284" w:hanging="284"/>
        <w:rPr>
          <w:lang w:val="en-US"/>
        </w:rPr>
      </w:pPr>
      <w:r>
        <w:rPr>
          <w:rStyle w:val="EndnoteReference"/>
        </w:rPr>
        <w:endnoteRef/>
      </w:r>
      <w:r>
        <w:t xml:space="preserve"> </w:t>
      </w:r>
      <w:r>
        <w:rPr>
          <w:lang w:val="en-US"/>
        </w:rPr>
        <w:tab/>
      </w:r>
      <w:r w:rsidR="001C6767">
        <w:rPr>
          <w:lang w:val="en-US"/>
        </w:rPr>
        <w:t xml:space="preserve">Independent National Security Legislation Monitor, </w:t>
      </w:r>
      <w:r w:rsidR="001C6767" w:rsidRPr="00867D5B">
        <w:rPr>
          <w:i/>
          <w:iCs/>
          <w:lang w:val="en-US"/>
        </w:rPr>
        <w:t>Annual Report 2018–19</w:t>
      </w:r>
      <w:r w:rsidR="001C6767">
        <w:rPr>
          <w:lang w:val="en-US"/>
        </w:rPr>
        <w:t xml:space="preserve">, at [2.13], </w:t>
      </w:r>
      <w:hyperlink r:id="rId4" w:history="1">
        <w:r w:rsidR="001C6767" w:rsidRPr="00637F9C">
          <w:rPr>
            <w:rStyle w:val="Hyperlink"/>
            <w:lang w:val="en-US"/>
          </w:rPr>
          <w:t>https://www.inslm.gov.au/sites/default/files/2020-02/INSLM%20Annual%20Report%20-%202018-2019.pdf</w:t>
        </w:r>
      </w:hyperlink>
      <w:r w:rsidR="001C6767">
        <w:rPr>
          <w:lang w:val="en-US"/>
        </w:rPr>
        <w:t>.</w:t>
      </w:r>
    </w:p>
  </w:endnote>
  <w:endnote w:id="5">
    <w:p w14:paraId="6DDE7AC6" w14:textId="2122D6A4" w:rsidR="00522769" w:rsidRPr="001E5FF6" w:rsidRDefault="00522769" w:rsidP="005C47F7">
      <w:pPr>
        <w:pStyle w:val="EndnoteText"/>
        <w:ind w:left="284" w:hanging="284"/>
        <w:rPr>
          <w:lang w:val="en-US"/>
        </w:rPr>
      </w:pPr>
      <w:r>
        <w:rPr>
          <w:rStyle w:val="EndnoteReference"/>
        </w:rPr>
        <w:endnoteRef/>
      </w:r>
      <w:r>
        <w:t xml:space="preserve"> </w:t>
      </w:r>
      <w:r>
        <w:rPr>
          <w:lang w:val="en-US"/>
        </w:rPr>
        <w:tab/>
        <w:t xml:space="preserve">Parliamentary Joint Committee on Intelligence and Security, </w:t>
      </w:r>
      <w:r w:rsidRPr="00A93CAF">
        <w:rPr>
          <w:i/>
          <w:iCs/>
          <w:lang w:val="en-US"/>
        </w:rPr>
        <w:t>Official Committee Hansard, Counter-Terrorism Legislation Amendment Bill 2019, Counter-Terrorism (Temporary Exclusion Orders) Bill 2019</w:t>
      </w:r>
      <w:r>
        <w:rPr>
          <w:lang w:val="en-US"/>
        </w:rPr>
        <w:t xml:space="preserve">, Canberra, 15 March 2019, p 17 (Mr Ian McCartney, </w:t>
      </w:r>
      <w:r w:rsidRPr="00561CD3">
        <w:rPr>
          <w:lang w:val="en-US"/>
        </w:rPr>
        <w:t>Acting Deputy Commissioner, National Security, Australian Federal Police</w:t>
      </w:r>
      <w:r>
        <w:rPr>
          <w:lang w:val="en-US"/>
        </w:rPr>
        <w:t>)</w:t>
      </w:r>
      <w:r w:rsidR="000C3C71">
        <w:rPr>
          <w:lang w:val="en-US"/>
        </w:rPr>
        <w:t xml:space="preserve">, </w:t>
      </w:r>
      <w:hyperlink r:id="rId5" w:history="1">
        <w:r w:rsidR="006127C6" w:rsidRPr="00637F9C">
          <w:rPr>
            <w:rStyle w:val="Hyperlink"/>
            <w:lang w:val="en-US"/>
          </w:rPr>
          <w:t>https://parlinfo.aph.gov.au/parlInfo/download/committees/commjnt/24ee7702-d065-4b84-9de9-ff9ab32ba199/toc_pdf/Parliamentary%20Joint%20Committee%20on%20Intelligence%20and%20Security_2019_03_15_7008_Official.pdf;fileType=application%2Fpdf</w:t>
        </w:r>
      </w:hyperlink>
      <w:r w:rsidR="006127C6">
        <w:rPr>
          <w:lang w:val="en-US"/>
        </w:rPr>
        <w:t xml:space="preserve">. </w:t>
      </w:r>
    </w:p>
  </w:endnote>
  <w:endnote w:id="6">
    <w:p w14:paraId="49F52793" w14:textId="77777777" w:rsidR="004057E2" w:rsidRPr="001E5FF6" w:rsidRDefault="004057E2" w:rsidP="005C47F7">
      <w:pPr>
        <w:pStyle w:val="EndnoteText"/>
        <w:ind w:left="284" w:hanging="284"/>
        <w:rPr>
          <w:lang w:val="en-US"/>
        </w:rPr>
      </w:pPr>
      <w:r>
        <w:rPr>
          <w:rStyle w:val="EndnoteReference"/>
        </w:rPr>
        <w:endnoteRef/>
      </w:r>
      <w:r>
        <w:t xml:space="preserve"> </w:t>
      </w:r>
      <w:r>
        <w:rPr>
          <w:lang w:val="en-US"/>
        </w:rPr>
        <w:tab/>
        <w:t xml:space="preserve">Parliamentary Joint Committee on Intelligence and Security, </w:t>
      </w:r>
      <w:r w:rsidRPr="00A93CAF">
        <w:rPr>
          <w:i/>
          <w:iCs/>
          <w:lang w:val="en-US"/>
        </w:rPr>
        <w:t>Official Committee Hansard, Counter-Terrorism Legislation Amendment Bill 2019, Counter-Terrorism (Temporary Exclusion Orders) Bill 2019</w:t>
      </w:r>
      <w:r>
        <w:rPr>
          <w:lang w:val="en-US"/>
        </w:rPr>
        <w:t xml:space="preserve">, Canberra, 15 March 2019, p 17 (Mr Ian McCartney, </w:t>
      </w:r>
      <w:r w:rsidRPr="00561CD3">
        <w:rPr>
          <w:lang w:val="en-US"/>
        </w:rPr>
        <w:t>Acting Deputy Commissioner, National Security, Australian Federal Police</w:t>
      </w:r>
      <w:r>
        <w:rPr>
          <w:lang w:val="en-US"/>
        </w:rPr>
        <w:t>).</w:t>
      </w:r>
    </w:p>
  </w:endnote>
  <w:endnote w:id="7">
    <w:p w14:paraId="2D74BB05" w14:textId="2186EB1A" w:rsidR="004D4A65" w:rsidRPr="004D4A65" w:rsidRDefault="004D4A65" w:rsidP="005C47F7">
      <w:pPr>
        <w:pStyle w:val="EndnoteText"/>
        <w:ind w:left="284" w:hanging="284"/>
        <w:rPr>
          <w:lang w:val="en-US"/>
        </w:rPr>
      </w:pPr>
      <w:r>
        <w:rPr>
          <w:rStyle w:val="EndnoteReference"/>
        </w:rPr>
        <w:endnoteRef/>
      </w:r>
      <w:r>
        <w:t xml:space="preserve"> </w:t>
      </w:r>
      <w:r>
        <w:rPr>
          <w:lang w:val="en-US"/>
        </w:rPr>
        <w:tab/>
      </w:r>
      <w:r w:rsidRPr="004618EA">
        <w:rPr>
          <w:i/>
          <w:iCs/>
          <w:lang w:val="en-US"/>
        </w:rPr>
        <w:t>Crimes Act 1914</w:t>
      </w:r>
      <w:r>
        <w:rPr>
          <w:lang w:val="en-US"/>
        </w:rPr>
        <w:t xml:space="preserve"> (Cth), s 3WA.</w:t>
      </w:r>
    </w:p>
  </w:endnote>
  <w:endnote w:id="8">
    <w:p w14:paraId="50652DB2" w14:textId="56866424" w:rsidR="00EB65F8" w:rsidRPr="00EB65F8" w:rsidRDefault="00EB65F8" w:rsidP="005C47F7">
      <w:pPr>
        <w:pStyle w:val="EndnoteText"/>
        <w:ind w:left="284" w:hanging="284"/>
        <w:rPr>
          <w:lang w:val="en-US"/>
        </w:rPr>
      </w:pPr>
      <w:r>
        <w:rPr>
          <w:rStyle w:val="EndnoteReference"/>
        </w:rPr>
        <w:endnoteRef/>
      </w:r>
      <w:r>
        <w:t xml:space="preserve"> </w:t>
      </w:r>
      <w:r>
        <w:rPr>
          <w:lang w:val="en-US"/>
        </w:rPr>
        <w:tab/>
        <w:t>TEO Act, s 10.</w:t>
      </w:r>
    </w:p>
  </w:endnote>
  <w:endnote w:id="9">
    <w:p w14:paraId="5933CC33" w14:textId="325CE0C8" w:rsidR="00DC13D2" w:rsidRPr="00DC13D2" w:rsidRDefault="00DC13D2" w:rsidP="005C47F7">
      <w:pPr>
        <w:pStyle w:val="EndnoteText"/>
        <w:ind w:left="284" w:hanging="284"/>
        <w:rPr>
          <w:lang w:val="en-US"/>
        </w:rPr>
      </w:pPr>
      <w:r>
        <w:rPr>
          <w:rStyle w:val="EndnoteReference"/>
        </w:rPr>
        <w:endnoteRef/>
      </w:r>
      <w:r>
        <w:t xml:space="preserve"> </w:t>
      </w:r>
      <w:r>
        <w:rPr>
          <w:lang w:val="en-US"/>
        </w:rPr>
        <w:tab/>
        <w:t>TEO Act, s 8.</w:t>
      </w:r>
    </w:p>
  </w:endnote>
  <w:endnote w:id="10">
    <w:p w14:paraId="116B1DEA" w14:textId="77777777" w:rsidR="00EB65F8" w:rsidRPr="003B368F" w:rsidRDefault="00EB65F8" w:rsidP="005C47F7">
      <w:pPr>
        <w:pStyle w:val="EndnoteText"/>
        <w:ind w:left="284" w:hanging="284"/>
        <w:rPr>
          <w:lang w:val="en-US"/>
        </w:rPr>
      </w:pPr>
      <w:r>
        <w:rPr>
          <w:rStyle w:val="EndnoteReference"/>
        </w:rPr>
        <w:endnoteRef/>
      </w:r>
      <w:r>
        <w:t xml:space="preserve"> </w:t>
      </w:r>
      <w:r>
        <w:rPr>
          <w:lang w:val="en-US"/>
        </w:rPr>
        <w:tab/>
        <w:t>TEO Act, ss 14 and 23.</w:t>
      </w:r>
    </w:p>
  </w:endnote>
  <w:endnote w:id="11">
    <w:p w14:paraId="0B5D3893" w14:textId="204DCD1A" w:rsidR="00E71A9F" w:rsidRPr="00E71A9F" w:rsidRDefault="00E71A9F" w:rsidP="005C47F7">
      <w:pPr>
        <w:pStyle w:val="EndnoteText"/>
        <w:ind w:left="284" w:hanging="284"/>
        <w:rPr>
          <w:lang w:val="en-US"/>
        </w:rPr>
      </w:pPr>
      <w:r>
        <w:rPr>
          <w:rStyle w:val="EndnoteReference"/>
        </w:rPr>
        <w:endnoteRef/>
      </w:r>
      <w:r>
        <w:t xml:space="preserve"> </w:t>
      </w:r>
      <w:r>
        <w:rPr>
          <w:lang w:val="en-US"/>
        </w:rPr>
        <w:tab/>
        <w:t>TEO Act, s 15.</w:t>
      </w:r>
    </w:p>
  </w:endnote>
  <w:endnote w:id="12">
    <w:p w14:paraId="77FBADC2" w14:textId="5032C7E0" w:rsidR="00211B6F" w:rsidRPr="00211B6F" w:rsidRDefault="00211B6F" w:rsidP="005C47F7">
      <w:pPr>
        <w:pStyle w:val="EndnoteText"/>
        <w:ind w:left="284" w:hanging="284"/>
        <w:rPr>
          <w:lang w:val="en-US"/>
        </w:rPr>
      </w:pPr>
      <w:r>
        <w:rPr>
          <w:rStyle w:val="EndnoteReference"/>
        </w:rPr>
        <w:endnoteRef/>
      </w:r>
      <w:r>
        <w:t xml:space="preserve"> </w:t>
      </w:r>
      <w:r>
        <w:rPr>
          <w:lang w:val="en-US"/>
        </w:rPr>
        <w:tab/>
        <w:t>TEO Act, s </w:t>
      </w:r>
      <w:r w:rsidR="00502B59">
        <w:rPr>
          <w:lang w:val="en-US"/>
        </w:rPr>
        <w:t>12(5).</w:t>
      </w:r>
    </w:p>
  </w:endnote>
  <w:endnote w:id="13">
    <w:p w14:paraId="0BBFB4F8" w14:textId="77777777" w:rsidR="00B276D1" w:rsidRPr="005E59BA" w:rsidRDefault="00B276D1" w:rsidP="00B276D1">
      <w:pPr>
        <w:pStyle w:val="EndnoteText"/>
        <w:ind w:left="284" w:hanging="284"/>
        <w:rPr>
          <w:lang w:val="en-US"/>
        </w:rPr>
      </w:pPr>
      <w:r>
        <w:rPr>
          <w:rStyle w:val="EndnoteReference"/>
        </w:rPr>
        <w:endnoteRef/>
      </w:r>
      <w:r>
        <w:t xml:space="preserve"> </w:t>
      </w:r>
      <w:r>
        <w:rPr>
          <w:lang w:val="en-US"/>
        </w:rPr>
        <w:tab/>
        <w:t>TEO Act, s 16(9).</w:t>
      </w:r>
    </w:p>
  </w:endnote>
  <w:endnote w:id="14">
    <w:p w14:paraId="71A14575" w14:textId="56AEE972" w:rsidR="00FA1FF6" w:rsidRPr="005E59BA" w:rsidRDefault="00FA1FF6" w:rsidP="005C47F7">
      <w:pPr>
        <w:pStyle w:val="EndnoteText"/>
        <w:ind w:left="284" w:hanging="284"/>
        <w:rPr>
          <w:lang w:val="en-US"/>
        </w:rPr>
      </w:pPr>
      <w:r>
        <w:rPr>
          <w:rStyle w:val="EndnoteReference"/>
        </w:rPr>
        <w:endnoteRef/>
      </w:r>
      <w:r>
        <w:t xml:space="preserve"> </w:t>
      </w:r>
      <w:r>
        <w:rPr>
          <w:lang w:val="en-US"/>
        </w:rPr>
        <w:tab/>
        <w:t>TEO Act, s 16(10).</w:t>
      </w:r>
    </w:p>
  </w:endnote>
  <w:endnote w:id="15">
    <w:p w14:paraId="073C71EF" w14:textId="7CDEB662" w:rsidR="009578CC" w:rsidRPr="009578CC" w:rsidRDefault="009578CC" w:rsidP="005C47F7">
      <w:pPr>
        <w:pStyle w:val="EndnoteText"/>
        <w:ind w:left="284" w:hanging="284"/>
        <w:rPr>
          <w:lang w:val="en-US"/>
        </w:rPr>
      </w:pPr>
      <w:r>
        <w:rPr>
          <w:rStyle w:val="EndnoteReference"/>
        </w:rPr>
        <w:endnoteRef/>
      </w:r>
      <w:r>
        <w:t xml:space="preserve"> </w:t>
      </w:r>
      <w:r>
        <w:rPr>
          <w:lang w:val="en-US"/>
        </w:rPr>
        <w:tab/>
        <w:t>TEO Act, s 20.</w:t>
      </w:r>
    </w:p>
  </w:endnote>
  <w:endnote w:id="16">
    <w:p w14:paraId="1B7C36A7" w14:textId="0D96D5B3" w:rsidR="00106F4E" w:rsidRPr="00106F4E" w:rsidRDefault="00106F4E" w:rsidP="005C47F7">
      <w:pPr>
        <w:pStyle w:val="EndnoteText"/>
        <w:ind w:left="284" w:hanging="284"/>
        <w:rPr>
          <w:lang w:val="en-US"/>
        </w:rPr>
      </w:pPr>
      <w:r>
        <w:rPr>
          <w:rStyle w:val="EndnoteReference"/>
        </w:rPr>
        <w:endnoteRef/>
      </w:r>
      <w:r>
        <w:t xml:space="preserve"> </w:t>
      </w:r>
      <w:r>
        <w:rPr>
          <w:lang w:val="en-US"/>
        </w:rPr>
        <w:tab/>
        <w:t>TEO Act, s 31.</w:t>
      </w:r>
    </w:p>
  </w:endnote>
  <w:endnote w:id="17">
    <w:p w14:paraId="551A3EDF" w14:textId="44C67DDB" w:rsidR="005F4361" w:rsidRPr="005F4361" w:rsidRDefault="005F4361" w:rsidP="005C47F7">
      <w:pPr>
        <w:pStyle w:val="EndnoteText"/>
        <w:ind w:left="284" w:hanging="284"/>
        <w:rPr>
          <w:lang w:val="en-US"/>
        </w:rPr>
      </w:pPr>
      <w:r>
        <w:rPr>
          <w:rStyle w:val="EndnoteReference"/>
        </w:rPr>
        <w:endnoteRef/>
      </w:r>
      <w:r>
        <w:t xml:space="preserve"> </w:t>
      </w:r>
      <w:r>
        <w:rPr>
          <w:lang w:val="en-US"/>
        </w:rPr>
        <w:tab/>
        <w:t xml:space="preserve">Department of Home Affairs, </w:t>
      </w:r>
      <w:r w:rsidR="00BE2A76" w:rsidRPr="00897C79">
        <w:rPr>
          <w:i/>
          <w:iCs/>
          <w:lang w:val="en-US"/>
        </w:rPr>
        <w:t>Control Orders, Preventative Detention Orders, Continuing Detention Orders, Temporary Exclusion Orders, and Powers in Relation to Terrorist Acts and Terrorism Offences</w:t>
      </w:r>
      <w:r w:rsidR="00BE2A76">
        <w:rPr>
          <w:lang w:val="en-US"/>
        </w:rPr>
        <w:t xml:space="preserve">, </w:t>
      </w:r>
      <w:r w:rsidR="00BE2A76" w:rsidRPr="00897C79">
        <w:rPr>
          <w:i/>
          <w:iCs/>
          <w:lang w:val="en-US"/>
        </w:rPr>
        <w:t>Annual Report 2019-2020</w:t>
      </w:r>
      <w:r w:rsidR="00BE2A76">
        <w:rPr>
          <w:lang w:val="en-US"/>
        </w:rPr>
        <w:t xml:space="preserve">, </w:t>
      </w:r>
      <w:r w:rsidR="00897C79">
        <w:rPr>
          <w:lang w:val="en-US"/>
        </w:rPr>
        <w:t>pp 7–8</w:t>
      </w:r>
      <w:r w:rsidR="00B07DE8">
        <w:rPr>
          <w:lang w:val="en-US"/>
        </w:rPr>
        <w:t>,</w:t>
      </w:r>
      <w:r w:rsidR="00897C79">
        <w:rPr>
          <w:lang w:val="en-US"/>
        </w:rPr>
        <w:t xml:space="preserve"> </w:t>
      </w:r>
      <w:hyperlink r:id="rId6" w:history="1">
        <w:r w:rsidR="00DD63D2" w:rsidRPr="00BA083C">
          <w:rPr>
            <w:rStyle w:val="Hyperlink"/>
          </w:rPr>
          <w:t>https://web.archive.org.au/awa/20211005043413mp_/https://www.nationalsecurity.gov.au/Media-and-publications/Annual-Reports/Documents/annual-report-2019-20.pdf</w:t>
        </w:r>
      </w:hyperlink>
      <w:r w:rsidR="00213956">
        <w:rPr>
          <w:lang w:val="en-US"/>
        </w:rPr>
        <w:t xml:space="preserve">. </w:t>
      </w:r>
    </w:p>
  </w:endnote>
  <w:endnote w:id="18">
    <w:p w14:paraId="0CFB22DD" w14:textId="77777777" w:rsidR="005758D2" w:rsidRPr="00EA022E" w:rsidRDefault="005758D2" w:rsidP="005C47F7">
      <w:pPr>
        <w:pStyle w:val="EndnoteText"/>
        <w:ind w:left="284" w:hanging="284"/>
        <w:rPr>
          <w:lang w:val="en-US"/>
        </w:rPr>
      </w:pPr>
      <w:r>
        <w:rPr>
          <w:rStyle w:val="EndnoteReference"/>
        </w:rPr>
        <w:endnoteRef/>
      </w:r>
      <w:r>
        <w:t xml:space="preserve"> </w:t>
      </w:r>
      <w:r>
        <w:rPr>
          <w:lang w:val="en-US"/>
        </w:rPr>
        <w:tab/>
        <w:t xml:space="preserve">Department of Home Affairs, </w:t>
      </w:r>
      <w:r w:rsidRPr="00B07DE8">
        <w:rPr>
          <w:i/>
          <w:iCs/>
          <w:lang w:val="en-US"/>
        </w:rPr>
        <w:t>2020-21 Annual Report</w:t>
      </w:r>
      <w:r>
        <w:rPr>
          <w:lang w:val="en-US"/>
        </w:rPr>
        <w:t xml:space="preserve">, p 67, </w:t>
      </w:r>
      <w:hyperlink r:id="rId7" w:history="1">
        <w:r w:rsidRPr="00E93ED3">
          <w:rPr>
            <w:rStyle w:val="Hyperlink"/>
            <w:lang w:val="en-US"/>
          </w:rPr>
          <w:t>https://www.homeaffairs.gov.au/reports-and-pubs/Annualreports/home-affairs-annual-report-2020-21.pdf</w:t>
        </w:r>
      </w:hyperlink>
      <w:r>
        <w:rPr>
          <w:lang w:val="en-US"/>
        </w:rPr>
        <w:t xml:space="preserve">. </w:t>
      </w:r>
    </w:p>
  </w:endnote>
  <w:endnote w:id="19">
    <w:p w14:paraId="17758AB1" w14:textId="6DC92251" w:rsidR="007358C0" w:rsidRPr="00EA022E" w:rsidRDefault="007358C0" w:rsidP="005C47F7">
      <w:pPr>
        <w:pStyle w:val="EndnoteText"/>
        <w:ind w:left="284" w:hanging="284"/>
        <w:rPr>
          <w:lang w:val="en-US"/>
        </w:rPr>
      </w:pPr>
      <w:r>
        <w:rPr>
          <w:rStyle w:val="EndnoteReference"/>
        </w:rPr>
        <w:endnoteRef/>
      </w:r>
      <w:r>
        <w:t xml:space="preserve"> </w:t>
      </w:r>
      <w:r>
        <w:rPr>
          <w:lang w:val="en-US"/>
        </w:rPr>
        <w:tab/>
        <w:t xml:space="preserve">Department of Home Affairs, </w:t>
      </w:r>
      <w:r w:rsidRPr="00B07DE8">
        <w:rPr>
          <w:i/>
          <w:iCs/>
          <w:lang w:val="en-US"/>
        </w:rPr>
        <w:t>2020-21 Annual Report</w:t>
      </w:r>
      <w:r>
        <w:rPr>
          <w:lang w:val="en-US"/>
        </w:rPr>
        <w:t xml:space="preserve">, p 67. </w:t>
      </w:r>
    </w:p>
  </w:endnote>
  <w:endnote w:id="20">
    <w:p w14:paraId="66ADEE86" w14:textId="6811F058" w:rsidR="007A559E" w:rsidRPr="007A559E" w:rsidRDefault="007A559E" w:rsidP="005C47F7">
      <w:pPr>
        <w:pStyle w:val="EndnoteText"/>
        <w:ind w:left="284" w:hanging="284"/>
        <w:rPr>
          <w:lang w:val="en-US"/>
        </w:rPr>
      </w:pPr>
      <w:r>
        <w:rPr>
          <w:rStyle w:val="EndnoteReference"/>
        </w:rPr>
        <w:endnoteRef/>
      </w:r>
      <w:r>
        <w:t xml:space="preserve"> </w:t>
      </w:r>
      <w:r>
        <w:rPr>
          <w:lang w:val="en-US"/>
        </w:rPr>
        <w:tab/>
        <w:t xml:space="preserve">Parliamentary Joint Committee on Intelligence and Security, </w:t>
      </w:r>
      <w:r w:rsidRPr="00A93CAF">
        <w:rPr>
          <w:i/>
          <w:iCs/>
          <w:lang w:val="en-US"/>
        </w:rPr>
        <w:t xml:space="preserve">Official Committee Hansard, </w:t>
      </w:r>
      <w:r w:rsidR="001876B3" w:rsidRPr="00A93CAF">
        <w:rPr>
          <w:i/>
          <w:iCs/>
          <w:lang w:val="en-US"/>
        </w:rPr>
        <w:t>Counter-Terrorism Legislation Amendment Bill 2019, Counter-Terrorism (Temporary Exclusion Orders) Bill 2019</w:t>
      </w:r>
      <w:r w:rsidR="001876B3">
        <w:rPr>
          <w:lang w:val="en-US"/>
        </w:rPr>
        <w:t xml:space="preserve">, Canberra, 15 March 2019, </w:t>
      </w:r>
      <w:r w:rsidR="00A93CAF">
        <w:rPr>
          <w:lang w:val="en-US"/>
        </w:rPr>
        <w:t>p 11</w:t>
      </w:r>
      <w:r w:rsidR="00561CD3">
        <w:rPr>
          <w:lang w:val="en-US"/>
        </w:rPr>
        <w:t xml:space="preserve"> (Ms Linda Geddes, Deputy Secretary Commonwealth Counter-Terrorism Coordinator, Department of Home Affairs)</w:t>
      </w:r>
      <w:r w:rsidR="00132970">
        <w:rPr>
          <w:lang w:val="en-US"/>
        </w:rPr>
        <w:t>.</w:t>
      </w:r>
    </w:p>
  </w:endnote>
  <w:endnote w:id="21">
    <w:p w14:paraId="1643AD66" w14:textId="6F081AD3" w:rsidR="00EC2BD7" w:rsidRPr="00EC2BD7" w:rsidRDefault="00EC2BD7" w:rsidP="005C47F7">
      <w:pPr>
        <w:pStyle w:val="EndnoteText"/>
        <w:ind w:left="284" w:hanging="284"/>
        <w:rPr>
          <w:lang w:val="en-US"/>
        </w:rPr>
      </w:pPr>
      <w:r>
        <w:rPr>
          <w:rStyle w:val="EndnoteReference"/>
        </w:rPr>
        <w:endnoteRef/>
      </w:r>
      <w:r>
        <w:t xml:space="preserve"> </w:t>
      </w:r>
      <w:r>
        <w:rPr>
          <w:lang w:val="en-US"/>
        </w:rPr>
        <w:tab/>
        <w:t xml:space="preserve">Australia, </w:t>
      </w:r>
      <w:r w:rsidRPr="00CB4785">
        <w:rPr>
          <w:i/>
          <w:iCs/>
          <w:lang w:val="en-US"/>
        </w:rPr>
        <w:t>Parliamentary Debates</w:t>
      </w:r>
      <w:r>
        <w:rPr>
          <w:lang w:val="en-US"/>
        </w:rPr>
        <w:t>, House of Representatives, 4 July 2019 (the Hon Peter Dutton MP, Minister for Home Affairs</w:t>
      </w:r>
      <w:r w:rsidR="001F2166">
        <w:rPr>
          <w:lang w:val="en-US"/>
        </w:rPr>
        <w:t xml:space="preserve">, second reading speech for the </w:t>
      </w:r>
      <w:r w:rsidR="001F2166" w:rsidRPr="004C18E3">
        <w:rPr>
          <w:lang w:val="en-US"/>
        </w:rPr>
        <w:t>Counter-Terrorism (Temporary Exclusion Orders) Bill 2019</w:t>
      </w:r>
      <w:r>
        <w:rPr>
          <w:lang w:val="en-US"/>
        </w:rPr>
        <w:t>), p 297.</w:t>
      </w:r>
    </w:p>
  </w:endnote>
  <w:endnote w:id="22">
    <w:p w14:paraId="1EC9455C" w14:textId="78A0DCC2" w:rsidR="00D0122A" w:rsidRPr="00D0122A" w:rsidRDefault="00D0122A" w:rsidP="005C47F7">
      <w:pPr>
        <w:pStyle w:val="EndnoteText"/>
        <w:ind w:left="284" w:hanging="284"/>
        <w:rPr>
          <w:lang w:val="en-US"/>
        </w:rPr>
      </w:pPr>
      <w:r>
        <w:rPr>
          <w:rStyle w:val="EndnoteReference"/>
        </w:rPr>
        <w:endnoteRef/>
      </w:r>
      <w:r>
        <w:t xml:space="preserve"> </w:t>
      </w:r>
      <w:r>
        <w:rPr>
          <w:lang w:val="en-US"/>
        </w:rPr>
        <w:tab/>
        <w:t xml:space="preserve">Independent National Security Legislation Monitor, </w:t>
      </w:r>
      <w:r w:rsidRPr="00867D5B">
        <w:rPr>
          <w:i/>
          <w:iCs/>
          <w:lang w:val="en-US"/>
        </w:rPr>
        <w:t>Annual Report 201</w:t>
      </w:r>
      <w:r>
        <w:rPr>
          <w:i/>
          <w:iCs/>
          <w:lang w:val="en-US"/>
        </w:rPr>
        <w:t>9</w:t>
      </w:r>
      <w:r w:rsidRPr="00867D5B">
        <w:rPr>
          <w:i/>
          <w:iCs/>
          <w:lang w:val="en-US"/>
        </w:rPr>
        <w:t>–</w:t>
      </w:r>
      <w:r>
        <w:rPr>
          <w:i/>
          <w:iCs/>
          <w:lang w:val="en-US"/>
        </w:rPr>
        <w:t>20</w:t>
      </w:r>
      <w:r>
        <w:rPr>
          <w:lang w:val="en-US"/>
        </w:rPr>
        <w:t xml:space="preserve">, at [27], </w:t>
      </w:r>
      <w:hyperlink r:id="rId8" w:history="1">
        <w:r w:rsidRPr="00637F9C">
          <w:rPr>
            <w:rStyle w:val="Hyperlink"/>
            <w:lang w:val="en-US"/>
          </w:rPr>
          <w:t>https://www.inslm.gov.au/sites/default/files/2021-02/inslm-annual-report-2019-2020.pdf</w:t>
        </w:r>
      </w:hyperlink>
      <w:r>
        <w:rPr>
          <w:lang w:val="en-US"/>
        </w:rPr>
        <w:t>.</w:t>
      </w:r>
    </w:p>
  </w:endnote>
  <w:endnote w:id="23">
    <w:p w14:paraId="302C05D9" w14:textId="2D906A47" w:rsidR="001E5FF6" w:rsidRPr="001E5FF6" w:rsidRDefault="001E5FF6" w:rsidP="005C47F7">
      <w:pPr>
        <w:pStyle w:val="EndnoteText"/>
        <w:ind w:left="284" w:hanging="284"/>
        <w:rPr>
          <w:lang w:val="en-US"/>
        </w:rPr>
      </w:pPr>
      <w:r>
        <w:rPr>
          <w:rStyle w:val="EndnoteReference"/>
        </w:rPr>
        <w:endnoteRef/>
      </w:r>
      <w:r>
        <w:t xml:space="preserve"> </w:t>
      </w:r>
      <w:r>
        <w:rPr>
          <w:lang w:val="en-US"/>
        </w:rPr>
        <w:tab/>
      </w:r>
      <w:r w:rsidR="00124C1B">
        <w:rPr>
          <w:lang w:val="en-US"/>
        </w:rPr>
        <w:t xml:space="preserve">Parliamentary Joint Committee on Intelligence and Security, </w:t>
      </w:r>
      <w:r w:rsidR="00124C1B" w:rsidRPr="00A93CAF">
        <w:rPr>
          <w:i/>
          <w:iCs/>
          <w:lang w:val="en-US"/>
        </w:rPr>
        <w:t>Official Committee Hansard, Counter-Terrorism Legislation Amendment Bill 2019, Counter-Terrorism (Temporary Exclusion Orders) Bill 2019</w:t>
      </w:r>
      <w:r w:rsidR="00124C1B">
        <w:rPr>
          <w:lang w:val="en-US"/>
        </w:rPr>
        <w:t xml:space="preserve">, Canberra, 15 March 2019, p 17 </w:t>
      </w:r>
      <w:r w:rsidR="00561CD3">
        <w:rPr>
          <w:lang w:val="en-US"/>
        </w:rPr>
        <w:t xml:space="preserve">(Mr Ian McCartney, </w:t>
      </w:r>
      <w:r w:rsidR="00561CD3" w:rsidRPr="00561CD3">
        <w:rPr>
          <w:lang w:val="en-US"/>
        </w:rPr>
        <w:t>Acting Deputy Commissioner, National Security, Australian Federal Police</w:t>
      </w:r>
      <w:r w:rsidR="00561CD3">
        <w:rPr>
          <w:lang w:val="en-US"/>
        </w:rPr>
        <w:t>)</w:t>
      </w:r>
      <w:r w:rsidR="00124C1B">
        <w:rPr>
          <w:lang w:val="en-US"/>
        </w:rPr>
        <w:t>.</w:t>
      </w:r>
    </w:p>
  </w:endnote>
  <w:endnote w:id="24">
    <w:p w14:paraId="33CC6B8D" w14:textId="721F56B1" w:rsidR="001564BB" w:rsidRPr="001564BB" w:rsidRDefault="001564BB" w:rsidP="005C47F7">
      <w:pPr>
        <w:pStyle w:val="EndnoteText"/>
        <w:ind w:left="284" w:hanging="284"/>
        <w:rPr>
          <w:lang w:val="en-US"/>
        </w:rPr>
      </w:pPr>
      <w:r>
        <w:rPr>
          <w:rStyle w:val="EndnoteReference"/>
        </w:rPr>
        <w:endnoteRef/>
      </w:r>
      <w:r>
        <w:t xml:space="preserve"> </w:t>
      </w:r>
      <w:r>
        <w:rPr>
          <w:lang w:val="en-US"/>
        </w:rPr>
        <w:tab/>
        <w:t xml:space="preserve">Independent National Security Legislation </w:t>
      </w:r>
      <w:r w:rsidR="008E4AE4">
        <w:rPr>
          <w:lang w:val="en-US"/>
        </w:rPr>
        <w:t xml:space="preserve">Monitor, </w:t>
      </w:r>
      <w:r w:rsidR="008E4AE4" w:rsidRPr="00867D5B">
        <w:rPr>
          <w:i/>
          <w:iCs/>
          <w:lang w:val="en-US"/>
        </w:rPr>
        <w:t>Annual Report 2018–19</w:t>
      </w:r>
      <w:r w:rsidR="008E4AE4">
        <w:rPr>
          <w:lang w:val="en-US"/>
        </w:rPr>
        <w:t xml:space="preserve">, </w:t>
      </w:r>
      <w:r w:rsidR="00867D5B">
        <w:rPr>
          <w:lang w:val="en-US"/>
        </w:rPr>
        <w:t xml:space="preserve">at [2.13], </w:t>
      </w:r>
      <w:hyperlink r:id="rId9" w:history="1">
        <w:r w:rsidR="00867D5B" w:rsidRPr="00637F9C">
          <w:rPr>
            <w:rStyle w:val="Hyperlink"/>
            <w:lang w:val="en-US"/>
          </w:rPr>
          <w:t>https://www.inslm.gov.au/sites/default/files/2020-02/INSLM%20Annual%20Report%20-%202018-2019.pdf</w:t>
        </w:r>
      </w:hyperlink>
      <w:r w:rsidR="00867D5B">
        <w:rPr>
          <w:lang w:val="en-US"/>
        </w:rPr>
        <w:t xml:space="preserve">. </w:t>
      </w:r>
    </w:p>
  </w:endnote>
  <w:endnote w:id="25">
    <w:p w14:paraId="18133A10" w14:textId="155B1A27" w:rsidR="008464C4" w:rsidRPr="008464C4" w:rsidRDefault="008464C4" w:rsidP="005C47F7">
      <w:pPr>
        <w:pStyle w:val="EndnoteText"/>
        <w:ind w:left="284" w:hanging="284"/>
        <w:rPr>
          <w:lang w:val="en-US"/>
        </w:rPr>
      </w:pPr>
      <w:r>
        <w:rPr>
          <w:rStyle w:val="EndnoteReference"/>
        </w:rPr>
        <w:endnoteRef/>
      </w:r>
      <w:r>
        <w:t xml:space="preserve"> </w:t>
      </w:r>
      <w:r>
        <w:rPr>
          <w:lang w:val="en-US"/>
        </w:rPr>
        <w:tab/>
      </w:r>
      <w:r w:rsidRPr="00F545CE">
        <w:rPr>
          <w:i/>
          <w:iCs/>
          <w:lang w:val="en-US"/>
        </w:rPr>
        <w:t>Crimes Act 1914</w:t>
      </w:r>
      <w:r>
        <w:rPr>
          <w:lang w:val="en-US"/>
        </w:rPr>
        <w:t xml:space="preserve"> (Cth), </w:t>
      </w:r>
      <w:r w:rsidR="00296818">
        <w:rPr>
          <w:lang w:val="en-US"/>
        </w:rPr>
        <w:t>s</w:t>
      </w:r>
      <w:r>
        <w:rPr>
          <w:lang w:val="en-US"/>
        </w:rPr>
        <w:t>s 15AA</w:t>
      </w:r>
      <w:r w:rsidR="00F545CE">
        <w:rPr>
          <w:lang w:val="en-US"/>
        </w:rPr>
        <w:t>.</w:t>
      </w:r>
    </w:p>
  </w:endnote>
  <w:endnote w:id="26">
    <w:p w14:paraId="41B4BDFF" w14:textId="77777777" w:rsidR="009A654E" w:rsidRPr="001E5FF6" w:rsidRDefault="009A654E" w:rsidP="005C47F7">
      <w:pPr>
        <w:pStyle w:val="EndnoteText"/>
        <w:ind w:left="284" w:hanging="284"/>
        <w:rPr>
          <w:lang w:val="en-US"/>
        </w:rPr>
      </w:pPr>
      <w:r>
        <w:rPr>
          <w:rStyle w:val="EndnoteReference"/>
        </w:rPr>
        <w:endnoteRef/>
      </w:r>
      <w:r>
        <w:t xml:space="preserve"> </w:t>
      </w:r>
      <w:r>
        <w:rPr>
          <w:lang w:val="en-US"/>
        </w:rPr>
        <w:tab/>
        <w:t xml:space="preserve">Parliamentary Joint Committee on Intelligence and Security, </w:t>
      </w:r>
      <w:r w:rsidRPr="00A93CAF">
        <w:rPr>
          <w:i/>
          <w:iCs/>
          <w:lang w:val="en-US"/>
        </w:rPr>
        <w:t>Official Committee Hansard, Counter-Terrorism Legislation Amendment Bill 2019, Counter-Terrorism (Temporary Exclusion Orders) Bill 2019</w:t>
      </w:r>
      <w:r>
        <w:rPr>
          <w:lang w:val="en-US"/>
        </w:rPr>
        <w:t xml:space="preserve">, Canberra, 15 March 2019, p 17 (Mr Ian McCartney, </w:t>
      </w:r>
      <w:r w:rsidRPr="00561CD3">
        <w:rPr>
          <w:lang w:val="en-US"/>
        </w:rPr>
        <w:t>Acting Deputy Commissioner, National Security, Australian Federal Police</w:t>
      </w:r>
      <w:r>
        <w:rPr>
          <w:lang w:val="en-US"/>
        </w:rPr>
        <w:t>).</w:t>
      </w:r>
    </w:p>
  </w:endnote>
  <w:endnote w:id="27">
    <w:p w14:paraId="151F07E2" w14:textId="5593254A" w:rsidR="00AE61EC" w:rsidRPr="00AE61EC" w:rsidRDefault="00AE61EC" w:rsidP="005C47F7">
      <w:pPr>
        <w:pStyle w:val="EndnoteText"/>
        <w:ind w:left="284" w:hanging="284"/>
        <w:rPr>
          <w:lang w:val="en-US"/>
        </w:rPr>
      </w:pPr>
      <w:r>
        <w:rPr>
          <w:rStyle w:val="EndnoteReference"/>
        </w:rPr>
        <w:endnoteRef/>
      </w:r>
      <w:r>
        <w:t xml:space="preserve"> </w:t>
      </w:r>
      <w:r>
        <w:rPr>
          <w:lang w:val="en-US"/>
        </w:rPr>
        <w:tab/>
        <w:t xml:space="preserve">Parliamentary Joint Committee on Intelligence and Security, </w:t>
      </w:r>
      <w:r w:rsidRPr="00AE61EC">
        <w:rPr>
          <w:i/>
          <w:iCs/>
          <w:lang w:val="en-US"/>
        </w:rPr>
        <w:t>Review of ‘Declared Areas’ Provisions: Sections 119.2 and 119.3 of the Criminal Code</w:t>
      </w:r>
      <w:r>
        <w:rPr>
          <w:lang w:val="en-US"/>
        </w:rPr>
        <w:t xml:space="preserve">, Report, </w:t>
      </w:r>
      <w:r w:rsidR="00C95D9D">
        <w:rPr>
          <w:lang w:val="en-US"/>
        </w:rPr>
        <w:t xml:space="preserve">at [1.3], </w:t>
      </w:r>
      <w:hyperlink r:id="rId10" w:history="1">
        <w:r w:rsidR="00C95D9D" w:rsidRPr="002B5A9F">
          <w:rPr>
            <w:rStyle w:val="Hyperlink"/>
            <w:lang w:val="en-US"/>
          </w:rPr>
          <w:t>https://parlinfo.aph.gov.au/parlInfo/download/committees/reportjnt/024574/toc_pdf/Reviewof'DeclaredAreas'Provisions.pdf;fileType=application%2Fpdf</w:t>
        </w:r>
      </w:hyperlink>
      <w:r w:rsidR="00C95D9D">
        <w:rPr>
          <w:lang w:val="en-US"/>
        </w:rPr>
        <w:t xml:space="preserve">. </w:t>
      </w:r>
    </w:p>
  </w:endnote>
  <w:endnote w:id="28">
    <w:p w14:paraId="39152423" w14:textId="18F9432E" w:rsidR="002209C7" w:rsidRPr="002209C7" w:rsidRDefault="002209C7" w:rsidP="005C47F7">
      <w:pPr>
        <w:pStyle w:val="EndnoteText"/>
        <w:ind w:left="284" w:hanging="284"/>
        <w:rPr>
          <w:lang w:val="en-US"/>
        </w:rPr>
      </w:pPr>
      <w:r>
        <w:rPr>
          <w:rStyle w:val="EndnoteReference"/>
        </w:rPr>
        <w:endnoteRef/>
      </w:r>
      <w:r>
        <w:t xml:space="preserve"> </w:t>
      </w:r>
      <w:r w:rsidR="004618EA">
        <w:rPr>
          <w:lang w:val="en-US"/>
        </w:rPr>
        <w:tab/>
      </w:r>
      <w:r w:rsidR="004618EA" w:rsidRPr="004618EA">
        <w:rPr>
          <w:i/>
          <w:iCs/>
          <w:lang w:val="en-US"/>
        </w:rPr>
        <w:t>Crimes Act 1914</w:t>
      </w:r>
      <w:r w:rsidR="004618EA">
        <w:rPr>
          <w:lang w:val="en-US"/>
        </w:rPr>
        <w:t xml:space="preserve"> (Cth), s 3WA.</w:t>
      </w:r>
    </w:p>
  </w:endnote>
  <w:endnote w:id="29">
    <w:p w14:paraId="5CF97270" w14:textId="0EDE2AFB" w:rsidR="004618EA" w:rsidRPr="002209C7" w:rsidRDefault="004618EA" w:rsidP="005C47F7">
      <w:pPr>
        <w:pStyle w:val="EndnoteText"/>
        <w:ind w:left="284" w:hanging="284"/>
        <w:rPr>
          <w:lang w:val="en-US"/>
        </w:rPr>
      </w:pPr>
      <w:r>
        <w:rPr>
          <w:rStyle w:val="EndnoteReference"/>
        </w:rPr>
        <w:endnoteRef/>
      </w:r>
      <w:r>
        <w:t xml:space="preserve"> </w:t>
      </w:r>
      <w:r>
        <w:rPr>
          <w:lang w:val="en-US"/>
        </w:rPr>
        <w:tab/>
      </w:r>
      <w:r w:rsidRPr="004618EA">
        <w:rPr>
          <w:i/>
          <w:iCs/>
          <w:lang w:val="en-US"/>
        </w:rPr>
        <w:t>Crimes Act 1914</w:t>
      </w:r>
      <w:r>
        <w:rPr>
          <w:lang w:val="en-US"/>
        </w:rPr>
        <w:t xml:space="preserve"> (Cth), s 3W.</w:t>
      </w:r>
    </w:p>
  </w:endnote>
  <w:endnote w:id="30">
    <w:p w14:paraId="0F62B049" w14:textId="04A6E63C" w:rsidR="00F9366F" w:rsidRPr="00F9366F" w:rsidRDefault="00F9366F" w:rsidP="005C47F7">
      <w:pPr>
        <w:pStyle w:val="EndnoteText"/>
        <w:ind w:left="284" w:hanging="284"/>
        <w:rPr>
          <w:lang w:val="en-US"/>
        </w:rPr>
      </w:pPr>
      <w:r>
        <w:rPr>
          <w:rStyle w:val="EndnoteReference"/>
        </w:rPr>
        <w:endnoteRef/>
      </w:r>
      <w:r>
        <w:t xml:space="preserve"> </w:t>
      </w:r>
      <w:r>
        <w:rPr>
          <w:lang w:val="en-US"/>
        </w:rPr>
        <w:tab/>
      </w:r>
      <w:r w:rsidRPr="00F9366F">
        <w:rPr>
          <w:i/>
          <w:iCs/>
          <w:lang w:val="en-US"/>
        </w:rPr>
        <w:t>Crimes Act 1914</w:t>
      </w:r>
      <w:r>
        <w:rPr>
          <w:lang w:val="en-US"/>
        </w:rPr>
        <w:t xml:space="preserve"> (Cth), s 23DF.</w:t>
      </w:r>
    </w:p>
  </w:endnote>
  <w:endnote w:id="31">
    <w:p w14:paraId="1C936310" w14:textId="6C4A9FCD" w:rsidR="001B166B" w:rsidRPr="001B166B" w:rsidRDefault="001B166B" w:rsidP="005C47F7">
      <w:pPr>
        <w:pStyle w:val="EndnoteText"/>
        <w:ind w:left="284" w:hanging="284"/>
        <w:rPr>
          <w:lang w:val="en-US"/>
        </w:rPr>
      </w:pPr>
      <w:r>
        <w:rPr>
          <w:rStyle w:val="EndnoteReference"/>
        </w:rPr>
        <w:endnoteRef/>
      </w:r>
      <w:r>
        <w:t xml:space="preserve"> </w:t>
      </w:r>
      <w:r>
        <w:rPr>
          <w:lang w:val="en-US"/>
        </w:rPr>
        <w:tab/>
      </w:r>
      <w:r w:rsidRPr="001B166B">
        <w:rPr>
          <w:i/>
          <w:iCs/>
          <w:lang w:val="en-US"/>
        </w:rPr>
        <w:t>Crimes Act 1914</w:t>
      </w:r>
      <w:r>
        <w:rPr>
          <w:lang w:val="en-US"/>
        </w:rPr>
        <w:t xml:space="preserve"> (Cth), s 23DB(11).</w:t>
      </w:r>
    </w:p>
  </w:endnote>
  <w:endnote w:id="32">
    <w:p w14:paraId="7B6B7B2F" w14:textId="1053227E" w:rsidR="00B11748" w:rsidRPr="00B11748" w:rsidRDefault="00B11748" w:rsidP="005C47F7">
      <w:pPr>
        <w:pStyle w:val="EndnoteText"/>
        <w:ind w:left="284" w:hanging="284"/>
        <w:rPr>
          <w:lang w:val="en-US"/>
        </w:rPr>
      </w:pPr>
      <w:r>
        <w:rPr>
          <w:rStyle w:val="EndnoteReference"/>
        </w:rPr>
        <w:endnoteRef/>
      </w:r>
      <w:r>
        <w:t xml:space="preserve"> </w:t>
      </w:r>
      <w:r>
        <w:rPr>
          <w:lang w:val="en-US"/>
        </w:rPr>
        <w:tab/>
      </w:r>
      <w:r w:rsidRPr="00E31CC0">
        <w:rPr>
          <w:i/>
          <w:iCs/>
          <w:lang w:val="en-US"/>
        </w:rPr>
        <w:t>Criminal Code</w:t>
      </w:r>
      <w:r>
        <w:rPr>
          <w:lang w:val="en-US"/>
        </w:rPr>
        <w:t>, s 104.2(2)</w:t>
      </w:r>
      <w:r w:rsidR="005A582B">
        <w:rPr>
          <w:lang w:val="en-US"/>
        </w:rPr>
        <w:t xml:space="preserve">, see in particular </w:t>
      </w:r>
      <w:r w:rsidR="00E31CC0">
        <w:rPr>
          <w:lang w:val="en-US"/>
        </w:rPr>
        <w:t xml:space="preserve">(a) and (c). </w:t>
      </w:r>
    </w:p>
  </w:endnote>
  <w:endnote w:id="33">
    <w:p w14:paraId="196F5335" w14:textId="3BFADF83" w:rsidR="004F5975" w:rsidRPr="004F5975" w:rsidRDefault="004F5975" w:rsidP="005C47F7">
      <w:pPr>
        <w:pStyle w:val="EndnoteText"/>
        <w:ind w:left="284" w:hanging="284"/>
        <w:rPr>
          <w:lang w:val="en-US"/>
        </w:rPr>
      </w:pPr>
      <w:r>
        <w:rPr>
          <w:rStyle w:val="EndnoteReference"/>
        </w:rPr>
        <w:endnoteRef/>
      </w:r>
      <w:r>
        <w:t xml:space="preserve"> </w:t>
      </w:r>
      <w:r>
        <w:rPr>
          <w:lang w:val="en-US"/>
        </w:rPr>
        <w:tab/>
      </w:r>
      <w:r w:rsidRPr="004F5975">
        <w:rPr>
          <w:i/>
          <w:iCs/>
          <w:lang w:val="en-US"/>
        </w:rPr>
        <w:t>Criminal Code</w:t>
      </w:r>
      <w:r>
        <w:rPr>
          <w:lang w:val="en-US"/>
        </w:rPr>
        <w:t>, s 104.6.</w:t>
      </w:r>
    </w:p>
  </w:endnote>
  <w:endnote w:id="34">
    <w:p w14:paraId="6C433775" w14:textId="36101AB2" w:rsidR="00F066D4" w:rsidRPr="00F066D4" w:rsidRDefault="00F066D4" w:rsidP="005C47F7">
      <w:pPr>
        <w:pStyle w:val="EndnoteText"/>
        <w:ind w:left="284" w:hanging="284"/>
        <w:rPr>
          <w:lang w:val="en-US"/>
        </w:rPr>
      </w:pPr>
      <w:r>
        <w:rPr>
          <w:rStyle w:val="EndnoteReference"/>
        </w:rPr>
        <w:endnoteRef/>
      </w:r>
      <w:r>
        <w:t xml:space="preserve"> </w:t>
      </w:r>
      <w:r>
        <w:rPr>
          <w:lang w:val="en-US"/>
        </w:rPr>
        <w:tab/>
      </w:r>
      <w:r w:rsidR="0047589F" w:rsidRPr="0047589F">
        <w:rPr>
          <w:i/>
          <w:iCs/>
          <w:lang w:val="en-US"/>
        </w:rPr>
        <w:t>McCartney v Abdirahman-Khalif</w:t>
      </w:r>
      <w:r w:rsidR="0047589F" w:rsidRPr="0047589F">
        <w:rPr>
          <w:lang w:val="en-US"/>
        </w:rPr>
        <w:t xml:space="preserve"> [2019] FCA 2218</w:t>
      </w:r>
      <w:r w:rsidR="0047589F">
        <w:rPr>
          <w:lang w:val="en-US"/>
        </w:rPr>
        <w:t>;</w:t>
      </w:r>
      <w:r w:rsidR="0047589F" w:rsidRPr="0047589F">
        <w:rPr>
          <w:lang w:val="en-US"/>
        </w:rPr>
        <w:t xml:space="preserve"> </w:t>
      </w:r>
      <w:r w:rsidRPr="00150227">
        <w:rPr>
          <w:i/>
          <w:iCs/>
          <w:lang w:val="en-US"/>
        </w:rPr>
        <w:t>McCartney v Abdirahman-Khalif (No 2)</w:t>
      </w:r>
      <w:r w:rsidRPr="00F066D4">
        <w:rPr>
          <w:lang w:val="en-US"/>
        </w:rPr>
        <w:t xml:space="preserve"> [2020] FCA 1002 (Charlesworth J)</w:t>
      </w:r>
      <w:r>
        <w:rPr>
          <w:lang w:val="en-US"/>
        </w:rPr>
        <w:t xml:space="preserve">.  For a discussion of this case, see Australian Human Rights Commission, </w:t>
      </w:r>
      <w:r w:rsidRPr="00B21461">
        <w:rPr>
          <w:i/>
          <w:iCs/>
          <w:lang w:val="en-US"/>
        </w:rPr>
        <w:t xml:space="preserve">Review of </w:t>
      </w:r>
      <w:r>
        <w:rPr>
          <w:i/>
          <w:iCs/>
          <w:lang w:val="en-US"/>
        </w:rPr>
        <w:t>Australian Federal Police</w:t>
      </w:r>
      <w:r w:rsidRPr="00B21461">
        <w:rPr>
          <w:i/>
          <w:iCs/>
          <w:lang w:val="en-US"/>
        </w:rPr>
        <w:t xml:space="preserve"> Powers</w:t>
      </w:r>
      <w:r>
        <w:rPr>
          <w:lang w:val="en-US"/>
        </w:rPr>
        <w:t>, submission to the Parliamentary Joint Committee on Intelligence and Security, 10 September 2020, at</w:t>
      </w:r>
      <w:r w:rsidR="00150227">
        <w:rPr>
          <w:lang w:val="en-US"/>
        </w:rPr>
        <w:t xml:space="preserve"> [170]</w:t>
      </w:r>
      <w:r w:rsidR="00B75ABB">
        <w:rPr>
          <w:lang w:val="en-US"/>
        </w:rPr>
        <w:t xml:space="preserve"> (Case study 5)</w:t>
      </w:r>
      <w:r>
        <w:rPr>
          <w:lang w:val="en-US"/>
        </w:rPr>
        <w:t xml:space="preserve"> </w:t>
      </w:r>
      <w:hyperlink r:id="rId11" w:history="1">
        <w:r w:rsidRPr="002B5A9F">
          <w:rPr>
            <w:rStyle w:val="Hyperlink"/>
            <w:lang w:val="en-US"/>
          </w:rPr>
          <w:t>https://www.aph.gov.au/DocumentStore.ashx?id=b2a784cc-435f-4cbd-b5c7-6831eeb05e81&amp;subId=691580</w:t>
        </w:r>
      </w:hyperlink>
      <w:r>
        <w:rPr>
          <w:lang w:val="en-US"/>
        </w:rPr>
        <w:t>.</w:t>
      </w:r>
    </w:p>
  </w:endnote>
  <w:endnote w:id="35">
    <w:p w14:paraId="065DD78E" w14:textId="35214124" w:rsidR="00E83393" w:rsidRPr="00E83393" w:rsidRDefault="00E83393" w:rsidP="005C47F7">
      <w:pPr>
        <w:pStyle w:val="EndnoteText"/>
        <w:ind w:left="284" w:hanging="284"/>
        <w:rPr>
          <w:lang w:val="en-US"/>
        </w:rPr>
      </w:pPr>
      <w:r>
        <w:rPr>
          <w:rStyle w:val="EndnoteReference"/>
        </w:rPr>
        <w:endnoteRef/>
      </w:r>
      <w:r>
        <w:t xml:space="preserve"> </w:t>
      </w:r>
      <w:r>
        <w:rPr>
          <w:lang w:val="en-US"/>
        </w:rPr>
        <w:tab/>
      </w:r>
      <w:r w:rsidR="00744E0B">
        <w:rPr>
          <w:lang w:val="en-US"/>
        </w:rPr>
        <w:t xml:space="preserve">Australian Human Rights Commission, </w:t>
      </w:r>
      <w:r w:rsidR="00744E0B" w:rsidRPr="009A3D9B">
        <w:rPr>
          <w:i/>
          <w:iCs/>
          <w:lang w:val="en-US"/>
        </w:rPr>
        <w:t>Review of the ‘declared areas’ provisions</w:t>
      </w:r>
      <w:r w:rsidR="00744E0B">
        <w:rPr>
          <w:lang w:val="en-US"/>
        </w:rPr>
        <w:t>, submission to the Parliamentary Joint Committee on Intelligence and Security, 28 August 2020</w:t>
      </w:r>
      <w:r w:rsidR="009A3D9B">
        <w:rPr>
          <w:lang w:val="en-US"/>
        </w:rPr>
        <w:t xml:space="preserve">, </w:t>
      </w:r>
      <w:hyperlink r:id="rId12" w:history="1">
        <w:r w:rsidR="009A3D9B" w:rsidRPr="002B5A9F">
          <w:rPr>
            <w:rStyle w:val="Hyperlink"/>
            <w:lang w:val="en-US"/>
          </w:rPr>
          <w:t>https://www.aph.gov.au/DocumentStore.ashx?id=17e06008-e0f9-491e-98f0-1913b835392a&amp;subId=691220</w:t>
        </w:r>
      </w:hyperlink>
      <w:r w:rsidR="009A3D9B">
        <w:rPr>
          <w:lang w:val="en-US"/>
        </w:rPr>
        <w:t xml:space="preserve">; Australian Human Rights Commission, </w:t>
      </w:r>
      <w:r w:rsidR="00B21461" w:rsidRPr="00B21461">
        <w:rPr>
          <w:i/>
          <w:iCs/>
          <w:lang w:val="en-US"/>
        </w:rPr>
        <w:t>R</w:t>
      </w:r>
      <w:r w:rsidR="009A3D9B" w:rsidRPr="00B21461">
        <w:rPr>
          <w:i/>
          <w:iCs/>
          <w:lang w:val="en-US"/>
        </w:rPr>
        <w:t xml:space="preserve">eview of </w:t>
      </w:r>
      <w:r w:rsidR="0060153B">
        <w:rPr>
          <w:i/>
          <w:iCs/>
          <w:lang w:val="en-US"/>
        </w:rPr>
        <w:t>Australian Federal Police</w:t>
      </w:r>
      <w:r w:rsidR="009A3D9B" w:rsidRPr="00B21461">
        <w:rPr>
          <w:i/>
          <w:iCs/>
          <w:lang w:val="en-US"/>
        </w:rPr>
        <w:t xml:space="preserve"> </w:t>
      </w:r>
      <w:r w:rsidR="00B21461" w:rsidRPr="00B21461">
        <w:rPr>
          <w:i/>
          <w:iCs/>
          <w:lang w:val="en-US"/>
        </w:rPr>
        <w:t>Powers</w:t>
      </w:r>
      <w:r w:rsidR="00B21461">
        <w:rPr>
          <w:lang w:val="en-US"/>
        </w:rPr>
        <w:t xml:space="preserve">, submission to the Parliamentary Joint Committee on Intelligence and Security, </w:t>
      </w:r>
      <w:r w:rsidR="0060153B">
        <w:rPr>
          <w:lang w:val="en-US"/>
        </w:rPr>
        <w:t>10 September 2020,</w:t>
      </w:r>
      <w:r w:rsidR="00B21461">
        <w:rPr>
          <w:lang w:val="en-US"/>
        </w:rPr>
        <w:t xml:space="preserve"> </w:t>
      </w:r>
      <w:hyperlink r:id="rId13" w:history="1">
        <w:r w:rsidR="00B21461" w:rsidRPr="002B5A9F">
          <w:rPr>
            <w:rStyle w:val="Hyperlink"/>
            <w:lang w:val="en-US"/>
          </w:rPr>
          <w:t>https://www.aph.gov.au/DocumentStore.ashx?id=b2a784cc-435f-4cbd-b5c7-6831eeb05e81&amp;subId=691580</w:t>
        </w:r>
      </w:hyperlink>
      <w:r w:rsidR="00B21461">
        <w:rPr>
          <w:lang w:val="en-US"/>
        </w:rPr>
        <w:t xml:space="preserve">. </w:t>
      </w:r>
      <w:r w:rsidR="009A3D9B">
        <w:rPr>
          <w:lang w:val="en-US"/>
        </w:rPr>
        <w:t xml:space="preserve"> </w:t>
      </w:r>
    </w:p>
  </w:endnote>
  <w:endnote w:id="36">
    <w:p w14:paraId="12D106FB" w14:textId="12C787E6" w:rsidR="00BE0E45" w:rsidRPr="00BE0E45" w:rsidRDefault="00BE0E45" w:rsidP="005C47F7">
      <w:pPr>
        <w:pStyle w:val="EndnoteText"/>
        <w:ind w:left="284" w:hanging="284"/>
        <w:rPr>
          <w:lang w:val="en-US"/>
        </w:rPr>
      </w:pPr>
      <w:r>
        <w:rPr>
          <w:rStyle w:val="EndnoteReference"/>
        </w:rPr>
        <w:endnoteRef/>
      </w:r>
      <w:r>
        <w:t xml:space="preserve"> </w:t>
      </w:r>
      <w:r>
        <w:rPr>
          <w:lang w:val="en-US"/>
        </w:rPr>
        <w:tab/>
      </w:r>
      <w:r w:rsidR="002A12B6">
        <w:rPr>
          <w:lang w:val="en-US"/>
        </w:rPr>
        <w:t xml:space="preserve">The Hon Scott Morrison MP, Prime Minister and the Hon Peter Dutton MP, Minister for Home Affairs, </w:t>
      </w:r>
      <w:r w:rsidR="00216CAA">
        <w:rPr>
          <w:lang w:val="en-US"/>
        </w:rPr>
        <w:t>‘</w:t>
      </w:r>
      <w:r w:rsidR="002A12B6">
        <w:rPr>
          <w:lang w:val="en-US"/>
        </w:rPr>
        <w:t>Combatting Australian terrorists</w:t>
      </w:r>
      <w:r w:rsidR="00216CAA">
        <w:rPr>
          <w:lang w:val="en-US"/>
        </w:rPr>
        <w:t xml:space="preserve">’, </w:t>
      </w:r>
      <w:r w:rsidR="00216CAA" w:rsidRPr="00216CAA">
        <w:rPr>
          <w:i/>
          <w:iCs/>
          <w:lang w:val="en-US"/>
        </w:rPr>
        <w:t>Media release</w:t>
      </w:r>
      <w:r w:rsidR="00216CAA">
        <w:rPr>
          <w:lang w:val="en-US"/>
        </w:rPr>
        <w:t xml:space="preserve">, 22 November 2018, </w:t>
      </w:r>
      <w:hyperlink r:id="rId14" w:history="1">
        <w:r w:rsidR="00216CAA" w:rsidRPr="005D5EF7">
          <w:rPr>
            <w:rStyle w:val="Hyperlink"/>
            <w:lang w:val="en-US"/>
          </w:rPr>
          <w:t>https://www.pm.gov.au/media/combatting-australian-terrorists</w:t>
        </w:r>
      </w:hyperlink>
      <w:r w:rsidR="00216CAA">
        <w:rPr>
          <w:lang w:val="en-US"/>
        </w:rPr>
        <w:t xml:space="preserve">. </w:t>
      </w:r>
    </w:p>
  </w:endnote>
  <w:endnote w:id="37">
    <w:p w14:paraId="1CAAA90C" w14:textId="12A1607B" w:rsidR="00394D62" w:rsidRPr="00394D62" w:rsidRDefault="00394D62" w:rsidP="005C47F7">
      <w:pPr>
        <w:pStyle w:val="EndnoteText"/>
        <w:ind w:left="284" w:hanging="284"/>
        <w:rPr>
          <w:lang w:val="en-US"/>
        </w:rPr>
      </w:pPr>
      <w:r>
        <w:rPr>
          <w:rStyle w:val="EndnoteReference"/>
        </w:rPr>
        <w:endnoteRef/>
      </w:r>
      <w:r>
        <w:t xml:space="preserve"> </w:t>
      </w:r>
      <w:r>
        <w:rPr>
          <w:lang w:val="en-US"/>
        </w:rPr>
        <w:tab/>
        <w:t xml:space="preserve">Parliamentary Joint Committee on Intelligence and Security, </w:t>
      </w:r>
      <w:r w:rsidR="008C1CBF" w:rsidRPr="00EC27C7">
        <w:rPr>
          <w:i/>
          <w:iCs/>
          <w:lang w:val="en-US"/>
        </w:rPr>
        <w:t>Advisory report on the Counter-Terrorism (Temporary Exclusion Orders) Bill 2019</w:t>
      </w:r>
      <w:r w:rsidR="008C1CBF">
        <w:rPr>
          <w:lang w:val="en-US"/>
        </w:rPr>
        <w:t xml:space="preserve">, April 2019, recommendation </w:t>
      </w:r>
      <w:r w:rsidR="00EC27C7">
        <w:rPr>
          <w:lang w:val="en-US"/>
        </w:rPr>
        <w:t>12</w:t>
      </w:r>
      <w:r w:rsidR="008C1CBF">
        <w:rPr>
          <w:lang w:val="en-US"/>
        </w:rPr>
        <w:t xml:space="preserve">, </w:t>
      </w:r>
      <w:hyperlink r:id="rId15" w:history="1">
        <w:r w:rsidR="00EC27C7" w:rsidRPr="005D5EF7">
          <w:rPr>
            <w:rStyle w:val="Hyperlink"/>
            <w:lang w:val="en-US"/>
          </w:rPr>
          <w:t>https://parlinfo.aph.gov.au/parlInfo/download/committees/reportjnt/024276/toc_pdf/AdvisoryreportontheCounter-Terrorism(TemporaryExclusionOrders)Bill2019.pdf;fileType=application%2Fpdf</w:t>
        </w:r>
      </w:hyperlink>
      <w:r w:rsidR="00EC27C7">
        <w:rPr>
          <w:lang w:val="en-US"/>
        </w:rPr>
        <w:t xml:space="preserve">. </w:t>
      </w:r>
    </w:p>
  </w:endnote>
  <w:endnote w:id="38">
    <w:p w14:paraId="4D3B5308" w14:textId="73A0E515" w:rsidR="00630FD8" w:rsidRPr="00630FD8" w:rsidRDefault="00630FD8" w:rsidP="005C47F7">
      <w:pPr>
        <w:pStyle w:val="EndnoteText"/>
        <w:ind w:left="284" w:hanging="284"/>
        <w:rPr>
          <w:lang w:val="en-US"/>
        </w:rPr>
      </w:pPr>
      <w:r>
        <w:rPr>
          <w:rStyle w:val="EndnoteReference"/>
        </w:rPr>
        <w:endnoteRef/>
      </w:r>
      <w:r>
        <w:t xml:space="preserve"> </w:t>
      </w:r>
      <w:r>
        <w:rPr>
          <w:lang w:val="en-US"/>
        </w:rPr>
        <w:tab/>
      </w:r>
      <w:r w:rsidR="008505D5">
        <w:rPr>
          <w:lang w:val="en-US"/>
        </w:rPr>
        <w:t xml:space="preserve">Australian Government, </w:t>
      </w:r>
      <w:r w:rsidR="008505D5" w:rsidRPr="007E122D">
        <w:rPr>
          <w:i/>
          <w:iCs/>
          <w:lang w:val="en-US"/>
        </w:rPr>
        <w:t>Response to the Parliamentary Joint Committee on Intelligence and Security report: Review of the Counter-Terrorism (Temporary Exclusion Orders) Bill 2019</w:t>
      </w:r>
      <w:r w:rsidR="00D61AB4">
        <w:rPr>
          <w:lang w:val="en-US"/>
        </w:rPr>
        <w:t xml:space="preserve">, p 7, </w:t>
      </w:r>
      <w:hyperlink r:id="rId16" w:history="1">
        <w:r w:rsidR="007E122D" w:rsidRPr="005D5EF7">
          <w:rPr>
            <w:rStyle w:val="Hyperlink"/>
            <w:lang w:val="en-US"/>
          </w:rPr>
          <w:t>https://www.aph.gov.au/DocumentStore.ashx?id=fd5e63bb-acc4-48d8-a5c9-28e16e310515</w:t>
        </w:r>
      </w:hyperlink>
      <w:r w:rsidR="007E122D">
        <w:rPr>
          <w:lang w:val="en-US"/>
        </w:rPr>
        <w:t xml:space="preserve">. </w:t>
      </w:r>
    </w:p>
  </w:endnote>
  <w:endnote w:id="39">
    <w:p w14:paraId="55B98AC8" w14:textId="77777777" w:rsidR="003459E6" w:rsidRPr="00DC6F1A" w:rsidRDefault="003459E6" w:rsidP="005C47F7">
      <w:pPr>
        <w:pStyle w:val="EndnoteText"/>
        <w:ind w:left="284" w:hanging="284"/>
        <w:rPr>
          <w:lang w:val="en-US"/>
        </w:rPr>
      </w:pPr>
      <w:r>
        <w:rPr>
          <w:rStyle w:val="EndnoteReference"/>
        </w:rPr>
        <w:endnoteRef/>
      </w:r>
      <w:r>
        <w:t xml:space="preserve"> </w:t>
      </w:r>
      <w:r>
        <w:rPr>
          <w:lang w:val="en-US"/>
        </w:rPr>
        <w:tab/>
        <w:t>TEO Act, s 10(1).</w:t>
      </w:r>
    </w:p>
  </w:endnote>
  <w:endnote w:id="40">
    <w:p w14:paraId="19264D30" w14:textId="4BA456E6" w:rsidR="00912371" w:rsidRPr="00912371" w:rsidRDefault="00912371" w:rsidP="005C47F7">
      <w:pPr>
        <w:pStyle w:val="EndnoteText"/>
        <w:ind w:left="284" w:hanging="284"/>
        <w:rPr>
          <w:lang w:val="en-US"/>
        </w:rPr>
      </w:pPr>
      <w:r>
        <w:rPr>
          <w:rStyle w:val="EndnoteReference"/>
        </w:rPr>
        <w:endnoteRef/>
      </w:r>
      <w:r>
        <w:t xml:space="preserve"> </w:t>
      </w:r>
      <w:r>
        <w:rPr>
          <w:lang w:val="en-US"/>
        </w:rPr>
        <w:tab/>
      </w:r>
      <w:r w:rsidR="005E244C" w:rsidRPr="005E244C">
        <w:rPr>
          <w:lang w:val="en-US"/>
        </w:rPr>
        <w:t xml:space="preserve">United Nations Human Rights Committee, </w:t>
      </w:r>
      <w:r w:rsidR="005E244C" w:rsidRPr="00AC220A">
        <w:rPr>
          <w:i/>
          <w:iCs/>
          <w:lang w:val="en-US"/>
        </w:rPr>
        <w:t>General Comment No 27: Article 12 (Freedom of Movement)</w:t>
      </w:r>
      <w:r w:rsidR="005E244C" w:rsidRPr="005E244C">
        <w:rPr>
          <w:lang w:val="en-US"/>
        </w:rPr>
        <w:t>, UN Doc CCPR/C/21/Rev.1/Add.9 (2 November 1999) 5 [19].</w:t>
      </w:r>
    </w:p>
  </w:endnote>
  <w:endnote w:id="41">
    <w:p w14:paraId="53CFEAC1" w14:textId="1B94BF84" w:rsidR="00C63223" w:rsidRPr="00C63223" w:rsidRDefault="00C63223" w:rsidP="005C47F7">
      <w:pPr>
        <w:pStyle w:val="EndnoteText"/>
        <w:ind w:left="284" w:hanging="284"/>
        <w:rPr>
          <w:lang w:val="en-US"/>
        </w:rPr>
      </w:pPr>
      <w:r>
        <w:rPr>
          <w:rStyle w:val="EndnoteReference"/>
        </w:rPr>
        <w:endnoteRef/>
      </w:r>
      <w:r>
        <w:t xml:space="preserve"> </w:t>
      </w:r>
      <w:r>
        <w:rPr>
          <w:lang w:val="en-US"/>
        </w:rPr>
        <w:tab/>
      </w:r>
      <w:r w:rsidR="00393A0D" w:rsidRPr="00393A0D">
        <w:rPr>
          <w:lang w:val="en-US"/>
        </w:rPr>
        <w:t xml:space="preserve">United Nation Human Rights Committee, </w:t>
      </w:r>
      <w:r w:rsidR="00393A0D" w:rsidRPr="00727A7C">
        <w:rPr>
          <w:i/>
          <w:iCs/>
          <w:lang w:val="en-US"/>
        </w:rPr>
        <w:t>General Comment 31, The Nature of the General Legal Obligation Imposed on States Parties to the Covenant</w:t>
      </w:r>
      <w:r w:rsidR="00393A0D" w:rsidRPr="00393A0D">
        <w:rPr>
          <w:lang w:val="en-US"/>
        </w:rPr>
        <w:t>, UN Doc CCPR/C/21/Rev.1/Add. 1326 (2004)</w:t>
      </w:r>
      <w:r w:rsidR="00393A0D">
        <w:rPr>
          <w:lang w:val="en-US"/>
        </w:rPr>
        <w:t xml:space="preserve"> </w:t>
      </w:r>
      <w:r w:rsidR="00393A0D" w:rsidRPr="00393A0D">
        <w:rPr>
          <w:lang w:val="en-US"/>
        </w:rPr>
        <w:t xml:space="preserve">at [6]; United Nations Economic and Social Council, </w:t>
      </w:r>
      <w:r w:rsidR="00393A0D" w:rsidRPr="00727A7C">
        <w:rPr>
          <w:i/>
          <w:iCs/>
          <w:lang w:val="en-US"/>
        </w:rPr>
        <w:t>Siracusa Principles on the Limitation and</w:t>
      </w:r>
      <w:r w:rsidR="00727A7C" w:rsidRPr="00727A7C">
        <w:rPr>
          <w:i/>
          <w:iCs/>
          <w:lang w:val="en-US"/>
        </w:rPr>
        <w:t xml:space="preserve"> </w:t>
      </w:r>
      <w:r w:rsidR="00393A0D" w:rsidRPr="00727A7C">
        <w:rPr>
          <w:i/>
          <w:iCs/>
          <w:lang w:val="en-US"/>
        </w:rPr>
        <w:t>Derogation Provisions in the International Covenant on Civil and Political Rights</w:t>
      </w:r>
      <w:r w:rsidR="00393A0D" w:rsidRPr="00393A0D">
        <w:rPr>
          <w:lang w:val="en-US"/>
        </w:rPr>
        <w:t>, UN Doc</w:t>
      </w:r>
      <w:r w:rsidR="00727A7C">
        <w:rPr>
          <w:lang w:val="en-US"/>
        </w:rPr>
        <w:t xml:space="preserve"> </w:t>
      </w:r>
      <w:r w:rsidR="00393A0D" w:rsidRPr="00393A0D">
        <w:rPr>
          <w:lang w:val="en-US"/>
        </w:rPr>
        <w:t>E/CN.4/1985/4, Annex (1985).</w:t>
      </w:r>
    </w:p>
  </w:endnote>
  <w:endnote w:id="42">
    <w:p w14:paraId="085AA8E3" w14:textId="41E4511A" w:rsidR="00D80A84" w:rsidRPr="00D80A84" w:rsidRDefault="00D80A84" w:rsidP="005C47F7">
      <w:pPr>
        <w:pStyle w:val="EndnoteText"/>
        <w:ind w:left="284" w:hanging="284"/>
        <w:rPr>
          <w:lang w:val="en-US"/>
        </w:rPr>
      </w:pPr>
      <w:r>
        <w:rPr>
          <w:rStyle w:val="EndnoteReference"/>
        </w:rPr>
        <w:endnoteRef/>
      </w:r>
      <w:r>
        <w:t xml:space="preserve"> </w:t>
      </w:r>
      <w:r>
        <w:rPr>
          <w:lang w:val="en-US"/>
        </w:rPr>
        <w:tab/>
      </w:r>
      <w:r w:rsidR="00CB4785">
        <w:rPr>
          <w:lang w:val="en-US"/>
        </w:rPr>
        <w:t xml:space="preserve">Australia, </w:t>
      </w:r>
      <w:r w:rsidR="00CB4785" w:rsidRPr="00CB4785">
        <w:rPr>
          <w:i/>
          <w:iCs/>
          <w:lang w:val="en-US"/>
        </w:rPr>
        <w:t>Parliamentary Debates</w:t>
      </w:r>
      <w:r w:rsidR="00CB4785">
        <w:rPr>
          <w:lang w:val="en-US"/>
        </w:rPr>
        <w:t>, House of Representatives, 4 July 2019 (the Hon Peter Dutton MP, Minister for Home Affairs</w:t>
      </w:r>
      <w:r w:rsidR="004C18E3">
        <w:rPr>
          <w:lang w:val="en-US"/>
        </w:rPr>
        <w:t xml:space="preserve">, second reading speech for the </w:t>
      </w:r>
      <w:r w:rsidR="004C18E3" w:rsidRPr="004C18E3">
        <w:rPr>
          <w:lang w:val="en-US"/>
        </w:rPr>
        <w:t>Counter-Terrorism (Temporary Exclusion Orders) Bill 2019</w:t>
      </w:r>
      <w:r w:rsidR="00CB4785">
        <w:rPr>
          <w:lang w:val="en-US"/>
        </w:rPr>
        <w:t>), p 297.</w:t>
      </w:r>
    </w:p>
  </w:endnote>
  <w:endnote w:id="43">
    <w:p w14:paraId="5C508AF2" w14:textId="438D3B81" w:rsidR="000F4134" w:rsidRPr="00912371" w:rsidRDefault="000F4134" w:rsidP="005C47F7">
      <w:pPr>
        <w:pStyle w:val="EndnoteText"/>
        <w:ind w:left="284" w:hanging="284"/>
        <w:rPr>
          <w:lang w:val="en-US"/>
        </w:rPr>
      </w:pPr>
      <w:r>
        <w:rPr>
          <w:rStyle w:val="EndnoteReference"/>
        </w:rPr>
        <w:endnoteRef/>
      </w:r>
      <w:r>
        <w:t xml:space="preserve"> </w:t>
      </w:r>
      <w:r>
        <w:rPr>
          <w:lang w:val="en-US"/>
        </w:rPr>
        <w:tab/>
      </w:r>
      <w:r w:rsidRPr="005E244C">
        <w:rPr>
          <w:lang w:val="en-US"/>
        </w:rPr>
        <w:t xml:space="preserve">United Nations Human Rights Committee, </w:t>
      </w:r>
      <w:r w:rsidRPr="00AC220A">
        <w:rPr>
          <w:i/>
          <w:iCs/>
          <w:lang w:val="en-US"/>
        </w:rPr>
        <w:t>General Comment No 27: Article 12 (Freedom of Movement)</w:t>
      </w:r>
      <w:r w:rsidRPr="005E244C">
        <w:rPr>
          <w:lang w:val="en-US"/>
        </w:rPr>
        <w:t xml:space="preserve">, UN Doc CCPR/C/21/Rev.1/Add.9 (2 November 1999) </w:t>
      </w:r>
      <w:r>
        <w:rPr>
          <w:lang w:val="en-US"/>
        </w:rPr>
        <w:t>6</w:t>
      </w:r>
      <w:r w:rsidRPr="005E244C">
        <w:rPr>
          <w:lang w:val="en-US"/>
        </w:rPr>
        <w:t xml:space="preserve"> [</w:t>
      </w:r>
      <w:r>
        <w:rPr>
          <w:lang w:val="en-US"/>
        </w:rPr>
        <w:t>21</w:t>
      </w:r>
      <w:r w:rsidRPr="005E244C">
        <w:rPr>
          <w:lang w:val="en-US"/>
        </w:rPr>
        <w:t>].</w:t>
      </w:r>
    </w:p>
  </w:endnote>
  <w:endnote w:id="44">
    <w:p w14:paraId="131DCA45" w14:textId="77777777" w:rsidR="006769BD" w:rsidRPr="0026719A" w:rsidRDefault="006769BD" w:rsidP="005C47F7">
      <w:pPr>
        <w:pStyle w:val="EndnoteText"/>
        <w:ind w:left="284" w:hanging="284"/>
        <w:rPr>
          <w:lang w:val="en-US"/>
        </w:rPr>
      </w:pPr>
      <w:r>
        <w:rPr>
          <w:rStyle w:val="EndnoteReference"/>
        </w:rPr>
        <w:endnoteRef/>
      </w:r>
      <w:r>
        <w:t xml:space="preserve"> </w:t>
      </w:r>
      <w:r>
        <w:rPr>
          <w:lang w:val="en-US"/>
        </w:rPr>
        <w:tab/>
        <w:t>TEO Act, s 10(2).</w:t>
      </w:r>
    </w:p>
  </w:endnote>
  <w:endnote w:id="45">
    <w:p w14:paraId="662D1B84" w14:textId="327D3F0E" w:rsidR="00740E57" w:rsidRPr="00740E57" w:rsidRDefault="00740E57" w:rsidP="005C47F7">
      <w:pPr>
        <w:pStyle w:val="EndnoteText"/>
        <w:ind w:left="284" w:hanging="284"/>
        <w:rPr>
          <w:lang w:val="en-US"/>
        </w:rPr>
      </w:pPr>
      <w:r>
        <w:rPr>
          <w:rStyle w:val="EndnoteReference"/>
        </w:rPr>
        <w:endnoteRef/>
      </w:r>
      <w:r>
        <w:t xml:space="preserve"> </w:t>
      </w:r>
      <w:r>
        <w:rPr>
          <w:lang w:val="en-US"/>
        </w:rPr>
        <w:tab/>
      </w:r>
      <w:r w:rsidRPr="00740E57">
        <w:rPr>
          <w:i/>
          <w:iCs/>
          <w:lang w:val="en-US"/>
        </w:rPr>
        <w:t>McCartney v Abdirahman-Khalif</w:t>
      </w:r>
      <w:r w:rsidRPr="00740E57">
        <w:rPr>
          <w:lang w:val="en-US"/>
        </w:rPr>
        <w:t xml:space="preserve"> [2019] FCA 2218 at </w:t>
      </w:r>
      <w:r>
        <w:rPr>
          <w:lang w:val="en-US"/>
        </w:rPr>
        <w:t>[9</w:t>
      </w:r>
      <w:r w:rsidR="0005366D">
        <w:rPr>
          <w:lang w:val="en-US"/>
        </w:rPr>
        <w:t>(37)]</w:t>
      </w:r>
      <w:r w:rsidR="00EA588E">
        <w:rPr>
          <w:lang w:val="en-US"/>
        </w:rPr>
        <w:t xml:space="preserve"> and</w:t>
      </w:r>
      <w:r>
        <w:rPr>
          <w:lang w:val="en-US"/>
        </w:rPr>
        <w:t xml:space="preserve"> </w:t>
      </w:r>
      <w:r w:rsidRPr="00740E57">
        <w:rPr>
          <w:lang w:val="en-US"/>
        </w:rPr>
        <w:t>[18]</w:t>
      </w:r>
      <w:r w:rsidR="00EA588E">
        <w:rPr>
          <w:lang w:val="en-US"/>
        </w:rPr>
        <w:t xml:space="preserve"> (Charlesworth J)</w:t>
      </w:r>
      <w:r>
        <w:rPr>
          <w:lang w:val="en-US"/>
        </w:rPr>
        <w:t>.</w:t>
      </w:r>
    </w:p>
  </w:endnote>
  <w:endnote w:id="46">
    <w:p w14:paraId="78E563C6" w14:textId="77777777" w:rsidR="006769BD" w:rsidRPr="00D430FE" w:rsidRDefault="006769BD" w:rsidP="005C47F7">
      <w:pPr>
        <w:pStyle w:val="EndnoteText"/>
        <w:ind w:left="284" w:hanging="284"/>
        <w:rPr>
          <w:lang w:val="en-US"/>
        </w:rPr>
      </w:pPr>
      <w:r>
        <w:rPr>
          <w:rStyle w:val="EndnoteReference"/>
        </w:rPr>
        <w:endnoteRef/>
      </w:r>
      <w:r>
        <w:t xml:space="preserve"> </w:t>
      </w:r>
      <w:r>
        <w:rPr>
          <w:lang w:val="en-US"/>
        </w:rPr>
        <w:tab/>
        <w:t xml:space="preserve">Australian Human Rights Commission, </w:t>
      </w:r>
      <w:r w:rsidRPr="00BE14C3">
        <w:rPr>
          <w:i/>
          <w:iCs/>
          <w:lang w:val="en-US"/>
        </w:rPr>
        <w:t>Review of Australian Federal Police Powers</w:t>
      </w:r>
      <w:r>
        <w:rPr>
          <w:lang w:val="en-US"/>
        </w:rPr>
        <w:t xml:space="preserve">, submission to the Parliamentary Joint Committee on Intelligence and Security, 10 September 2020, at [131]–[134], </w:t>
      </w:r>
      <w:hyperlink r:id="rId17" w:history="1">
        <w:r w:rsidRPr="00A53DCD">
          <w:rPr>
            <w:rStyle w:val="Hyperlink"/>
            <w:lang w:val="en-US"/>
          </w:rPr>
          <w:t>https://www.aph.gov.au/DocumentStore.ashx?id=b2a784cc-435f-4cbd-b5c7-6831eeb05e81&amp;subId=691580</w:t>
        </w:r>
      </w:hyperlink>
      <w:r>
        <w:rPr>
          <w:lang w:val="en-US"/>
        </w:rPr>
        <w:t>.</w:t>
      </w:r>
    </w:p>
  </w:endnote>
  <w:endnote w:id="47">
    <w:p w14:paraId="1331914D" w14:textId="77777777" w:rsidR="006769BD" w:rsidRPr="007D2035" w:rsidRDefault="006769BD" w:rsidP="005C47F7">
      <w:pPr>
        <w:pStyle w:val="EndnoteText"/>
        <w:ind w:left="284" w:hanging="284"/>
        <w:rPr>
          <w:lang w:val="en-US"/>
        </w:rPr>
      </w:pPr>
      <w:r>
        <w:rPr>
          <w:rStyle w:val="EndnoteReference"/>
        </w:rPr>
        <w:endnoteRef/>
      </w:r>
      <w:r>
        <w:t xml:space="preserve"> </w:t>
      </w:r>
      <w:r>
        <w:rPr>
          <w:lang w:val="en-US"/>
        </w:rPr>
        <w:tab/>
        <w:t>TEO Act, s 10(2)(b).</w:t>
      </w:r>
    </w:p>
  </w:endnote>
  <w:endnote w:id="48">
    <w:p w14:paraId="3F6EF76A" w14:textId="703DA306" w:rsidR="009D492B" w:rsidRPr="009D492B" w:rsidRDefault="009D492B" w:rsidP="005C47F7">
      <w:pPr>
        <w:pStyle w:val="EndnoteText"/>
        <w:ind w:left="284" w:hanging="284"/>
        <w:rPr>
          <w:lang w:val="en-US"/>
        </w:rPr>
      </w:pPr>
      <w:r>
        <w:rPr>
          <w:rStyle w:val="EndnoteReference"/>
        </w:rPr>
        <w:endnoteRef/>
      </w:r>
      <w:r>
        <w:t xml:space="preserve"> </w:t>
      </w:r>
      <w:r>
        <w:rPr>
          <w:lang w:val="en-US"/>
        </w:rPr>
        <w:tab/>
      </w:r>
      <w:r w:rsidRPr="006A3883">
        <w:rPr>
          <w:i/>
          <w:iCs/>
        </w:rPr>
        <w:t>Counter-Terrorism and Security Act 2015</w:t>
      </w:r>
      <w:r>
        <w:t xml:space="preserve"> (UK), </w:t>
      </w:r>
      <w:r w:rsidR="00BE2D34">
        <w:t>s</w:t>
      </w:r>
      <w:r>
        <w:t>s </w:t>
      </w:r>
      <w:r w:rsidR="00BE2D34">
        <w:t xml:space="preserve">2(7) and </w:t>
      </w:r>
      <w:r>
        <w:t>3</w:t>
      </w:r>
      <w:r w:rsidR="00E269BB">
        <w:t>.</w:t>
      </w:r>
    </w:p>
  </w:endnote>
  <w:endnote w:id="49">
    <w:p w14:paraId="15E0021F" w14:textId="161EE600" w:rsidR="00E269BB" w:rsidRPr="009D492B" w:rsidRDefault="00E269BB" w:rsidP="005C47F7">
      <w:pPr>
        <w:pStyle w:val="EndnoteText"/>
        <w:ind w:left="284" w:hanging="284"/>
        <w:rPr>
          <w:lang w:val="en-US"/>
        </w:rPr>
      </w:pPr>
      <w:r>
        <w:rPr>
          <w:rStyle w:val="EndnoteReference"/>
        </w:rPr>
        <w:endnoteRef/>
      </w:r>
      <w:r>
        <w:t xml:space="preserve"> </w:t>
      </w:r>
      <w:r>
        <w:rPr>
          <w:lang w:val="en-US"/>
        </w:rPr>
        <w:tab/>
      </w:r>
      <w:r w:rsidRPr="006A3883">
        <w:rPr>
          <w:i/>
          <w:iCs/>
        </w:rPr>
        <w:t>Counter-Terrorism and Security Act 2015</w:t>
      </w:r>
      <w:r>
        <w:t xml:space="preserve"> (UK), s 3(2).</w:t>
      </w:r>
    </w:p>
  </w:endnote>
  <w:endnote w:id="50">
    <w:p w14:paraId="0405AF55" w14:textId="69232406" w:rsidR="00CD04C3" w:rsidRPr="00CD04C3" w:rsidRDefault="00CD04C3" w:rsidP="005C47F7">
      <w:pPr>
        <w:pStyle w:val="EndnoteText"/>
        <w:ind w:left="284" w:hanging="284"/>
        <w:rPr>
          <w:lang w:val="en-US"/>
        </w:rPr>
      </w:pPr>
      <w:r>
        <w:rPr>
          <w:rStyle w:val="EndnoteReference"/>
        </w:rPr>
        <w:endnoteRef/>
      </w:r>
      <w:r>
        <w:t xml:space="preserve"> </w:t>
      </w:r>
      <w:r>
        <w:rPr>
          <w:lang w:val="en-US"/>
        </w:rPr>
        <w:tab/>
        <w:t>TEO Act, s 14.</w:t>
      </w:r>
    </w:p>
  </w:endnote>
  <w:endnote w:id="51">
    <w:p w14:paraId="678B0A38" w14:textId="04D5D148" w:rsidR="00D426C8" w:rsidRPr="00D426C8" w:rsidRDefault="00D426C8" w:rsidP="005C47F7">
      <w:pPr>
        <w:pStyle w:val="EndnoteText"/>
        <w:ind w:left="284" w:hanging="284"/>
        <w:rPr>
          <w:lang w:val="en-US"/>
        </w:rPr>
      </w:pPr>
      <w:r>
        <w:rPr>
          <w:rStyle w:val="EndnoteReference"/>
        </w:rPr>
        <w:endnoteRef/>
      </w:r>
      <w:r>
        <w:t xml:space="preserve"> </w:t>
      </w:r>
      <w:r>
        <w:rPr>
          <w:lang w:val="en-US"/>
        </w:rPr>
        <w:tab/>
      </w:r>
      <w:r w:rsidRPr="006A3883">
        <w:rPr>
          <w:i/>
          <w:iCs/>
        </w:rPr>
        <w:t>Counter-Terrorism and Security Act 2015</w:t>
      </w:r>
      <w:r>
        <w:t xml:space="preserve"> (UK), s 2(7)</w:t>
      </w:r>
      <w:r w:rsidR="00604620">
        <w:t>(b)</w:t>
      </w:r>
      <w:r>
        <w:t xml:space="preserve"> and Schedule 2.</w:t>
      </w:r>
    </w:p>
  </w:endnote>
  <w:endnote w:id="52">
    <w:p w14:paraId="06B081A8" w14:textId="0CBD98A7" w:rsidR="001A610A" w:rsidRPr="001A610A" w:rsidRDefault="001A610A" w:rsidP="005C47F7">
      <w:pPr>
        <w:pStyle w:val="EndnoteText"/>
        <w:ind w:left="284" w:hanging="284"/>
        <w:rPr>
          <w:lang w:val="en-US"/>
        </w:rPr>
      </w:pPr>
      <w:r>
        <w:rPr>
          <w:rStyle w:val="EndnoteReference"/>
        </w:rPr>
        <w:endnoteRef/>
      </w:r>
      <w:r>
        <w:t xml:space="preserve"> </w:t>
      </w:r>
      <w:r>
        <w:rPr>
          <w:lang w:val="en-US"/>
        </w:rPr>
        <w:tab/>
        <w:t xml:space="preserve">Parliamentary Joint Committee on Intelligence and Security, </w:t>
      </w:r>
      <w:r w:rsidRPr="00EC27C7">
        <w:rPr>
          <w:i/>
          <w:iCs/>
          <w:lang w:val="en-US"/>
        </w:rPr>
        <w:t>Advisory report on the Counter-Terrorism (Temporary Exclusion Orders) Bill 2019</w:t>
      </w:r>
      <w:r>
        <w:rPr>
          <w:lang w:val="en-US"/>
        </w:rPr>
        <w:t>, April 2019,</w:t>
      </w:r>
      <w:r w:rsidR="0089332A">
        <w:rPr>
          <w:lang w:val="en-US"/>
        </w:rPr>
        <w:t xml:space="preserve"> at [2.20].</w:t>
      </w:r>
    </w:p>
  </w:endnote>
  <w:endnote w:id="53">
    <w:p w14:paraId="58BE753D" w14:textId="5418B286" w:rsidR="0089332A" w:rsidRPr="001A610A" w:rsidRDefault="0089332A" w:rsidP="005C47F7">
      <w:pPr>
        <w:pStyle w:val="EndnoteText"/>
        <w:ind w:left="284" w:hanging="284"/>
        <w:rPr>
          <w:lang w:val="en-US"/>
        </w:rPr>
      </w:pPr>
      <w:r>
        <w:rPr>
          <w:rStyle w:val="EndnoteReference"/>
        </w:rPr>
        <w:endnoteRef/>
      </w:r>
      <w:r>
        <w:t xml:space="preserve"> </w:t>
      </w:r>
      <w:r>
        <w:rPr>
          <w:lang w:val="en-US"/>
        </w:rPr>
        <w:tab/>
        <w:t xml:space="preserve">Parliamentary Joint Committee on Intelligence and Security, </w:t>
      </w:r>
      <w:r w:rsidRPr="00EC27C7">
        <w:rPr>
          <w:i/>
          <w:iCs/>
          <w:lang w:val="en-US"/>
        </w:rPr>
        <w:t>Advisory report on the Counter-Terrorism (Temporary Exclusion Orders) Bill 2019</w:t>
      </w:r>
      <w:r>
        <w:rPr>
          <w:lang w:val="en-US"/>
        </w:rPr>
        <w:t>, April 2019, at [2.21].</w:t>
      </w:r>
    </w:p>
  </w:endnote>
  <w:endnote w:id="54">
    <w:p w14:paraId="7A0BA0B5" w14:textId="6B3715FB" w:rsidR="000E4A24" w:rsidRPr="001A610A" w:rsidRDefault="000E4A24" w:rsidP="005C47F7">
      <w:pPr>
        <w:pStyle w:val="EndnoteText"/>
        <w:ind w:left="284" w:hanging="284"/>
        <w:rPr>
          <w:lang w:val="en-US"/>
        </w:rPr>
      </w:pPr>
      <w:r>
        <w:rPr>
          <w:rStyle w:val="EndnoteReference"/>
        </w:rPr>
        <w:endnoteRef/>
      </w:r>
      <w:r>
        <w:t xml:space="preserve"> </w:t>
      </w:r>
      <w:r>
        <w:rPr>
          <w:lang w:val="en-US"/>
        </w:rPr>
        <w:tab/>
        <w:t xml:space="preserve">Parliamentary Joint Committee on Intelligence and Security, </w:t>
      </w:r>
      <w:r w:rsidRPr="00EC27C7">
        <w:rPr>
          <w:i/>
          <w:iCs/>
          <w:lang w:val="en-US"/>
        </w:rPr>
        <w:t>Advisory report on the Counter-Terrorism (Temporary Exclusion Orders) Bill 2019</w:t>
      </w:r>
      <w:r>
        <w:rPr>
          <w:lang w:val="en-US"/>
        </w:rPr>
        <w:t>, April 2019, recommendation 7 at [2.120].</w:t>
      </w:r>
    </w:p>
  </w:endnote>
  <w:endnote w:id="55">
    <w:p w14:paraId="36F1DBCA" w14:textId="7B572EB4" w:rsidR="00B90C5D" w:rsidRPr="00B90C5D" w:rsidRDefault="00B90C5D" w:rsidP="005C47F7">
      <w:pPr>
        <w:pStyle w:val="EndnoteText"/>
        <w:ind w:left="284" w:hanging="284"/>
        <w:rPr>
          <w:lang w:val="en-US"/>
        </w:rPr>
      </w:pPr>
      <w:r>
        <w:rPr>
          <w:rStyle w:val="EndnoteReference"/>
        </w:rPr>
        <w:endnoteRef/>
      </w:r>
      <w:r>
        <w:t xml:space="preserve"> </w:t>
      </w:r>
      <w:r>
        <w:rPr>
          <w:lang w:val="en-US"/>
        </w:rPr>
        <w:tab/>
      </w:r>
      <w:r w:rsidRPr="00B90C5D">
        <w:rPr>
          <w:i/>
          <w:iCs/>
          <w:lang w:val="en-US"/>
        </w:rPr>
        <w:t>Criminal Code</w:t>
      </w:r>
      <w:r>
        <w:rPr>
          <w:lang w:val="en-US"/>
        </w:rPr>
        <w:t>, s 105.12.</w:t>
      </w:r>
    </w:p>
  </w:endnote>
  <w:endnote w:id="56">
    <w:p w14:paraId="76923CFB" w14:textId="2CEF65AE" w:rsidR="00E51085" w:rsidRPr="001A610A" w:rsidRDefault="00E51085" w:rsidP="005C47F7">
      <w:pPr>
        <w:pStyle w:val="EndnoteText"/>
        <w:ind w:left="284" w:hanging="284"/>
        <w:rPr>
          <w:lang w:val="en-US"/>
        </w:rPr>
      </w:pPr>
      <w:r>
        <w:rPr>
          <w:rStyle w:val="EndnoteReference"/>
        </w:rPr>
        <w:endnoteRef/>
      </w:r>
      <w:r>
        <w:t xml:space="preserve"> </w:t>
      </w:r>
      <w:r>
        <w:rPr>
          <w:lang w:val="en-US"/>
        </w:rPr>
        <w:tab/>
        <w:t xml:space="preserve">Parliamentary Joint Committee on Intelligence and Security, </w:t>
      </w:r>
      <w:r w:rsidRPr="00EC27C7">
        <w:rPr>
          <w:i/>
          <w:iCs/>
          <w:lang w:val="en-US"/>
        </w:rPr>
        <w:t>Advisory report on the Counter-Terrorism (Temporary Exclusion Orders) Bill 2019</w:t>
      </w:r>
      <w:r>
        <w:rPr>
          <w:lang w:val="en-US"/>
        </w:rPr>
        <w:t>, April 2019, at [2.</w:t>
      </w:r>
      <w:r w:rsidR="00065ECD">
        <w:rPr>
          <w:lang w:val="en-US"/>
        </w:rPr>
        <w:t>11</w:t>
      </w:r>
      <w:r>
        <w:rPr>
          <w:lang w:val="en-US"/>
        </w:rPr>
        <w:t>2].</w:t>
      </w:r>
    </w:p>
  </w:endnote>
  <w:endnote w:id="57">
    <w:p w14:paraId="71F81EC8" w14:textId="6782AC4E" w:rsidR="0075053B" w:rsidRPr="0075053B" w:rsidRDefault="0075053B" w:rsidP="005C47F7">
      <w:pPr>
        <w:pStyle w:val="EndnoteText"/>
        <w:ind w:left="284" w:hanging="284"/>
        <w:rPr>
          <w:lang w:val="en-US"/>
        </w:rPr>
      </w:pPr>
      <w:r>
        <w:rPr>
          <w:rStyle w:val="EndnoteReference"/>
        </w:rPr>
        <w:endnoteRef/>
      </w:r>
      <w:r>
        <w:t xml:space="preserve"> </w:t>
      </w:r>
      <w:r>
        <w:rPr>
          <w:lang w:val="en-US"/>
        </w:rPr>
        <w:tab/>
        <w:t xml:space="preserve">Parliamentary Joint Committee on Intelligence and Security, </w:t>
      </w:r>
      <w:r w:rsidRPr="00EC27C7">
        <w:rPr>
          <w:i/>
          <w:iCs/>
          <w:lang w:val="en-US"/>
        </w:rPr>
        <w:t>Advisory report on the Counter-Terrorism (Temporary Exclusion Orders) Bill 2019</w:t>
      </w:r>
      <w:r>
        <w:rPr>
          <w:lang w:val="en-US"/>
        </w:rPr>
        <w:t>, April 2019, recommendation 7 at [2.120].</w:t>
      </w:r>
    </w:p>
  </w:endnote>
  <w:endnote w:id="58">
    <w:p w14:paraId="23F14EED" w14:textId="77777777" w:rsidR="00F42EA5" w:rsidRPr="008D0222" w:rsidRDefault="00F42EA5" w:rsidP="005C47F7">
      <w:pPr>
        <w:pStyle w:val="EndnoteText"/>
        <w:ind w:left="284" w:hanging="284"/>
        <w:rPr>
          <w:lang w:val="en-US"/>
        </w:rPr>
      </w:pPr>
      <w:r>
        <w:rPr>
          <w:rStyle w:val="EndnoteReference"/>
        </w:rPr>
        <w:endnoteRef/>
      </w:r>
      <w:r>
        <w:t xml:space="preserve"> </w:t>
      </w:r>
      <w:r>
        <w:rPr>
          <w:lang w:val="en-US"/>
        </w:rPr>
        <w:tab/>
        <w:t>TEO Act, s 14(7)(a).</w:t>
      </w:r>
    </w:p>
  </w:endnote>
  <w:endnote w:id="59">
    <w:p w14:paraId="0E60C4F8" w14:textId="172F3C79" w:rsidR="00EC0709" w:rsidRPr="00EC0709" w:rsidRDefault="00EC0709" w:rsidP="005C47F7">
      <w:pPr>
        <w:pStyle w:val="EndnoteText"/>
        <w:ind w:left="284" w:hanging="284"/>
        <w:rPr>
          <w:lang w:val="en-US"/>
        </w:rPr>
      </w:pPr>
      <w:r>
        <w:rPr>
          <w:rStyle w:val="EndnoteReference"/>
        </w:rPr>
        <w:endnoteRef/>
      </w:r>
      <w:r>
        <w:t xml:space="preserve"> </w:t>
      </w:r>
      <w:r>
        <w:rPr>
          <w:lang w:val="en-US"/>
        </w:rPr>
        <w:tab/>
      </w:r>
      <w:r w:rsidR="00BE294E" w:rsidRPr="00BE294E">
        <w:rPr>
          <w:i/>
          <w:iCs/>
          <w:lang w:val="en-US"/>
        </w:rPr>
        <w:t>Brandy v Human Rights and Equal Opportunity Commission</w:t>
      </w:r>
      <w:r w:rsidR="00BE294E" w:rsidRPr="00BE294E">
        <w:rPr>
          <w:lang w:val="en-US"/>
        </w:rPr>
        <w:t xml:space="preserve"> (1995) 183 CLR 245 at 267</w:t>
      </w:r>
      <w:r w:rsidR="00BE294E">
        <w:rPr>
          <w:lang w:val="en-US"/>
        </w:rPr>
        <w:t>–268</w:t>
      </w:r>
      <w:r w:rsidR="00BE294E" w:rsidRPr="00BE294E">
        <w:rPr>
          <w:lang w:val="en-US"/>
        </w:rPr>
        <w:t xml:space="preserve"> (Deane, Dawson, Gaudron and McHugh JJ)</w:t>
      </w:r>
      <w:r w:rsidR="00BE294E">
        <w:rPr>
          <w:lang w:val="en-US"/>
        </w:rPr>
        <w:t>.</w:t>
      </w:r>
    </w:p>
  </w:endnote>
  <w:endnote w:id="60">
    <w:p w14:paraId="6691131C" w14:textId="20F564D1" w:rsidR="008C67E3" w:rsidRPr="008C67E3" w:rsidRDefault="008C67E3" w:rsidP="005C47F7">
      <w:pPr>
        <w:pStyle w:val="EndnoteText"/>
        <w:ind w:left="284" w:hanging="284"/>
        <w:rPr>
          <w:lang w:val="en-US"/>
        </w:rPr>
      </w:pPr>
      <w:r>
        <w:rPr>
          <w:rStyle w:val="EndnoteReference"/>
        </w:rPr>
        <w:endnoteRef/>
      </w:r>
      <w:r>
        <w:t xml:space="preserve"> </w:t>
      </w:r>
      <w:r>
        <w:rPr>
          <w:lang w:val="en-US"/>
        </w:rPr>
        <w:tab/>
      </w:r>
      <w:r w:rsidRPr="002C60CC">
        <w:rPr>
          <w:i/>
          <w:iCs/>
          <w:lang w:val="en-US"/>
        </w:rPr>
        <w:t>R v Trade Prac</w:t>
      </w:r>
      <w:r w:rsidR="002C60CC" w:rsidRPr="002C60CC">
        <w:rPr>
          <w:i/>
          <w:iCs/>
          <w:lang w:val="en-US"/>
        </w:rPr>
        <w:t>tices Tribunal; Ex parte Tasmanian Breweries Pty Ltd</w:t>
      </w:r>
      <w:r w:rsidR="002C60CC">
        <w:rPr>
          <w:lang w:val="en-US"/>
        </w:rPr>
        <w:t xml:space="preserve"> (1970) 123 CLR 361 at 374 (Kitto J).</w:t>
      </w:r>
    </w:p>
  </w:endnote>
  <w:endnote w:id="61">
    <w:p w14:paraId="7F15C6E3" w14:textId="06B965D2" w:rsidR="00D21975" w:rsidRPr="00D21975" w:rsidRDefault="00D21975" w:rsidP="005C47F7">
      <w:pPr>
        <w:pStyle w:val="EndnoteText"/>
        <w:ind w:left="284" w:hanging="284"/>
        <w:rPr>
          <w:lang w:val="en-US"/>
        </w:rPr>
      </w:pPr>
      <w:r>
        <w:rPr>
          <w:rStyle w:val="EndnoteReference"/>
        </w:rPr>
        <w:endnoteRef/>
      </w:r>
      <w:r>
        <w:t xml:space="preserve"> </w:t>
      </w:r>
      <w:r>
        <w:rPr>
          <w:lang w:val="en-US"/>
        </w:rPr>
        <w:tab/>
        <w:t>TEO Act, s 30.</w:t>
      </w:r>
    </w:p>
  </w:endnote>
  <w:endnote w:id="62">
    <w:p w14:paraId="2179B857" w14:textId="794B8D9B" w:rsidR="008B4EC7" w:rsidRPr="008B4EC7" w:rsidRDefault="008B4EC7" w:rsidP="005C47F7">
      <w:pPr>
        <w:pStyle w:val="EndnoteText"/>
        <w:ind w:left="284" w:hanging="284"/>
        <w:rPr>
          <w:lang w:val="en-US"/>
        </w:rPr>
      </w:pPr>
      <w:r>
        <w:rPr>
          <w:rStyle w:val="EndnoteReference"/>
        </w:rPr>
        <w:endnoteRef/>
      </w:r>
      <w:r>
        <w:t xml:space="preserve"> </w:t>
      </w:r>
      <w:r>
        <w:rPr>
          <w:lang w:val="en-US"/>
        </w:rPr>
        <w:tab/>
      </w:r>
      <w:r w:rsidR="00EA471C">
        <w:rPr>
          <w:lang w:val="en-US"/>
        </w:rPr>
        <w:t xml:space="preserve">Australian Government, </w:t>
      </w:r>
      <w:r w:rsidR="00EA471C" w:rsidRPr="007E122D">
        <w:rPr>
          <w:i/>
          <w:iCs/>
          <w:lang w:val="en-US"/>
        </w:rPr>
        <w:t>Response to the Parliamentary Joint Committee on Intelligence and Security report: Review of the Counter-Terrorism (Temporary Exclusion Orders) Bill 2019</w:t>
      </w:r>
      <w:r w:rsidR="00EA471C">
        <w:rPr>
          <w:lang w:val="en-US"/>
        </w:rPr>
        <w:t>,</w:t>
      </w:r>
      <w:r w:rsidR="00E37FE8">
        <w:rPr>
          <w:lang w:val="en-US"/>
        </w:rPr>
        <w:t xml:space="preserve"> p 9.</w:t>
      </w:r>
    </w:p>
  </w:endnote>
  <w:endnote w:id="63">
    <w:p w14:paraId="2DB4AD2C" w14:textId="0C822BEA" w:rsidR="004078F2" w:rsidRPr="004078F2" w:rsidRDefault="004078F2" w:rsidP="005C47F7">
      <w:pPr>
        <w:pStyle w:val="EndnoteText"/>
        <w:ind w:left="284" w:hanging="284"/>
        <w:rPr>
          <w:lang w:val="en-US"/>
        </w:rPr>
      </w:pPr>
      <w:r>
        <w:rPr>
          <w:rStyle w:val="EndnoteReference"/>
        </w:rPr>
        <w:endnoteRef/>
      </w:r>
      <w:r>
        <w:t xml:space="preserve"> </w:t>
      </w:r>
      <w:r>
        <w:rPr>
          <w:lang w:val="en-US"/>
        </w:rPr>
        <w:tab/>
        <w:t xml:space="preserve">Parliamentary Joint Committee on Intelligence and Security, </w:t>
      </w:r>
      <w:r w:rsidRPr="00EC27C7">
        <w:rPr>
          <w:i/>
          <w:iCs/>
          <w:lang w:val="en-US"/>
        </w:rPr>
        <w:t>Advisory report on the Counter-Terrorism (Temporary Exclusion Orders) Bill 2019</w:t>
      </w:r>
      <w:r>
        <w:rPr>
          <w:lang w:val="en-US"/>
        </w:rPr>
        <w:t>, April 2019, recommendation 5 at [2.</w:t>
      </w:r>
      <w:r w:rsidR="000A317B">
        <w:rPr>
          <w:lang w:val="en-US"/>
        </w:rPr>
        <w:t>118</w:t>
      </w:r>
      <w:r>
        <w:rPr>
          <w:lang w:val="en-US"/>
        </w:rPr>
        <w:t>].</w:t>
      </w:r>
    </w:p>
  </w:endnote>
  <w:endnote w:id="64">
    <w:p w14:paraId="564ECB7B" w14:textId="77777777" w:rsidR="00D7717D" w:rsidRPr="000A317B" w:rsidRDefault="00D7717D" w:rsidP="005C47F7">
      <w:pPr>
        <w:pStyle w:val="EndnoteText"/>
        <w:ind w:left="284" w:hanging="284"/>
        <w:rPr>
          <w:lang w:val="en-US"/>
        </w:rPr>
      </w:pPr>
      <w:r>
        <w:rPr>
          <w:rStyle w:val="EndnoteReference"/>
        </w:rPr>
        <w:endnoteRef/>
      </w:r>
      <w:r>
        <w:t xml:space="preserve"> </w:t>
      </w:r>
      <w:r>
        <w:rPr>
          <w:lang w:val="en-US"/>
        </w:rPr>
        <w:tab/>
      </w:r>
      <w:r w:rsidRPr="000A317B">
        <w:rPr>
          <w:i/>
          <w:iCs/>
          <w:lang w:val="en-US"/>
        </w:rPr>
        <w:t>Criminal Code</w:t>
      </w:r>
      <w:r>
        <w:rPr>
          <w:lang w:val="en-US"/>
        </w:rPr>
        <w:t>, ss 104.5(1)(h) and (2A).</w:t>
      </w:r>
    </w:p>
  </w:endnote>
  <w:endnote w:id="65">
    <w:p w14:paraId="27E12379" w14:textId="77777777" w:rsidR="00D7717D" w:rsidRPr="00897BD6" w:rsidRDefault="00D7717D" w:rsidP="005C47F7">
      <w:pPr>
        <w:pStyle w:val="EndnoteText"/>
        <w:ind w:left="284" w:hanging="284"/>
        <w:rPr>
          <w:lang w:val="en-US"/>
        </w:rPr>
      </w:pPr>
      <w:r>
        <w:rPr>
          <w:rStyle w:val="EndnoteReference"/>
        </w:rPr>
        <w:endnoteRef/>
      </w:r>
      <w:r>
        <w:t xml:space="preserve"> </w:t>
      </w:r>
      <w:r>
        <w:rPr>
          <w:lang w:val="en-US"/>
        </w:rPr>
        <w:tab/>
      </w:r>
      <w:r w:rsidRPr="000A317B">
        <w:rPr>
          <w:i/>
          <w:iCs/>
          <w:lang w:val="en-US"/>
        </w:rPr>
        <w:t>Criminal Code</w:t>
      </w:r>
      <w:r>
        <w:rPr>
          <w:lang w:val="en-US"/>
        </w:rPr>
        <w:t>, ss 105.8(6)(e) and (6A), 105.12(6)(d) and (6A).</w:t>
      </w:r>
    </w:p>
  </w:endnote>
  <w:endnote w:id="66">
    <w:p w14:paraId="2FA55139" w14:textId="5E441C2E" w:rsidR="00916E14" w:rsidRPr="00916E14" w:rsidRDefault="00916E14" w:rsidP="00916E14">
      <w:pPr>
        <w:pStyle w:val="EndnoteText"/>
        <w:ind w:left="284" w:hanging="284"/>
        <w:rPr>
          <w:lang w:val="en-US"/>
        </w:rPr>
      </w:pPr>
      <w:r>
        <w:rPr>
          <w:rStyle w:val="EndnoteReference"/>
        </w:rPr>
        <w:endnoteRef/>
      </w:r>
      <w:r>
        <w:t xml:space="preserve"> </w:t>
      </w:r>
      <w:r>
        <w:rPr>
          <w:lang w:val="en-US"/>
        </w:rPr>
        <w:tab/>
        <w:t>TEO Act, s 10(6)(i).</w:t>
      </w:r>
    </w:p>
  </w:endnote>
  <w:endnote w:id="67">
    <w:p w14:paraId="0C9479D7" w14:textId="6CE67A20" w:rsidR="00190FDD" w:rsidRPr="00190FDD" w:rsidRDefault="00190FDD" w:rsidP="005C47F7">
      <w:pPr>
        <w:pStyle w:val="EndnoteText"/>
        <w:ind w:left="284" w:hanging="284"/>
        <w:rPr>
          <w:lang w:val="en-US"/>
        </w:rPr>
      </w:pPr>
      <w:r>
        <w:rPr>
          <w:rStyle w:val="EndnoteReference"/>
        </w:rPr>
        <w:endnoteRef/>
      </w:r>
      <w:r>
        <w:t xml:space="preserve"> </w:t>
      </w:r>
      <w:r>
        <w:rPr>
          <w:lang w:val="en-US"/>
        </w:rPr>
        <w:tab/>
      </w:r>
      <w:r w:rsidR="00742C0B">
        <w:rPr>
          <w:lang w:val="en-US"/>
        </w:rPr>
        <w:t xml:space="preserve">Australian Human Rights Commission, </w:t>
      </w:r>
      <w:r w:rsidR="00742C0B" w:rsidRPr="00E350EC">
        <w:rPr>
          <w:i/>
          <w:iCs/>
          <w:lang w:val="en-US"/>
        </w:rPr>
        <w:t>Counter-Terrorism (Temporary Exclusion Orders) Bill 2019 (Cth)</w:t>
      </w:r>
      <w:r w:rsidR="00742C0B">
        <w:rPr>
          <w:lang w:val="en-US"/>
        </w:rPr>
        <w:t xml:space="preserve">, submission to the Parliamentary Joint Committee on Intelligence and Security, 8 March 2019, at </w:t>
      </w:r>
      <w:r w:rsidR="00B74A51">
        <w:rPr>
          <w:lang w:val="en-US"/>
        </w:rPr>
        <w:t>[47]–[56].</w:t>
      </w:r>
    </w:p>
  </w:endnote>
  <w:endnote w:id="68">
    <w:p w14:paraId="5BF2D43E" w14:textId="3B653A16" w:rsidR="003711DF" w:rsidRPr="003711DF" w:rsidRDefault="003711DF" w:rsidP="006D71CE">
      <w:pPr>
        <w:pStyle w:val="EndnoteText"/>
        <w:ind w:left="284" w:hanging="284"/>
        <w:rPr>
          <w:lang w:val="en-US"/>
        </w:rPr>
      </w:pPr>
      <w:r>
        <w:rPr>
          <w:rStyle w:val="EndnoteReference"/>
        </w:rPr>
        <w:endnoteRef/>
      </w:r>
      <w:r>
        <w:t xml:space="preserve"> </w:t>
      </w:r>
      <w:r>
        <w:rPr>
          <w:lang w:val="en-US"/>
        </w:rPr>
        <w:tab/>
      </w:r>
      <w:r w:rsidR="004C1FB1">
        <w:rPr>
          <w:lang w:val="en-US"/>
        </w:rPr>
        <w:t xml:space="preserve">Parliamentary Joint Committee on Intelligence and Security, </w:t>
      </w:r>
      <w:r w:rsidR="004C1FB1" w:rsidRPr="00A93CAF">
        <w:rPr>
          <w:i/>
          <w:iCs/>
          <w:lang w:val="en-US"/>
        </w:rPr>
        <w:t>Official Committee Hansard, Counter-Terrorism Legislation Amendment Bill 2019, Counter-Terrorism (Temporary Exclusion Orders) Bill 2019</w:t>
      </w:r>
      <w:r w:rsidR="004C1FB1">
        <w:rPr>
          <w:lang w:val="en-US"/>
        </w:rPr>
        <w:t>, Canberra, 15 March 2019, p 21 (</w:t>
      </w:r>
      <w:r w:rsidR="006D71CE">
        <w:rPr>
          <w:lang w:val="en-US"/>
        </w:rPr>
        <w:t>Mr Michael Redina, Deputy Counter-Terrorism Coordinator, Department of Home Affairs).</w:t>
      </w:r>
    </w:p>
  </w:endnote>
  <w:endnote w:id="69">
    <w:p w14:paraId="00D3693F" w14:textId="63D17EB2" w:rsidR="005B709D" w:rsidRPr="005B709D" w:rsidRDefault="005B709D" w:rsidP="00090FB0">
      <w:pPr>
        <w:pStyle w:val="EndnoteText"/>
        <w:ind w:left="284" w:hanging="284"/>
        <w:rPr>
          <w:lang w:val="en-US"/>
        </w:rPr>
      </w:pPr>
      <w:r>
        <w:rPr>
          <w:rStyle w:val="EndnoteReference"/>
        </w:rPr>
        <w:endnoteRef/>
      </w:r>
      <w:r>
        <w:t xml:space="preserve"> </w:t>
      </w:r>
      <w:r>
        <w:rPr>
          <w:lang w:val="en-US"/>
        </w:rPr>
        <w:tab/>
      </w:r>
      <w:r w:rsidR="000C469A">
        <w:rPr>
          <w:lang w:val="en-US"/>
        </w:rPr>
        <w:t xml:space="preserve">Jonathan Hall QC, Independent Reviewer of Terrorism Legislation, </w:t>
      </w:r>
      <w:r w:rsidR="00E26639" w:rsidRPr="000C469A">
        <w:rPr>
          <w:i/>
          <w:iCs/>
          <w:lang w:val="en-US"/>
        </w:rPr>
        <w:t>The Terrorism Acts in 2019, Report of the Independent Reviewer of Terrorism Legislation on the Operation of the Terrorism</w:t>
      </w:r>
      <w:r w:rsidR="000C469A" w:rsidRPr="000C469A">
        <w:rPr>
          <w:i/>
          <w:iCs/>
          <w:lang w:val="en-US"/>
        </w:rPr>
        <w:t xml:space="preserve"> Acts 2000 and 2006</w:t>
      </w:r>
      <w:r w:rsidR="000C469A">
        <w:rPr>
          <w:lang w:val="en-US"/>
        </w:rPr>
        <w:t>, a</w:t>
      </w:r>
      <w:r w:rsidR="00E26639">
        <w:rPr>
          <w:lang w:val="en-US"/>
        </w:rPr>
        <w:t>t [8.89].</w:t>
      </w:r>
    </w:p>
  </w:endnote>
  <w:endnote w:id="70">
    <w:p w14:paraId="5817EFF0" w14:textId="77777777" w:rsidR="006769BD" w:rsidRPr="0067554F" w:rsidRDefault="006769BD" w:rsidP="005C47F7">
      <w:pPr>
        <w:pStyle w:val="EndnoteText"/>
        <w:ind w:left="284" w:hanging="284"/>
        <w:rPr>
          <w:lang w:val="en-US"/>
        </w:rPr>
      </w:pPr>
      <w:r>
        <w:rPr>
          <w:rStyle w:val="EndnoteReference"/>
        </w:rPr>
        <w:endnoteRef/>
      </w:r>
      <w:r>
        <w:t xml:space="preserve"> </w:t>
      </w:r>
      <w:r>
        <w:rPr>
          <w:lang w:val="en-US"/>
        </w:rPr>
        <w:tab/>
        <w:t>TEO Act, s 10(3).</w:t>
      </w:r>
    </w:p>
  </w:endnote>
  <w:endnote w:id="71">
    <w:p w14:paraId="611EDCF2" w14:textId="2528FA21" w:rsidR="006769BD" w:rsidRPr="00394497" w:rsidRDefault="006769BD" w:rsidP="005C47F7">
      <w:pPr>
        <w:pStyle w:val="EndnoteText"/>
        <w:ind w:left="284" w:hanging="284"/>
        <w:rPr>
          <w:lang w:val="en-US"/>
        </w:rPr>
      </w:pPr>
      <w:r>
        <w:rPr>
          <w:rStyle w:val="EndnoteReference"/>
        </w:rPr>
        <w:endnoteRef/>
      </w:r>
      <w:r>
        <w:t xml:space="preserve"> </w:t>
      </w:r>
      <w:r>
        <w:rPr>
          <w:lang w:val="en-US"/>
        </w:rPr>
        <w:tab/>
      </w:r>
      <w:r w:rsidRPr="00D740E5">
        <w:rPr>
          <w:i/>
          <w:iCs/>
          <w:lang w:val="en-US"/>
        </w:rPr>
        <w:t>Minister for Immigration and Ethnic Affairs v Ah Hin Teoh</w:t>
      </w:r>
      <w:r w:rsidRPr="00D740E5">
        <w:rPr>
          <w:lang w:val="en-US"/>
        </w:rPr>
        <w:t xml:space="preserve"> (1995) 183 CLR 273 </w:t>
      </w:r>
      <w:r>
        <w:rPr>
          <w:lang w:val="en-US"/>
        </w:rPr>
        <w:t>at 289 (</w:t>
      </w:r>
      <w:r w:rsidRPr="00D740E5">
        <w:rPr>
          <w:lang w:val="en-US"/>
        </w:rPr>
        <w:t>Mason CJ and Deane J</w:t>
      </w:r>
      <w:r>
        <w:rPr>
          <w:lang w:val="en-US"/>
        </w:rPr>
        <w:t>)</w:t>
      </w:r>
      <w:r w:rsidR="00AB0D41">
        <w:rPr>
          <w:lang w:val="en-US"/>
        </w:rPr>
        <w:t xml:space="preserve">, </w:t>
      </w:r>
      <w:r w:rsidRPr="00D740E5">
        <w:rPr>
          <w:lang w:val="en-US"/>
        </w:rPr>
        <w:t>emphasis added</w:t>
      </w:r>
      <w:r w:rsidR="00AB0D41">
        <w:rPr>
          <w:lang w:val="en-US"/>
        </w:rPr>
        <w:t>.</w:t>
      </w:r>
    </w:p>
  </w:endnote>
  <w:endnote w:id="72">
    <w:p w14:paraId="2D6E2266" w14:textId="3AA9336F" w:rsidR="001036E2" w:rsidRPr="001036E2" w:rsidRDefault="001036E2" w:rsidP="005C47F7">
      <w:pPr>
        <w:pStyle w:val="EndnoteText"/>
        <w:ind w:left="284" w:hanging="284"/>
        <w:rPr>
          <w:lang w:val="en-US"/>
        </w:rPr>
      </w:pPr>
      <w:r>
        <w:rPr>
          <w:rStyle w:val="EndnoteReference"/>
        </w:rPr>
        <w:endnoteRef/>
      </w:r>
      <w:r>
        <w:t xml:space="preserve"> </w:t>
      </w:r>
      <w:r>
        <w:rPr>
          <w:lang w:val="en-US"/>
        </w:rPr>
        <w:tab/>
      </w:r>
      <w:r w:rsidR="00AC66A2" w:rsidRPr="00F8011C">
        <w:rPr>
          <w:i/>
          <w:iCs/>
          <w:lang w:val="en-US"/>
        </w:rPr>
        <w:t xml:space="preserve">Wan v Minister for Immigration </w:t>
      </w:r>
      <w:r w:rsidR="00F8011C">
        <w:rPr>
          <w:i/>
          <w:iCs/>
          <w:lang w:val="en-US"/>
        </w:rPr>
        <w:t xml:space="preserve">and </w:t>
      </w:r>
      <w:r w:rsidR="00AC66A2" w:rsidRPr="00F8011C">
        <w:rPr>
          <w:i/>
          <w:iCs/>
          <w:lang w:val="en-US"/>
        </w:rPr>
        <w:t>Multicultural Affairs</w:t>
      </w:r>
      <w:r w:rsidR="00AC66A2" w:rsidRPr="00AC66A2">
        <w:rPr>
          <w:lang w:val="en-US"/>
        </w:rPr>
        <w:t xml:space="preserve"> (2001) 107 FCR 133 at [32] (</w:t>
      </w:r>
      <w:r w:rsidR="00F67892">
        <w:rPr>
          <w:lang w:val="en-US"/>
        </w:rPr>
        <w:t>Branson, North and Stone JJ</w:t>
      </w:r>
      <w:r w:rsidR="00AC66A2" w:rsidRPr="00AC66A2">
        <w:rPr>
          <w:lang w:val="en-US"/>
        </w:rPr>
        <w:t>).</w:t>
      </w:r>
    </w:p>
  </w:endnote>
  <w:endnote w:id="73">
    <w:p w14:paraId="0D9B5755" w14:textId="25FF6748" w:rsidR="00C4526C" w:rsidRPr="00C4526C" w:rsidRDefault="00C4526C" w:rsidP="005C47F7">
      <w:pPr>
        <w:pStyle w:val="EndnoteText"/>
        <w:ind w:left="284" w:hanging="284"/>
        <w:rPr>
          <w:lang w:val="en-US"/>
        </w:rPr>
      </w:pPr>
      <w:r>
        <w:rPr>
          <w:rStyle w:val="EndnoteReference"/>
        </w:rPr>
        <w:endnoteRef/>
      </w:r>
      <w:r>
        <w:t xml:space="preserve"> </w:t>
      </w:r>
      <w:r>
        <w:rPr>
          <w:lang w:val="en-US"/>
        </w:rPr>
        <w:tab/>
      </w:r>
      <w:r w:rsidRPr="002C59BE">
        <w:rPr>
          <w:i/>
          <w:iCs/>
          <w:lang w:val="en-US"/>
        </w:rPr>
        <w:t>Criminal Code</w:t>
      </w:r>
      <w:r>
        <w:rPr>
          <w:lang w:val="en-US"/>
        </w:rPr>
        <w:t xml:space="preserve">, </w:t>
      </w:r>
      <w:r w:rsidR="002C59BE">
        <w:rPr>
          <w:lang w:val="en-US"/>
        </w:rPr>
        <w:t>s</w:t>
      </w:r>
      <w:r>
        <w:rPr>
          <w:lang w:val="en-US"/>
        </w:rPr>
        <w:t>s </w:t>
      </w:r>
      <w:r w:rsidR="00DD0794">
        <w:rPr>
          <w:lang w:val="en-US"/>
        </w:rPr>
        <w:t xml:space="preserve">104.4(2) and </w:t>
      </w:r>
      <w:r w:rsidR="002C59BE">
        <w:rPr>
          <w:lang w:val="en-US"/>
        </w:rPr>
        <w:t>104.24(2).</w:t>
      </w:r>
    </w:p>
  </w:endnote>
  <w:endnote w:id="74">
    <w:p w14:paraId="797DA1FC" w14:textId="08C38E73" w:rsidR="00A802EE" w:rsidRPr="00A802EE" w:rsidRDefault="00A802EE" w:rsidP="005C47F7">
      <w:pPr>
        <w:pStyle w:val="EndnoteText"/>
        <w:ind w:left="284" w:hanging="284"/>
        <w:rPr>
          <w:lang w:val="en-US"/>
        </w:rPr>
      </w:pPr>
      <w:r>
        <w:rPr>
          <w:rStyle w:val="EndnoteReference"/>
        </w:rPr>
        <w:endnoteRef/>
      </w:r>
      <w:r>
        <w:t xml:space="preserve"> </w:t>
      </w:r>
      <w:r>
        <w:rPr>
          <w:lang w:val="en-US"/>
        </w:rPr>
        <w:tab/>
      </w:r>
      <w:r w:rsidRPr="00A802EE">
        <w:rPr>
          <w:i/>
          <w:iCs/>
          <w:lang w:val="en-US"/>
        </w:rPr>
        <w:t>Criminal Code</w:t>
      </w:r>
      <w:r>
        <w:rPr>
          <w:lang w:val="en-US"/>
        </w:rPr>
        <w:t>, s 5.6(2).</w:t>
      </w:r>
    </w:p>
  </w:endnote>
  <w:endnote w:id="75">
    <w:p w14:paraId="459ACA42" w14:textId="55873D82" w:rsidR="00E14303" w:rsidRPr="00E14303" w:rsidRDefault="00E14303" w:rsidP="005C47F7">
      <w:pPr>
        <w:pStyle w:val="EndnoteText"/>
        <w:ind w:left="284" w:hanging="284"/>
        <w:rPr>
          <w:lang w:val="en-US"/>
        </w:rPr>
      </w:pPr>
      <w:r>
        <w:rPr>
          <w:rStyle w:val="EndnoteReference"/>
        </w:rPr>
        <w:endnoteRef/>
      </w:r>
      <w:r>
        <w:t xml:space="preserve"> </w:t>
      </w:r>
      <w:r>
        <w:rPr>
          <w:lang w:val="en-US"/>
        </w:rPr>
        <w:tab/>
        <w:t>TEO Act, s 13.</w:t>
      </w:r>
    </w:p>
  </w:endnote>
  <w:endnote w:id="76">
    <w:p w14:paraId="4578DA47" w14:textId="2A6D0EF4" w:rsidR="00E14303" w:rsidRPr="00E14303" w:rsidRDefault="00E14303" w:rsidP="005C47F7">
      <w:pPr>
        <w:pStyle w:val="EndnoteText"/>
        <w:ind w:left="284" w:hanging="284"/>
        <w:rPr>
          <w:lang w:val="en-US"/>
        </w:rPr>
      </w:pPr>
      <w:r>
        <w:rPr>
          <w:rStyle w:val="EndnoteReference"/>
        </w:rPr>
        <w:endnoteRef/>
      </w:r>
      <w:r>
        <w:t xml:space="preserve"> </w:t>
      </w:r>
      <w:r>
        <w:rPr>
          <w:lang w:val="en-US"/>
        </w:rPr>
        <w:tab/>
        <w:t>TEO Act, s </w:t>
      </w:r>
      <w:r w:rsidR="000D5C57">
        <w:rPr>
          <w:lang w:val="en-US"/>
        </w:rPr>
        <w:t>10(8).</w:t>
      </w:r>
    </w:p>
  </w:endnote>
  <w:endnote w:id="77">
    <w:p w14:paraId="353640AB" w14:textId="5280FA53" w:rsidR="00646288" w:rsidRPr="00646288" w:rsidRDefault="00646288" w:rsidP="005C47F7">
      <w:pPr>
        <w:pStyle w:val="EndnoteText"/>
        <w:ind w:left="284" w:hanging="284"/>
        <w:rPr>
          <w:lang w:val="en-US"/>
        </w:rPr>
      </w:pPr>
      <w:r>
        <w:rPr>
          <w:rStyle w:val="EndnoteReference"/>
        </w:rPr>
        <w:endnoteRef/>
      </w:r>
      <w:r>
        <w:t xml:space="preserve"> </w:t>
      </w:r>
      <w:r>
        <w:rPr>
          <w:lang w:val="en-US"/>
        </w:rPr>
        <w:tab/>
        <w:t>TEO Act, ss 15(1)–(2).</w:t>
      </w:r>
    </w:p>
  </w:endnote>
  <w:endnote w:id="78">
    <w:p w14:paraId="5E436EF3" w14:textId="77777777" w:rsidR="0075263A" w:rsidRPr="0075263A" w:rsidRDefault="0075263A" w:rsidP="005C47F7">
      <w:pPr>
        <w:pStyle w:val="EndnoteText"/>
        <w:ind w:left="284" w:hanging="284"/>
        <w:rPr>
          <w:lang w:val="en-US"/>
        </w:rPr>
      </w:pPr>
      <w:r>
        <w:rPr>
          <w:rStyle w:val="EndnoteReference"/>
        </w:rPr>
        <w:endnoteRef/>
      </w:r>
      <w:r>
        <w:t xml:space="preserve"> </w:t>
      </w:r>
      <w:r>
        <w:rPr>
          <w:lang w:val="en-US"/>
        </w:rPr>
        <w:tab/>
        <w:t>TEO Act, s 19(a).</w:t>
      </w:r>
    </w:p>
  </w:endnote>
  <w:endnote w:id="79">
    <w:p w14:paraId="478A580F" w14:textId="6EDC0308" w:rsidR="00DF277F" w:rsidRPr="00DF277F" w:rsidRDefault="00DF277F" w:rsidP="005C47F7">
      <w:pPr>
        <w:pStyle w:val="EndnoteText"/>
        <w:ind w:left="284" w:hanging="284"/>
        <w:rPr>
          <w:lang w:val="en-US"/>
        </w:rPr>
      </w:pPr>
      <w:r>
        <w:rPr>
          <w:rStyle w:val="EndnoteReference"/>
        </w:rPr>
        <w:endnoteRef/>
      </w:r>
      <w:r>
        <w:t xml:space="preserve"> </w:t>
      </w:r>
      <w:r>
        <w:rPr>
          <w:lang w:val="en-US"/>
        </w:rPr>
        <w:tab/>
        <w:t>TEO Act, s 15(5).</w:t>
      </w:r>
    </w:p>
  </w:endnote>
  <w:endnote w:id="80">
    <w:p w14:paraId="0E94B7DB" w14:textId="625BAF69" w:rsidR="00EB3DC6" w:rsidRPr="00EB3DC6" w:rsidRDefault="00EB3DC6" w:rsidP="005C47F7">
      <w:pPr>
        <w:pStyle w:val="EndnoteText"/>
        <w:ind w:left="284" w:hanging="284"/>
        <w:rPr>
          <w:lang w:val="en-US"/>
        </w:rPr>
      </w:pPr>
      <w:r>
        <w:rPr>
          <w:rStyle w:val="EndnoteReference"/>
        </w:rPr>
        <w:endnoteRef/>
      </w:r>
      <w:r>
        <w:t xml:space="preserve"> </w:t>
      </w:r>
      <w:r>
        <w:rPr>
          <w:lang w:val="en-US"/>
        </w:rPr>
        <w:tab/>
      </w:r>
      <w:r w:rsidRPr="00EB3DC6">
        <w:rPr>
          <w:i/>
          <w:iCs/>
          <w:lang w:val="en-US"/>
        </w:rPr>
        <w:t>Criminal Code</w:t>
      </w:r>
      <w:r>
        <w:rPr>
          <w:lang w:val="en-US"/>
        </w:rPr>
        <w:t>, s 5.4(1).</w:t>
      </w:r>
    </w:p>
  </w:endnote>
  <w:endnote w:id="81">
    <w:p w14:paraId="1ED6CBAC" w14:textId="51FC94B3" w:rsidR="00A25CF2" w:rsidRPr="00A25CF2" w:rsidRDefault="00A25CF2" w:rsidP="005C47F7">
      <w:pPr>
        <w:pStyle w:val="EndnoteText"/>
        <w:ind w:left="284" w:hanging="284"/>
        <w:rPr>
          <w:lang w:val="en-US"/>
        </w:rPr>
      </w:pPr>
      <w:r>
        <w:rPr>
          <w:rStyle w:val="EndnoteReference"/>
        </w:rPr>
        <w:endnoteRef/>
      </w:r>
      <w:r>
        <w:t xml:space="preserve"> </w:t>
      </w:r>
      <w:r>
        <w:rPr>
          <w:lang w:val="en-US"/>
        </w:rPr>
        <w:tab/>
        <w:t xml:space="preserve">This may be subject to any defence </w:t>
      </w:r>
      <w:r w:rsidR="004B3E80">
        <w:rPr>
          <w:lang w:val="en-US"/>
        </w:rPr>
        <w:t xml:space="preserve">available under s 9.1 of the </w:t>
      </w:r>
      <w:r w:rsidR="004B3E80" w:rsidRPr="004B3E80">
        <w:rPr>
          <w:i/>
          <w:iCs/>
          <w:lang w:val="en-US"/>
        </w:rPr>
        <w:t>Criminal Code</w:t>
      </w:r>
      <w:r w:rsidR="004B3E80">
        <w:rPr>
          <w:lang w:val="en-US"/>
        </w:rPr>
        <w:t xml:space="preserve"> </w:t>
      </w:r>
      <w:r w:rsidR="00772292">
        <w:rPr>
          <w:lang w:val="en-US"/>
        </w:rPr>
        <w:t>that the defendant was mistaken ab</w:t>
      </w:r>
      <w:r w:rsidR="002D7A70">
        <w:rPr>
          <w:lang w:val="en-US"/>
        </w:rPr>
        <w:t xml:space="preserve">out, or ignorant of, relevant facts that </w:t>
      </w:r>
      <w:r w:rsidR="00024B47">
        <w:rPr>
          <w:lang w:val="en-US"/>
        </w:rPr>
        <w:t>were sufficient to negate the fault element</w:t>
      </w:r>
      <w:r w:rsidR="004B3E80">
        <w:rPr>
          <w:lang w:val="en-US"/>
        </w:rPr>
        <w:t xml:space="preserve">. </w:t>
      </w:r>
    </w:p>
  </w:endnote>
  <w:endnote w:id="82">
    <w:p w14:paraId="0B482FB3" w14:textId="77777777" w:rsidR="00354232" w:rsidRPr="000901BC" w:rsidRDefault="00354232" w:rsidP="00354232">
      <w:pPr>
        <w:pStyle w:val="EndnoteText"/>
        <w:ind w:left="284" w:hanging="284"/>
        <w:rPr>
          <w:lang w:val="en-US"/>
        </w:rPr>
      </w:pPr>
      <w:r>
        <w:rPr>
          <w:rStyle w:val="EndnoteReference"/>
        </w:rPr>
        <w:endnoteRef/>
      </w:r>
      <w:r>
        <w:t xml:space="preserve"> </w:t>
      </w:r>
      <w:r>
        <w:rPr>
          <w:lang w:val="en-US"/>
        </w:rPr>
        <w:tab/>
      </w:r>
      <w:r w:rsidRPr="006A3883">
        <w:rPr>
          <w:i/>
          <w:iCs/>
        </w:rPr>
        <w:t>Counter-Terrorism and Security Act 2015</w:t>
      </w:r>
      <w:r>
        <w:t xml:space="preserve"> (UK), s 4(3)(a).</w:t>
      </w:r>
    </w:p>
  </w:endnote>
  <w:endnote w:id="83">
    <w:p w14:paraId="0D966CFF" w14:textId="243EAC91" w:rsidR="0095326F" w:rsidRPr="0095326F" w:rsidRDefault="0095326F" w:rsidP="005C47F7">
      <w:pPr>
        <w:pStyle w:val="EndnoteText"/>
        <w:ind w:left="284" w:hanging="284"/>
        <w:rPr>
          <w:lang w:val="en-US"/>
        </w:rPr>
      </w:pPr>
      <w:r>
        <w:rPr>
          <w:rStyle w:val="EndnoteReference"/>
        </w:rPr>
        <w:endnoteRef/>
      </w:r>
      <w:r>
        <w:t xml:space="preserve"> </w:t>
      </w:r>
      <w:r>
        <w:rPr>
          <w:lang w:val="en-US"/>
        </w:rPr>
        <w:tab/>
        <w:t xml:space="preserve">Parliamentary Joint Committee on Intelligence and Security, </w:t>
      </w:r>
      <w:r w:rsidRPr="00EC27C7">
        <w:rPr>
          <w:i/>
          <w:iCs/>
          <w:lang w:val="en-US"/>
        </w:rPr>
        <w:t>Advisory report on the Counter-Terrorism (Temporary Exclusion Orders) Bill 2019</w:t>
      </w:r>
      <w:r>
        <w:rPr>
          <w:lang w:val="en-US"/>
        </w:rPr>
        <w:t xml:space="preserve">, April 2019, recommendation </w:t>
      </w:r>
      <w:r w:rsidR="0027163D">
        <w:rPr>
          <w:lang w:val="en-US"/>
        </w:rPr>
        <w:t>11</w:t>
      </w:r>
      <w:r>
        <w:rPr>
          <w:lang w:val="en-US"/>
        </w:rPr>
        <w:t xml:space="preserve"> at [2.1</w:t>
      </w:r>
      <w:r w:rsidR="0027163D">
        <w:rPr>
          <w:lang w:val="en-US"/>
        </w:rPr>
        <w:t>24</w:t>
      </w:r>
      <w:r>
        <w:rPr>
          <w:lang w:val="en-US"/>
        </w:rPr>
        <w:t>].</w:t>
      </w:r>
    </w:p>
  </w:endnote>
  <w:endnote w:id="84">
    <w:p w14:paraId="1F30D35F" w14:textId="2FAA6F76" w:rsidR="00FE1C32" w:rsidRPr="00FE1C32" w:rsidRDefault="00FE1C32" w:rsidP="005C47F7">
      <w:pPr>
        <w:pStyle w:val="EndnoteText"/>
        <w:ind w:left="284" w:hanging="284"/>
        <w:rPr>
          <w:lang w:val="en-US"/>
        </w:rPr>
      </w:pPr>
      <w:r>
        <w:rPr>
          <w:rStyle w:val="EndnoteReference"/>
        </w:rPr>
        <w:endnoteRef/>
      </w:r>
      <w:r>
        <w:t xml:space="preserve"> </w:t>
      </w:r>
      <w:r>
        <w:rPr>
          <w:lang w:val="en-US"/>
        </w:rPr>
        <w:tab/>
        <w:t xml:space="preserve">Australian Government, </w:t>
      </w:r>
      <w:r w:rsidRPr="007E122D">
        <w:rPr>
          <w:i/>
          <w:iCs/>
          <w:lang w:val="en-US"/>
        </w:rPr>
        <w:t>Response to the Parliamentary Joint Committee on Intelligence and Security report: Review of the Counter-Terrorism (Temporary Exclusion Orders) Bill 2019</w:t>
      </w:r>
      <w:r>
        <w:rPr>
          <w:lang w:val="en-US"/>
        </w:rPr>
        <w:t>, p 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0713" w14:textId="77777777" w:rsidR="00AC636D" w:rsidRPr="000465F1" w:rsidRDefault="00AC636D" w:rsidP="000465F1">
    <w:pPr>
      <w:pStyle w:val="Footer"/>
    </w:pPr>
    <w:r w:rsidRPr="000465F1">
      <w:t>ABN 47 996 232 602</w:t>
    </w:r>
  </w:p>
  <w:p w14:paraId="580A3679" w14:textId="77777777" w:rsidR="00AC636D" w:rsidRPr="000465F1" w:rsidRDefault="00AC636D" w:rsidP="000465F1">
    <w:pPr>
      <w:pStyle w:val="Footer"/>
    </w:pPr>
    <w:r w:rsidRPr="000465F1">
      <w:t>GPO Box 5218, Sydney NSW 2001</w:t>
    </w:r>
  </w:p>
  <w:p w14:paraId="1AD8A03E" w14:textId="77777777" w:rsidR="00AC636D" w:rsidRPr="000465F1" w:rsidRDefault="00AC636D" w:rsidP="000465F1">
    <w:pPr>
      <w:pStyle w:val="Footer"/>
    </w:pPr>
    <w:r w:rsidRPr="000465F1">
      <w:t>General enquiries 1300 369 711</w:t>
    </w:r>
  </w:p>
  <w:p w14:paraId="03882DAA" w14:textId="77777777" w:rsidR="00AC636D" w:rsidRPr="000465F1" w:rsidRDefault="00990B81" w:rsidP="000465F1">
    <w:pPr>
      <w:pStyle w:val="Footer"/>
    </w:pPr>
    <w:r>
      <w:t>National Info Service</w:t>
    </w:r>
    <w:r w:rsidR="00AC636D" w:rsidRPr="000465F1">
      <w:t xml:space="preserve"> 1300 656 419</w:t>
    </w:r>
  </w:p>
  <w:p w14:paraId="1A4C7CA5"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3A50" w14:textId="77777777" w:rsidR="00DC343B" w:rsidRDefault="00BF6406">
    <w:pPr>
      <w:pStyle w:val="Footer"/>
    </w:pPr>
    <w:r w:rsidRPr="00622508">
      <w:fldChar w:fldCharType="begin"/>
    </w:r>
    <w:r>
      <w:instrText xml:space="preserve"> PAGE   \* MERGEFORMAT </w:instrText>
    </w:r>
    <w:r w:rsidRPr="00622508">
      <w:fldChar w:fldCharType="separate"/>
    </w:r>
    <w:r w:rsidR="00A27ABE"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7974"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653D" w14:textId="77777777" w:rsidR="0063009F" w:rsidRDefault="0063009F" w:rsidP="00E53546">
    <w:pPr>
      <w:pStyle w:val="FooterEvenPageNumber"/>
    </w:pPr>
    <w:r w:rsidRPr="00F127A8">
      <w:fldChar w:fldCharType="begin"/>
    </w:r>
    <w:r>
      <w:instrText xml:space="preserve"> PAGE   \* MERGEFORMAT </w:instrText>
    </w:r>
    <w:r w:rsidRPr="00F127A8">
      <w:fldChar w:fldCharType="separate"/>
    </w:r>
    <w:r w:rsidR="008E78F0">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2E83" w14:textId="77777777" w:rsidR="00FD660B" w:rsidRDefault="00FD660B" w:rsidP="00F14C6D">
      <w:r>
        <w:separator/>
      </w:r>
    </w:p>
  </w:footnote>
  <w:footnote w:type="continuationSeparator" w:id="0">
    <w:p w14:paraId="0FCADB78" w14:textId="77777777" w:rsidR="00FD660B" w:rsidRDefault="00FD660B"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7317" w14:textId="77777777" w:rsidR="00BF6406" w:rsidRPr="000465F1" w:rsidRDefault="00FD660B" w:rsidP="000465F1">
    <w:pPr>
      <w:pStyle w:val="Header"/>
    </w:pPr>
    <w:r>
      <w:pict w14:anchorId="5B021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752;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17A8F274" w14:textId="77777777" w:rsidR="00B34946" w:rsidRPr="00622508" w:rsidRDefault="00BF6406" w:rsidP="00622508">
    <w:pPr>
      <w:pStyle w:val="Footer"/>
    </w:pPr>
    <w:r w:rsidRPr="001F62CC">
      <w:rPr>
        <w:rStyle w:val="HeaderDocumentTitle"/>
      </w:rPr>
      <w:t>Short title</w:t>
    </w:r>
    <w:r w:rsidRPr="00622508">
      <w:rPr>
        <w:rStyle w:val="HeaderDocumentTitle"/>
      </w:rPr>
      <w:t>, report name</w:t>
    </w:r>
    <w:r w:rsidR="001F62CC" w:rsidRPr="00622508">
      <w:rPr>
        <w:rStyle w:val="HeaderDocumentTitle"/>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C6E9" w14:textId="77777777" w:rsidR="00B34946" w:rsidRPr="000465F1" w:rsidRDefault="00FD660B" w:rsidP="000465F1">
    <w:r>
      <w:pict w14:anchorId="7B41F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772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6C6AC2F7" w14:textId="77777777" w:rsidR="00B34946" w:rsidRPr="000465F1" w:rsidRDefault="00B34946"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3C55" w14:textId="77777777" w:rsidR="00CC2AA0" w:rsidRDefault="00FD660B" w:rsidP="002012F7">
    <w:pPr>
      <w:pStyle w:val="Header"/>
    </w:pPr>
    <w:r>
      <w:pict w14:anchorId="2BE21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8.5pt;width:595.65pt;height:870.15pt;z-index:-251656704;mso-position-horizontal-relative:margin;mso-position-vertical-relative:margin" o:allowincell="f">
          <v:imagedata r:id="rId1" o:title="MS word cover1"/>
          <w10:wrap anchorx="margin" anchory="margin"/>
        </v:shape>
      </w:pict>
    </w:r>
    <w:r>
      <w:pict w14:anchorId="1CAB3B40">
        <v:shape id="WordPictureWatermark1034832" o:spid="_x0000_s1042" type="#_x0000_t75" style="position:absolute;left:0;text-align:left;margin-left:-70.9pt;margin-top:-109.05pt;width:595.1pt;height:869.4pt;z-index:-251659776;mso-position-horizontal-relative:margin;mso-position-vertical-relative:margin" o:allowincell="f">
          <v:imagedata r:id="rId2" o:title="report watermark"/>
          <w10:wrap anchorx="margin" anchory="margin"/>
        </v:shape>
      </w:pict>
    </w:r>
  </w:p>
  <w:p w14:paraId="11824460" w14:textId="77777777" w:rsidR="008B3899" w:rsidRDefault="008B3899" w:rsidP="002012F7">
    <w:pPr>
      <w:pStyle w:val="Header"/>
    </w:pPr>
  </w:p>
  <w:p w14:paraId="4D85D2E4"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4BFB" w14:textId="77777777" w:rsidR="0015239E" w:rsidRPr="000465F1" w:rsidRDefault="0015239E" w:rsidP="0015239E">
    <w:pPr>
      <w:pStyle w:val="Header"/>
    </w:pPr>
    <w:r w:rsidRPr="000465F1">
      <w:t>Australian Human Rights Commission</w:t>
    </w:r>
  </w:p>
  <w:p w14:paraId="6FD6A0D1" w14:textId="5E3D8193" w:rsidR="0015239E" w:rsidRDefault="00045466" w:rsidP="0015239E">
    <w:pPr>
      <w:pStyle w:val="HeaderDocumentDate"/>
    </w:pPr>
    <w:r>
      <w:rPr>
        <w:rStyle w:val="HeaderDocumentTitle"/>
      </w:rPr>
      <w:t>Review of Temporary Exclusion Orders</w:t>
    </w:r>
    <w:r>
      <w:t xml:space="preserve"> </w:t>
    </w:r>
    <w:r w:rsidR="00122808">
      <w:t>3</w:t>
    </w:r>
    <w:r w:rsidR="007D7FB8">
      <w:t xml:space="preserve"> December</w:t>
    </w:r>
    <w:r>
      <w:t xml:space="preserve"> 2021</w:t>
    </w:r>
  </w:p>
  <w:p w14:paraId="653E4D9B" w14:textId="77777777" w:rsidR="00045466" w:rsidRPr="000465F1" w:rsidRDefault="00045466"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D69A" w14:textId="77777777" w:rsidR="00BF6406" w:rsidRPr="000465F1" w:rsidRDefault="00BF6406" w:rsidP="00CA5D90">
    <w:pPr>
      <w:pStyle w:val="Header"/>
    </w:pPr>
    <w:bookmarkStart w:id="16" w:name="_Hlk514672172"/>
    <w:bookmarkStart w:id="17" w:name="_Hlk514672173"/>
    <w:r w:rsidRPr="000465F1">
      <w:t>Australian Human Rights Commission</w:t>
    </w:r>
  </w:p>
  <w:bookmarkEnd w:id="16"/>
  <w:bookmarkEnd w:id="17"/>
  <w:p w14:paraId="6D2BB034" w14:textId="6641C5BB" w:rsidR="002F5E96" w:rsidRDefault="00B81CC6" w:rsidP="002F5E96">
    <w:pPr>
      <w:pStyle w:val="HeaderDocumentDate"/>
    </w:pPr>
    <w:r>
      <w:rPr>
        <w:rStyle w:val="HeaderDocumentTitle"/>
      </w:rPr>
      <w:t>Review of Temporary Exclusion Orders</w:t>
    </w:r>
    <w:r w:rsidR="002F5E96">
      <w:t xml:space="preserve"> </w:t>
    </w:r>
    <w:r w:rsidR="00122808">
      <w:t>3</w:t>
    </w:r>
    <w:r w:rsidR="007D7FB8">
      <w:t xml:space="preserve"> December</w:t>
    </w:r>
    <w:r>
      <w:t xml:space="preserve"> 2021</w:t>
    </w:r>
  </w:p>
  <w:p w14:paraId="459AF1EE" w14:textId="77777777" w:rsidR="00045466" w:rsidRPr="000465F1" w:rsidRDefault="00045466" w:rsidP="002F5E96">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3F82" w14:textId="77777777" w:rsidR="0063009F" w:rsidRPr="000465F1" w:rsidRDefault="0063009F" w:rsidP="0063009F">
    <w:pPr>
      <w:pStyle w:val="Header"/>
    </w:pPr>
    <w:r w:rsidRPr="000465F1">
      <w:t>Australian Human Rights Commission</w:t>
    </w:r>
  </w:p>
  <w:p w14:paraId="73112914" w14:textId="49AC4253" w:rsidR="0063009F" w:rsidRDefault="00B81CC6" w:rsidP="0063009F">
    <w:pPr>
      <w:pStyle w:val="HeaderDocumentDate"/>
    </w:pPr>
    <w:r>
      <w:rPr>
        <w:rStyle w:val="HeaderDocumentTitle"/>
      </w:rPr>
      <w:t>Review of Temporary Exclusion Orders</w:t>
    </w:r>
    <w:r w:rsidR="0063009F">
      <w:t xml:space="preserve"> </w:t>
    </w:r>
    <w:r w:rsidR="00122808">
      <w:t>3</w:t>
    </w:r>
    <w:r w:rsidR="007D7FB8">
      <w:t xml:space="preserve"> December</w:t>
    </w:r>
    <w:r>
      <w:t xml:space="preserve"> 2021</w:t>
    </w:r>
  </w:p>
  <w:p w14:paraId="06DC400E" w14:textId="77777777" w:rsidR="00045466" w:rsidRPr="000465F1" w:rsidRDefault="00045466" w:rsidP="0063009F">
    <w:pPr>
      <w:pStyle w:val="HeaderDocument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A29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10716100"/>
    <w:multiLevelType w:val="hybridMultilevel"/>
    <w:tmpl w:val="D9B47F7C"/>
    <w:lvl w:ilvl="0" w:tplc="4E98B34C">
      <w:start w:val="6"/>
      <w:numFmt w:val="bullet"/>
      <w:lvlText w:val=""/>
      <w:lvlJc w:val="left"/>
      <w:pPr>
        <w:ind w:left="717" w:hanging="360"/>
      </w:pPr>
      <w:rPr>
        <w:rFonts w:ascii="Symbol" w:eastAsia="MS Mincho" w:hAnsi="Symbol"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08D78BF"/>
    <w:multiLevelType w:val="hybridMultilevel"/>
    <w:tmpl w:val="EFE274A6"/>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7" w15:restartNumberingAfterBreak="0">
    <w:nsid w:val="522A6623"/>
    <w:multiLevelType w:val="hybridMultilevel"/>
    <w:tmpl w:val="FB3E120A"/>
    <w:lvl w:ilvl="0" w:tplc="7248A2E6">
      <w:start w:val="1"/>
      <w:numFmt w:val="lowerLetter"/>
      <w:lvlText w:val="(%1)"/>
      <w:lvlJc w:val="left"/>
      <w:pPr>
        <w:ind w:left="360" w:hanging="360"/>
      </w:pPr>
      <w:rPr>
        <w:rFonts w:ascii="Open Sans" w:eastAsia="MS Mincho" w:hAnsi="Open Sans"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83E1812"/>
    <w:multiLevelType w:val="hybridMultilevel"/>
    <w:tmpl w:val="4242630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9" w15:restartNumberingAfterBreak="0">
    <w:nsid w:val="6DCD112F"/>
    <w:multiLevelType w:val="hybridMultilevel"/>
    <w:tmpl w:val="627A4430"/>
    <w:lvl w:ilvl="0" w:tplc="0C090001">
      <w:start w:val="1"/>
      <w:numFmt w:val="bullet"/>
      <w:lvlText w:val=""/>
      <w:lvlJc w:val="left"/>
      <w:pPr>
        <w:ind w:left="882" w:hanging="360"/>
      </w:pPr>
      <w:rPr>
        <w:rFonts w:ascii="Symbol" w:hAnsi="Symbol" w:hint="default"/>
      </w:rPr>
    </w:lvl>
    <w:lvl w:ilvl="1" w:tplc="0C090003">
      <w:start w:val="1"/>
      <w:numFmt w:val="bullet"/>
      <w:lvlText w:val="o"/>
      <w:lvlJc w:val="left"/>
      <w:pPr>
        <w:ind w:left="1602" w:hanging="360"/>
      </w:pPr>
      <w:rPr>
        <w:rFonts w:ascii="Courier New" w:hAnsi="Courier New" w:cs="Courier New" w:hint="default"/>
      </w:rPr>
    </w:lvl>
    <w:lvl w:ilvl="2" w:tplc="0C090005">
      <w:start w:val="1"/>
      <w:numFmt w:val="bullet"/>
      <w:lvlText w:val=""/>
      <w:lvlJc w:val="left"/>
      <w:pPr>
        <w:ind w:left="2322" w:hanging="360"/>
      </w:pPr>
      <w:rPr>
        <w:rFonts w:ascii="Wingdings" w:hAnsi="Wingdings" w:hint="default"/>
      </w:rPr>
    </w:lvl>
    <w:lvl w:ilvl="3" w:tplc="0C090001" w:tentative="1">
      <w:start w:val="1"/>
      <w:numFmt w:val="bullet"/>
      <w:lvlText w:val=""/>
      <w:lvlJc w:val="left"/>
      <w:pPr>
        <w:ind w:left="3042" w:hanging="360"/>
      </w:pPr>
      <w:rPr>
        <w:rFonts w:ascii="Symbol" w:hAnsi="Symbol" w:hint="default"/>
      </w:rPr>
    </w:lvl>
    <w:lvl w:ilvl="4" w:tplc="0C090003" w:tentative="1">
      <w:start w:val="1"/>
      <w:numFmt w:val="bullet"/>
      <w:lvlText w:val="o"/>
      <w:lvlJc w:val="left"/>
      <w:pPr>
        <w:ind w:left="3762" w:hanging="360"/>
      </w:pPr>
      <w:rPr>
        <w:rFonts w:ascii="Courier New" w:hAnsi="Courier New" w:cs="Courier New" w:hint="default"/>
      </w:rPr>
    </w:lvl>
    <w:lvl w:ilvl="5" w:tplc="0C090005" w:tentative="1">
      <w:start w:val="1"/>
      <w:numFmt w:val="bullet"/>
      <w:lvlText w:val=""/>
      <w:lvlJc w:val="left"/>
      <w:pPr>
        <w:ind w:left="4482" w:hanging="360"/>
      </w:pPr>
      <w:rPr>
        <w:rFonts w:ascii="Wingdings" w:hAnsi="Wingdings" w:hint="default"/>
      </w:rPr>
    </w:lvl>
    <w:lvl w:ilvl="6" w:tplc="0C090001" w:tentative="1">
      <w:start w:val="1"/>
      <w:numFmt w:val="bullet"/>
      <w:lvlText w:val=""/>
      <w:lvlJc w:val="left"/>
      <w:pPr>
        <w:ind w:left="5202" w:hanging="360"/>
      </w:pPr>
      <w:rPr>
        <w:rFonts w:ascii="Symbol" w:hAnsi="Symbol" w:hint="default"/>
      </w:rPr>
    </w:lvl>
    <w:lvl w:ilvl="7" w:tplc="0C090003" w:tentative="1">
      <w:start w:val="1"/>
      <w:numFmt w:val="bullet"/>
      <w:lvlText w:val="o"/>
      <w:lvlJc w:val="left"/>
      <w:pPr>
        <w:ind w:left="5922" w:hanging="360"/>
      </w:pPr>
      <w:rPr>
        <w:rFonts w:ascii="Courier New" w:hAnsi="Courier New" w:cs="Courier New" w:hint="default"/>
      </w:rPr>
    </w:lvl>
    <w:lvl w:ilvl="8" w:tplc="0C090005" w:tentative="1">
      <w:start w:val="1"/>
      <w:numFmt w:val="bullet"/>
      <w:lvlText w:val=""/>
      <w:lvlJc w:val="left"/>
      <w:pPr>
        <w:ind w:left="6642"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5"/>
  </w:num>
  <w:num w:numId="13">
    <w:abstractNumId w:val="13"/>
  </w:num>
  <w:num w:numId="14">
    <w:abstractNumId w:val="12"/>
  </w:num>
  <w:num w:numId="15">
    <w:abstractNumId w:val="11"/>
  </w:num>
  <w:num w:numId="16">
    <w:abstractNumId w:val="10"/>
  </w:num>
  <w:num w:numId="17">
    <w:abstractNumId w:val="16"/>
  </w:num>
  <w:num w:numId="18">
    <w:abstractNumId w:val="19"/>
  </w:num>
  <w:num w:numId="19">
    <w:abstractNumId w:val="17"/>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8B"/>
    <w:rsid w:val="000015EC"/>
    <w:rsid w:val="00003DCD"/>
    <w:rsid w:val="00003EA5"/>
    <w:rsid w:val="0001257E"/>
    <w:rsid w:val="000161C2"/>
    <w:rsid w:val="00020232"/>
    <w:rsid w:val="00020356"/>
    <w:rsid w:val="00020EE6"/>
    <w:rsid w:val="00022396"/>
    <w:rsid w:val="00023DDF"/>
    <w:rsid w:val="00023FB4"/>
    <w:rsid w:val="0002476A"/>
    <w:rsid w:val="00024B47"/>
    <w:rsid w:val="00025367"/>
    <w:rsid w:val="000316F0"/>
    <w:rsid w:val="0003303C"/>
    <w:rsid w:val="00033132"/>
    <w:rsid w:val="00034BEC"/>
    <w:rsid w:val="00036BE4"/>
    <w:rsid w:val="0004052E"/>
    <w:rsid w:val="00040D3E"/>
    <w:rsid w:val="00042553"/>
    <w:rsid w:val="000428F7"/>
    <w:rsid w:val="000430B8"/>
    <w:rsid w:val="00045466"/>
    <w:rsid w:val="00045712"/>
    <w:rsid w:val="00045C4B"/>
    <w:rsid w:val="000465F1"/>
    <w:rsid w:val="000478CC"/>
    <w:rsid w:val="0005024D"/>
    <w:rsid w:val="0005099F"/>
    <w:rsid w:val="00051573"/>
    <w:rsid w:val="00051AE6"/>
    <w:rsid w:val="00051C5E"/>
    <w:rsid w:val="0005366D"/>
    <w:rsid w:val="00054D8C"/>
    <w:rsid w:val="00054E90"/>
    <w:rsid w:val="00054F7B"/>
    <w:rsid w:val="000574A5"/>
    <w:rsid w:val="000579B1"/>
    <w:rsid w:val="00060612"/>
    <w:rsid w:val="00061C6C"/>
    <w:rsid w:val="00065483"/>
    <w:rsid w:val="00065ECD"/>
    <w:rsid w:val="0006666E"/>
    <w:rsid w:val="00066C68"/>
    <w:rsid w:val="00072EDA"/>
    <w:rsid w:val="00076293"/>
    <w:rsid w:val="0008009E"/>
    <w:rsid w:val="00084901"/>
    <w:rsid w:val="0008749C"/>
    <w:rsid w:val="000901BC"/>
    <w:rsid w:val="0009084A"/>
    <w:rsid w:val="00090FB0"/>
    <w:rsid w:val="00091C0E"/>
    <w:rsid w:val="0009201B"/>
    <w:rsid w:val="00094A7B"/>
    <w:rsid w:val="00096451"/>
    <w:rsid w:val="00096C39"/>
    <w:rsid w:val="000975E1"/>
    <w:rsid w:val="000A1DB8"/>
    <w:rsid w:val="000A26A9"/>
    <w:rsid w:val="000A2E98"/>
    <w:rsid w:val="000A317B"/>
    <w:rsid w:val="000A3AAB"/>
    <w:rsid w:val="000A48AC"/>
    <w:rsid w:val="000A520E"/>
    <w:rsid w:val="000A593B"/>
    <w:rsid w:val="000B0603"/>
    <w:rsid w:val="000B0A5D"/>
    <w:rsid w:val="000B3599"/>
    <w:rsid w:val="000B3DA4"/>
    <w:rsid w:val="000B5B68"/>
    <w:rsid w:val="000C3C71"/>
    <w:rsid w:val="000C469A"/>
    <w:rsid w:val="000C5608"/>
    <w:rsid w:val="000C5DA6"/>
    <w:rsid w:val="000D0365"/>
    <w:rsid w:val="000D5C57"/>
    <w:rsid w:val="000E0E45"/>
    <w:rsid w:val="000E130A"/>
    <w:rsid w:val="000E4A24"/>
    <w:rsid w:val="000E6838"/>
    <w:rsid w:val="000E6CD4"/>
    <w:rsid w:val="000E7B3F"/>
    <w:rsid w:val="000F0451"/>
    <w:rsid w:val="000F4134"/>
    <w:rsid w:val="000F4E1C"/>
    <w:rsid w:val="000F59BA"/>
    <w:rsid w:val="000F614A"/>
    <w:rsid w:val="00100864"/>
    <w:rsid w:val="001014E9"/>
    <w:rsid w:val="0010210A"/>
    <w:rsid w:val="001036E2"/>
    <w:rsid w:val="00106F4E"/>
    <w:rsid w:val="00112CFC"/>
    <w:rsid w:val="0011541D"/>
    <w:rsid w:val="00115CBF"/>
    <w:rsid w:val="00116913"/>
    <w:rsid w:val="00120236"/>
    <w:rsid w:val="00122808"/>
    <w:rsid w:val="00122852"/>
    <w:rsid w:val="00122E23"/>
    <w:rsid w:val="00124C1B"/>
    <w:rsid w:val="00125B71"/>
    <w:rsid w:val="00126BF8"/>
    <w:rsid w:val="00132970"/>
    <w:rsid w:val="00134774"/>
    <w:rsid w:val="00135F3C"/>
    <w:rsid w:val="00136C62"/>
    <w:rsid w:val="00140274"/>
    <w:rsid w:val="00140473"/>
    <w:rsid w:val="00141A79"/>
    <w:rsid w:val="00145AB2"/>
    <w:rsid w:val="00145D60"/>
    <w:rsid w:val="00146F35"/>
    <w:rsid w:val="00147376"/>
    <w:rsid w:val="00147E6A"/>
    <w:rsid w:val="00150227"/>
    <w:rsid w:val="00151263"/>
    <w:rsid w:val="00151D7A"/>
    <w:rsid w:val="0015239E"/>
    <w:rsid w:val="00152F93"/>
    <w:rsid w:val="001535AE"/>
    <w:rsid w:val="001536CB"/>
    <w:rsid w:val="00155244"/>
    <w:rsid w:val="00155FCB"/>
    <w:rsid w:val="001564BB"/>
    <w:rsid w:val="0016164E"/>
    <w:rsid w:val="0016266F"/>
    <w:rsid w:val="00162A8D"/>
    <w:rsid w:val="001640FF"/>
    <w:rsid w:val="001641DE"/>
    <w:rsid w:val="0016496F"/>
    <w:rsid w:val="0016597E"/>
    <w:rsid w:val="00165E3C"/>
    <w:rsid w:val="00166969"/>
    <w:rsid w:val="00166D7D"/>
    <w:rsid w:val="001701D1"/>
    <w:rsid w:val="001705D1"/>
    <w:rsid w:val="00170658"/>
    <w:rsid w:val="001710A9"/>
    <w:rsid w:val="001714BB"/>
    <w:rsid w:val="00172238"/>
    <w:rsid w:val="00172956"/>
    <w:rsid w:val="00173C30"/>
    <w:rsid w:val="00173FB5"/>
    <w:rsid w:val="00174D9A"/>
    <w:rsid w:val="001767EA"/>
    <w:rsid w:val="00177F54"/>
    <w:rsid w:val="00180D56"/>
    <w:rsid w:val="00182380"/>
    <w:rsid w:val="00182D97"/>
    <w:rsid w:val="001839D6"/>
    <w:rsid w:val="00183D65"/>
    <w:rsid w:val="00184FBA"/>
    <w:rsid w:val="00186B04"/>
    <w:rsid w:val="001876B3"/>
    <w:rsid w:val="00187E41"/>
    <w:rsid w:val="00190FDD"/>
    <w:rsid w:val="001910A6"/>
    <w:rsid w:val="00193A31"/>
    <w:rsid w:val="0019494F"/>
    <w:rsid w:val="00195EDE"/>
    <w:rsid w:val="00196476"/>
    <w:rsid w:val="00196F06"/>
    <w:rsid w:val="001A1C14"/>
    <w:rsid w:val="001A24F4"/>
    <w:rsid w:val="001A610A"/>
    <w:rsid w:val="001A616E"/>
    <w:rsid w:val="001A6AE0"/>
    <w:rsid w:val="001B0353"/>
    <w:rsid w:val="001B0873"/>
    <w:rsid w:val="001B166B"/>
    <w:rsid w:val="001B1A55"/>
    <w:rsid w:val="001B49CC"/>
    <w:rsid w:val="001B4A16"/>
    <w:rsid w:val="001B4CB9"/>
    <w:rsid w:val="001B57A0"/>
    <w:rsid w:val="001C1F8B"/>
    <w:rsid w:val="001C30D6"/>
    <w:rsid w:val="001C6329"/>
    <w:rsid w:val="001C6767"/>
    <w:rsid w:val="001D010C"/>
    <w:rsid w:val="001D01C9"/>
    <w:rsid w:val="001D04ED"/>
    <w:rsid w:val="001D1D3B"/>
    <w:rsid w:val="001D2B20"/>
    <w:rsid w:val="001D380E"/>
    <w:rsid w:val="001D53BD"/>
    <w:rsid w:val="001D77DA"/>
    <w:rsid w:val="001D7BC3"/>
    <w:rsid w:val="001E0207"/>
    <w:rsid w:val="001E0267"/>
    <w:rsid w:val="001E0F36"/>
    <w:rsid w:val="001E11EA"/>
    <w:rsid w:val="001E2228"/>
    <w:rsid w:val="001E337F"/>
    <w:rsid w:val="001E3613"/>
    <w:rsid w:val="001E3AF2"/>
    <w:rsid w:val="001E4501"/>
    <w:rsid w:val="001E46D7"/>
    <w:rsid w:val="001E4DCB"/>
    <w:rsid w:val="001E5676"/>
    <w:rsid w:val="001E5FF6"/>
    <w:rsid w:val="001E61DD"/>
    <w:rsid w:val="001E65A9"/>
    <w:rsid w:val="001E7711"/>
    <w:rsid w:val="001E779C"/>
    <w:rsid w:val="001F0C14"/>
    <w:rsid w:val="001F165B"/>
    <w:rsid w:val="001F1DA7"/>
    <w:rsid w:val="001F2166"/>
    <w:rsid w:val="001F2BBB"/>
    <w:rsid w:val="001F52FD"/>
    <w:rsid w:val="001F62CC"/>
    <w:rsid w:val="001F7400"/>
    <w:rsid w:val="001F76B8"/>
    <w:rsid w:val="002005D9"/>
    <w:rsid w:val="00200677"/>
    <w:rsid w:val="00200CE1"/>
    <w:rsid w:val="002012F7"/>
    <w:rsid w:val="002027F6"/>
    <w:rsid w:val="002060A4"/>
    <w:rsid w:val="002061BA"/>
    <w:rsid w:val="002068EB"/>
    <w:rsid w:val="00211B6F"/>
    <w:rsid w:val="00213805"/>
    <w:rsid w:val="00213956"/>
    <w:rsid w:val="002148B4"/>
    <w:rsid w:val="00216CAA"/>
    <w:rsid w:val="002170B2"/>
    <w:rsid w:val="0021785E"/>
    <w:rsid w:val="0022092D"/>
    <w:rsid w:val="002209C7"/>
    <w:rsid w:val="002211F7"/>
    <w:rsid w:val="002223FA"/>
    <w:rsid w:val="00225B4C"/>
    <w:rsid w:val="002264B2"/>
    <w:rsid w:val="00226751"/>
    <w:rsid w:val="002278FE"/>
    <w:rsid w:val="00230B09"/>
    <w:rsid w:val="00231ED1"/>
    <w:rsid w:val="00232925"/>
    <w:rsid w:val="002329AE"/>
    <w:rsid w:val="00232D15"/>
    <w:rsid w:val="002330BC"/>
    <w:rsid w:val="00233A98"/>
    <w:rsid w:val="002358CF"/>
    <w:rsid w:val="002375D0"/>
    <w:rsid w:val="00241523"/>
    <w:rsid w:val="00242624"/>
    <w:rsid w:val="0024557E"/>
    <w:rsid w:val="002471FD"/>
    <w:rsid w:val="002529A2"/>
    <w:rsid w:val="00252BF2"/>
    <w:rsid w:val="00253E5D"/>
    <w:rsid w:val="0026136A"/>
    <w:rsid w:val="002632EA"/>
    <w:rsid w:val="00263B27"/>
    <w:rsid w:val="00265F9D"/>
    <w:rsid w:val="0026716B"/>
    <w:rsid w:val="0026719A"/>
    <w:rsid w:val="002701BE"/>
    <w:rsid w:val="0027036E"/>
    <w:rsid w:val="0027163D"/>
    <w:rsid w:val="00275768"/>
    <w:rsid w:val="00277660"/>
    <w:rsid w:val="00280356"/>
    <w:rsid w:val="00281063"/>
    <w:rsid w:val="00284368"/>
    <w:rsid w:val="0028506A"/>
    <w:rsid w:val="002850B0"/>
    <w:rsid w:val="002863D7"/>
    <w:rsid w:val="002873B4"/>
    <w:rsid w:val="00287471"/>
    <w:rsid w:val="00292A5F"/>
    <w:rsid w:val="00292AB5"/>
    <w:rsid w:val="00292C15"/>
    <w:rsid w:val="00293653"/>
    <w:rsid w:val="00296818"/>
    <w:rsid w:val="00297732"/>
    <w:rsid w:val="002A12B6"/>
    <w:rsid w:val="002A43C2"/>
    <w:rsid w:val="002A77D3"/>
    <w:rsid w:val="002B15C8"/>
    <w:rsid w:val="002B1B65"/>
    <w:rsid w:val="002B2E0E"/>
    <w:rsid w:val="002C02DB"/>
    <w:rsid w:val="002C1866"/>
    <w:rsid w:val="002C1AE9"/>
    <w:rsid w:val="002C23F2"/>
    <w:rsid w:val="002C3138"/>
    <w:rsid w:val="002C3E4B"/>
    <w:rsid w:val="002C5011"/>
    <w:rsid w:val="002C5943"/>
    <w:rsid w:val="002C59BE"/>
    <w:rsid w:val="002C60CC"/>
    <w:rsid w:val="002D09EA"/>
    <w:rsid w:val="002D1721"/>
    <w:rsid w:val="002D62FB"/>
    <w:rsid w:val="002D7A70"/>
    <w:rsid w:val="002E0E99"/>
    <w:rsid w:val="002E4594"/>
    <w:rsid w:val="002E45F9"/>
    <w:rsid w:val="002E4DEB"/>
    <w:rsid w:val="002E5A1B"/>
    <w:rsid w:val="002E5DCE"/>
    <w:rsid w:val="002E61A7"/>
    <w:rsid w:val="002F02BA"/>
    <w:rsid w:val="002F4CE1"/>
    <w:rsid w:val="002F5775"/>
    <w:rsid w:val="002F5E96"/>
    <w:rsid w:val="002F6A63"/>
    <w:rsid w:val="002F7E0C"/>
    <w:rsid w:val="0030053D"/>
    <w:rsid w:val="003005AB"/>
    <w:rsid w:val="00300754"/>
    <w:rsid w:val="00300F22"/>
    <w:rsid w:val="00301CCE"/>
    <w:rsid w:val="00301D15"/>
    <w:rsid w:val="00304441"/>
    <w:rsid w:val="00304A37"/>
    <w:rsid w:val="0031040E"/>
    <w:rsid w:val="00310ED4"/>
    <w:rsid w:val="00311468"/>
    <w:rsid w:val="00311DD6"/>
    <w:rsid w:val="00312301"/>
    <w:rsid w:val="003132F4"/>
    <w:rsid w:val="0031492A"/>
    <w:rsid w:val="00316C1A"/>
    <w:rsid w:val="00316F87"/>
    <w:rsid w:val="00321FEC"/>
    <w:rsid w:val="003235CC"/>
    <w:rsid w:val="00323C73"/>
    <w:rsid w:val="003242C2"/>
    <w:rsid w:val="00324864"/>
    <w:rsid w:val="00325CB8"/>
    <w:rsid w:val="00331141"/>
    <w:rsid w:val="00333204"/>
    <w:rsid w:val="00341249"/>
    <w:rsid w:val="003423F4"/>
    <w:rsid w:val="00343F2A"/>
    <w:rsid w:val="003446C2"/>
    <w:rsid w:val="00344758"/>
    <w:rsid w:val="00344898"/>
    <w:rsid w:val="003459E6"/>
    <w:rsid w:val="00347142"/>
    <w:rsid w:val="00347784"/>
    <w:rsid w:val="00350D1B"/>
    <w:rsid w:val="00352282"/>
    <w:rsid w:val="0035246E"/>
    <w:rsid w:val="00354232"/>
    <w:rsid w:val="00355BA8"/>
    <w:rsid w:val="003565A8"/>
    <w:rsid w:val="003566EA"/>
    <w:rsid w:val="003603A2"/>
    <w:rsid w:val="003620F5"/>
    <w:rsid w:val="003628E2"/>
    <w:rsid w:val="00364504"/>
    <w:rsid w:val="00367531"/>
    <w:rsid w:val="00370BF4"/>
    <w:rsid w:val="003711DF"/>
    <w:rsid w:val="003724A9"/>
    <w:rsid w:val="0037294A"/>
    <w:rsid w:val="00372C79"/>
    <w:rsid w:val="00373868"/>
    <w:rsid w:val="0037472D"/>
    <w:rsid w:val="00375788"/>
    <w:rsid w:val="00381F72"/>
    <w:rsid w:val="00386E96"/>
    <w:rsid w:val="003870DF"/>
    <w:rsid w:val="003910D4"/>
    <w:rsid w:val="00393A0D"/>
    <w:rsid w:val="00393D23"/>
    <w:rsid w:val="00394497"/>
    <w:rsid w:val="00394D62"/>
    <w:rsid w:val="00396D5C"/>
    <w:rsid w:val="00397C85"/>
    <w:rsid w:val="003A168E"/>
    <w:rsid w:val="003A20F0"/>
    <w:rsid w:val="003A241D"/>
    <w:rsid w:val="003A3A89"/>
    <w:rsid w:val="003A3FEF"/>
    <w:rsid w:val="003A4545"/>
    <w:rsid w:val="003A48B7"/>
    <w:rsid w:val="003A5598"/>
    <w:rsid w:val="003A5773"/>
    <w:rsid w:val="003A5DBD"/>
    <w:rsid w:val="003A7748"/>
    <w:rsid w:val="003B368F"/>
    <w:rsid w:val="003B7BCF"/>
    <w:rsid w:val="003C0BA8"/>
    <w:rsid w:val="003C435C"/>
    <w:rsid w:val="003C6405"/>
    <w:rsid w:val="003C6641"/>
    <w:rsid w:val="003C684F"/>
    <w:rsid w:val="003C69A5"/>
    <w:rsid w:val="003D0696"/>
    <w:rsid w:val="003D4306"/>
    <w:rsid w:val="003D4FD3"/>
    <w:rsid w:val="003D52FA"/>
    <w:rsid w:val="003D6085"/>
    <w:rsid w:val="003D6232"/>
    <w:rsid w:val="003D7D52"/>
    <w:rsid w:val="003E1979"/>
    <w:rsid w:val="003E5DEF"/>
    <w:rsid w:val="003E65F1"/>
    <w:rsid w:val="003E7FB0"/>
    <w:rsid w:val="003F09A0"/>
    <w:rsid w:val="003F0B14"/>
    <w:rsid w:val="003F3407"/>
    <w:rsid w:val="00400AB0"/>
    <w:rsid w:val="004038D5"/>
    <w:rsid w:val="00403DEA"/>
    <w:rsid w:val="0040497E"/>
    <w:rsid w:val="004057E2"/>
    <w:rsid w:val="00406CC7"/>
    <w:rsid w:val="004078F2"/>
    <w:rsid w:val="004178E5"/>
    <w:rsid w:val="004214A0"/>
    <w:rsid w:val="00422250"/>
    <w:rsid w:val="00422417"/>
    <w:rsid w:val="00424233"/>
    <w:rsid w:val="00430C81"/>
    <w:rsid w:val="00433148"/>
    <w:rsid w:val="00433DE0"/>
    <w:rsid w:val="00434945"/>
    <w:rsid w:val="00440609"/>
    <w:rsid w:val="00440EE6"/>
    <w:rsid w:val="0044130E"/>
    <w:rsid w:val="00445CB5"/>
    <w:rsid w:val="00447851"/>
    <w:rsid w:val="004501FD"/>
    <w:rsid w:val="0045680D"/>
    <w:rsid w:val="00460EE0"/>
    <w:rsid w:val="00461782"/>
    <w:rsid w:val="004618EA"/>
    <w:rsid w:val="0046284D"/>
    <w:rsid w:val="00464051"/>
    <w:rsid w:val="00464E7B"/>
    <w:rsid w:val="004712FB"/>
    <w:rsid w:val="00471BB7"/>
    <w:rsid w:val="00472EFF"/>
    <w:rsid w:val="00474063"/>
    <w:rsid w:val="0047589F"/>
    <w:rsid w:val="00476793"/>
    <w:rsid w:val="00481B2A"/>
    <w:rsid w:val="00482091"/>
    <w:rsid w:val="0048292E"/>
    <w:rsid w:val="0048368B"/>
    <w:rsid w:val="00484C9D"/>
    <w:rsid w:val="004863C8"/>
    <w:rsid w:val="00490FA4"/>
    <w:rsid w:val="00492036"/>
    <w:rsid w:val="0049300D"/>
    <w:rsid w:val="00495A7C"/>
    <w:rsid w:val="00496715"/>
    <w:rsid w:val="00496857"/>
    <w:rsid w:val="00496C3E"/>
    <w:rsid w:val="00497873"/>
    <w:rsid w:val="00497E83"/>
    <w:rsid w:val="004A187B"/>
    <w:rsid w:val="004A2D3C"/>
    <w:rsid w:val="004A5DE5"/>
    <w:rsid w:val="004B192D"/>
    <w:rsid w:val="004B274A"/>
    <w:rsid w:val="004B3E80"/>
    <w:rsid w:val="004B5E8C"/>
    <w:rsid w:val="004B673C"/>
    <w:rsid w:val="004C18E3"/>
    <w:rsid w:val="004C1FB1"/>
    <w:rsid w:val="004C2811"/>
    <w:rsid w:val="004C48B5"/>
    <w:rsid w:val="004C7412"/>
    <w:rsid w:val="004D04BF"/>
    <w:rsid w:val="004D4883"/>
    <w:rsid w:val="004D4A49"/>
    <w:rsid w:val="004D4A65"/>
    <w:rsid w:val="004D5D3A"/>
    <w:rsid w:val="004D7817"/>
    <w:rsid w:val="004E0DFF"/>
    <w:rsid w:val="004E2094"/>
    <w:rsid w:val="004E7B77"/>
    <w:rsid w:val="004F1952"/>
    <w:rsid w:val="004F1C7C"/>
    <w:rsid w:val="004F5975"/>
    <w:rsid w:val="00500757"/>
    <w:rsid w:val="00502B59"/>
    <w:rsid w:val="00504930"/>
    <w:rsid w:val="00507DA1"/>
    <w:rsid w:val="00510390"/>
    <w:rsid w:val="0051123E"/>
    <w:rsid w:val="005123F0"/>
    <w:rsid w:val="005131EE"/>
    <w:rsid w:val="00513540"/>
    <w:rsid w:val="00513941"/>
    <w:rsid w:val="00517CA9"/>
    <w:rsid w:val="0052024F"/>
    <w:rsid w:val="0052136C"/>
    <w:rsid w:val="00522769"/>
    <w:rsid w:val="005239F4"/>
    <w:rsid w:val="005253BC"/>
    <w:rsid w:val="0053051D"/>
    <w:rsid w:val="00533A98"/>
    <w:rsid w:val="00534A99"/>
    <w:rsid w:val="0053745E"/>
    <w:rsid w:val="00537881"/>
    <w:rsid w:val="005456EA"/>
    <w:rsid w:val="00546DB8"/>
    <w:rsid w:val="0054734C"/>
    <w:rsid w:val="00547D2F"/>
    <w:rsid w:val="00553583"/>
    <w:rsid w:val="00554232"/>
    <w:rsid w:val="00554D1D"/>
    <w:rsid w:val="00560CC3"/>
    <w:rsid w:val="00561019"/>
    <w:rsid w:val="00561CD3"/>
    <w:rsid w:val="0056205D"/>
    <w:rsid w:val="00563F7E"/>
    <w:rsid w:val="00564208"/>
    <w:rsid w:val="00565CA1"/>
    <w:rsid w:val="00565E94"/>
    <w:rsid w:val="00571CEB"/>
    <w:rsid w:val="005758D2"/>
    <w:rsid w:val="00575E73"/>
    <w:rsid w:val="00576131"/>
    <w:rsid w:val="005767D8"/>
    <w:rsid w:val="00577A89"/>
    <w:rsid w:val="00577CC5"/>
    <w:rsid w:val="00583DEB"/>
    <w:rsid w:val="00583F7B"/>
    <w:rsid w:val="005841B5"/>
    <w:rsid w:val="00586E2E"/>
    <w:rsid w:val="00590F25"/>
    <w:rsid w:val="00591926"/>
    <w:rsid w:val="00591951"/>
    <w:rsid w:val="005943DB"/>
    <w:rsid w:val="005950E0"/>
    <w:rsid w:val="00596E3F"/>
    <w:rsid w:val="005A0964"/>
    <w:rsid w:val="005A582B"/>
    <w:rsid w:val="005A626A"/>
    <w:rsid w:val="005A7F49"/>
    <w:rsid w:val="005B0323"/>
    <w:rsid w:val="005B26F5"/>
    <w:rsid w:val="005B2A29"/>
    <w:rsid w:val="005B36F6"/>
    <w:rsid w:val="005B3C07"/>
    <w:rsid w:val="005B709D"/>
    <w:rsid w:val="005C0971"/>
    <w:rsid w:val="005C2DD9"/>
    <w:rsid w:val="005C2ECF"/>
    <w:rsid w:val="005C425C"/>
    <w:rsid w:val="005C47F7"/>
    <w:rsid w:val="005C5A84"/>
    <w:rsid w:val="005C5D41"/>
    <w:rsid w:val="005C6CBA"/>
    <w:rsid w:val="005C6E61"/>
    <w:rsid w:val="005C7BE3"/>
    <w:rsid w:val="005D1F34"/>
    <w:rsid w:val="005D383D"/>
    <w:rsid w:val="005E244C"/>
    <w:rsid w:val="005E52A8"/>
    <w:rsid w:val="005E59BA"/>
    <w:rsid w:val="005E5FA3"/>
    <w:rsid w:val="005F004B"/>
    <w:rsid w:val="005F39AC"/>
    <w:rsid w:val="005F4361"/>
    <w:rsid w:val="005F773C"/>
    <w:rsid w:val="005F78FF"/>
    <w:rsid w:val="00601130"/>
    <w:rsid w:val="0060153B"/>
    <w:rsid w:val="00604620"/>
    <w:rsid w:val="0060657D"/>
    <w:rsid w:val="00610D29"/>
    <w:rsid w:val="006117A8"/>
    <w:rsid w:val="006127C6"/>
    <w:rsid w:val="00613617"/>
    <w:rsid w:val="00613E1D"/>
    <w:rsid w:val="00614385"/>
    <w:rsid w:val="0061529A"/>
    <w:rsid w:val="0061614B"/>
    <w:rsid w:val="00616F88"/>
    <w:rsid w:val="006216B8"/>
    <w:rsid w:val="00622508"/>
    <w:rsid w:val="0063009F"/>
    <w:rsid w:val="00630FD8"/>
    <w:rsid w:val="00631B8A"/>
    <w:rsid w:val="00634D46"/>
    <w:rsid w:val="006356C5"/>
    <w:rsid w:val="006359DA"/>
    <w:rsid w:val="00635C88"/>
    <w:rsid w:val="0064024A"/>
    <w:rsid w:val="00640A77"/>
    <w:rsid w:val="00643AEE"/>
    <w:rsid w:val="00646288"/>
    <w:rsid w:val="0065064C"/>
    <w:rsid w:val="00650E26"/>
    <w:rsid w:val="00653119"/>
    <w:rsid w:val="00653BD7"/>
    <w:rsid w:val="00654793"/>
    <w:rsid w:val="006562E3"/>
    <w:rsid w:val="00663081"/>
    <w:rsid w:val="00665217"/>
    <w:rsid w:val="00667DD0"/>
    <w:rsid w:val="006703F8"/>
    <w:rsid w:val="00671689"/>
    <w:rsid w:val="006750B0"/>
    <w:rsid w:val="0067554F"/>
    <w:rsid w:val="006769BD"/>
    <w:rsid w:val="006877AE"/>
    <w:rsid w:val="00690C4A"/>
    <w:rsid w:val="00694A06"/>
    <w:rsid w:val="0069534C"/>
    <w:rsid w:val="00695377"/>
    <w:rsid w:val="00695DCA"/>
    <w:rsid w:val="00696AB3"/>
    <w:rsid w:val="006A0638"/>
    <w:rsid w:val="006A3883"/>
    <w:rsid w:val="006A39C6"/>
    <w:rsid w:val="006A60C3"/>
    <w:rsid w:val="006A6BB3"/>
    <w:rsid w:val="006B1E43"/>
    <w:rsid w:val="006B2B81"/>
    <w:rsid w:val="006B3126"/>
    <w:rsid w:val="006B3C84"/>
    <w:rsid w:val="006B3DE1"/>
    <w:rsid w:val="006B6850"/>
    <w:rsid w:val="006B6EAC"/>
    <w:rsid w:val="006C0642"/>
    <w:rsid w:val="006C08F9"/>
    <w:rsid w:val="006C10E3"/>
    <w:rsid w:val="006C11B4"/>
    <w:rsid w:val="006C2A3C"/>
    <w:rsid w:val="006C3C7B"/>
    <w:rsid w:val="006D0407"/>
    <w:rsid w:val="006D2625"/>
    <w:rsid w:val="006D3F2E"/>
    <w:rsid w:val="006D5EE5"/>
    <w:rsid w:val="006D71CE"/>
    <w:rsid w:val="006E0085"/>
    <w:rsid w:val="006E02B4"/>
    <w:rsid w:val="006E620E"/>
    <w:rsid w:val="006E67DA"/>
    <w:rsid w:val="006E6D3B"/>
    <w:rsid w:val="006E7225"/>
    <w:rsid w:val="006F03A9"/>
    <w:rsid w:val="006F08D3"/>
    <w:rsid w:val="006F22BC"/>
    <w:rsid w:val="006F43EB"/>
    <w:rsid w:val="006F46EE"/>
    <w:rsid w:val="007015CB"/>
    <w:rsid w:val="00702BB7"/>
    <w:rsid w:val="0070565E"/>
    <w:rsid w:val="00714787"/>
    <w:rsid w:val="00714FF5"/>
    <w:rsid w:val="00715D17"/>
    <w:rsid w:val="00727A7C"/>
    <w:rsid w:val="00730BD2"/>
    <w:rsid w:val="00730E77"/>
    <w:rsid w:val="007358C0"/>
    <w:rsid w:val="007405ED"/>
    <w:rsid w:val="00740BD6"/>
    <w:rsid w:val="00740E57"/>
    <w:rsid w:val="00742C0B"/>
    <w:rsid w:val="00744E0B"/>
    <w:rsid w:val="007456FA"/>
    <w:rsid w:val="0074629F"/>
    <w:rsid w:val="007473F0"/>
    <w:rsid w:val="0075053B"/>
    <w:rsid w:val="00750B60"/>
    <w:rsid w:val="00751978"/>
    <w:rsid w:val="0075263A"/>
    <w:rsid w:val="0075263D"/>
    <w:rsid w:val="00752D62"/>
    <w:rsid w:val="007540BF"/>
    <w:rsid w:val="007607E0"/>
    <w:rsid w:val="00760871"/>
    <w:rsid w:val="00760E47"/>
    <w:rsid w:val="00761E17"/>
    <w:rsid w:val="00762591"/>
    <w:rsid w:val="00762D64"/>
    <w:rsid w:val="007637A8"/>
    <w:rsid w:val="00765B58"/>
    <w:rsid w:val="00765B87"/>
    <w:rsid w:val="00770DCB"/>
    <w:rsid w:val="00771C36"/>
    <w:rsid w:val="00772292"/>
    <w:rsid w:val="00772B32"/>
    <w:rsid w:val="00774A13"/>
    <w:rsid w:val="00775485"/>
    <w:rsid w:val="00783532"/>
    <w:rsid w:val="007846B5"/>
    <w:rsid w:val="00792778"/>
    <w:rsid w:val="00792862"/>
    <w:rsid w:val="00793309"/>
    <w:rsid w:val="00793651"/>
    <w:rsid w:val="00794263"/>
    <w:rsid w:val="00795E32"/>
    <w:rsid w:val="00796E04"/>
    <w:rsid w:val="007A559E"/>
    <w:rsid w:val="007B06EA"/>
    <w:rsid w:val="007B3234"/>
    <w:rsid w:val="007B761D"/>
    <w:rsid w:val="007C31C2"/>
    <w:rsid w:val="007C4C81"/>
    <w:rsid w:val="007C5CF6"/>
    <w:rsid w:val="007D2035"/>
    <w:rsid w:val="007D2997"/>
    <w:rsid w:val="007D2F00"/>
    <w:rsid w:val="007D34F7"/>
    <w:rsid w:val="007D36E9"/>
    <w:rsid w:val="007D769A"/>
    <w:rsid w:val="007D7FB8"/>
    <w:rsid w:val="007E122D"/>
    <w:rsid w:val="007E1598"/>
    <w:rsid w:val="007E1D89"/>
    <w:rsid w:val="007E2F6C"/>
    <w:rsid w:val="007E34B5"/>
    <w:rsid w:val="007E40B3"/>
    <w:rsid w:val="007E5450"/>
    <w:rsid w:val="007E5B88"/>
    <w:rsid w:val="007F0D0B"/>
    <w:rsid w:val="007F1B1F"/>
    <w:rsid w:val="007F40A0"/>
    <w:rsid w:val="007F6088"/>
    <w:rsid w:val="007F60FD"/>
    <w:rsid w:val="007F74EC"/>
    <w:rsid w:val="008007A8"/>
    <w:rsid w:val="00802FF7"/>
    <w:rsid w:val="00803665"/>
    <w:rsid w:val="008042D9"/>
    <w:rsid w:val="008130CE"/>
    <w:rsid w:val="0081348A"/>
    <w:rsid w:val="00813688"/>
    <w:rsid w:val="00814FC0"/>
    <w:rsid w:val="00815337"/>
    <w:rsid w:val="00817C73"/>
    <w:rsid w:val="008219E8"/>
    <w:rsid w:val="00823005"/>
    <w:rsid w:val="008251B5"/>
    <w:rsid w:val="00826A82"/>
    <w:rsid w:val="00826BAA"/>
    <w:rsid w:val="008329C8"/>
    <w:rsid w:val="00837C32"/>
    <w:rsid w:val="008449B9"/>
    <w:rsid w:val="00845FA7"/>
    <w:rsid w:val="008464C4"/>
    <w:rsid w:val="00847191"/>
    <w:rsid w:val="008505D5"/>
    <w:rsid w:val="008506CA"/>
    <w:rsid w:val="00857D92"/>
    <w:rsid w:val="0086254F"/>
    <w:rsid w:val="00864E23"/>
    <w:rsid w:val="0086749C"/>
    <w:rsid w:val="00867D5B"/>
    <w:rsid w:val="00870023"/>
    <w:rsid w:val="0087002B"/>
    <w:rsid w:val="00870451"/>
    <w:rsid w:val="008724DE"/>
    <w:rsid w:val="0087281A"/>
    <w:rsid w:val="0087448B"/>
    <w:rsid w:val="008746D3"/>
    <w:rsid w:val="00874C37"/>
    <w:rsid w:val="008758D9"/>
    <w:rsid w:val="00880B50"/>
    <w:rsid w:val="00882B0A"/>
    <w:rsid w:val="00883006"/>
    <w:rsid w:val="008839B3"/>
    <w:rsid w:val="00884B3C"/>
    <w:rsid w:val="00886051"/>
    <w:rsid w:val="0089133E"/>
    <w:rsid w:val="0089332A"/>
    <w:rsid w:val="0089467E"/>
    <w:rsid w:val="00895031"/>
    <w:rsid w:val="00897BD6"/>
    <w:rsid w:val="00897C79"/>
    <w:rsid w:val="008A3D57"/>
    <w:rsid w:val="008A3E57"/>
    <w:rsid w:val="008A5D40"/>
    <w:rsid w:val="008A6B54"/>
    <w:rsid w:val="008A7305"/>
    <w:rsid w:val="008B1289"/>
    <w:rsid w:val="008B23BC"/>
    <w:rsid w:val="008B3899"/>
    <w:rsid w:val="008B488D"/>
    <w:rsid w:val="008B4EC7"/>
    <w:rsid w:val="008B6798"/>
    <w:rsid w:val="008B6CC3"/>
    <w:rsid w:val="008B7439"/>
    <w:rsid w:val="008C00F7"/>
    <w:rsid w:val="008C1CBF"/>
    <w:rsid w:val="008C65C0"/>
    <w:rsid w:val="008C67E3"/>
    <w:rsid w:val="008D00A1"/>
    <w:rsid w:val="008D0222"/>
    <w:rsid w:val="008D02CB"/>
    <w:rsid w:val="008D7D68"/>
    <w:rsid w:val="008E16C6"/>
    <w:rsid w:val="008E21A7"/>
    <w:rsid w:val="008E21C3"/>
    <w:rsid w:val="008E2FD9"/>
    <w:rsid w:val="008E303B"/>
    <w:rsid w:val="008E328C"/>
    <w:rsid w:val="008E3D60"/>
    <w:rsid w:val="008E3F4C"/>
    <w:rsid w:val="008E4AE4"/>
    <w:rsid w:val="008E6D11"/>
    <w:rsid w:val="008E78F0"/>
    <w:rsid w:val="008F062E"/>
    <w:rsid w:val="008F0A82"/>
    <w:rsid w:val="008F0B35"/>
    <w:rsid w:val="008F18D5"/>
    <w:rsid w:val="008F514F"/>
    <w:rsid w:val="008F6D8A"/>
    <w:rsid w:val="008F7300"/>
    <w:rsid w:val="0090104F"/>
    <w:rsid w:val="0090165F"/>
    <w:rsid w:val="00901B82"/>
    <w:rsid w:val="00907017"/>
    <w:rsid w:val="00912371"/>
    <w:rsid w:val="009127CE"/>
    <w:rsid w:val="00912B09"/>
    <w:rsid w:val="0091657E"/>
    <w:rsid w:val="00916E14"/>
    <w:rsid w:val="00917080"/>
    <w:rsid w:val="0091791D"/>
    <w:rsid w:val="00917B08"/>
    <w:rsid w:val="00917C1A"/>
    <w:rsid w:val="00923FE7"/>
    <w:rsid w:val="00924D51"/>
    <w:rsid w:val="00925A7A"/>
    <w:rsid w:val="00926448"/>
    <w:rsid w:val="00926862"/>
    <w:rsid w:val="00927ECA"/>
    <w:rsid w:val="009310D9"/>
    <w:rsid w:val="00935494"/>
    <w:rsid w:val="0093556F"/>
    <w:rsid w:val="00935613"/>
    <w:rsid w:val="009368EC"/>
    <w:rsid w:val="0094115D"/>
    <w:rsid w:val="00941778"/>
    <w:rsid w:val="00942C99"/>
    <w:rsid w:val="009432CF"/>
    <w:rsid w:val="00944E6B"/>
    <w:rsid w:val="009476A5"/>
    <w:rsid w:val="0095326F"/>
    <w:rsid w:val="00955C36"/>
    <w:rsid w:val="00956074"/>
    <w:rsid w:val="00957336"/>
    <w:rsid w:val="009578CC"/>
    <w:rsid w:val="00960B9D"/>
    <w:rsid w:val="009628F2"/>
    <w:rsid w:val="00962AE3"/>
    <w:rsid w:val="009654F9"/>
    <w:rsid w:val="00966C2F"/>
    <w:rsid w:val="0096742A"/>
    <w:rsid w:val="00967B6D"/>
    <w:rsid w:val="009741A9"/>
    <w:rsid w:val="0097512B"/>
    <w:rsid w:val="00980656"/>
    <w:rsid w:val="009806DD"/>
    <w:rsid w:val="00981132"/>
    <w:rsid w:val="00982404"/>
    <w:rsid w:val="00982E00"/>
    <w:rsid w:val="0098615F"/>
    <w:rsid w:val="00986527"/>
    <w:rsid w:val="0099020B"/>
    <w:rsid w:val="009909C7"/>
    <w:rsid w:val="00990B81"/>
    <w:rsid w:val="00995038"/>
    <w:rsid w:val="009961C8"/>
    <w:rsid w:val="0099732E"/>
    <w:rsid w:val="00997A20"/>
    <w:rsid w:val="00997B69"/>
    <w:rsid w:val="009A1259"/>
    <w:rsid w:val="009A3750"/>
    <w:rsid w:val="009A38AE"/>
    <w:rsid w:val="009A3A29"/>
    <w:rsid w:val="009A3D9B"/>
    <w:rsid w:val="009A51AA"/>
    <w:rsid w:val="009A654E"/>
    <w:rsid w:val="009A79A2"/>
    <w:rsid w:val="009A7D85"/>
    <w:rsid w:val="009B0A1F"/>
    <w:rsid w:val="009B1CCE"/>
    <w:rsid w:val="009B237D"/>
    <w:rsid w:val="009B40A5"/>
    <w:rsid w:val="009C1115"/>
    <w:rsid w:val="009C6FF2"/>
    <w:rsid w:val="009C7639"/>
    <w:rsid w:val="009C77C2"/>
    <w:rsid w:val="009D0829"/>
    <w:rsid w:val="009D12BB"/>
    <w:rsid w:val="009D15E1"/>
    <w:rsid w:val="009D41DA"/>
    <w:rsid w:val="009D492B"/>
    <w:rsid w:val="009D67F6"/>
    <w:rsid w:val="009E08D1"/>
    <w:rsid w:val="009E0FE1"/>
    <w:rsid w:val="009E2BAA"/>
    <w:rsid w:val="009E3D3B"/>
    <w:rsid w:val="009E422A"/>
    <w:rsid w:val="009E4BD0"/>
    <w:rsid w:val="009F00B9"/>
    <w:rsid w:val="009F00BC"/>
    <w:rsid w:val="009F2142"/>
    <w:rsid w:val="009F2764"/>
    <w:rsid w:val="009F3A48"/>
    <w:rsid w:val="009F6181"/>
    <w:rsid w:val="009F6E7B"/>
    <w:rsid w:val="009F7D00"/>
    <w:rsid w:val="00A0406E"/>
    <w:rsid w:val="00A11307"/>
    <w:rsid w:val="00A12A2A"/>
    <w:rsid w:val="00A13AF3"/>
    <w:rsid w:val="00A13BC9"/>
    <w:rsid w:val="00A210DD"/>
    <w:rsid w:val="00A21388"/>
    <w:rsid w:val="00A21682"/>
    <w:rsid w:val="00A21ABD"/>
    <w:rsid w:val="00A24D0F"/>
    <w:rsid w:val="00A25620"/>
    <w:rsid w:val="00A25CF2"/>
    <w:rsid w:val="00A25D23"/>
    <w:rsid w:val="00A261B0"/>
    <w:rsid w:val="00A27700"/>
    <w:rsid w:val="00A27791"/>
    <w:rsid w:val="00A277EF"/>
    <w:rsid w:val="00A27ABE"/>
    <w:rsid w:val="00A31C25"/>
    <w:rsid w:val="00A351B7"/>
    <w:rsid w:val="00A355F9"/>
    <w:rsid w:val="00A35C5F"/>
    <w:rsid w:val="00A4026A"/>
    <w:rsid w:val="00A40CAD"/>
    <w:rsid w:val="00A41355"/>
    <w:rsid w:val="00A437B6"/>
    <w:rsid w:val="00A43B92"/>
    <w:rsid w:val="00A4508A"/>
    <w:rsid w:val="00A50071"/>
    <w:rsid w:val="00A5033B"/>
    <w:rsid w:val="00A507A1"/>
    <w:rsid w:val="00A50F8F"/>
    <w:rsid w:val="00A5147E"/>
    <w:rsid w:val="00A5228F"/>
    <w:rsid w:val="00A52A60"/>
    <w:rsid w:val="00A53512"/>
    <w:rsid w:val="00A53A0B"/>
    <w:rsid w:val="00A54251"/>
    <w:rsid w:val="00A54E39"/>
    <w:rsid w:val="00A5581F"/>
    <w:rsid w:val="00A60091"/>
    <w:rsid w:val="00A6179E"/>
    <w:rsid w:val="00A62243"/>
    <w:rsid w:val="00A6356B"/>
    <w:rsid w:val="00A64316"/>
    <w:rsid w:val="00A7240B"/>
    <w:rsid w:val="00A72FDE"/>
    <w:rsid w:val="00A732CF"/>
    <w:rsid w:val="00A802EE"/>
    <w:rsid w:val="00A804D9"/>
    <w:rsid w:val="00A83605"/>
    <w:rsid w:val="00A8573B"/>
    <w:rsid w:val="00A92915"/>
    <w:rsid w:val="00A92F92"/>
    <w:rsid w:val="00A93CAF"/>
    <w:rsid w:val="00A96892"/>
    <w:rsid w:val="00A96BE6"/>
    <w:rsid w:val="00A96C9A"/>
    <w:rsid w:val="00AA0575"/>
    <w:rsid w:val="00AA2051"/>
    <w:rsid w:val="00AA2B95"/>
    <w:rsid w:val="00AA3521"/>
    <w:rsid w:val="00AA3B06"/>
    <w:rsid w:val="00AA3E68"/>
    <w:rsid w:val="00AA4E8D"/>
    <w:rsid w:val="00AA70C4"/>
    <w:rsid w:val="00AA716C"/>
    <w:rsid w:val="00AB022B"/>
    <w:rsid w:val="00AB0D41"/>
    <w:rsid w:val="00AB16AA"/>
    <w:rsid w:val="00AB33CC"/>
    <w:rsid w:val="00AB7C8F"/>
    <w:rsid w:val="00AC2192"/>
    <w:rsid w:val="00AC220A"/>
    <w:rsid w:val="00AC24B4"/>
    <w:rsid w:val="00AC3BB2"/>
    <w:rsid w:val="00AC636D"/>
    <w:rsid w:val="00AC66A2"/>
    <w:rsid w:val="00AD41D3"/>
    <w:rsid w:val="00AE61EC"/>
    <w:rsid w:val="00AE660F"/>
    <w:rsid w:val="00AE6939"/>
    <w:rsid w:val="00AF0291"/>
    <w:rsid w:val="00AF0827"/>
    <w:rsid w:val="00AF423D"/>
    <w:rsid w:val="00AF5053"/>
    <w:rsid w:val="00AF5527"/>
    <w:rsid w:val="00AF6AEA"/>
    <w:rsid w:val="00AF7D4E"/>
    <w:rsid w:val="00B0080D"/>
    <w:rsid w:val="00B00AB6"/>
    <w:rsid w:val="00B00F61"/>
    <w:rsid w:val="00B01132"/>
    <w:rsid w:val="00B02537"/>
    <w:rsid w:val="00B02F21"/>
    <w:rsid w:val="00B05894"/>
    <w:rsid w:val="00B0762E"/>
    <w:rsid w:val="00B07DE8"/>
    <w:rsid w:val="00B10864"/>
    <w:rsid w:val="00B11748"/>
    <w:rsid w:val="00B11A04"/>
    <w:rsid w:val="00B12AC0"/>
    <w:rsid w:val="00B12DD7"/>
    <w:rsid w:val="00B13708"/>
    <w:rsid w:val="00B179F7"/>
    <w:rsid w:val="00B2101F"/>
    <w:rsid w:val="00B21461"/>
    <w:rsid w:val="00B216C0"/>
    <w:rsid w:val="00B217B8"/>
    <w:rsid w:val="00B228A2"/>
    <w:rsid w:val="00B237FB"/>
    <w:rsid w:val="00B24738"/>
    <w:rsid w:val="00B24B1D"/>
    <w:rsid w:val="00B25BA5"/>
    <w:rsid w:val="00B261D0"/>
    <w:rsid w:val="00B26C33"/>
    <w:rsid w:val="00B276D1"/>
    <w:rsid w:val="00B277E0"/>
    <w:rsid w:val="00B31CE8"/>
    <w:rsid w:val="00B3354F"/>
    <w:rsid w:val="00B34946"/>
    <w:rsid w:val="00B36171"/>
    <w:rsid w:val="00B433B2"/>
    <w:rsid w:val="00B469BC"/>
    <w:rsid w:val="00B519FD"/>
    <w:rsid w:val="00B520BC"/>
    <w:rsid w:val="00B539CC"/>
    <w:rsid w:val="00B54687"/>
    <w:rsid w:val="00B57CE2"/>
    <w:rsid w:val="00B616C6"/>
    <w:rsid w:val="00B62BEE"/>
    <w:rsid w:val="00B63D24"/>
    <w:rsid w:val="00B651F5"/>
    <w:rsid w:val="00B6655C"/>
    <w:rsid w:val="00B6782F"/>
    <w:rsid w:val="00B71124"/>
    <w:rsid w:val="00B74301"/>
    <w:rsid w:val="00B74A51"/>
    <w:rsid w:val="00B75ABB"/>
    <w:rsid w:val="00B77459"/>
    <w:rsid w:val="00B81CC6"/>
    <w:rsid w:val="00B830E1"/>
    <w:rsid w:val="00B8417B"/>
    <w:rsid w:val="00B87F64"/>
    <w:rsid w:val="00B90C5D"/>
    <w:rsid w:val="00B91138"/>
    <w:rsid w:val="00B919EC"/>
    <w:rsid w:val="00B924E6"/>
    <w:rsid w:val="00B93702"/>
    <w:rsid w:val="00B959B6"/>
    <w:rsid w:val="00B966BD"/>
    <w:rsid w:val="00B97ED3"/>
    <w:rsid w:val="00B97FCE"/>
    <w:rsid w:val="00BA262D"/>
    <w:rsid w:val="00BA5698"/>
    <w:rsid w:val="00BA5C71"/>
    <w:rsid w:val="00BA607E"/>
    <w:rsid w:val="00BA7100"/>
    <w:rsid w:val="00BA77AD"/>
    <w:rsid w:val="00BA7DF4"/>
    <w:rsid w:val="00BB26D9"/>
    <w:rsid w:val="00BB3A8E"/>
    <w:rsid w:val="00BB3E9C"/>
    <w:rsid w:val="00BB4040"/>
    <w:rsid w:val="00BB6AD2"/>
    <w:rsid w:val="00BC0011"/>
    <w:rsid w:val="00BC01F0"/>
    <w:rsid w:val="00BC11A0"/>
    <w:rsid w:val="00BC79EB"/>
    <w:rsid w:val="00BC7B3A"/>
    <w:rsid w:val="00BD00F3"/>
    <w:rsid w:val="00BD0969"/>
    <w:rsid w:val="00BD16A2"/>
    <w:rsid w:val="00BD5F40"/>
    <w:rsid w:val="00BD7FCF"/>
    <w:rsid w:val="00BE0E45"/>
    <w:rsid w:val="00BE0FE8"/>
    <w:rsid w:val="00BE14C3"/>
    <w:rsid w:val="00BE258A"/>
    <w:rsid w:val="00BE2655"/>
    <w:rsid w:val="00BE294E"/>
    <w:rsid w:val="00BE2A76"/>
    <w:rsid w:val="00BE2D34"/>
    <w:rsid w:val="00BE5CDE"/>
    <w:rsid w:val="00BE6B28"/>
    <w:rsid w:val="00BF0D34"/>
    <w:rsid w:val="00BF6406"/>
    <w:rsid w:val="00BF7AC7"/>
    <w:rsid w:val="00C0003D"/>
    <w:rsid w:val="00C00603"/>
    <w:rsid w:val="00C05C8B"/>
    <w:rsid w:val="00C064DC"/>
    <w:rsid w:val="00C07DFE"/>
    <w:rsid w:val="00C132CA"/>
    <w:rsid w:val="00C149BD"/>
    <w:rsid w:val="00C16023"/>
    <w:rsid w:val="00C22698"/>
    <w:rsid w:val="00C22BB9"/>
    <w:rsid w:val="00C25BDA"/>
    <w:rsid w:val="00C266CF"/>
    <w:rsid w:val="00C31E20"/>
    <w:rsid w:val="00C33104"/>
    <w:rsid w:val="00C332D4"/>
    <w:rsid w:val="00C343B4"/>
    <w:rsid w:val="00C357F3"/>
    <w:rsid w:val="00C40FBC"/>
    <w:rsid w:val="00C41235"/>
    <w:rsid w:val="00C426FD"/>
    <w:rsid w:val="00C4526C"/>
    <w:rsid w:val="00C46EC9"/>
    <w:rsid w:val="00C471D1"/>
    <w:rsid w:val="00C4776D"/>
    <w:rsid w:val="00C47AE4"/>
    <w:rsid w:val="00C51011"/>
    <w:rsid w:val="00C512EE"/>
    <w:rsid w:val="00C559BD"/>
    <w:rsid w:val="00C560AC"/>
    <w:rsid w:val="00C5781C"/>
    <w:rsid w:val="00C60343"/>
    <w:rsid w:val="00C63223"/>
    <w:rsid w:val="00C65659"/>
    <w:rsid w:val="00C663F0"/>
    <w:rsid w:val="00C67672"/>
    <w:rsid w:val="00C70B00"/>
    <w:rsid w:val="00C70E07"/>
    <w:rsid w:val="00C7387B"/>
    <w:rsid w:val="00C738D5"/>
    <w:rsid w:val="00C75198"/>
    <w:rsid w:val="00C76572"/>
    <w:rsid w:val="00C8361C"/>
    <w:rsid w:val="00C83B89"/>
    <w:rsid w:val="00C854D4"/>
    <w:rsid w:val="00C90556"/>
    <w:rsid w:val="00C95D09"/>
    <w:rsid w:val="00C95D9D"/>
    <w:rsid w:val="00CA0D78"/>
    <w:rsid w:val="00CA175B"/>
    <w:rsid w:val="00CA4855"/>
    <w:rsid w:val="00CA5010"/>
    <w:rsid w:val="00CA5D90"/>
    <w:rsid w:val="00CA6C8A"/>
    <w:rsid w:val="00CB139C"/>
    <w:rsid w:val="00CB24FE"/>
    <w:rsid w:val="00CB3D19"/>
    <w:rsid w:val="00CB4785"/>
    <w:rsid w:val="00CB68F1"/>
    <w:rsid w:val="00CB6E11"/>
    <w:rsid w:val="00CB707B"/>
    <w:rsid w:val="00CC010F"/>
    <w:rsid w:val="00CC20C5"/>
    <w:rsid w:val="00CC2AA0"/>
    <w:rsid w:val="00CC52A9"/>
    <w:rsid w:val="00CC67B2"/>
    <w:rsid w:val="00CD04C3"/>
    <w:rsid w:val="00CD3249"/>
    <w:rsid w:val="00CD511A"/>
    <w:rsid w:val="00CD58FD"/>
    <w:rsid w:val="00CD6EE5"/>
    <w:rsid w:val="00CE1A00"/>
    <w:rsid w:val="00CE407B"/>
    <w:rsid w:val="00CE5D15"/>
    <w:rsid w:val="00CF0AC3"/>
    <w:rsid w:val="00CF3C45"/>
    <w:rsid w:val="00CF5D6E"/>
    <w:rsid w:val="00CF6C7C"/>
    <w:rsid w:val="00CF748E"/>
    <w:rsid w:val="00D0122A"/>
    <w:rsid w:val="00D03307"/>
    <w:rsid w:val="00D04128"/>
    <w:rsid w:val="00D0683F"/>
    <w:rsid w:val="00D10C57"/>
    <w:rsid w:val="00D11928"/>
    <w:rsid w:val="00D12B3A"/>
    <w:rsid w:val="00D13417"/>
    <w:rsid w:val="00D159EA"/>
    <w:rsid w:val="00D20714"/>
    <w:rsid w:val="00D20B68"/>
    <w:rsid w:val="00D21975"/>
    <w:rsid w:val="00D249DD"/>
    <w:rsid w:val="00D307FD"/>
    <w:rsid w:val="00D3111B"/>
    <w:rsid w:val="00D3159C"/>
    <w:rsid w:val="00D316D4"/>
    <w:rsid w:val="00D31A44"/>
    <w:rsid w:val="00D32166"/>
    <w:rsid w:val="00D32B62"/>
    <w:rsid w:val="00D343FA"/>
    <w:rsid w:val="00D418FF"/>
    <w:rsid w:val="00D426C8"/>
    <w:rsid w:val="00D430FE"/>
    <w:rsid w:val="00D4322C"/>
    <w:rsid w:val="00D44E9A"/>
    <w:rsid w:val="00D46D0F"/>
    <w:rsid w:val="00D47DA5"/>
    <w:rsid w:val="00D556D6"/>
    <w:rsid w:val="00D55F84"/>
    <w:rsid w:val="00D57ADA"/>
    <w:rsid w:val="00D61AB4"/>
    <w:rsid w:val="00D6222D"/>
    <w:rsid w:val="00D65C76"/>
    <w:rsid w:val="00D67359"/>
    <w:rsid w:val="00D67825"/>
    <w:rsid w:val="00D719BD"/>
    <w:rsid w:val="00D734C7"/>
    <w:rsid w:val="00D740E5"/>
    <w:rsid w:val="00D7542B"/>
    <w:rsid w:val="00D7717D"/>
    <w:rsid w:val="00D7747F"/>
    <w:rsid w:val="00D80516"/>
    <w:rsid w:val="00D80A84"/>
    <w:rsid w:val="00D82A34"/>
    <w:rsid w:val="00D8333B"/>
    <w:rsid w:val="00D8351F"/>
    <w:rsid w:val="00D8462A"/>
    <w:rsid w:val="00D851A7"/>
    <w:rsid w:val="00D853F1"/>
    <w:rsid w:val="00D87541"/>
    <w:rsid w:val="00D94BAC"/>
    <w:rsid w:val="00D96A9C"/>
    <w:rsid w:val="00D975CB"/>
    <w:rsid w:val="00D97FA3"/>
    <w:rsid w:val="00DA1D32"/>
    <w:rsid w:val="00DA2F73"/>
    <w:rsid w:val="00DA60DE"/>
    <w:rsid w:val="00DA6300"/>
    <w:rsid w:val="00DA7A55"/>
    <w:rsid w:val="00DB0CDF"/>
    <w:rsid w:val="00DB130E"/>
    <w:rsid w:val="00DB2355"/>
    <w:rsid w:val="00DB29E5"/>
    <w:rsid w:val="00DB458C"/>
    <w:rsid w:val="00DB5309"/>
    <w:rsid w:val="00DB7FDD"/>
    <w:rsid w:val="00DC13D2"/>
    <w:rsid w:val="00DC307B"/>
    <w:rsid w:val="00DC342F"/>
    <w:rsid w:val="00DC343B"/>
    <w:rsid w:val="00DC462F"/>
    <w:rsid w:val="00DC499A"/>
    <w:rsid w:val="00DC6F1A"/>
    <w:rsid w:val="00DD03B5"/>
    <w:rsid w:val="00DD0794"/>
    <w:rsid w:val="00DD33FD"/>
    <w:rsid w:val="00DD4BC4"/>
    <w:rsid w:val="00DD50E2"/>
    <w:rsid w:val="00DD63D2"/>
    <w:rsid w:val="00DD6A21"/>
    <w:rsid w:val="00DE05A6"/>
    <w:rsid w:val="00DE08BD"/>
    <w:rsid w:val="00DE18A7"/>
    <w:rsid w:val="00DE19CA"/>
    <w:rsid w:val="00DE238B"/>
    <w:rsid w:val="00DE2E5B"/>
    <w:rsid w:val="00DE2EFB"/>
    <w:rsid w:val="00DE331C"/>
    <w:rsid w:val="00DE4243"/>
    <w:rsid w:val="00DE448D"/>
    <w:rsid w:val="00DE60CA"/>
    <w:rsid w:val="00DE70B8"/>
    <w:rsid w:val="00DE7FFE"/>
    <w:rsid w:val="00DF01B6"/>
    <w:rsid w:val="00DF277F"/>
    <w:rsid w:val="00DF357D"/>
    <w:rsid w:val="00DF3E3F"/>
    <w:rsid w:val="00DF6163"/>
    <w:rsid w:val="00DF7864"/>
    <w:rsid w:val="00DF7BDF"/>
    <w:rsid w:val="00E02517"/>
    <w:rsid w:val="00E03818"/>
    <w:rsid w:val="00E050B2"/>
    <w:rsid w:val="00E10114"/>
    <w:rsid w:val="00E10792"/>
    <w:rsid w:val="00E14303"/>
    <w:rsid w:val="00E14310"/>
    <w:rsid w:val="00E14833"/>
    <w:rsid w:val="00E160C2"/>
    <w:rsid w:val="00E1675F"/>
    <w:rsid w:val="00E16A5C"/>
    <w:rsid w:val="00E23DB3"/>
    <w:rsid w:val="00E24D24"/>
    <w:rsid w:val="00E24FA3"/>
    <w:rsid w:val="00E262AC"/>
    <w:rsid w:val="00E26639"/>
    <w:rsid w:val="00E269BB"/>
    <w:rsid w:val="00E26B28"/>
    <w:rsid w:val="00E3027C"/>
    <w:rsid w:val="00E308D1"/>
    <w:rsid w:val="00E31465"/>
    <w:rsid w:val="00E31CC0"/>
    <w:rsid w:val="00E328CD"/>
    <w:rsid w:val="00E330FD"/>
    <w:rsid w:val="00E3489E"/>
    <w:rsid w:val="00E350EC"/>
    <w:rsid w:val="00E3546C"/>
    <w:rsid w:val="00E3558B"/>
    <w:rsid w:val="00E362F0"/>
    <w:rsid w:val="00E36B95"/>
    <w:rsid w:val="00E37595"/>
    <w:rsid w:val="00E37FE8"/>
    <w:rsid w:val="00E4003F"/>
    <w:rsid w:val="00E41E44"/>
    <w:rsid w:val="00E458F6"/>
    <w:rsid w:val="00E45954"/>
    <w:rsid w:val="00E46704"/>
    <w:rsid w:val="00E47707"/>
    <w:rsid w:val="00E4792A"/>
    <w:rsid w:val="00E51085"/>
    <w:rsid w:val="00E5247D"/>
    <w:rsid w:val="00E53507"/>
    <w:rsid w:val="00E53546"/>
    <w:rsid w:val="00E55F24"/>
    <w:rsid w:val="00E57135"/>
    <w:rsid w:val="00E61068"/>
    <w:rsid w:val="00E62B17"/>
    <w:rsid w:val="00E66D3F"/>
    <w:rsid w:val="00E6736E"/>
    <w:rsid w:val="00E67F20"/>
    <w:rsid w:val="00E70E2C"/>
    <w:rsid w:val="00E70EB3"/>
    <w:rsid w:val="00E71A9F"/>
    <w:rsid w:val="00E730BB"/>
    <w:rsid w:val="00E752E7"/>
    <w:rsid w:val="00E77E63"/>
    <w:rsid w:val="00E77E7A"/>
    <w:rsid w:val="00E83393"/>
    <w:rsid w:val="00E8450C"/>
    <w:rsid w:val="00E86276"/>
    <w:rsid w:val="00E87FEA"/>
    <w:rsid w:val="00E90ADB"/>
    <w:rsid w:val="00E92209"/>
    <w:rsid w:val="00E95081"/>
    <w:rsid w:val="00E95B97"/>
    <w:rsid w:val="00E96017"/>
    <w:rsid w:val="00E9693F"/>
    <w:rsid w:val="00EA022E"/>
    <w:rsid w:val="00EA2FF1"/>
    <w:rsid w:val="00EA321E"/>
    <w:rsid w:val="00EA44D9"/>
    <w:rsid w:val="00EA471C"/>
    <w:rsid w:val="00EA588E"/>
    <w:rsid w:val="00EA6D81"/>
    <w:rsid w:val="00EB3DC6"/>
    <w:rsid w:val="00EB65F8"/>
    <w:rsid w:val="00EB6A76"/>
    <w:rsid w:val="00EB7CA0"/>
    <w:rsid w:val="00EC0112"/>
    <w:rsid w:val="00EC04AF"/>
    <w:rsid w:val="00EC0709"/>
    <w:rsid w:val="00EC27C7"/>
    <w:rsid w:val="00EC2BD7"/>
    <w:rsid w:val="00EC7769"/>
    <w:rsid w:val="00ED1BA0"/>
    <w:rsid w:val="00ED1F0D"/>
    <w:rsid w:val="00ED460F"/>
    <w:rsid w:val="00ED4E50"/>
    <w:rsid w:val="00ED77B4"/>
    <w:rsid w:val="00EE0511"/>
    <w:rsid w:val="00EE05EC"/>
    <w:rsid w:val="00EE1722"/>
    <w:rsid w:val="00EE4E07"/>
    <w:rsid w:val="00EE52DB"/>
    <w:rsid w:val="00EE5A3E"/>
    <w:rsid w:val="00EF155E"/>
    <w:rsid w:val="00EF4034"/>
    <w:rsid w:val="00EF4DC0"/>
    <w:rsid w:val="00EF7E53"/>
    <w:rsid w:val="00F00549"/>
    <w:rsid w:val="00F006B3"/>
    <w:rsid w:val="00F02421"/>
    <w:rsid w:val="00F029CA"/>
    <w:rsid w:val="00F03544"/>
    <w:rsid w:val="00F0446E"/>
    <w:rsid w:val="00F05350"/>
    <w:rsid w:val="00F066D4"/>
    <w:rsid w:val="00F075C3"/>
    <w:rsid w:val="00F0799D"/>
    <w:rsid w:val="00F107A0"/>
    <w:rsid w:val="00F10BA1"/>
    <w:rsid w:val="00F122E3"/>
    <w:rsid w:val="00F127A8"/>
    <w:rsid w:val="00F12A07"/>
    <w:rsid w:val="00F12A77"/>
    <w:rsid w:val="00F14C6D"/>
    <w:rsid w:val="00F15515"/>
    <w:rsid w:val="00F17A61"/>
    <w:rsid w:val="00F17C2C"/>
    <w:rsid w:val="00F20C24"/>
    <w:rsid w:val="00F220A5"/>
    <w:rsid w:val="00F23411"/>
    <w:rsid w:val="00F26CF0"/>
    <w:rsid w:val="00F318F2"/>
    <w:rsid w:val="00F33303"/>
    <w:rsid w:val="00F340F0"/>
    <w:rsid w:val="00F34362"/>
    <w:rsid w:val="00F34425"/>
    <w:rsid w:val="00F34BC9"/>
    <w:rsid w:val="00F364AB"/>
    <w:rsid w:val="00F418CA"/>
    <w:rsid w:val="00F42EA5"/>
    <w:rsid w:val="00F443B0"/>
    <w:rsid w:val="00F46931"/>
    <w:rsid w:val="00F513AE"/>
    <w:rsid w:val="00F518C8"/>
    <w:rsid w:val="00F545CE"/>
    <w:rsid w:val="00F5652F"/>
    <w:rsid w:val="00F56CA8"/>
    <w:rsid w:val="00F57F50"/>
    <w:rsid w:val="00F607BD"/>
    <w:rsid w:val="00F60EF7"/>
    <w:rsid w:val="00F64CFC"/>
    <w:rsid w:val="00F67892"/>
    <w:rsid w:val="00F77C16"/>
    <w:rsid w:val="00F8011C"/>
    <w:rsid w:val="00F81C6D"/>
    <w:rsid w:val="00F8302E"/>
    <w:rsid w:val="00F8373F"/>
    <w:rsid w:val="00F83AB0"/>
    <w:rsid w:val="00F85562"/>
    <w:rsid w:val="00F86DAB"/>
    <w:rsid w:val="00F8756A"/>
    <w:rsid w:val="00F909B7"/>
    <w:rsid w:val="00F91F16"/>
    <w:rsid w:val="00F92ECD"/>
    <w:rsid w:val="00F9366F"/>
    <w:rsid w:val="00F9398E"/>
    <w:rsid w:val="00F95AAA"/>
    <w:rsid w:val="00F96425"/>
    <w:rsid w:val="00F969BF"/>
    <w:rsid w:val="00F9705E"/>
    <w:rsid w:val="00FA1FF6"/>
    <w:rsid w:val="00FA22A8"/>
    <w:rsid w:val="00FA22C3"/>
    <w:rsid w:val="00FA4916"/>
    <w:rsid w:val="00FA5A8B"/>
    <w:rsid w:val="00FA6BBE"/>
    <w:rsid w:val="00FA6FFA"/>
    <w:rsid w:val="00FA7E5C"/>
    <w:rsid w:val="00FB193D"/>
    <w:rsid w:val="00FB3422"/>
    <w:rsid w:val="00FC2383"/>
    <w:rsid w:val="00FC560B"/>
    <w:rsid w:val="00FD01B5"/>
    <w:rsid w:val="00FD049D"/>
    <w:rsid w:val="00FD2C64"/>
    <w:rsid w:val="00FD3E09"/>
    <w:rsid w:val="00FD5BF0"/>
    <w:rsid w:val="00FD660B"/>
    <w:rsid w:val="00FE0970"/>
    <w:rsid w:val="00FE145A"/>
    <w:rsid w:val="00FE1C32"/>
    <w:rsid w:val="00FE4AFB"/>
    <w:rsid w:val="00FE544E"/>
    <w:rsid w:val="00FF3518"/>
    <w:rsid w:val="00FF3AD5"/>
    <w:rsid w:val="00FF3CB1"/>
    <w:rsid w:val="00FF6C60"/>
    <w:rsid w:val="00FF6CB8"/>
    <w:rsid w:val="00FF70AC"/>
    <w:rsid w:val="00FF7B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24BCE"/>
  <w15:chartTrackingRefBased/>
  <w15:docId w15:val="{932FB15C-FEEB-4F58-9681-3D27EE18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Subtitle" w:qFormat="1"/>
    <w:lsdException w:name="Hyperlink" w:locked="0" w:uiPriority="99"/>
    <w:lsdException w:name="Strong" w:locked="0"/>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semiHidden/>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2C5943"/>
    <w:pPr>
      <w:numPr>
        <w:numId w:val="2"/>
      </w:numPr>
      <w:ind w:left="1094" w:hanging="737"/>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2C5943"/>
    <w:pPr>
      <w:numPr>
        <w:numId w:val="7"/>
      </w:numPr>
      <w:tabs>
        <w:tab w:val="left" w:pos="1134"/>
      </w:tabs>
      <w:spacing w:before="120" w:after="120"/>
      <w:contextualSpacing/>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qFormat/>
    <w:rsid w:val="00817C73"/>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817C73"/>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E350EC"/>
    <w:rPr>
      <w:color w:val="605E5C"/>
      <w:shd w:val="clear" w:color="auto" w:fill="E1DFDD"/>
    </w:rPr>
  </w:style>
  <w:style w:type="paragraph" w:styleId="FootnoteText">
    <w:name w:val="footnote text"/>
    <w:basedOn w:val="Normal"/>
    <w:link w:val="FootnoteTextChar"/>
    <w:locked/>
    <w:rsid w:val="00D430FE"/>
    <w:pPr>
      <w:spacing w:before="0" w:after="0"/>
    </w:pPr>
    <w:rPr>
      <w:sz w:val="20"/>
      <w:szCs w:val="20"/>
    </w:rPr>
  </w:style>
  <w:style w:type="character" w:customStyle="1" w:styleId="FootnoteTextChar">
    <w:name w:val="Footnote Text Char"/>
    <w:basedOn w:val="DefaultParagraphFont"/>
    <w:link w:val="FootnoteText"/>
    <w:rsid w:val="00D430FE"/>
    <w:rPr>
      <w:rFonts w:ascii="Open Sans" w:eastAsia="MS Mincho" w:hAnsi="Open Sans"/>
    </w:rPr>
  </w:style>
  <w:style w:type="character" w:styleId="FootnoteReference">
    <w:name w:val="footnote reference"/>
    <w:basedOn w:val="DefaultParagraphFont"/>
    <w:locked/>
    <w:rsid w:val="00D430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8" Type="http://schemas.openxmlformats.org/officeDocument/2006/relationships/hyperlink" Target="https://www.inslm.gov.au/sites/default/files/2021-02/inslm-annual-report-2019-2020.pdf" TargetMode="External"/><Relationship Id="rId13" Type="http://schemas.openxmlformats.org/officeDocument/2006/relationships/hyperlink" Target="https://www.aph.gov.au/DocumentStore.ashx?id=b2a784cc-435f-4cbd-b5c7-6831eeb05e81&amp;subId=691580" TargetMode="External"/><Relationship Id="rId3" Type="http://schemas.openxmlformats.org/officeDocument/2006/relationships/hyperlink" Target="https://www.inslm.gov.au/sites/default/files/2021-02/inslm-annual-report-2019-2020.pdf" TargetMode="External"/><Relationship Id="rId7" Type="http://schemas.openxmlformats.org/officeDocument/2006/relationships/hyperlink" Target="https://www.homeaffairs.gov.au/reports-and-pubs/Annualreports/home-affairs-annual-report-2020-21.pdf" TargetMode="External"/><Relationship Id="rId12" Type="http://schemas.openxmlformats.org/officeDocument/2006/relationships/hyperlink" Target="https://www.aph.gov.au/DocumentStore.ashx?id=17e06008-e0f9-491e-98f0-1913b835392a&amp;subId=691220" TargetMode="External"/><Relationship Id="rId17" Type="http://schemas.openxmlformats.org/officeDocument/2006/relationships/hyperlink" Target="https://www.aph.gov.au/DocumentStore.ashx?id=b2a784cc-435f-4cbd-b5c7-6831eeb05e81&amp;subId=691580" TargetMode="External"/><Relationship Id="rId2" Type="http://schemas.openxmlformats.org/officeDocument/2006/relationships/hyperlink" Target="https://www.pm.gov.au/media/combatting-australian-terrorists" TargetMode="External"/><Relationship Id="rId16" Type="http://schemas.openxmlformats.org/officeDocument/2006/relationships/hyperlink" Target="https://www.aph.gov.au/DocumentStore.ashx?id=fd5e63bb-acc4-48d8-a5c9-28e16e310515" TargetMode="External"/><Relationship Id="rId1" Type="http://schemas.openxmlformats.org/officeDocument/2006/relationships/hyperlink" Target="https://www.aph.gov.au/DocumentStore.ashx?id=372fe9e7-3d94-4ba4-9bad-eff0c1084111&amp;subId=667095" TargetMode="External"/><Relationship Id="rId6" Type="http://schemas.openxmlformats.org/officeDocument/2006/relationships/hyperlink" Target="https://web.archive.org.au/awa/20211005043413mp_/https://www.nationalsecurity.gov.au/Media-and-publications/Annual-Reports/Documents/annual-report-2019-20.pdf" TargetMode="External"/><Relationship Id="rId11" Type="http://schemas.openxmlformats.org/officeDocument/2006/relationships/hyperlink" Target="https://www.aph.gov.au/DocumentStore.ashx?id=b2a784cc-435f-4cbd-b5c7-6831eeb05e81&amp;subId=691580" TargetMode="External"/><Relationship Id="rId5" Type="http://schemas.openxmlformats.org/officeDocument/2006/relationships/hyperlink" Target="https://parlinfo.aph.gov.au/parlInfo/download/committees/commjnt/24ee7702-d065-4b84-9de9-ff9ab32ba199/toc_pdf/Parliamentary%20Joint%20Committee%20on%20Intelligence%20and%20Security_2019_03_15_7008_Official.pdf;fileType=application%2Fpdf" TargetMode="External"/><Relationship Id="rId15" Type="http://schemas.openxmlformats.org/officeDocument/2006/relationships/hyperlink" Target="https://parlinfo.aph.gov.au/parlInfo/download/committees/reportjnt/024276/toc_pdf/AdvisoryreportontheCounter-Terrorism(TemporaryExclusionOrders)Bill2019.pdf;fileType=application%2Fpdf" TargetMode="External"/><Relationship Id="rId10" Type="http://schemas.openxmlformats.org/officeDocument/2006/relationships/hyperlink" Target="https://parlinfo.aph.gov.au/parlInfo/download/committees/reportjnt/024574/toc_pdf/Reviewof'DeclaredAreas'Provisions.pdf;fileType=application%2Fpdf" TargetMode="External"/><Relationship Id="rId4" Type="http://schemas.openxmlformats.org/officeDocument/2006/relationships/hyperlink" Target="https://www.inslm.gov.au/sites/default/files/2020-02/INSLM%20Annual%20Report%20-%202018-2019.pdf" TargetMode="External"/><Relationship Id="rId9" Type="http://schemas.openxmlformats.org/officeDocument/2006/relationships/hyperlink" Target="https://www.inslm.gov.au/sites/default/files/2020-02/INSLM%20Annual%20Report%20-%202018-2019.pdf" TargetMode="External"/><Relationship Id="rId14" Type="http://schemas.openxmlformats.org/officeDocument/2006/relationships/hyperlink" Target="https://www.pm.gov.au/media/combatting-australian-terrori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radical/AHRCTemplateHub/Commission/Guidelines%20or%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DGE6U7RJ2EFV-31920988-8542</_dlc_DocId>
    <_dlc_DocIdUrl xmlns="6500fe01-343b-4fb9-a1b0-68ac19d62e01">
      <Url>https://australianhrc.sharepoint.com/sites/LegalServicesWorkspace/_layouts/15/DocIdRedir.aspx?ID=DGE6U7RJ2EFV-31920988-8542</Url>
      <Description>DGE6U7RJ2EFV-31920988-8542</Description>
    </_dlc_DocIdUrl>
    <Received_x002f_Sent xmlns="57f1fb52-79b9-4278-9d54-1e5db41bfcda" xsi:nil="true"/>
    <EmailasAttachment xmlns="1a69bdef-c635-48ac-9cf9-b687dab64bb7">
      <Url xsi:nil="true"/>
      <Description xsi:nil="true"/>
    </EmailasAttachment>
    <Divider xmlns="6500fe01-343b-4fb9-a1b0-68ac19d62e01" xsi:nil="true"/>
    <h1905e97e92e42caaf2a314461ed6a1e xmlns="57f1fb52-79b9-4278-9d54-1e5db41bfcda">
      <Terms xmlns="http://schemas.microsoft.com/office/infopath/2007/PartnerControls"/>
    </h1905e97e92e42caaf2a314461ed6a1e>
    <From1 xmlns="57f1fb52-79b9-4278-9d54-1e5db41bfcda" xsi:nil="true"/>
    <Subdivider xmlns="57f1fb52-79b9-4278-9d54-1e5db41bfcd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53" ma:contentTypeDescription="Create a new document." ma:contentTypeScope="" ma:versionID="f9fc1403281b2246f6f00a229a239113">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98fcf6e74e987bc9f34e01231bd29ea5"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hidden="true" ma:indexed="true" ma:internalName="Subdivider" ma:readOnly="false">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dexed="true" ma:internalName="From1">
      <xsd:simpleType>
        <xsd:restriction base="dms:Text">
          <xsd:maxLength value="255"/>
        </xsd:restriction>
      </xsd:simpleType>
    </xsd:element>
    <xsd:element name="Received_x002f_Sent" ma:index="28" nillable="true" ma:displayName="Received/Sent" ma:indexed="true"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hidden="true" ma:indexed="true" ma:internalName="Divider" ma:readOnly="false">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ma:index="3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975c5ac6-a0cc-43ed-b850-4a2ae59237b6" ContentTypeId="0x0101" PreviousValue="false"/>
</file>

<file path=customXml/itemProps1.xml><?xml version="1.0" encoding="utf-8"?>
<ds:datastoreItem xmlns:ds="http://schemas.openxmlformats.org/officeDocument/2006/customXml" ds:itemID="{9F6D1B6B-A796-48AB-A1B2-2D084C3FF0F0}">
  <ds:schemaRefs>
    <ds:schemaRef ds:uri="http://schemas.microsoft.com/office/2006/metadata/properties"/>
    <ds:schemaRef ds:uri="http://schemas.microsoft.com/office/infopath/2007/PartnerControls"/>
    <ds:schemaRef ds:uri="6500fe01-343b-4fb9-a1b0-68ac19d62e01"/>
    <ds:schemaRef ds:uri="57f1fb52-79b9-4278-9d54-1e5db41bfcda"/>
    <ds:schemaRef ds:uri="1a69bdef-c635-48ac-9cf9-b687dab64bb7"/>
  </ds:schemaRefs>
</ds:datastoreItem>
</file>

<file path=customXml/itemProps2.xml><?xml version="1.0" encoding="utf-8"?>
<ds:datastoreItem xmlns:ds="http://schemas.openxmlformats.org/officeDocument/2006/customXml" ds:itemID="{B9D4B9BB-F549-4D49-83AC-E2D91173C7AE}">
  <ds:schemaRefs>
    <ds:schemaRef ds:uri="http://schemas.openxmlformats.org/officeDocument/2006/bibliography"/>
  </ds:schemaRefs>
</ds:datastoreItem>
</file>

<file path=customXml/itemProps3.xml><?xml version="1.0" encoding="utf-8"?>
<ds:datastoreItem xmlns:ds="http://schemas.openxmlformats.org/officeDocument/2006/customXml" ds:itemID="{852FBCA4-297A-4636-8A01-F92221CAE384}">
  <ds:schemaRefs>
    <ds:schemaRef ds:uri="http://schemas.microsoft.com/office/2006/metadata/customXsn"/>
  </ds:schemaRefs>
</ds:datastoreItem>
</file>

<file path=customXml/itemProps4.xml><?xml version="1.0" encoding="utf-8"?>
<ds:datastoreItem xmlns:ds="http://schemas.openxmlformats.org/officeDocument/2006/customXml" ds:itemID="{2298C5E2-9461-4DB5-BBCC-80CF04E52698}">
  <ds:schemaRefs>
    <ds:schemaRef ds:uri="http://schemas.microsoft.com/sharepoint/events"/>
  </ds:schemaRefs>
</ds:datastoreItem>
</file>

<file path=customXml/itemProps5.xml><?xml version="1.0" encoding="utf-8"?>
<ds:datastoreItem xmlns:ds="http://schemas.openxmlformats.org/officeDocument/2006/customXml" ds:itemID="{56E6B83B-146E-4AC4-A37E-93BE923A109C}">
  <ds:schemaRefs>
    <ds:schemaRef ds:uri="http://schemas.microsoft.com/sharepoint/v3/contenttype/forms"/>
  </ds:schemaRefs>
</ds:datastoreItem>
</file>

<file path=customXml/itemProps6.xml><?xml version="1.0" encoding="utf-8"?>
<ds:datastoreItem xmlns:ds="http://schemas.openxmlformats.org/officeDocument/2006/customXml" ds:itemID="{F3A0714A-46DF-4F81-995A-F34EFB66B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1a69bdef-c635-48ac-9cf9-b687dab6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3BFE142-8A40-4E2A-B52D-66A677DE69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Guidelines%20or%20Policy%20template</Template>
  <TotalTime>2581</TotalTime>
  <Pages>29</Pages>
  <Words>7418</Words>
  <Characters>42287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49606</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AHRC User</dc:creator>
  <cp:keywords/>
  <cp:lastModifiedBy>Graeme Edgerton</cp:lastModifiedBy>
  <cp:revision>1165</cp:revision>
  <cp:lastPrinted>2021-12-02T23:14:00Z</cp:lastPrinted>
  <dcterms:created xsi:type="dcterms:W3CDTF">2021-11-22T23:12:00Z</dcterms:created>
  <dcterms:modified xsi:type="dcterms:W3CDTF">2021-12-02T23:14:00Z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_dlc_DocIdItemGuid">
    <vt:lpwstr>7bbfdaac-5987-497f-84ad-25801eb5a157</vt:lpwstr>
  </property>
  <property fmtid="{D5CDD505-2E9C-101B-9397-08002B2CF9AE}" pid="4" name="TaxKeyword">
    <vt:lpwstr/>
  </property>
  <property fmtid="{D5CDD505-2E9C-101B-9397-08002B2CF9AE}" pid="5" name="Document Type">
    <vt:lpwstr/>
  </property>
</Properties>
</file>