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82606" w14:textId="39EC9522" w:rsidR="00D426D6" w:rsidRDefault="00804B5E" w:rsidP="00804B5E">
      <w:pPr>
        <w:pStyle w:val="MainTitle"/>
      </w:pPr>
      <w:r>
        <w:t>Counter-Terrorism and Other Legislation Amendment Bill 2023</w:t>
      </w:r>
    </w:p>
    <w:p w14:paraId="64295DA6" w14:textId="77777777" w:rsidR="00A91951" w:rsidRDefault="00A91951" w:rsidP="00F112EB">
      <w:pPr>
        <w:pStyle w:val="Date"/>
        <w:jc w:val="left"/>
        <w:rPr>
          <w:color w:val="2E74B5" w:themeColor="accent1" w:themeShade="BF"/>
          <w:sz w:val="28"/>
        </w:rPr>
      </w:pPr>
      <w:bookmarkStart w:id="0" w:name="_Toc525894097"/>
    </w:p>
    <w:p w14:paraId="2249CCAE" w14:textId="7ECEF210" w:rsidR="00817C73" w:rsidRPr="004A351F" w:rsidRDefault="00C86324" w:rsidP="00A91951">
      <w:pPr>
        <w:pStyle w:val="Date"/>
        <w:rPr>
          <w:color w:val="2E74B5" w:themeColor="accent1" w:themeShade="BF"/>
          <w:sz w:val="28"/>
        </w:rPr>
      </w:pPr>
      <w:r w:rsidRPr="004A351F">
        <w:rPr>
          <w:color w:val="2E74B5" w:themeColor="accent1" w:themeShade="BF"/>
          <w:sz w:val="28"/>
        </w:rPr>
        <w:t xml:space="preserve">Submission to the </w:t>
      </w:r>
      <w:bookmarkEnd w:id="0"/>
      <w:r w:rsidR="002C008F">
        <w:rPr>
          <w:color w:val="2E74B5" w:themeColor="accent1" w:themeShade="BF"/>
          <w:sz w:val="28"/>
        </w:rPr>
        <w:t>Parliamentary Joint Committee on Intelligence and Security</w:t>
      </w:r>
    </w:p>
    <w:p w14:paraId="043DF905" w14:textId="0E224D7A" w:rsidR="00F220A5" w:rsidRPr="00817C73" w:rsidRDefault="00BD7B5B" w:rsidP="00F220A5">
      <w:pPr>
        <w:pStyle w:val="Date"/>
      </w:pPr>
      <w:r>
        <w:t>9</w:t>
      </w:r>
      <w:r w:rsidR="006A4A1F">
        <w:t xml:space="preserve"> </w:t>
      </w:r>
      <w:r w:rsidR="008729BA">
        <w:t xml:space="preserve">October </w:t>
      </w:r>
      <w:r w:rsidR="002C008F">
        <w:t>202</w:t>
      </w:r>
      <w:r w:rsidR="008729BA">
        <w:t>3</w:t>
      </w:r>
    </w:p>
    <w:p w14:paraId="5886E512" w14:textId="77777777" w:rsidR="00AC636D" w:rsidRDefault="00AC636D" w:rsidP="00AC636D"/>
    <w:p w14:paraId="4A0EBC7B" w14:textId="77777777" w:rsidR="009E4BD0" w:rsidRPr="00AC636D" w:rsidRDefault="009E4BD0" w:rsidP="000E4837">
      <w:pPr>
        <w:pStyle w:val="Subtitle"/>
        <w:sectPr w:rsidR="009E4BD0" w:rsidRPr="00AC636D" w:rsidSect="00AC636D">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28" w:right="1700" w:bottom="1134" w:left="1418" w:header="277" w:footer="1361" w:gutter="0"/>
          <w:pgNumType w:start="2"/>
          <w:cols w:space="708"/>
          <w:titlePg/>
          <w:docGrid w:linePitch="360"/>
        </w:sectPr>
      </w:pPr>
    </w:p>
    <w:bookmarkStart w:id="1" w:name="_Toc209316062"/>
    <w:bookmarkEnd w:id="1"/>
    <w:p w14:paraId="2B4BAB51" w14:textId="774C8ECD" w:rsidR="00BD7B5B" w:rsidRDefault="000E4837">
      <w:pPr>
        <w:pStyle w:val="TOC1"/>
        <w:rPr>
          <w:rFonts w:asciiTheme="minorHAnsi" w:eastAsiaTheme="minorEastAsia" w:hAnsiTheme="minorHAnsi" w:cstheme="minorBidi"/>
          <w:b w:val="0"/>
          <w:kern w:val="2"/>
          <w:sz w:val="22"/>
          <w:szCs w:val="22"/>
          <w14:ligatures w14:val="standardContextual"/>
        </w:rPr>
      </w:pPr>
      <w:r>
        <w:rPr>
          <w:b w:val="0"/>
        </w:rPr>
        <w:lastRenderedPageBreak/>
        <w:fldChar w:fldCharType="begin"/>
      </w:r>
      <w:r>
        <w:rPr>
          <w:b w:val="0"/>
        </w:rPr>
        <w:instrText xml:space="preserve"> TOC \o "1-3" \h \z \u </w:instrText>
      </w:r>
      <w:r>
        <w:rPr>
          <w:b w:val="0"/>
        </w:rPr>
        <w:fldChar w:fldCharType="separate"/>
      </w:r>
      <w:hyperlink w:anchor="_Toc147736284" w:history="1">
        <w:r w:rsidR="00BD7B5B" w:rsidRPr="00431FE3">
          <w:rPr>
            <w:rStyle w:val="Hyperlink"/>
          </w:rPr>
          <w:t>1</w:t>
        </w:r>
        <w:r w:rsidR="00BD7B5B">
          <w:rPr>
            <w:rFonts w:asciiTheme="minorHAnsi" w:eastAsiaTheme="minorEastAsia" w:hAnsiTheme="minorHAnsi" w:cstheme="minorBidi"/>
            <w:b w:val="0"/>
            <w:kern w:val="2"/>
            <w:sz w:val="22"/>
            <w:szCs w:val="22"/>
            <w14:ligatures w14:val="standardContextual"/>
          </w:rPr>
          <w:tab/>
        </w:r>
        <w:r w:rsidR="00BD7B5B" w:rsidRPr="00431FE3">
          <w:rPr>
            <w:rStyle w:val="Hyperlink"/>
          </w:rPr>
          <w:t>Introduction</w:t>
        </w:r>
        <w:r w:rsidR="00BD7B5B">
          <w:rPr>
            <w:webHidden/>
          </w:rPr>
          <w:tab/>
        </w:r>
        <w:r w:rsidR="00BD7B5B">
          <w:rPr>
            <w:webHidden/>
          </w:rPr>
          <w:fldChar w:fldCharType="begin"/>
        </w:r>
        <w:r w:rsidR="00BD7B5B">
          <w:rPr>
            <w:webHidden/>
          </w:rPr>
          <w:instrText xml:space="preserve"> PAGEREF _Toc147736284 \h </w:instrText>
        </w:r>
        <w:r w:rsidR="00BD7B5B">
          <w:rPr>
            <w:webHidden/>
          </w:rPr>
        </w:r>
        <w:r w:rsidR="00BD7B5B">
          <w:rPr>
            <w:webHidden/>
          </w:rPr>
          <w:fldChar w:fldCharType="separate"/>
        </w:r>
        <w:r w:rsidR="008C2701">
          <w:rPr>
            <w:webHidden/>
          </w:rPr>
          <w:t>3</w:t>
        </w:r>
        <w:r w:rsidR="00BD7B5B">
          <w:rPr>
            <w:webHidden/>
          </w:rPr>
          <w:fldChar w:fldCharType="end"/>
        </w:r>
      </w:hyperlink>
    </w:p>
    <w:p w14:paraId="10F817D9" w14:textId="1B6C6087" w:rsidR="00BD7B5B" w:rsidRDefault="00D2135B">
      <w:pPr>
        <w:pStyle w:val="TOC1"/>
        <w:rPr>
          <w:rFonts w:asciiTheme="minorHAnsi" w:eastAsiaTheme="minorEastAsia" w:hAnsiTheme="minorHAnsi" w:cstheme="minorBidi"/>
          <w:b w:val="0"/>
          <w:kern w:val="2"/>
          <w:sz w:val="22"/>
          <w:szCs w:val="22"/>
          <w14:ligatures w14:val="standardContextual"/>
        </w:rPr>
      </w:pPr>
      <w:hyperlink w:anchor="_Toc147736285" w:history="1">
        <w:r w:rsidR="00BD7B5B" w:rsidRPr="00431FE3">
          <w:rPr>
            <w:rStyle w:val="Hyperlink"/>
          </w:rPr>
          <w:t>2</w:t>
        </w:r>
        <w:r w:rsidR="00BD7B5B">
          <w:rPr>
            <w:rFonts w:asciiTheme="minorHAnsi" w:eastAsiaTheme="minorEastAsia" w:hAnsiTheme="minorHAnsi" w:cstheme="minorBidi"/>
            <w:b w:val="0"/>
            <w:kern w:val="2"/>
            <w:sz w:val="22"/>
            <w:szCs w:val="22"/>
            <w14:ligatures w14:val="standardContextual"/>
          </w:rPr>
          <w:tab/>
        </w:r>
        <w:r w:rsidR="00BD7B5B" w:rsidRPr="00431FE3">
          <w:rPr>
            <w:rStyle w:val="Hyperlink"/>
          </w:rPr>
          <w:t>Summary</w:t>
        </w:r>
        <w:r w:rsidR="00BD7B5B">
          <w:rPr>
            <w:webHidden/>
          </w:rPr>
          <w:tab/>
        </w:r>
        <w:r w:rsidR="00BD7B5B">
          <w:rPr>
            <w:webHidden/>
          </w:rPr>
          <w:fldChar w:fldCharType="begin"/>
        </w:r>
        <w:r w:rsidR="00BD7B5B">
          <w:rPr>
            <w:webHidden/>
          </w:rPr>
          <w:instrText xml:space="preserve"> PAGEREF _Toc147736285 \h </w:instrText>
        </w:r>
        <w:r w:rsidR="00BD7B5B">
          <w:rPr>
            <w:webHidden/>
          </w:rPr>
        </w:r>
        <w:r w:rsidR="00BD7B5B">
          <w:rPr>
            <w:webHidden/>
          </w:rPr>
          <w:fldChar w:fldCharType="separate"/>
        </w:r>
        <w:r w:rsidR="008C2701">
          <w:rPr>
            <w:webHidden/>
          </w:rPr>
          <w:t>3</w:t>
        </w:r>
        <w:r w:rsidR="00BD7B5B">
          <w:rPr>
            <w:webHidden/>
          </w:rPr>
          <w:fldChar w:fldCharType="end"/>
        </w:r>
      </w:hyperlink>
    </w:p>
    <w:p w14:paraId="18B79602" w14:textId="075693FB" w:rsidR="00BD7B5B" w:rsidRDefault="00D2135B">
      <w:pPr>
        <w:pStyle w:val="TOC1"/>
        <w:rPr>
          <w:rFonts w:asciiTheme="minorHAnsi" w:eastAsiaTheme="minorEastAsia" w:hAnsiTheme="minorHAnsi" w:cstheme="minorBidi"/>
          <w:b w:val="0"/>
          <w:kern w:val="2"/>
          <w:sz w:val="22"/>
          <w:szCs w:val="22"/>
          <w14:ligatures w14:val="standardContextual"/>
        </w:rPr>
      </w:pPr>
      <w:hyperlink w:anchor="_Toc147736286" w:history="1">
        <w:r w:rsidR="00BD7B5B" w:rsidRPr="00431FE3">
          <w:rPr>
            <w:rStyle w:val="Hyperlink"/>
          </w:rPr>
          <w:t>3</w:t>
        </w:r>
        <w:r w:rsidR="00BD7B5B">
          <w:rPr>
            <w:rFonts w:asciiTheme="minorHAnsi" w:eastAsiaTheme="minorEastAsia" w:hAnsiTheme="minorHAnsi" w:cstheme="minorBidi"/>
            <w:b w:val="0"/>
            <w:kern w:val="2"/>
            <w:sz w:val="22"/>
            <w:szCs w:val="22"/>
            <w14:ligatures w14:val="standardContextual"/>
          </w:rPr>
          <w:tab/>
        </w:r>
        <w:r w:rsidR="00BD7B5B" w:rsidRPr="00431FE3">
          <w:rPr>
            <w:rStyle w:val="Hyperlink"/>
          </w:rPr>
          <w:t>Recommendations</w:t>
        </w:r>
        <w:r w:rsidR="00BD7B5B">
          <w:rPr>
            <w:webHidden/>
          </w:rPr>
          <w:tab/>
        </w:r>
        <w:r w:rsidR="00BD7B5B">
          <w:rPr>
            <w:webHidden/>
          </w:rPr>
          <w:fldChar w:fldCharType="begin"/>
        </w:r>
        <w:r w:rsidR="00BD7B5B">
          <w:rPr>
            <w:webHidden/>
          </w:rPr>
          <w:instrText xml:space="preserve"> PAGEREF _Toc147736286 \h </w:instrText>
        </w:r>
        <w:r w:rsidR="00BD7B5B">
          <w:rPr>
            <w:webHidden/>
          </w:rPr>
        </w:r>
        <w:r w:rsidR="00BD7B5B">
          <w:rPr>
            <w:webHidden/>
          </w:rPr>
          <w:fldChar w:fldCharType="separate"/>
        </w:r>
        <w:r w:rsidR="008C2701">
          <w:rPr>
            <w:webHidden/>
          </w:rPr>
          <w:t>7</w:t>
        </w:r>
        <w:r w:rsidR="00BD7B5B">
          <w:rPr>
            <w:webHidden/>
          </w:rPr>
          <w:fldChar w:fldCharType="end"/>
        </w:r>
      </w:hyperlink>
    </w:p>
    <w:p w14:paraId="56028AB7" w14:textId="4D499186" w:rsidR="00BD7B5B" w:rsidRDefault="00D2135B">
      <w:pPr>
        <w:pStyle w:val="TOC1"/>
        <w:rPr>
          <w:rFonts w:asciiTheme="minorHAnsi" w:eastAsiaTheme="minorEastAsia" w:hAnsiTheme="minorHAnsi" w:cstheme="minorBidi"/>
          <w:b w:val="0"/>
          <w:kern w:val="2"/>
          <w:sz w:val="22"/>
          <w:szCs w:val="22"/>
          <w14:ligatures w14:val="standardContextual"/>
        </w:rPr>
      </w:pPr>
      <w:hyperlink w:anchor="_Toc147736287" w:history="1">
        <w:r w:rsidR="00BD7B5B" w:rsidRPr="00431FE3">
          <w:rPr>
            <w:rStyle w:val="Hyperlink"/>
          </w:rPr>
          <w:t>4</w:t>
        </w:r>
        <w:r w:rsidR="00BD7B5B">
          <w:rPr>
            <w:rFonts w:asciiTheme="minorHAnsi" w:eastAsiaTheme="minorEastAsia" w:hAnsiTheme="minorHAnsi" w:cstheme="minorBidi"/>
            <w:b w:val="0"/>
            <w:kern w:val="2"/>
            <w:sz w:val="22"/>
            <w:szCs w:val="22"/>
            <w14:ligatures w14:val="standardContextual"/>
          </w:rPr>
          <w:tab/>
        </w:r>
        <w:r w:rsidR="00BD7B5B" w:rsidRPr="00431FE3">
          <w:rPr>
            <w:rStyle w:val="Hyperlink"/>
          </w:rPr>
          <w:t>Stop, search and seize powers</w:t>
        </w:r>
        <w:r w:rsidR="00BD7B5B">
          <w:rPr>
            <w:webHidden/>
          </w:rPr>
          <w:tab/>
        </w:r>
        <w:r w:rsidR="00BD7B5B">
          <w:rPr>
            <w:webHidden/>
          </w:rPr>
          <w:fldChar w:fldCharType="begin"/>
        </w:r>
        <w:r w:rsidR="00BD7B5B">
          <w:rPr>
            <w:webHidden/>
          </w:rPr>
          <w:instrText xml:space="preserve"> PAGEREF _Toc147736287 \h </w:instrText>
        </w:r>
        <w:r w:rsidR="00BD7B5B">
          <w:rPr>
            <w:webHidden/>
          </w:rPr>
        </w:r>
        <w:r w:rsidR="00BD7B5B">
          <w:rPr>
            <w:webHidden/>
          </w:rPr>
          <w:fldChar w:fldCharType="separate"/>
        </w:r>
        <w:r w:rsidR="008C2701">
          <w:rPr>
            <w:webHidden/>
          </w:rPr>
          <w:t>9</w:t>
        </w:r>
        <w:r w:rsidR="00BD7B5B">
          <w:rPr>
            <w:webHidden/>
          </w:rPr>
          <w:fldChar w:fldCharType="end"/>
        </w:r>
      </w:hyperlink>
    </w:p>
    <w:p w14:paraId="3A906CF7" w14:textId="0A0C8E88" w:rsidR="00BD7B5B" w:rsidRDefault="00D2135B">
      <w:pPr>
        <w:pStyle w:val="TOC2"/>
        <w:rPr>
          <w:rFonts w:asciiTheme="minorHAnsi" w:eastAsiaTheme="minorEastAsia" w:hAnsiTheme="minorHAnsi" w:cstheme="minorBidi"/>
          <w:b w:val="0"/>
          <w:i w:val="0"/>
          <w:kern w:val="2"/>
          <w:sz w:val="22"/>
          <w:szCs w:val="22"/>
          <w14:ligatures w14:val="standardContextual"/>
        </w:rPr>
      </w:pPr>
      <w:hyperlink w:anchor="_Toc147736288" w:history="1">
        <w:r w:rsidR="00BD7B5B" w:rsidRPr="00431FE3">
          <w:rPr>
            <w:rStyle w:val="Hyperlink"/>
          </w:rPr>
          <w:t>4.1</w:t>
        </w:r>
        <w:r w:rsidR="00BD7B5B">
          <w:rPr>
            <w:rFonts w:asciiTheme="minorHAnsi" w:eastAsiaTheme="minorEastAsia" w:hAnsiTheme="minorHAnsi" w:cstheme="minorBidi"/>
            <w:b w:val="0"/>
            <w:i w:val="0"/>
            <w:kern w:val="2"/>
            <w:sz w:val="22"/>
            <w:szCs w:val="22"/>
            <w14:ligatures w14:val="standardContextual"/>
          </w:rPr>
          <w:tab/>
        </w:r>
        <w:r w:rsidR="00BD7B5B" w:rsidRPr="00431FE3">
          <w:rPr>
            <w:rStyle w:val="Hyperlink"/>
          </w:rPr>
          <w:t>Structure of provisions</w:t>
        </w:r>
        <w:r w:rsidR="00BD7B5B">
          <w:rPr>
            <w:webHidden/>
          </w:rPr>
          <w:tab/>
        </w:r>
        <w:r w:rsidR="00BD7B5B">
          <w:rPr>
            <w:webHidden/>
          </w:rPr>
          <w:fldChar w:fldCharType="begin"/>
        </w:r>
        <w:r w:rsidR="00BD7B5B">
          <w:rPr>
            <w:webHidden/>
          </w:rPr>
          <w:instrText xml:space="preserve"> PAGEREF _Toc147736288 \h </w:instrText>
        </w:r>
        <w:r w:rsidR="00BD7B5B">
          <w:rPr>
            <w:webHidden/>
          </w:rPr>
        </w:r>
        <w:r w:rsidR="00BD7B5B">
          <w:rPr>
            <w:webHidden/>
          </w:rPr>
          <w:fldChar w:fldCharType="separate"/>
        </w:r>
        <w:r w:rsidR="008C2701">
          <w:rPr>
            <w:webHidden/>
          </w:rPr>
          <w:t>9</w:t>
        </w:r>
        <w:r w:rsidR="00BD7B5B">
          <w:rPr>
            <w:webHidden/>
          </w:rPr>
          <w:fldChar w:fldCharType="end"/>
        </w:r>
      </w:hyperlink>
    </w:p>
    <w:p w14:paraId="51B11B71" w14:textId="7A01D017" w:rsidR="00BD7B5B" w:rsidRDefault="00D2135B">
      <w:pPr>
        <w:pStyle w:val="TOC2"/>
        <w:rPr>
          <w:rFonts w:asciiTheme="minorHAnsi" w:eastAsiaTheme="minorEastAsia" w:hAnsiTheme="minorHAnsi" w:cstheme="minorBidi"/>
          <w:b w:val="0"/>
          <w:i w:val="0"/>
          <w:kern w:val="2"/>
          <w:sz w:val="22"/>
          <w:szCs w:val="22"/>
          <w14:ligatures w14:val="standardContextual"/>
        </w:rPr>
      </w:pPr>
      <w:hyperlink w:anchor="_Toc147736289" w:history="1">
        <w:r w:rsidR="00BD7B5B" w:rsidRPr="00431FE3">
          <w:rPr>
            <w:rStyle w:val="Hyperlink"/>
          </w:rPr>
          <w:t>4.2</w:t>
        </w:r>
        <w:r w:rsidR="00BD7B5B">
          <w:rPr>
            <w:rFonts w:asciiTheme="minorHAnsi" w:eastAsiaTheme="minorEastAsia" w:hAnsiTheme="minorHAnsi" w:cstheme="minorBidi"/>
            <w:b w:val="0"/>
            <w:i w:val="0"/>
            <w:kern w:val="2"/>
            <w:sz w:val="22"/>
            <w:szCs w:val="22"/>
            <w14:ligatures w14:val="standardContextual"/>
          </w:rPr>
          <w:tab/>
        </w:r>
        <w:r w:rsidR="00BD7B5B" w:rsidRPr="00431FE3">
          <w:rPr>
            <w:rStyle w:val="Hyperlink"/>
          </w:rPr>
          <w:t>Previous consideration by AHRC</w:t>
        </w:r>
        <w:r w:rsidR="00BD7B5B">
          <w:rPr>
            <w:webHidden/>
          </w:rPr>
          <w:tab/>
        </w:r>
        <w:r w:rsidR="00BD7B5B">
          <w:rPr>
            <w:webHidden/>
          </w:rPr>
          <w:fldChar w:fldCharType="begin"/>
        </w:r>
        <w:r w:rsidR="00BD7B5B">
          <w:rPr>
            <w:webHidden/>
          </w:rPr>
          <w:instrText xml:space="preserve"> PAGEREF _Toc147736289 \h </w:instrText>
        </w:r>
        <w:r w:rsidR="00BD7B5B">
          <w:rPr>
            <w:webHidden/>
          </w:rPr>
        </w:r>
        <w:r w:rsidR="00BD7B5B">
          <w:rPr>
            <w:webHidden/>
          </w:rPr>
          <w:fldChar w:fldCharType="separate"/>
        </w:r>
        <w:r w:rsidR="008C2701">
          <w:rPr>
            <w:webHidden/>
          </w:rPr>
          <w:t>11</w:t>
        </w:r>
        <w:r w:rsidR="00BD7B5B">
          <w:rPr>
            <w:webHidden/>
          </w:rPr>
          <w:fldChar w:fldCharType="end"/>
        </w:r>
      </w:hyperlink>
    </w:p>
    <w:p w14:paraId="1276A47B" w14:textId="30AB34CD" w:rsidR="00BD7B5B" w:rsidRDefault="00D2135B">
      <w:pPr>
        <w:pStyle w:val="TOC2"/>
        <w:rPr>
          <w:rFonts w:asciiTheme="minorHAnsi" w:eastAsiaTheme="minorEastAsia" w:hAnsiTheme="minorHAnsi" w:cstheme="minorBidi"/>
          <w:b w:val="0"/>
          <w:i w:val="0"/>
          <w:kern w:val="2"/>
          <w:sz w:val="22"/>
          <w:szCs w:val="22"/>
          <w14:ligatures w14:val="standardContextual"/>
        </w:rPr>
      </w:pPr>
      <w:hyperlink w:anchor="_Toc147736290" w:history="1">
        <w:r w:rsidR="00BD7B5B" w:rsidRPr="00431FE3">
          <w:rPr>
            <w:rStyle w:val="Hyperlink"/>
          </w:rPr>
          <w:t>4.3</w:t>
        </w:r>
        <w:r w:rsidR="00BD7B5B">
          <w:rPr>
            <w:rFonts w:asciiTheme="minorHAnsi" w:eastAsiaTheme="minorEastAsia" w:hAnsiTheme="minorHAnsi" w:cstheme="minorBidi"/>
            <w:b w:val="0"/>
            <w:i w:val="0"/>
            <w:kern w:val="2"/>
            <w:sz w:val="22"/>
            <w:szCs w:val="22"/>
            <w14:ligatures w14:val="standardContextual"/>
          </w:rPr>
          <w:tab/>
        </w:r>
        <w:r w:rsidR="00BD7B5B" w:rsidRPr="00431FE3">
          <w:rPr>
            <w:rStyle w:val="Hyperlink"/>
          </w:rPr>
          <w:t>Proposed amendments</w:t>
        </w:r>
        <w:r w:rsidR="00BD7B5B">
          <w:rPr>
            <w:webHidden/>
          </w:rPr>
          <w:tab/>
        </w:r>
        <w:r w:rsidR="00BD7B5B">
          <w:rPr>
            <w:webHidden/>
          </w:rPr>
          <w:fldChar w:fldCharType="begin"/>
        </w:r>
        <w:r w:rsidR="00BD7B5B">
          <w:rPr>
            <w:webHidden/>
          </w:rPr>
          <w:instrText xml:space="preserve"> PAGEREF _Toc147736290 \h </w:instrText>
        </w:r>
        <w:r w:rsidR="00BD7B5B">
          <w:rPr>
            <w:webHidden/>
          </w:rPr>
        </w:r>
        <w:r w:rsidR="00BD7B5B">
          <w:rPr>
            <w:webHidden/>
          </w:rPr>
          <w:fldChar w:fldCharType="separate"/>
        </w:r>
        <w:r w:rsidR="008C2701">
          <w:rPr>
            <w:webHidden/>
          </w:rPr>
          <w:t>12</w:t>
        </w:r>
        <w:r w:rsidR="00BD7B5B">
          <w:rPr>
            <w:webHidden/>
          </w:rPr>
          <w:fldChar w:fldCharType="end"/>
        </w:r>
      </w:hyperlink>
    </w:p>
    <w:p w14:paraId="6C90C1C5" w14:textId="584659CC" w:rsidR="00BD7B5B" w:rsidRDefault="00D2135B">
      <w:pPr>
        <w:pStyle w:val="TOC1"/>
        <w:rPr>
          <w:rFonts w:asciiTheme="minorHAnsi" w:eastAsiaTheme="minorEastAsia" w:hAnsiTheme="minorHAnsi" w:cstheme="minorBidi"/>
          <w:b w:val="0"/>
          <w:kern w:val="2"/>
          <w:sz w:val="22"/>
          <w:szCs w:val="22"/>
          <w14:ligatures w14:val="standardContextual"/>
        </w:rPr>
      </w:pPr>
      <w:hyperlink w:anchor="_Toc147736291" w:history="1">
        <w:r w:rsidR="00BD7B5B" w:rsidRPr="00431FE3">
          <w:rPr>
            <w:rStyle w:val="Hyperlink"/>
          </w:rPr>
          <w:t>5</w:t>
        </w:r>
        <w:r w:rsidR="00BD7B5B">
          <w:rPr>
            <w:rFonts w:asciiTheme="minorHAnsi" w:eastAsiaTheme="minorEastAsia" w:hAnsiTheme="minorHAnsi" w:cstheme="minorBidi"/>
            <w:b w:val="0"/>
            <w:kern w:val="2"/>
            <w:sz w:val="22"/>
            <w:szCs w:val="22"/>
            <w14:ligatures w14:val="standardContextual"/>
          </w:rPr>
          <w:tab/>
        </w:r>
        <w:r w:rsidR="00BD7B5B" w:rsidRPr="00431FE3">
          <w:rPr>
            <w:rStyle w:val="Hyperlink"/>
          </w:rPr>
          <w:t>Control orders</w:t>
        </w:r>
        <w:r w:rsidR="00BD7B5B">
          <w:rPr>
            <w:webHidden/>
          </w:rPr>
          <w:tab/>
        </w:r>
        <w:r w:rsidR="00BD7B5B">
          <w:rPr>
            <w:webHidden/>
          </w:rPr>
          <w:fldChar w:fldCharType="begin"/>
        </w:r>
        <w:r w:rsidR="00BD7B5B">
          <w:rPr>
            <w:webHidden/>
          </w:rPr>
          <w:instrText xml:space="preserve"> PAGEREF _Toc147736291 \h </w:instrText>
        </w:r>
        <w:r w:rsidR="00BD7B5B">
          <w:rPr>
            <w:webHidden/>
          </w:rPr>
        </w:r>
        <w:r w:rsidR="00BD7B5B">
          <w:rPr>
            <w:webHidden/>
          </w:rPr>
          <w:fldChar w:fldCharType="separate"/>
        </w:r>
        <w:r w:rsidR="008C2701">
          <w:rPr>
            <w:webHidden/>
          </w:rPr>
          <w:t>14</w:t>
        </w:r>
        <w:r w:rsidR="00BD7B5B">
          <w:rPr>
            <w:webHidden/>
          </w:rPr>
          <w:fldChar w:fldCharType="end"/>
        </w:r>
      </w:hyperlink>
    </w:p>
    <w:p w14:paraId="0866A086" w14:textId="10DB66B0" w:rsidR="00BD7B5B" w:rsidRDefault="00D2135B">
      <w:pPr>
        <w:pStyle w:val="TOC2"/>
        <w:rPr>
          <w:rFonts w:asciiTheme="minorHAnsi" w:eastAsiaTheme="minorEastAsia" w:hAnsiTheme="minorHAnsi" w:cstheme="minorBidi"/>
          <w:b w:val="0"/>
          <w:i w:val="0"/>
          <w:kern w:val="2"/>
          <w:sz w:val="22"/>
          <w:szCs w:val="22"/>
          <w14:ligatures w14:val="standardContextual"/>
        </w:rPr>
      </w:pPr>
      <w:hyperlink w:anchor="_Toc147736292" w:history="1">
        <w:r w:rsidR="00BD7B5B" w:rsidRPr="00431FE3">
          <w:rPr>
            <w:rStyle w:val="Hyperlink"/>
          </w:rPr>
          <w:t>5.1</w:t>
        </w:r>
        <w:r w:rsidR="00BD7B5B">
          <w:rPr>
            <w:rFonts w:asciiTheme="minorHAnsi" w:eastAsiaTheme="minorEastAsia" w:hAnsiTheme="minorHAnsi" w:cstheme="minorBidi"/>
            <w:b w:val="0"/>
            <w:i w:val="0"/>
            <w:kern w:val="2"/>
            <w:sz w:val="22"/>
            <w:szCs w:val="22"/>
            <w14:ligatures w14:val="standardContextual"/>
          </w:rPr>
          <w:tab/>
        </w:r>
        <w:r w:rsidR="00BD7B5B" w:rsidRPr="00431FE3">
          <w:rPr>
            <w:rStyle w:val="Hyperlink"/>
          </w:rPr>
          <w:t>Structure of provisions</w:t>
        </w:r>
        <w:r w:rsidR="00BD7B5B">
          <w:rPr>
            <w:webHidden/>
          </w:rPr>
          <w:tab/>
        </w:r>
        <w:r w:rsidR="00BD7B5B">
          <w:rPr>
            <w:webHidden/>
          </w:rPr>
          <w:fldChar w:fldCharType="begin"/>
        </w:r>
        <w:r w:rsidR="00BD7B5B">
          <w:rPr>
            <w:webHidden/>
          </w:rPr>
          <w:instrText xml:space="preserve"> PAGEREF _Toc147736292 \h </w:instrText>
        </w:r>
        <w:r w:rsidR="00BD7B5B">
          <w:rPr>
            <w:webHidden/>
          </w:rPr>
        </w:r>
        <w:r w:rsidR="00BD7B5B">
          <w:rPr>
            <w:webHidden/>
          </w:rPr>
          <w:fldChar w:fldCharType="separate"/>
        </w:r>
        <w:r w:rsidR="008C2701">
          <w:rPr>
            <w:webHidden/>
          </w:rPr>
          <w:t>14</w:t>
        </w:r>
        <w:r w:rsidR="00BD7B5B">
          <w:rPr>
            <w:webHidden/>
          </w:rPr>
          <w:fldChar w:fldCharType="end"/>
        </w:r>
      </w:hyperlink>
    </w:p>
    <w:p w14:paraId="6428F531" w14:textId="1524D785" w:rsidR="00BD7B5B" w:rsidRDefault="00D2135B">
      <w:pPr>
        <w:pStyle w:val="TOC2"/>
        <w:rPr>
          <w:rFonts w:asciiTheme="minorHAnsi" w:eastAsiaTheme="minorEastAsia" w:hAnsiTheme="minorHAnsi" w:cstheme="minorBidi"/>
          <w:b w:val="0"/>
          <w:i w:val="0"/>
          <w:kern w:val="2"/>
          <w:sz w:val="22"/>
          <w:szCs w:val="22"/>
          <w14:ligatures w14:val="standardContextual"/>
        </w:rPr>
      </w:pPr>
      <w:hyperlink w:anchor="_Toc147736293" w:history="1">
        <w:r w:rsidR="00BD7B5B" w:rsidRPr="00431FE3">
          <w:rPr>
            <w:rStyle w:val="Hyperlink"/>
          </w:rPr>
          <w:t>5.2</w:t>
        </w:r>
        <w:r w:rsidR="00BD7B5B">
          <w:rPr>
            <w:rFonts w:asciiTheme="minorHAnsi" w:eastAsiaTheme="minorEastAsia" w:hAnsiTheme="minorHAnsi" w:cstheme="minorBidi"/>
            <w:b w:val="0"/>
            <w:i w:val="0"/>
            <w:kern w:val="2"/>
            <w:sz w:val="22"/>
            <w:szCs w:val="22"/>
            <w14:ligatures w14:val="standardContextual"/>
          </w:rPr>
          <w:tab/>
        </w:r>
        <w:r w:rsidR="00BD7B5B" w:rsidRPr="00431FE3">
          <w:rPr>
            <w:rStyle w:val="Hyperlink"/>
          </w:rPr>
          <w:t>Previous consideration by AHRC</w:t>
        </w:r>
        <w:r w:rsidR="00BD7B5B">
          <w:rPr>
            <w:webHidden/>
          </w:rPr>
          <w:tab/>
        </w:r>
        <w:r w:rsidR="00BD7B5B">
          <w:rPr>
            <w:webHidden/>
          </w:rPr>
          <w:fldChar w:fldCharType="begin"/>
        </w:r>
        <w:r w:rsidR="00BD7B5B">
          <w:rPr>
            <w:webHidden/>
          </w:rPr>
          <w:instrText xml:space="preserve"> PAGEREF _Toc147736293 \h </w:instrText>
        </w:r>
        <w:r w:rsidR="00BD7B5B">
          <w:rPr>
            <w:webHidden/>
          </w:rPr>
        </w:r>
        <w:r w:rsidR="00BD7B5B">
          <w:rPr>
            <w:webHidden/>
          </w:rPr>
          <w:fldChar w:fldCharType="separate"/>
        </w:r>
        <w:r w:rsidR="008C2701">
          <w:rPr>
            <w:webHidden/>
          </w:rPr>
          <w:t>16</w:t>
        </w:r>
        <w:r w:rsidR="00BD7B5B">
          <w:rPr>
            <w:webHidden/>
          </w:rPr>
          <w:fldChar w:fldCharType="end"/>
        </w:r>
      </w:hyperlink>
    </w:p>
    <w:p w14:paraId="125341B4" w14:textId="050658BD" w:rsidR="00BD7B5B" w:rsidRDefault="00D2135B">
      <w:pPr>
        <w:pStyle w:val="TOC2"/>
        <w:rPr>
          <w:rFonts w:asciiTheme="minorHAnsi" w:eastAsiaTheme="minorEastAsia" w:hAnsiTheme="minorHAnsi" w:cstheme="minorBidi"/>
          <w:b w:val="0"/>
          <w:i w:val="0"/>
          <w:kern w:val="2"/>
          <w:sz w:val="22"/>
          <w:szCs w:val="22"/>
          <w14:ligatures w14:val="standardContextual"/>
        </w:rPr>
      </w:pPr>
      <w:hyperlink w:anchor="_Toc147736294" w:history="1">
        <w:r w:rsidR="00BD7B5B" w:rsidRPr="00431FE3">
          <w:rPr>
            <w:rStyle w:val="Hyperlink"/>
          </w:rPr>
          <w:t>5.3</w:t>
        </w:r>
        <w:r w:rsidR="00BD7B5B">
          <w:rPr>
            <w:rFonts w:asciiTheme="minorHAnsi" w:eastAsiaTheme="minorEastAsia" w:hAnsiTheme="minorHAnsi" w:cstheme="minorBidi"/>
            <w:b w:val="0"/>
            <w:i w:val="0"/>
            <w:kern w:val="2"/>
            <w:sz w:val="22"/>
            <w:szCs w:val="22"/>
            <w14:ligatures w14:val="standardContextual"/>
          </w:rPr>
          <w:tab/>
        </w:r>
        <w:r w:rsidR="00BD7B5B" w:rsidRPr="00431FE3">
          <w:rPr>
            <w:rStyle w:val="Hyperlink"/>
          </w:rPr>
          <w:t>Proposed amendments</w:t>
        </w:r>
        <w:r w:rsidR="00BD7B5B">
          <w:rPr>
            <w:webHidden/>
          </w:rPr>
          <w:tab/>
        </w:r>
        <w:r w:rsidR="00BD7B5B">
          <w:rPr>
            <w:webHidden/>
          </w:rPr>
          <w:fldChar w:fldCharType="begin"/>
        </w:r>
        <w:r w:rsidR="00BD7B5B">
          <w:rPr>
            <w:webHidden/>
          </w:rPr>
          <w:instrText xml:space="preserve"> PAGEREF _Toc147736294 \h </w:instrText>
        </w:r>
        <w:r w:rsidR="00BD7B5B">
          <w:rPr>
            <w:webHidden/>
          </w:rPr>
        </w:r>
        <w:r w:rsidR="00BD7B5B">
          <w:rPr>
            <w:webHidden/>
          </w:rPr>
          <w:fldChar w:fldCharType="separate"/>
        </w:r>
        <w:r w:rsidR="008C2701">
          <w:rPr>
            <w:webHidden/>
          </w:rPr>
          <w:t>20</w:t>
        </w:r>
        <w:r w:rsidR="00BD7B5B">
          <w:rPr>
            <w:webHidden/>
          </w:rPr>
          <w:fldChar w:fldCharType="end"/>
        </w:r>
      </w:hyperlink>
    </w:p>
    <w:p w14:paraId="1F0C5542" w14:textId="5990EDB8" w:rsidR="00BD7B5B" w:rsidRDefault="00D2135B">
      <w:pPr>
        <w:pStyle w:val="TOC1"/>
        <w:rPr>
          <w:rFonts w:asciiTheme="minorHAnsi" w:eastAsiaTheme="minorEastAsia" w:hAnsiTheme="minorHAnsi" w:cstheme="minorBidi"/>
          <w:b w:val="0"/>
          <w:kern w:val="2"/>
          <w:sz w:val="22"/>
          <w:szCs w:val="22"/>
          <w14:ligatures w14:val="standardContextual"/>
        </w:rPr>
      </w:pPr>
      <w:hyperlink w:anchor="_Toc147736295" w:history="1">
        <w:r w:rsidR="00BD7B5B" w:rsidRPr="00431FE3">
          <w:rPr>
            <w:rStyle w:val="Hyperlink"/>
          </w:rPr>
          <w:t>6</w:t>
        </w:r>
        <w:r w:rsidR="00BD7B5B">
          <w:rPr>
            <w:rFonts w:asciiTheme="minorHAnsi" w:eastAsiaTheme="minorEastAsia" w:hAnsiTheme="minorHAnsi" w:cstheme="minorBidi"/>
            <w:b w:val="0"/>
            <w:kern w:val="2"/>
            <w:sz w:val="22"/>
            <w:szCs w:val="22"/>
            <w14:ligatures w14:val="standardContextual"/>
          </w:rPr>
          <w:tab/>
        </w:r>
        <w:r w:rsidR="00BD7B5B" w:rsidRPr="00431FE3">
          <w:rPr>
            <w:rStyle w:val="Hyperlink"/>
          </w:rPr>
          <w:t>Preventative detention orders</w:t>
        </w:r>
        <w:r w:rsidR="00BD7B5B">
          <w:rPr>
            <w:webHidden/>
          </w:rPr>
          <w:tab/>
        </w:r>
        <w:r w:rsidR="00BD7B5B">
          <w:rPr>
            <w:webHidden/>
          </w:rPr>
          <w:fldChar w:fldCharType="begin"/>
        </w:r>
        <w:r w:rsidR="00BD7B5B">
          <w:rPr>
            <w:webHidden/>
          </w:rPr>
          <w:instrText xml:space="preserve"> PAGEREF _Toc147736295 \h </w:instrText>
        </w:r>
        <w:r w:rsidR="00BD7B5B">
          <w:rPr>
            <w:webHidden/>
          </w:rPr>
        </w:r>
        <w:r w:rsidR="00BD7B5B">
          <w:rPr>
            <w:webHidden/>
          </w:rPr>
          <w:fldChar w:fldCharType="separate"/>
        </w:r>
        <w:r w:rsidR="008C2701">
          <w:rPr>
            <w:webHidden/>
          </w:rPr>
          <w:t>23</w:t>
        </w:r>
        <w:r w:rsidR="00BD7B5B">
          <w:rPr>
            <w:webHidden/>
          </w:rPr>
          <w:fldChar w:fldCharType="end"/>
        </w:r>
      </w:hyperlink>
    </w:p>
    <w:p w14:paraId="372F87AA" w14:textId="222D87DF" w:rsidR="00BD7B5B" w:rsidRDefault="00D2135B">
      <w:pPr>
        <w:pStyle w:val="TOC2"/>
        <w:rPr>
          <w:rFonts w:asciiTheme="minorHAnsi" w:eastAsiaTheme="minorEastAsia" w:hAnsiTheme="minorHAnsi" w:cstheme="minorBidi"/>
          <w:b w:val="0"/>
          <w:i w:val="0"/>
          <w:kern w:val="2"/>
          <w:sz w:val="22"/>
          <w:szCs w:val="22"/>
          <w14:ligatures w14:val="standardContextual"/>
        </w:rPr>
      </w:pPr>
      <w:hyperlink w:anchor="_Toc147736296" w:history="1">
        <w:r w:rsidR="00BD7B5B" w:rsidRPr="00431FE3">
          <w:rPr>
            <w:rStyle w:val="Hyperlink"/>
          </w:rPr>
          <w:t>6.1</w:t>
        </w:r>
        <w:r w:rsidR="00BD7B5B">
          <w:rPr>
            <w:rFonts w:asciiTheme="minorHAnsi" w:eastAsiaTheme="minorEastAsia" w:hAnsiTheme="minorHAnsi" w:cstheme="minorBidi"/>
            <w:b w:val="0"/>
            <w:i w:val="0"/>
            <w:kern w:val="2"/>
            <w:sz w:val="22"/>
            <w:szCs w:val="22"/>
            <w14:ligatures w14:val="standardContextual"/>
          </w:rPr>
          <w:tab/>
        </w:r>
        <w:r w:rsidR="00BD7B5B" w:rsidRPr="00431FE3">
          <w:rPr>
            <w:rStyle w:val="Hyperlink"/>
          </w:rPr>
          <w:t>Structure of provisions</w:t>
        </w:r>
        <w:r w:rsidR="00BD7B5B">
          <w:rPr>
            <w:webHidden/>
          </w:rPr>
          <w:tab/>
        </w:r>
        <w:r w:rsidR="00BD7B5B">
          <w:rPr>
            <w:webHidden/>
          </w:rPr>
          <w:fldChar w:fldCharType="begin"/>
        </w:r>
        <w:r w:rsidR="00BD7B5B">
          <w:rPr>
            <w:webHidden/>
          </w:rPr>
          <w:instrText xml:space="preserve"> PAGEREF _Toc147736296 \h </w:instrText>
        </w:r>
        <w:r w:rsidR="00BD7B5B">
          <w:rPr>
            <w:webHidden/>
          </w:rPr>
        </w:r>
        <w:r w:rsidR="00BD7B5B">
          <w:rPr>
            <w:webHidden/>
          </w:rPr>
          <w:fldChar w:fldCharType="separate"/>
        </w:r>
        <w:r w:rsidR="008C2701">
          <w:rPr>
            <w:webHidden/>
          </w:rPr>
          <w:t>23</w:t>
        </w:r>
        <w:r w:rsidR="00BD7B5B">
          <w:rPr>
            <w:webHidden/>
          </w:rPr>
          <w:fldChar w:fldCharType="end"/>
        </w:r>
      </w:hyperlink>
    </w:p>
    <w:p w14:paraId="3574518F" w14:textId="01847225" w:rsidR="00BD7B5B" w:rsidRDefault="00D2135B">
      <w:pPr>
        <w:pStyle w:val="TOC2"/>
        <w:rPr>
          <w:rFonts w:asciiTheme="minorHAnsi" w:eastAsiaTheme="minorEastAsia" w:hAnsiTheme="minorHAnsi" w:cstheme="minorBidi"/>
          <w:b w:val="0"/>
          <w:i w:val="0"/>
          <w:kern w:val="2"/>
          <w:sz w:val="22"/>
          <w:szCs w:val="22"/>
          <w14:ligatures w14:val="standardContextual"/>
        </w:rPr>
      </w:pPr>
      <w:hyperlink w:anchor="_Toc147736297" w:history="1">
        <w:r w:rsidR="00BD7B5B" w:rsidRPr="00431FE3">
          <w:rPr>
            <w:rStyle w:val="Hyperlink"/>
          </w:rPr>
          <w:t>6.2</w:t>
        </w:r>
        <w:r w:rsidR="00BD7B5B">
          <w:rPr>
            <w:rFonts w:asciiTheme="minorHAnsi" w:eastAsiaTheme="minorEastAsia" w:hAnsiTheme="minorHAnsi" w:cstheme="minorBidi"/>
            <w:b w:val="0"/>
            <w:i w:val="0"/>
            <w:kern w:val="2"/>
            <w:sz w:val="22"/>
            <w:szCs w:val="22"/>
            <w14:ligatures w14:val="standardContextual"/>
          </w:rPr>
          <w:tab/>
        </w:r>
        <w:r w:rsidR="00BD7B5B" w:rsidRPr="00431FE3">
          <w:rPr>
            <w:rStyle w:val="Hyperlink"/>
          </w:rPr>
          <w:t>Previous consideration by AHRC</w:t>
        </w:r>
        <w:r w:rsidR="00BD7B5B">
          <w:rPr>
            <w:webHidden/>
          </w:rPr>
          <w:tab/>
        </w:r>
        <w:r w:rsidR="00BD7B5B">
          <w:rPr>
            <w:webHidden/>
          </w:rPr>
          <w:fldChar w:fldCharType="begin"/>
        </w:r>
        <w:r w:rsidR="00BD7B5B">
          <w:rPr>
            <w:webHidden/>
          </w:rPr>
          <w:instrText xml:space="preserve"> PAGEREF _Toc147736297 \h </w:instrText>
        </w:r>
        <w:r w:rsidR="00BD7B5B">
          <w:rPr>
            <w:webHidden/>
          </w:rPr>
        </w:r>
        <w:r w:rsidR="00BD7B5B">
          <w:rPr>
            <w:webHidden/>
          </w:rPr>
          <w:fldChar w:fldCharType="separate"/>
        </w:r>
        <w:r w:rsidR="008C2701">
          <w:rPr>
            <w:webHidden/>
          </w:rPr>
          <w:t>25</w:t>
        </w:r>
        <w:r w:rsidR="00BD7B5B">
          <w:rPr>
            <w:webHidden/>
          </w:rPr>
          <w:fldChar w:fldCharType="end"/>
        </w:r>
      </w:hyperlink>
    </w:p>
    <w:p w14:paraId="4A69BBC2" w14:textId="2A0A1521" w:rsidR="00BD7B5B" w:rsidRDefault="00D2135B">
      <w:pPr>
        <w:pStyle w:val="TOC2"/>
        <w:rPr>
          <w:rFonts w:asciiTheme="minorHAnsi" w:eastAsiaTheme="minorEastAsia" w:hAnsiTheme="minorHAnsi" w:cstheme="minorBidi"/>
          <w:b w:val="0"/>
          <w:i w:val="0"/>
          <w:kern w:val="2"/>
          <w:sz w:val="22"/>
          <w:szCs w:val="22"/>
          <w14:ligatures w14:val="standardContextual"/>
        </w:rPr>
      </w:pPr>
      <w:hyperlink w:anchor="_Toc147736298" w:history="1">
        <w:r w:rsidR="00BD7B5B" w:rsidRPr="00431FE3">
          <w:rPr>
            <w:rStyle w:val="Hyperlink"/>
          </w:rPr>
          <w:t>6.3</w:t>
        </w:r>
        <w:r w:rsidR="00BD7B5B">
          <w:rPr>
            <w:rFonts w:asciiTheme="minorHAnsi" w:eastAsiaTheme="minorEastAsia" w:hAnsiTheme="minorHAnsi" w:cstheme="minorBidi"/>
            <w:b w:val="0"/>
            <w:i w:val="0"/>
            <w:kern w:val="2"/>
            <w:sz w:val="22"/>
            <w:szCs w:val="22"/>
            <w14:ligatures w14:val="standardContextual"/>
          </w:rPr>
          <w:tab/>
        </w:r>
        <w:r w:rsidR="00BD7B5B" w:rsidRPr="00431FE3">
          <w:rPr>
            <w:rStyle w:val="Hyperlink"/>
          </w:rPr>
          <w:t>Proposed amendments</w:t>
        </w:r>
        <w:r w:rsidR="00BD7B5B">
          <w:rPr>
            <w:webHidden/>
          </w:rPr>
          <w:tab/>
        </w:r>
        <w:r w:rsidR="00BD7B5B">
          <w:rPr>
            <w:webHidden/>
          </w:rPr>
          <w:fldChar w:fldCharType="begin"/>
        </w:r>
        <w:r w:rsidR="00BD7B5B">
          <w:rPr>
            <w:webHidden/>
          </w:rPr>
          <w:instrText xml:space="preserve"> PAGEREF _Toc147736298 \h </w:instrText>
        </w:r>
        <w:r w:rsidR="00BD7B5B">
          <w:rPr>
            <w:webHidden/>
          </w:rPr>
        </w:r>
        <w:r w:rsidR="00BD7B5B">
          <w:rPr>
            <w:webHidden/>
          </w:rPr>
          <w:fldChar w:fldCharType="separate"/>
        </w:r>
        <w:r w:rsidR="008C2701">
          <w:rPr>
            <w:webHidden/>
          </w:rPr>
          <w:t>26</w:t>
        </w:r>
        <w:r w:rsidR="00BD7B5B">
          <w:rPr>
            <w:webHidden/>
          </w:rPr>
          <w:fldChar w:fldCharType="end"/>
        </w:r>
      </w:hyperlink>
    </w:p>
    <w:p w14:paraId="5554CF07" w14:textId="2EEC83D5" w:rsidR="00BD7B5B" w:rsidRDefault="00D2135B">
      <w:pPr>
        <w:pStyle w:val="TOC1"/>
        <w:rPr>
          <w:rFonts w:asciiTheme="minorHAnsi" w:eastAsiaTheme="minorEastAsia" w:hAnsiTheme="minorHAnsi" w:cstheme="minorBidi"/>
          <w:b w:val="0"/>
          <w:kern w:val="2"/>
          <w:sz w:val="22"/>
          <w:szCs w:val="22"/>
          <w14:ligatures w14:val="standardContextual"/>
        </w:rPr>
      </w:pPr>
      <w:hyperlink w:anchor="_Toc147736299" w:history="1">
        <w:r w:rsidR="00BD7B5B" w:rsidRPr="00431FE3">
          <w:rPr>
            <w:rStyle w:val="Hyperlink"/>
          </w:rPr>
          <w:t>7</w:t>
        </w:r>
        <w:r w:rsidR="00BD7B5B">
          <w:rPr>
            <w:rFonts w:asciiTheme="minorHAnsi" w:eastAsiaTheme="minorEastAsia" w:hAnsiTheme="minorHAnsi" w:cstheme="minorBidi"/>
            <w:b w:val="0"/>
            <w:kern w:val="2"/>
            <w:sz w:val="22"/>
            <w:szCs w:val="22"/>
            <w14:ligatures w14:val="standardContextual"/>
          </w:rPr>
          <w:tab/>
        </w:r>
        <w:r w:rsidR="00BD7B5B" w:rsidRPr="00431FE3">
          <w:rPr>
            <w:rStyle w:val="Hyperlink"/>
          </w:rPr>
          <w:t>Post-sentence orders</w:t>
        </w:r>
        <w:r w:rsidR="00BD7B5B">
          <w:rPr>
            <w:webHidden/>
          </w:rPr>
          <w:tab/>
        </w:r>
        <w:r w:rsidR="00BD7B5B">
          <w:rPr>
            <w:webHidden/>
          </w:rPr>
          <w:fldChar w:fldCharType="begin"/>
        </w:r>
        <w:r w:rsidR="00BD7B5B">
          <w:rPr>
            <w:webHidden/>
          </w:rPr>
          <w:instrText xml:space="preserve"> PAGEREF _Toc147736299 \h </w:instrText>
        </w:r>
        <w:r w:rsidR="00BD7B5B">
          <w:rPr>
            <w:webHidden/>
          </w:rPr>
        </w:r>
        <w:r w:rsidR="00BD7B5B">
          <w:rPr>
            <w:webHidden/>
          </w:rPr>
          <w:fldChar w:fldCharType="separate"/>
        </w:r>
        <w:r w:rsidR="008C2701">
          <w:rPr>
            <w:webHidden/>
          </w:rPr>
          <w:t>27</w:t>
        </w:r>
        <w:r w:rsidR="00BD7B5B">
          <w:rPr>
            <w:webHidden/>
          </w:rPr>
          <w:fldChar w:fldCharType="end"/>
        </w:r>
      </w:hyperlink>
    </w:p>
    <w:p w14:paraId="3197194F" w14:textId="4FE6EEB0" w:rsidR="00BD7B5B" w:rsidRDefault="00D2135B">
      <w:pPr>
        <w:pStyle w:val="TOC1"/>
        <w:rPr>
          <w:rFonts w:asciiTheme="minorHAnsi" w:eastAsiaTheme="minorEastAsia" w:hAnsiTheme="minorHAnsi" w:cstheme="minorBidi"/>
          <w:b w:val="0"/>
          <w:kern w:val="2"/>
          <w:sz w:val="22"/>
          <w:szCs w:val="22"/>
          <w14:ligatures w14:val="standardContextual"/>
        </w:rPr>
      </w:pPr>
      <w:hyperlink w:anchor="_Toc147736300" w:history="1">
        <w:r w:rsidR="00BD7B5B" w:rsidRPr="00431FE3">
          <w:rPr>
            <w:rStyle w:val="Hyperlink"/>
          </w:rPr>
          <w:t>8</w:t>
        </w:r>
        <w:r w:rsidR="00BD7B5B">
          <w:rPr>
            <w:rFonts w:asciiTheme="minorHAnsi" w:eastAsiaTheme="minorEastAsia" w:hAnsiTheme="minorHAnsi" w:cstheme="minorBidi"/>
            <w:b w:val="0"/>
            <w:kern w:val="2"/>
            <w:sz w:val="22"/>
            <w:szCs w:val="22"/>
            <w14:ligatures w14:val="standardContextual"/>
          </w:rPr>
          <w:tab/>
        </w:r>
        <w:r w:rsidR="00BD7B5B" w:rsidRPr="00431FE3">
          <w:rPr>
            <w:rStyle w:val="Hyperlink"/>
          </w:rPr>
          <w:t>Secrecy provisions</w:t>
        </w:r>
        <w:r w:rsidR="00BD7B5B">
          <w:rPr>
            <w:webHidden/>
          </w:rPr>
          <w:tab/>
        </w:r>
        <w:r w:rsidR="00BD7B5B">
          <w:rPr>
            <w:webHidden/>
          </w:rPr>
          <w:fldChar w:fldCharType="begin"/>
        </w:r>
        <w:r w:rsidR="00BD7B5B">
          <w:rPr>
            <w:webHidden/>
          </w:rPr>
          <w:instrText xml:space="preserve"> PAGEREF _Toc147736300 \h </w:instrText>
        </w:r>
        <w:r w:rsidR="00BD7B5B">
          <w:rPr>
            <w:webHidden/>
          </w:rPr>
        </w:r>
        <w:r w:rsidR="00BD7B5B">
          <w:rPr>
            <w:webHidden/>
          </w:rPr>
          <w:fldChar w:fldCharType="separate"/>
        </w:r>
        <w:r w:rsidR="008C2701">
          <w:rPr>
            <w:webHidden/>
          </w:rPr>
          <w:t>28</w:t>
        </w:r>
        <w:r w:rsidR="00BD7B5B">
          <w:rPr>
            <w:webHidden/>
          </w:rPr>
          <w:fldChar w:fldCharType="end"/>
        </w:r>
      </w:hyperlink>
    </w:p>
    <w:p w14:paraId="0CB2B668" w14:textId="19DE14D3" w:rsidR="00BD7B5B" w:rsidRDefault="00D2135B">
      <w:pPr>
        <w:pStyle w:val="TOC1"/>
        <w:rPr>
          <w:rFonts w:asciiTheme="minorHAnsi" w:eastAsiaTheme="minorEastAsia" w:hAnsiTheme="minorHAnsi" w:cstheme="minorBidi"/>
          <w:b w:val="0"/>
          <w:kern w:val="2"/>
          <w:sz w:val="22"/>
          <w:szCs w:val="22"/>
          <w14:ligatures w14:val="standardContextual"/>
        </w:rPr>
      </w:pPr>
      <w:hyperlink w:anchor="_Toc147736301" w:history="1">
        <w:r w:rsidR="00BD7B5B" w:rsidRPr="00431FE3">
          <w:rPr>
            <w:rStyle w:val="Hyperlink"/>
          </w:rPr>
          <w:t>Appendix A: Control orders made</w:t>
        </w:r>
        <w:r w:rsidR="00BD7B5B">
          <w:rPr>
            <w:webHidden/>
          </w:rPr>
          <w:tab/>
        </w:r>
        <w:r w:rsidR="00BD7B5B">
          <w:rPr>
            <w:webHidden/>
          </w:rPr>
          <w:fldChar w:fldCharType="begin"/>
        </w:r>
        <w:r w:rsidR="00BD7B5B">
          <w:rPr>
            <w:webHidden/>
          </w:rPr>
          <w:instrText xml:space="preserve"> PAGEREF _Toc147736301 \h </w:instrText>
        </w:r>
        <w:r w:rsidR="00BD7B5B">
          <w:rPr>
            <w:webHidden/>
          </w:rPr>
        </w:r>
        <w:r w:rsidR="00BD7B5B">
          <w:rPr>
            <w:webHidden/>
          </w:rPr>
          <w:fldChar w:fldCharType="separate"/>
        </w:r>
        <w:r w:rsidR="008C2701">
          <w:rPr>
            <w:webHidden/>
          </w:rPr>
          <w:t>30</w:t>
        </w:r>
        <w:r w:rsidR="00BD7B5B">
          <w:rPr>
            <w:webHidden/>
          </w:rPr>
          <w:fldChar w:fldCharType="end"/>
        </w:r>
      </w:hyperlink>
    </w:p>
    <w:p w14:paraId="4B8E54DD" w14:textId="3F0C6AEE" w:rsidR="00C86324" w:rsidRDefault="000E4837">
      <w:pPr>
        <w:spacing w:before="0" w:after="0"/>
        <w:rPr>
          <w:b/>
          <w:noProof/>
        </w:rPr>
      </w:pPr>
      <w:r>
        <w:rPr>
          <w:b/>
          <w:noProof/>
        </w:rPr>
        <w:fldChar w:fldCharType="end"/>
      </w:r>
      <w:r w:rsidR="00C86324">
        <w:br w:type="page"/>
      </w:r>
    </w:p>
    <w:p w14:paraId="2E5A8A49" w14:textId="7A151624" w:rsidR="00510390" w:rsidRDefault="009F2764" w:rsidP="00A27ABE">
      <w:pPr>
        <w:pStyle w:val="Heading1"/>
      </w:pPr>
      <w:bookmarkStart w:id="2" w:name="_Toc207761830"/>
      <w:bookmarkStart w:id="3" w:name="_Toc209578266"/>
      <w:bookmarkStart w:id="4" w:name="_Toc209941766"/>
      <w:bookmarkStart w:id="5" w:name="_Toc525894098"/>
      <w:bookmarkStart w:id="6" w:name="_Toc147736284"/>
      <w:r w:rsidRPr="009E08D1">
        <w:lastRenderedPageBreak/>
        <w:t>Introduction</w:t>
      </w:r>
      <w:bookmarkEnd w:id="2"/>
      <w:bookmarkEnd w:id="3"/>
      <w:bookmarkEnd w:id="4"/>
      <w:bookmarkEnd w:id="5"/>
      <w:bookmarkEnd w:id="6"/>
    </w:p>
    <w:p w14:paraId="6465F22E" w14:textId="1B2BB451" w:rsidR="0053794C" w:rsidRPr="00822C3D" w:rsidRDefault="00D426D6" w:rsidP="003E74AE">
      <w:pPr>
        <w:pStyle w:val="ListNumber2"/>
        <w:tabs>
          <w:tab w:val="clear" w:pos="643"/>
          <w:tab w:val="num" w:pos="1080"/>
        </w:tabs>
        <w:ind w:left="1080" w:hanging="797"/>
      </w:pPr>
      <w:r w:rsidRPr="00822C3D">
        <w:t xml:space="preserve">The Australian Human Rights Commission </w:t>
      </w:r>
      <w:r w:rsidR="000D324A">
        <w:t xml:space="preserve">(Commission) </w:t>
      </w:r>
      <w:r w:rsidRPr="00822C3D">
        <w:t xml:space="preserve">makes this submission to the Parliamentary Joint Committee on Intelligence and Security (PJCIS) in relation to its </w:t>
      </w:r>
      <w:r w:rsidR="0042416D" w:rsidRPr="00821393">
        <w:rPr>
          <w:i/>
          <w:iCs/>
        </w:rPr>
        <w:t xml:space="preserve">Review of the </w:t>
      </w:r>
      <w:proofErr w:type="gramStart"/>
      <w:r w:rsidR="0042416D" w:rsidRPr="00821393">
        <w:rPr>
          <w:i/>
          <w:iCs/>
        </w:rPr>
        <w:t>Counter-Terrorism</w:t>
      </w:r>
      <w:proofErr w:type="gramEnd"/>
      <w:r w:rsidR="0042416D" w:rsidRPr="00821393">
        <w:rPr>
          <w:i/>
          <w:iCs/>
        </w:rPr>
        <w:t xml:space="preserve"> and Other Legislation Amendment Bill 2023</w:t>
      </w:r>
      <w:r w:rsidRPr="00822C3D">
        <w:t xml:space="preserve">. </w:t>
      </w:r>
    </w:p>
    <w:p w14:paraId="60A1E402" w14:textId="154AFC7B" w:rsidR="001816BF" w:rsidRDefault="00D426D6" w:rsidP="003E74AE">
      <w:pPr>
        <w:pStyle w:val="ListNumber2"/>
        <w:tabs>
          <w:tab w:val="clear" w:pos="643"/>
          <w:tab w:val="num" w:pos="1080"/>
        </w:tabs>
        <w:ind w:left="1080" w:hanging="797"/>
      </w:pPr>
      <w:r>
        <w:t>Th</w:t>
      </w:r>
      <w:r w:rsidR="0030136F">
        <w:t xml:space="preserve">e </w:t>
      </w:r>
      <w:proofErr w:type="gramStart"/>
      <w:r w:rsidR="00A77762" w:rsidRPr="00A77762">
        <w:t>Counter-Terrorism</w:t>
      </w:r>
      <w:proofErr w:type="gramEnd"/>
      <w:r w:rsidR="00A77762" w:rsidRPr="00A77762">
        <w:t xml:space="preserve"> and Other Legislation Amendment Bill 2023</w:t>
      </w:r>
      <w:r w:rsidR="00A77762">
        <w:t xml:space="preserve"> (Cth) (the </w:t>
      </w:r>
      <w:r w:rsidR="0030136F">
        <w:t>Bill</w:t>
      </w:r>
      <w:r w:rsidR="00A77762">
        <w:t>)</w:t>
      </w:r>
      <w:r w:rsidR="0030136F">
        <w:t xml:space="preserve"> </w:t>
      </w:r>
      <w:r w:rsidR="00E435B1">
        <w:t xml:space="preserve">proposes to again extend the sunset dates for a range of </w:t>
      </w:r>
      <w:r w:rsidR="007B0C2D">
        <w:t xml:space="preserve">counter-terrorism powers, and to make some amendments to these powers </w:t>
      </w:r>
      <w:r w:rsidR="007A0989">
        <w:t>in response to recommendations of the PJCIS in its 2021 report</w:t>
      </w:r>
      <w:r w:rsidR="00C41246">
        <w:t>,</w:t>
      </w:r>
      <w:r w:rsidR="001816BF">
        <w:t xml:space="preserve"> </w:t>
      </w:r>
      <w:r w:rsidR="001816BF" w:rsidRPr="00821393">
        <w:rPr>
          <w:i/>
          <w:iCs/>
        </w:rPr>
        <w:t>Review of police powers in relation to terrorism, the control order regime, the preventative detention order regime and the continuing detention order regime</w:t>
      </w:r>
      <w:r w:rsidR="001816BF">
        <w:t>.</w:t>
      </w:r>
    </w:p>
    <w:p w14:paraId="36332879" w14:textId="701F4FE3" w:rsidR="005D37A3" w:rsidRDefault="008217B3" w:rsidP="005D37A3">
      <w:pPr>
        <w:pStyle w:val="ListNumber2"/>
        <w:tabs>
          <w:tab w:val="clear" w:pos="643"/>
          <w:tab w:val="num" w:pos="1080"/>
        </w:tabs>
        <w:ind w:left="1080" w:hanging="797"/>
      </w:pPr>
      <w:r>
        <w:t>In September 2020, the Commission made a detailed submission</w:t>
      </w:r>
      <w:r w:rsidR="00B15479">
        <w:t xml:space="preserve"> </w:t>
      </w:r>
      <w:r>
        <w:t xml:space="preserve">to the PJCIS in relation to its previous </w:t>
      </w:r>
      <w:r w:rsidR="00B35463">
        <w:t>review</w:t>
      </w:r>
      <w:r w:rsidR="00DD23F1">
        <w:t xml:space="preserve"> (2020 submission)</w:t>
      </w:r>
      <w:r w:rsidR="00B35463">
        <w:t xml:space="preserve">. The Commission has also made a range of </w:t>
      </w:r>
      <w:r w:rsidR="009B2897">
        <w:t xml:space="preserve">other </w:t>
      </w:r>
      <w:r w:rsidR="004A43FC">
        <w:t xml:space="preserve">submissions on these issues </w:t>
      </w:r>
      <w:r w:rsidR="001408B0">
        <w:t xml:space="preserve">as described in paragraph 4 of </w:t>
      </w:r>
      <w:r w:rsidR="003407CB">
        <w:t>the</w:t>
      </w:r>
      <w:r w:rsidR="009B2897">
        <w:t xml:space="preserve"> </w:t>
      </w:r>
      <w:r w:rsidR="007C48E5">
        <w:t>2020</w:t>
      </w:r>
      <w:r w:rsidR="009B2897">
        <w:t xml:space="preserve"> </w:t>
      </w:r>
      <w:r w:rsidR="001408B0">
        <w:t xml:space="preserve">submission.  </w:t>
      </w:r>
      <w:r w:rsidR="00B42267">
        <w:t xml:space="preserve">The Commission relies on its </w:t>
      </w:r>
      <w:r w:rsidR="007C48E5">
        <w:t xml:space="preserve">2020 </w:t>
      </w:r>
      <w:r w:rsidR="00B42267">
        <w:t xml:space="preserve">submission and </w:t>
      </w:r>
      <w:r w:rsidR="00C962D8">
        <w:t xml:space="preserve">highlights </w:t>
      </w:r>
      <w:r w:rsidR="00B42267">
        <w:t>b</w:t>
      </w:r>
      <w:r w:rsidR="00C962D8">
        <w:t xml:space="preserve">elow particular sections of </w:t>
      </w:r>
      <w:r w:rsidR="003407CB">
        <w:t>it</w:t>
      </w:r>
      <w:r w:rsidR="00C962D8">
        <w:t xml:space="preserve"> that are relevant to aspects of </w:t>
      </w:r>
      <w:r w:rsidR="00512C46">
        <w:t xml:space="preserve">this </w:t>
      </w:r>
      <w:r w:rsidR="00C962D8">
        <w:t xml:space="preserve">Bill. </w:t>
      </w:r>
      <w:bookmarkStart w:id="7" w:name="_Toc525894100"/>
    </w:p>
    <w:p w14:paraId="22189933" w14:textId="36DF95C0" w:rsidR="008441EC" w:rsidRDefault="008441EC" w:rsidP="005D37A3">
      <w:pPr>
        <w:pStyle w:val="Heading1"/>
      </w:pPr>
      <w:bookmarkStart w:id="8" w:name="_Toc147736285"/>
      <w:r>
        <w:t>Summary</w:t>
      </w:r>
      <w:bookmarkEnd w:id="8"/>
    </w:p>
    <w:p w14:paraId="63E1A2A4" w14:textId="7C48A7C7" w:rsidR="00F24EB4" w:rsidRDefault="00F24EB4" w:rsidP="00342D7D">
      <w:pPr>
        <w:pStyle w:val="ListNumber2"/>
        <w:tabs>
          <w:tab w:val="clear" w:pos="643"/>
          <w:tab w:val="num" w:pos="1080"/>
        </w:tabs>
        <w:ind w:left="1080" w:hanging="797"/>
      </w:pPr>
      <w:r>
        <w:t>Th</w:t>
      </w:r>
      <w:r w:rsidR="00D86861">
        <w:t xml:space="preserve">is Bill seeks to implement </w:t>
      </w:r>
      <w:proofErr w:type="gramStart"/>
      <w:r w:rsidR="00D86861">
        <w:t>a number of</w:t>
      </w:r>
      <w:proofErr w:type="gramEnd"/>
      <w:r w:rsidR="00D86861">
        <w:t xml:space="preserve"> recommendations made by the PJCIS in its 2021 report. The most significant of </w:t>
      </w:r>
      <w:r w:rsidR="00D35E06">
        <w:t>these recommendations is to again extend the sunsetting date for a range of extraordinary police powers</w:t>
      </w:r>
      <w:r w:rsidR="00BD5EFA">
        <w:t xml:space="preserve"> in relation to terrorism</w:t>
      </w:r>
      <w:r w:rsidR="00D35E06">
        <w:t xml:space="preserve"> contained </w:t>
      </w:r>
      <w:r w:rsidR="006856CE">
        <w:t>in the</w:t>
      </w:r>
      <w:r w:rsidR="008301E5">
        <w:t xml:space="preserve"> </w:t>
      </w:r>
      <w:r w:rsidR="008301E5" w:rsidRPr="00C5743D">
        <w:rPr>
          <w:i/>
          <w:iCs/>
        </w:rPr>
        <w:t>Crimes Act 1914</w:t>
      </w:r>
      <w:r w:rsidR="008301E5">
        <w:t xml:space="preserve"> (Cth) (Crimes Act) and the </w:t>
      </w:r>
      <w:r w:rsidR="006856CE" w:rsidRPr="00C5743D">
        <w:rPr>
          <w:i/>
          <w:iCs/>
        </w:rPr>
        <w:t>Criminal Code Act 1995</w:t>
      </w:r>
      <w:r w:rsidR="006856CE">
        <w:t xml:space="preserve"> (Cth) (Criminal Code)</w:t>
      </w:r>
      <w:r w:rsidR="008301E5">
        <w:t>.</w:t>
      </w:r>
    </w:p>
    <w:p w14:paraId="1AA99B65" w14:textId="56DAE7F7" w:rsidR="00342D7D" w:rsidRDefault="00342D7D" w:rsidP="00342D7D">
      <w:pPr>
        <w:pStyle w:val="ListNumber2"/>
        <w:tabs>
          <w:tab w:val="clear" w:pos="643"/>
          <w:tab w:val="num" w:pos="1080"/>
        </w:tabs>
        <w:ind w:left="1080" w:hanging="797"/>
      </w:pPr>
      <w:r>
        <w:t xml:space="preserve">The stop, search and seize powers in Div 3A of Part IAA of the Crimes Act and the control order and </w:t>
      </w:r>
      <w:r w:rsidR="00F57243">
        <w:t>preventative detention order (</w:t>
      </w:r>
      <w:r>
        <w:t>PDO</w:t>
      </w:r>
      <w:r w:rsidR="00F57243">
        <w:t>)</w:t>
      </w:r>
      <w:r>
        <w:t xml:space="preserve"> regimes in </w:t>
      </w:r>
      <w:proofErr w:type="spellStart"/>
      <w:r>
        <w:t>Divs</w:t>
      </w:r>
      <w:proofErr w:type="spellEnd"/>
      <w:r>
        <w:t xml:space="preserve"> 104 and 105 of Part 5.3 of the Criminal Code were first introduced by the </w:t>
      </w:r>
      <w:r w:rsidRPr="00B45CEE">
        <w:rPr>
          <w:i/>
          <w:iCs/>
        </w:rPr>
        <w:t>Anti-Terrorism Act (No 2) 2005</w:t>
      </w:r>
      <w:r>
        <w:t xml:space="preserve"> (Cth), following the July 2005 terrorist attacks in London. </w:t>
      </w:r>
    </w:p>
    <w:p w14:paraId="68D1697B" w14:textId="77353656" w:rsidR="00EA5D58" w:rsidRDefault="00342D7D" w:rsidP="00342D7D">
      <w:pPr>
        <w:pStyle w:val="ListNumber2"/>
        <w:tabs>
          <w:tab w:val="clear" w:pos="643"/>
          <w:tab w:val="num" w:pos="1080"/>
        </w:tabs>
        <w:ind w:left="1080" w:hanging="797"/>
      </w:pPr>
      <w:r>
        <w:t xml:space="preserve">The legislative proposals were reviewed in detail, prior to their introduction, by the Senate Legal and Constitutional Legislation Committee chaired by </w:t>
      </w:r>
      <w:r w:rsidRPr="00B05EC0">
        <w:t>Senator Marise Payne</w:t>
      </w:r>
      <w:r w:rsidR="007E02F7">
        <w:t>, then in her first full term as a Senator</w:t>
      </w:r>
      <w:r>
        <w:t xml:space="preserve">. </w:t>
      </w:r>
      <w:r w:rsidR="00C97C74">
        <w:t xml:space="preserve">Senator Payne </w:t>
      </w:r>
      <w:r w:rsidR="00F37C2C">
        <w:t xml:space="preserve">has </w:t>
      </w:r>
      <w:r w:rsidR="006E6CD3">
        <w:t>recently</w:t>
      </w:r>
      <w:r w:rsidR="00F37C2C">
        <w:t xml:space="preserve"> </w:t>
      </w:r>
      <w:r w:rsidR="00261694">
        <w:t>resigned</w:t>
      </w:r>
      <w:r w:rsidR="00F37C2C">
        <w:t xml:space="preserve"> from the Senate</w:t>
      </w:r>
      <w:r w:rsidR="00CD5B94">
        <w:t xml:space="preserve"> </w:t>
      </w:r>
      <w:r w:rsidR="00CD2D3E">
        <w:lastRenderedPageBreak/>
        <w:t xml:space="preserve">after becoming </w:t>
      </w:r>
      <w:r w:rsidR="00F37C2C">
        <w:t xml:space="preserve">the longest-serving female </w:t>
      </w:r>
      <w:r w:rsidR="00955C33">
        <w:t>S</w:t>
      </w:r>
      <w:r w:rsidR="00F37C2C">
        <w:t>enator in Australia’s history</w:t>
      </w:r>
      <w:r w:rsidR="005622EE">
        <w:t xml:space="preserve">; but the temporary measures </w:t>
      </w:r>
      <w:r w:rsidR="003D331F">
        <w:t xml:space="preserve">approved in 2005 are now proposed to continue. </w:t>
      </w:r>
    </w:p>
    <w:p w14:paraId="77BB338D" w14:textId="78B30C33" w:rsidR="00342D7D" w:rsidRDefault="00342D7D" w:rsidP="00342D7D">
      <w:pPr>
        <w:pStyle w:val="ListNumber2"/>
        <w:tabs>
          <w:tab w:val="clear" w:pos="643"/>
          <w:tab w:val="num" w:pos="1080"/>
        </w:tabs>
        <w:ind w:left="1080" w:hanging="797"/>
      </w:pPr>
      <w:r>
        <w:t xml:space="preserve">The Committee </w:t>
      </w:r>
      <w:r w:rsidR="00B62A8B">
        <w:t xml:space="preserve">chaired by Senator Payne </w:t>
      </w:r>
      <w:r w:rsidR="0054732F">
        <w:t xml:space="preserve">rightly observed </w:t>
      </w:r>
      <w:r>
        <w:t xml:space="preserve">that </w:t>
      </w:r>
      <w:r w:rsidR="00E65617">
        <w:t xml:space="preserve">it was dealing with </w:t>
      </w:r>
      <w:r>
        <w:t>‘the proposed introduction into Australian law of a completely new scheme capable of depriving citizens and residents of their liberty and allowing far reaching intrusions into other fundamental civil liberties’.</w:t>
      </w:r>
      <w:r w:rsidRPr="00895256">
        <w:rPr>
          <w:sz w:val="20"/>
          <w:szCs w:val="20"/>
          <w:vertAlign w:val="superscript"/>
        </w:rPr>
        <w:endnoteReference w:id="2"/>
      </w:r>
      <w:r>
        <w:t xml:space="preserve">  The rationale for such provisions was the changing nature of the terrorist threat facing Australia.  The Committee made 52 recommendations, some of which were accepted by the Government. </w:t>
      </w:r>
    </w:p>
    <w:p w14:paraId="63B59B76" w14:textId="15CFFC2B" w:rsidR="00342D7D" w:rsidRDefault="00342D7D" w:rsidP="00342D7D">
      <w:pPr>
        <w:pStyle w:val="ListNumber2"/>
        <w:tabs>
          <w:tab w:val="clear" w:pos="643"/>
          <w:tab w:val="num" w:pos="1080"/>
        </w:tabs>
        <w:ind w:left="1080" w:hanging="797"/>
      </w:pPr>
      <w:r>
        <w:t>The Act entered into force on 14 December 2005.  The new provisions were made subject to sunset provisions</w:t>
      </w:r>
      <w:r w:rsidR="009359A4">
        <w:t>,</w:t>
      </w:r>
      <w:r>
        <w:t xml:space="preserve"> which meant that they would cease operation after 10 years, that is, on 15 December 2015.  The rationale for making the existence of these provisions subject to a time limit was discussed by the Senate Legal and Constitutional Legislation Committee: </w:t>
      </w:r>
    </w:p>
    <w:p w14:paraId="4919E5CB" w14:textId="77777777" w:rsidR="00342D7D" w:rsidRPr="005A041F" w:rsidRDefault="00342D7D" w:rsidP="00342D7D">
      <w:pPr>
        <w:pStyle w:val="Quote"/>
        <w:rPr>
          <w:szCs w:val="22"/>
        </w:rPr>
      </w:pPr>
      <w:r w:rsidRPr="00D32247">
        <w:rPr>
          <w:rStyle w:val="EndnoteReference"/>
          <w:sz w:val="22"/>
          <w:vertAlign w:val="baseline"/>
        </w:rPr>
        <w:t xml:space="preserve">Extraordinary laws may be justifiable but they must also be temporary in nature. </w:t>
      </w:r>
      <w:r>
        <w:t xml:space="preserve"> </w:t>
      </w:r>
      <w:r w:rsidRPr="00D32247">
        <w:rPr>
          <w:rStyle w:val="EndnoteReference"/>
          <w:sz w:val="22"/>
          <w:vertAlign w:val="baseline"/>
        </w:rPr>
        <w:t xml:space="preserve">Sunset provisions ensure that such laws expire on a certain date. </w:t>
      </w:r>
      <w:r>
        <w:t xml:space="preserve"> </w:t>
      </w:r>
      <w:r w:rsidRPr="00D32247">
        <w:rPr>
          <w:rStyle w:val="EndnoteReference"/>
          <w:sz w:val="22"/>
          <w:vertAlign w:val="baseline"/>
        </w:rPr>
        <w:t>This mechanism ensures that extraordinary executive powers legislated during times of emergency are not integrated as the norm and that the case for continued use of extraordinary executive powers is publicly made out by the Government of the day.</w:t>
      </w:r>
      <w:r w:rsidRPr="00741EB9">
        <w:rPr>
          <w:sz w:val="20"/>
          <w:szCs w:val="20"/>
          <w:vertAlign w:val="superscript"/>
        </w:rPr>
        <w:endnoteReference w:id="3"/>
      </w:r>
    </w:p>
    <w:p w14:paraId="270F57B1" w14:textId="33E04CB5" w:rsidR="00385536" w:rsidRDefault="00AF6450" w:rsidP="00342D7D">
      <w:pPr>
        <w:pStyle w:val="ListNumber2"/>
        <w:tabs>
          <w:tab w:val="clear" w:pos="643"/>
          <w:tab w:val="num" w:pos="1080"/>
        </w:tabs>
        <w:ind w:left="1080" w:hanging="797"/>
      </w:pPr>
      <w:r>
        <w:t xml:space="preserve">Since that time, the </w:t>
      </w:r>
      <w:r w:rsidR="00385536">
        <w:t xml:space="preserve">sunsetting date for these laws has been </w:t>
      </w:r>
      <w:r w:rsidR="00D50400">
        <w:t xml:space="preserve">further </w:t>
      </w:r>
      <w:r w:rsidR="00385536">
        <w:t>extended</w:t>
      </w:r>
      <w:r w:rsidR="00D50400">
        <w:t xml:space="preserve"> on </w:t>
      </w:r>
      <w:r w:rsidR="00110F7C">
        <w:t>four</w:t>
      </w:r>
      <w:r w:rsidR="00D50400">
        <w:t xml:space="preserve"> occasions, namely</w:t>
      </w:r>
      <w:r w:rsidR="00385536">
        <w:t>:</w:t>
      </w:r>
    </w:p>
    <w:p w14:paraId="0191741E" w14:textId="0BF6CF32" w:rsidR="00342D7D" w:rsidRDefault="00566A62" w:rsidP="00536BBB">
      <w:pPr>
        <w:pStyle w:val="ListNumber2"/>
        <w:numPr>
          <w:ilvl w:val="0"/>
          <w:numId w:val="43"/>
        </w:numPr>
      </w:pPr>
      <w:r>
        <w:t>a</w:t>
      </w:r>
      <w:r w:rsidR="00536BBB">
        <w:t xml:space="preserve">n extension in </w:t>
      </w:r>
      <w:r>
        <w:t xml:space="preserve">2014, providing for a new sunset date of </w:t>
      </w:r>
      <w:r w:rsidR="00342D7D">
        <w:t>7</w:t>
      </w:r>
      <w:r>
        <w:t> </w:t>
      </w:r>
      <w:r w:rsidR="00342D7D">
        <w:t>September 2018</w:t>
      </w:r>
      <w:r w:rsidR="00342D7D" w:rsidRPr="00AD666E">
        <w:rPr>
          <w:sz w:val="20"/>
          <w:szCs w:val="20"/>
          <w:vertAlign w:val="superscript"/>
        </w:rPr>
        <w:endnoteReference w:id="4"/>
      </w:r>
      <w:r w:rsidR="00342D7D">
        <w:t xml:space="preserve"> </w:t>
      </w:r>
    </w:p>
    <w:p w14:paraId="66F78F3B" w14:textId="6CC3FD38" w:rsidR="00342D7D" w:rsidRDefault="00C87A6B" w:rsidP="00C87A6B">
      <w:pPr>
        <w:pStyle w:val="ListNumber2"/>
        <w:numPr>
          <w:ilvl w:val="0"/>
          <w:numId w:val="43"/>
        </w:numPr>
      </w:pPr>
      <w:r>
        <w:t xml:space="preserve">an extension in 2018, providing for a new sunset date of </w:t>
      </w:r>
      <w:r w:rsidR="00342D7D">
        <w:t>7</w:t>
      </w:r>
      <w:r>
        <w:t> </w:t>
      </w:r>
      <w:r w:rsidR="00342D7D">
        <w:t>September 2021</w:t>
      </w:r>
      <w:r w:rsidR="00342D7D" w:rsidRPr="00AD666E">
        <w:rPr>
          <w:sz w:val="20"/>
          <w:szCs w:val="20"/>
          <w:vertAlign w:val="superscript"/>
        </w:rPr>
        <w:endnoteReference w:id="5"/>
      </w:r>
    </w:p>
    <w:p w14:paraId="78DA0C12" w14:textId="07AF0E8C" w:rsidR="00C87A6B" w:rsidRDefault="00D50400" w:rsidP="00C87A6B">
      <w:pPr>
        <w:pStyle w:val="ListNumber2"/>
        <w:numPr>
          <w:ilvl w:val="0"/>
          <w:numId w:val="43"/>
        </w:numPr>
      </w:pPr>
      <w:r>
        <w:t xml:space="preserve">an extension in </w:t>
      </w:r>
      <w:r w:rsidR="00EA6EF7">
        <w:t>2021, providing for a new sunset date of</w:t>
      </w:r>
      <w:r w:rsidR="00804DA2">
        <w:t xml:space="preserve"> 7</w:t>
      </w:r>
      <w:r w:rsidR="00442723">
        <w:t> </w:t>
      </w:r>
      <w:r w:rsidR="00804DA2">
        <w:t xml:space="preserve">December </w:t>
      </w:r>
      <w:r w:rsidR="00442723">
        <w:t>2022</w:t>
      </w:r>
      <w:r w:rsidR="008C5EEE">
        <w:rPr>
          <w:rStyle w:val="EndnoteReference"/>
        </w:rPr>
        <w:endnoteReference w:id="6"/>
      </w:r>
      <w:r w:rsidR="00EA6EF7">
        <w:t xml:space="preserve"> </w:t>
      </w:r>
    </w:p>
    <w:p w14:paraId="0B788DD0" w14:textId="6B53025E" w:rsidR="00EA6EF7" w:rsidRDefault="00EA6EF7" w:rsidP="00C87A6B">
      <w:pPr>
        <w:pStyle w:val="ListNumber2"/>
        <w:numPr>
          <w:ilvl w:val="0"/>
          <w:numId w:val="43"/>
        </w:numPr>
      </w:pPr>
      <w:r>
        <w:t>an extension in 2022, providing for a new sunset date of</w:t>
      </w:r>
      <w:r w:rsidR="00AE0831">
        <w:t xml:space="preserve"> 7</w:t>
      </w:r>
      <w:r w:rsidR="00110F7C">
        <w:t> </w:t>
      </w:r>
      <w:r w:rsidR="00AE0831">
        <w:t>December 2023.</w:t>
      </w:r>
      <w:r w:rsidR="0080497A">
        <w:rPr>
          <w:rStyle w:val="EndnoteReference"/>
        </w:rPr>
        <w:endnoteReference w:id="7"/>
      </w:r>
      <w:r>
        <w:t xml:space="preserve"> </w:t>
      </w:r>
    </w:p>
    <w:p w14:paraId="2F256E3A" w14:textId="77777777" w:rsidR="004C132B" w:rsidRDefault="00342D7D" w:rsidP="00342D7D">
      <w:pPr>
        <w:pStyle w:val="ListNumber2"/>
        <w:tabs>
          <w:tab w:val="clear" w:pos="643"/>
          <w:tab w:val="num" w:pos="1080"/>
        </w:tabs>
        <w:ind w:left="1080" w:hanging="797"/>
      </w:pPr>
      <w:r>
        <w:lastRenderedPageBreak/>
        <w:t xml:space="preserve">The suite of provisions the subject of the present review was first introduced </w:t>
      </w:r>
      <w:proofErr w:type="gramStart"/>
      <w:r>
        <w:t>as a result of</w:t>
      </w:r>
      <w:proofErr w:type="gramEnd"/>
      <w:r>
        <w:t xml:space="preserve"> a dramatic change in Australia’s security environment.  Since then, the threat environment has continued to change.  </w:t>
      </w:r>
      <w:r w:rsidR="009A29AA">
        <w:t xml:space="preserve">From September 2014 to November 2022, </w:t>
      </w:r>
      <w:r>
        <w:t xml:space="preserve">Australia’s national terrorism threat level </w:t>
      </w:r>
      <w:r w:rsidR="009A29AA">
        <w:t xml:space="preserve">was </w:t>
      </w:r>
      <w:r w:rsidR="00F132A5">
        <w:t xml:space="preserve">‘PROBABLE’ </w:t>
      </w:r>
      <w:r>
        <w:t xml:space="preserve">(or ‘high’ under the previous regime).  </w:t>
      </w:r>
      <w:r w:rsidR="00F132A5">
        <w:t xml:space="preserve">In November 2022, the threat level was </w:t>
      </w:r>
      <w:r w:rsidR="00A6061D">
        <w:t xml:space="preserve">lowered </w:t>
      </w:r>
      <w:r w:rsidR="00F132A5">
        <w:t xml:space="preserve">by </w:t>
      </w:r>
      <w:r w:rsidR="00A6061D">
        <w:t xml:space="preserve">the Australian Security Intelligence Organisation (ASIO) to ‘POSSIBLE’.  </w:t>
      </w:r>
    </w:p>
    <w:p w14:paraId="1769D5E9" w14:textId="00CFD9A0" w:rsidR="0085452F" w:rsidRDefault="004C132B" w:rsidP="00342D7D">
      <w:pPr>
        <w:pStyle w:val="ListNumber2"/>
        <w:tabs>
          <w:tab w:val="clear" w:pos="643"/>
          <w:tab w:val="num" w:pos="1080"/>
        </w:tabs>
        <w:ind w:left="1080" w:hanging="797"/>
      </w:pPr>
      <w:r>
        <w:t xml:space="preserve">In </w:t>
      </w:r>
      <w:r w:rsidR="0085452F">
        <w:t>a media release announcing this change</w:t>
      </w:r>
      <w:r w:rsidR="004F25D1">
        <w:t>,</w:t>
      </w:r>
      <w:r w:rsidR="0085452F">
        <w:t xml:space="preserve"> the Minister for Home Affairs said:</w:t>
      </w:r>
    </w:p>
    <w:p w14:paraId="7776773E" w14:textId="77777777" w:rsidR="0075249B" w:rsidRPr="0075249B" w:rsidRDefault="0075249B" w:rsidP="0075249B">
      <w:pPr>
        <w:pStyle w:val="ListNumber2"/>
        <w:numPr>
          <w:ilvl w:val="0"/>
          <w:numId w:val="0"/>
        </w:numPr>
        <w:ind w:left="1440"/>
        <w:rPr>
          <w:sz w:val="22"/>
          <w:szCs w:val="22"/>
        </w:rPr>
      </w:pPr>
      <w:r w:rsidRPr="0075249B">
        <w:rPr>
          <w:sz w:val="22"/>
          <w:szCs w:val="22"/>
        </w:rPr>
        <w:t xml:space="preserve">Overall, ASIO has assessed that the factors that contributed to raising the terrorism threat level in 2014 no longer </w:t>
      </w:r>
      <w:proofErr w:type="gramStart"/>
      <w:r w:rsidRPr="0075249B">
        <w:rPr>
          <w:sz w:val="22"/>
          <w:szCs w:val="22"/>
        </w:rPr>
        <w:t>exist, or</w:t>
      </w:r>
      <w:proofErr w:type="gramEnd"/>
      <w:r w:rsidRPr="0075249B">
        <w:rPr>
          <w:sz w:val="22"/>
          <w:szCs w:val="22"/>
        </w:rPr>
        <w:t xml:space="preserve"> persist to a lesser degree. </w:t>
      </w:r>
    </w:p>
    <w:p w14:paraId="7E4D415C" w14:textId="6003CF79" w:rsidR="0085452F" w:rsidRPr="0075249B" w:rsidRDefault="0075249B" w:rsidP="0075249B">
      <w:pPr>
        <w:pStyle w:val="ListNumber2"/>
        <w:numPr>
          <w:ilvl w:val="0"/>
          <w:numId w:val="0"/>
        </w:numPr>
        <w:ind w:left="1440"/>
        <w:rPr>
          <w:sz w:val="22"/>
          <w:szCs w:val="22"/>
        </w:rPr>
      </w:pPr>
      <w:proofErr w:type="gramStart"/>
      <w:r w:rsidRPr="0075249B">
        <w:rPr>
          <w:sz w:val="22"/>
          <w:szCs w:val="22"/>
        </w:rPr>
        <w:t>In particular, ASIO</w:t>
      </w:r>
      <w:proofErr w:type="gramEnd"/>
      <w:r w:rsidRPr="0075249B">
        <w:rPr>
          <w:sz w:val="22"/>
          <w:szCs w:val="22"/>
        </w:rPr>
        <w:t xml:space="preserve"> has assessed that while Australia remains a potential terrorist target, there are fewer violent extremists with the intention to conduct an attack in Australia than there were when the threat level was raised in September 2014.</w:t>
      </w:r>
      <w:r w:rsidR="0098021A">
        <w:rPr>
          <w:rStyle w:val="EndnoteReference"/>
          <w:szCs w:val="22"/>
        </w:rPr>
        <w:endnoteReference w:id="8"/>
      </w:r>
    </w:p>
    <w:p w14:paraId="2B7F3165" w14:textId="77777777" w:rsidR="00D4490D" w:rsidRDefault="00D4490D" w:rsidP="00342D7D">
      <w:pPr>
        <w:pStyle w:val="ListNumber2"/>
        <w:tabs>
          <w:tab w:val="clear" w:pos="643"/>
          <w:tab w:val="num" w:pos="1080"/>
        </w:tabs>
        <w:ind w:left="1080" w:hanging="797"/>
      </w:pPr>
      <w:r>
        <w:t>ASIO provided m</w:t>
      </w:r>
      <w:r w:rsidR="00754D8C">
        <w:t xml:space="preserve">ore detail about </w:t>
      </w:r>
      <w:r>
        <w:t xml:space="preserve">its </w:t>
      </w:r>
      <w:r w:rsidR="00754D8C">
        <w:t xml:space="preserve">decision to </w:t>
      </w:r>
      <w:r w:rsidR="00692A23">
        <w:t>lower the threat level</w:t>
      </w:r>
      <w:r>
        <w:t>:</w:t>
      </w:r>
    </w:p>
    <w:p w14:paraId="018BFD0F" w14:textId="77777777" w:rsidR="00730C14" w:rsidRPr="00730C14" w:rsidRDefault="00730C14" w:rsidP="00730C14">
      <w:pPr>
        <w:pStyle w:val="ListNumber2"/>
        <w:numPr>
          <w:ilvl w:val="0"/>
          <w:numId w:val="0"/>
        </w:numPr>
        <w:ind w:left="1440"/>
        <w:rPr>
          <w:sz w:val="22"/>
          <w:szCs w:val="22"/>
        </w:rPr>
      </w:pPr>
      <w:r w:rsidRPr="00730C14">
        <w:rPr>
          <w:sz w:val="22"/>
          <w:szCs w:val="22"/>
        </w:rPr>
        <w:t>The threat from religiously motivated violent extremists has moderated. In particular, the offshore networks, capabilities and allure of Sunni violent extremist groups—such as the Islamic State of Iraq and the Levant and al-</w:t>
      </w:r>
      <w:proofErr w:type="spellStart"/>
      <w:proofErr w:type="gramStart"/>
      <w:r w:rsidRPr="00730C14">
        <w:rPr>
          <w:sz w:val="22"/>
          <w:szCs w:val="22"/>
        </w:rPr>
        <w:t>Qa‘</w:t>
      </w:r>
      <w:proofErr w:type="gramEnd"/>
      <w:r w:rsidRPr="00730C14">
        <w:rPr>
          <w:sz w:val="22"/>
          <w:szCs w:val="22"/>
        </w:rPr>
        <w:t>ida</w:t>
      </w:r>
      <w:proofErr w:type="spellEnd"/>
      <w:r w:rsidRPr="00730C14">
        <w:rPr>
          <w:sz w:val="22"/>
          <w:szCs w:val="22"/>
        </w:rPr>
        <w:t xml:space="preserve">—have been substantially degraded. Accordingly, the support for these groups in Australia has declined further. But the violent extremist beliefs which motivated these groups </w:t>
      </w:r>
      <w:proofErr w:type="gramStart"/>
      <w:r w:rsidRPr="00730C14">
        <w:rPr>
          <w:sz w:val="22"/>
          <w:szCs w:val="22"/>
        </w:rPr>
        <w:t>persist, and</w:t>
      </w:r>
      <w:proofErr w:type="gramEnd"/>
      <w:r w:rsidRPr="00730C14">
        <w:rPr>
          <w:sz w:val="22"/>
          <w:szCs w:val="22"/>
        </w:rPr>
        <w:t xml:space="preserve"> will continue to appeal to a small number of Australians.</w:t>
      </w:r>
    </w:p>
    <w:p w14:paraId="7CA9F458" w14:textId="77777777" w:rsidR="00730C14" w:rsidRPr="00730C14" w:rsidRDefault="00730C14" w:rsidP="00730C14">
      <w:pPr>
        <w:pStyle w:val="ListNumber2"/>
        <w:numPr>
          <w:ilvl w:val="0"/>
          <w:numId w:val="0"/>
        </w:numPr>
        <w:ind w:left="1440"/>
        <w:rPr>
          <w:sz w:val="22"/>
          <w:szCs w:val="22"/>
        </w:rPr>
      </w:pPr>
      <w:r w:rsidRPr="00730C14">
        <w:rPr>
          <w:sz w:val="22"/>
          <w:szCs w:val="22"/>
        </w:rPr>
        <w:t>Ideologically motivated violent extremism—and particularly nationalist and racist violent extremism—remains a threat to Australian security and its adherents will continue to engage in offensive behaviours. But nationalist and racist violent extremist groups are more likely to focus on recruitment and radicalisation, rather than attack planning. ASIO remains concerned about the potential for these groups to radicalise individuals who then go on to undertake attacks, potentially without any warning.</w:t>
      </w:r>
    </w:p>
    <w:p w14:paraId="3B460503" w14:textId="77777777" w:rsidR="00730C14" w:rsidRPr="00730C14" w:rsidRDefault="00730C14" w:rsidP="00730C14">
      <w:pPr>
        <w:pStyle w:val="ListNumber2"/>
        <w:numPr>
          <w:ilvl w:val="0"/>
          <w:numId w:val="0"/>
        </w:numPr>
        <w:ind w:left="1440"/>
        <w:rPr>
          <w:sz w:val="22"/>
          <w:szCs w:val="22"/>
        </w:rPr>
      </w:pPr>
      <w:r w:rsidRPr="00730C14">
        <w:rPr>
          <w:sz w:val="22"/>
          <w:szCs w:val="22"/>
        </w:rPr>
        <w:t>Over the last two years, ASIO has seen an increase in issue-motivated extremism fuelled by grievances associated with COVID-19 restrictions, conspiracy theories and anti-authority ideologies. While some individuals used violent rhetoric and some protests involved violence, we did not identify acts of terrorism. The Australian community remained largely resilient, and many of the grievance narratives lost momentum as restrictions were eased.</w:t>
      </w:r>
    </w:p>
    <w:p w14:paraId="3537A0B0" w14:textId="01FC3E41" w:rsidR="00D4490D" w:rsidRPr="00730C14" w:rsidRDefault="00730C14" w:rsidP="00730C14">
      <w:pPr>
        <w:pStyle w:val="ListNumber2"/>
        <w:numPr>
          <w:ilvl w:val="0"/>
          <w:numId w:val="0"/>
        </w:numPr>
        <w:ind w:left="1440"/>
        <w:rPr>
          <w:sz w:val="22"/>
          <w:szCs w:val="22"/>
        </w:rPr>
      </w:pPr>
      <w:r w:rsidRPr="00730C14">
        <w:rPr>
          <w:sz w:val="22"/>
          <w:szCs w:val="22"/>
        </w:rPr>
        <w:lastRenderedPageBreak/>
        <w:t>In the online environment, violent extremists—both in Australia and offshore—will continue to produce and share propaganda intended to sow division and encourage acts of violence. While a single piece of propaganda is unlikely to be the sole catalyst for an attack, it can be amplified in online echo chambers where violent extremist ideologies can proliferate without being challenged.</w:t>
      </w:r>
      <w:r w:rsidR="001405E6">
        <w:rPr>
          <w:rStyle w:val="EndnoteReference"/>
          <w:szCs w:val="22"/>
        </w:rPr>
        <w:endnoteReference w:id="9"/>
      </w:r>
    </w:p>
    <w:p w14:paraId="569BCE36" w14:textId="378E5FFF" w:rsidR="00BE2EF9" w:rsidRDefault="00BE2EF9" w:rsidP="00342D7D">
      <w:pPr>
        <w:pStyle w:val="ListNumber2"/>
        <w:tabs>
          <w:tab w:val="clear" w:pos="643"/>
          <w:tab w:val="num" w:pos="1080"/>
        </w:tabs>
        <w:ind w:left="1080" w:hanging="797"/>
      </w:pPr>
      <w:r>
        <w:t xml:space="preserve">The Minister emphasised that the lowering of the threat level did not mean that </w:t>
      </w:r>
      <w:r w:rsidR="00806F3D">
        <w:t xml:space="preserve">there was no or negligible threat from terrorism. </w:t>
      </w:r>
      <w:r w:rsidR="00E91562">
        <w:t xml:space="preserve">Nevertheless, </w:t>
      </w:r>
      <w:r w:rsidR="00D24DA0">
        <w:t xml:space="preserve">the reduction of the threat level to </w:t>
      </w:r>
      <w:r w:rsidR="00CB57D6">
        <w:t xml:space="preserve">‘POSSIBLE’, the second lowest of five levels and </w:t>
      </w:r>
      <w:r w:rsidR="00D24DA0">
        <w:t xml:space="preserve">the lowest </w:t>
      </w:r>
      <w:r w:rsidR="00CB57D6">
        <w:t xml:space="preserve">it has been for a decade, suggests that this Committee should </w:t>
      </w:r>
      <w:r w:rsidR="00985D11">
        <w:t xml:space="preserve">carefully scrutinise proposals to further extend measures to combat terrorism that were </w:t>
      </w:r>
      <w:r w:rsidR="009F0B2F">
        <w:t>only ever intended to be temporary and that have significant human rights implications.</w:t>
      </w:r>
    </w:p>
    <w:p w14:paraId="29EF7E93" w14:textId="13C0F223" w:rsidR="009F0B2F" w:rsidRDefault="009F0B2F" w:rsidP="00342D7D">
      <w:pPr>
        <w:pStyle w:val="ListNumber2"/>
        <w:tabs>
          <w:tab w:val="clear" w:pos="643"/>
          <w:tab w:val="num" w:pos="1080"/>
        </w:tabs>
        <w:ind w:left="1080" w:hanging="797"/>
      </w:pPr>
      <w:r>
        <w:t>For the reasons set out in more detail below, the Commission recommends that:</w:t>
      </w:r>
    </w:p>
    <w:p w14:paraId="1C48A583" w14:textId="1D31488A" w:rsidR="009F0B2F" w:rsidRDefault="000D59DC" w:rsidP="000D59DC">
      <w:pPr>
        <w:pStyle w:val="ListNumber2"/>
        <w:numPr>
          <w:ilvl w:val="0"/>
          <w:numId w:val="43"/>
        </w:numPr>
      </w:pPr>
      <w:r>
        <w:t xml:space="preserve">the stop, search and seizure powers be extended for a further 3 years, </w:t>
      </w:r>
      <w:r w:rsidR="00FC33B0">
        <w:t xml:space="preserve">because their tight framing </w:t>
      </w:r>
      <w:r w:rsidR="00397303">
        <w:t xml:space="preserve">(including </w:t>
      </w:r>
      <w:r w:rsidR="002E7E73">
        <w:t xml:space="preserve">the further safeguards included in the Bill) </w:t>
      </w:r>
      <w:r w:rsidR="00FC33B0">
        <w:t>means that their impact on human rights is proportion</w:t>
      </w:r>
      <w:r w:rsidR="0047723D">
        <w:t xml:space="preserve">ate in the circumstances </w:t>
      </w:r>
    </w:p>
    <w:p w14:paraId="76BF7265" w14:textId="40D699CD" w:rsidR="0047723D" w:rsidRDefault="0047723D" w:rsidP="000D59DC">
      <w:pPr>
        <w:pStyle w:val="ListNumber2"/>
        <w:numPr>
          <w:ilvl w:val="0"/>
          <w:numId w:val="43"/>
        </w:numPr>
      </w:pPr>
      <w:r>
        <w:t xml:space="preserve">the control order powers be </w:t>
      </w:r>
      <w:r w:rsidR="00C22A7C">
        <w:t>allowed to sunset in December 2023</w:t>
      </w:r>
      <w:r>
        <w:t xml:space="preserve">, now that an extended supervision order regime </w:t>
      </w:r>
      <w:r w:rsidR="008668EF">
        <w:t xml:space="preserve">for convicted terrorism offenders </w:t>
      </w:r>
      <w:r>
        <w:t>has been enacted and is operational</w:t>
      </w:r>
    </w:p>
    <w:p w14:paraId="070ACC61" w14:textId="5EA2FF8D" w:rsidR="0047723D" w:rsidRDefault="00C22A7C" w:rsidP="000D59DC">
      <w:pPr>
        <w:pStyle w:val="ListNumber2"/>
        <w:numPr>
          <w:ilvl w:val="0"/>
          <w:numId w:val="43"/>
        </w:numPr>
      </w:pPr>
      <w:r>
        <w:t>the preventative detention order powers be allowed to sunset in December 2023, given the</w:t>
      </w:r>
      <w:r w:rsidR="00765CC8">
        <w:t>ir</w:t>
      </w:r>
      <w:r>
        <w:t xml:space="preserve"> </w:t>
      </w:r>
      <w:r w:rsidR="00765CC8">
        <w:t xml:space="preserve">very </w:t>
      </w:r>
      <w:r>
        <w:t xml:space="preserve">significant impact on human rights </w:t>
      </w:r>
      <w:r w:rsidR="00582F0F">
        <w:t xml:space="preserve">and the availability of less restrictive alternatives that are just as effective </w:t>
      </w:r>
      <w:r w:rsidR="00333ACF">
        <w:t>in achieving the</w:t>
      </w:r>
      <w:r w:rsidR="00DC0933">
        <w:t>ir</w:t>
      </w:r>
      <w:r w:rsidR="00333ACF">
        <w:t xml:space="preserve"> </w:t>
      </w:r>
      <w:r w:rsidR="00DC0933">
        <w:t xml:space="preserve">stated </w:t>
      </w:r>
      <w:r w:rsidR="00333ACF">
        <w:t>objectives</w:t>
      </w:r>
      <w:r w:rsidR="00DC0933">
        <w:t>.</w:t>
      </w:r>
    </w:p>
    <w:p w14:paraId="2D01F418" w14:textId="629169EA" w:rsidR="008441EC" w:rsidRDefault="008668EF" w:rsidP="008441EC">
      <w:pPr>
        <w:pStyle w:val="ListNumber2"/>
        <w:tabs>
          <w:tab w:val="clear" w:pos="643"/>
          <w:tab w:val="num" w:pos="1080"/>
        </w:tabs>
        <w:ind w:left="1080" w:hanging="797"/>
      </w:pPr>
      <w:r>
        <w:t>The Commission also addresses some of the other proposed amendments to the</w:t>
      </w:r>
      <w:r w:rsidR="00651FC8">
        <w:t>se regimes</w:t>
      </w:r>
      <w:r w:rsidR="008441EC">
        <w:t>.</w:t>
      </w:r>
      <w:r w:rsidR="00651FC8">
        <w:t xml:space="preserve">  In summary, it supports amendments to:</w:t>
      </w:r>
    </w:p>
    <w:p w14:paraId="2FE1D3E8" w14:textId="65356372" w:rsidR="00651FC8" w:rsidRDefault="00651FC8" w:rsidP="00651FC8">
      <w:pPr>
        <w:pStyle w:val="ListNumber2"/>
        <w:numPr>
          <w:ilvl w:val="0"/>
          <w:numId w:val="43"/>
        </w:numPr>
      </w:pPr>
      <w:r>
        <w:t>the stop, search and seize regime to:</w:t>
      </w:r>
    </w:p>
    <w:p w14:paraId="77210DCE" w14:textId="75AFACF1" w:rsidR="00651FC8" w:rsidRDefault="00405556" w:rsidP="00651FC8">
      <w:pPr>
        <w:pStyle w:val="ListNumber2"/>
        <w:numPr>
          <w:ilvl w:val="1"/>
          <w:numId w:val="43"/>
        </w:numPr>
      </w:pPr>
      <w:r>
        <w:t xml:space="preserve">require police to inform people who are stopped of their right to make a complaint to a relevant oversight </w:t>
      </w:r>
      <w:r w:rsidR="00EB3702">
        <w:t>body</w:t>
      </w:r>
    </w:p>
    <w:p w14:paraId="304DF47C" w14:textId="632616CA" w:rsidR="00EB3702" w:rsidRDefault="00EB3702" w:rsidP="00651FC8">
      <w:pPr>
        <w:pStyle w:val="ListNumber2"/>
        <w:numPr>
          <w:ilvl w:val="1"/>
          <w:numId w:val="43"/>
        </w:numPr>
      </w:pPr>
      <w:r>
        <w:lastRenderedPageBreak/>
        <w:t xml:space="preserve">set out mandatory considerations when </w:t>
      </w:r>
      <w:r w:rsidR="00AC3A41">
        <w:t xml:space="preserve">the Minister </w:t>
      </w:r>
      <w:r>
        <w:t>declar</w:t>
      </w:r>
      <w:r w:rsidR="00AC3A41">
        <w:t>es</w:t>
      </w:r>
      <w:r>
        <w:t xml:space="preserve"> a prescribed security zone</w:t>
      </w:r>
    </w:p>
    <w:p w14:paraId="03CEBF23" w14:textId="5C64DCA5" w:rsidR="005429D7" w:rsidRDefault="005429D7" w:rsidP="00651FC8">
      <w:pPr>
        <w:pStyle w:val="ListNumber2"/>
        <w:numPr>
          <w:ilvl w:val="1"/>
          <w:numId w:val="43"/>
        </w:numPr>
      </w:pPr>
      <w:r>
        <w:t xml:space="preserve">permit </w:t>
      </w:r>
      <w:r w:rsidR="00EB2A28">
        <w:t xml:space="preserve">declarations of prescribed security zones to be made for periods </w:t>
      </w:r>
      <w:r w:rsidR="000E5C09">
        <w:t xml:space="preserve">shorter </w:t>
      </w:r>
      <w:r w:rsidR="00EB2A28">
        <w:t>than 28 days</w:t>
      </w:r>
    </w:p>
    <w:p w14:paraId="466E6CC0" w14:textId="170CA30F" w:rsidR="00EB2A28" w:rsidRDefault="00EB2A28" w:rsidP="00651FC8">
      <w:pPr>
        <w:pStyle w:val="ListNumber2"/>
        <w:numPr>
          <w:ilvl w:val="1"/>
          <w:numId w:val="43"/>
        </w:numPr>
      </w:pPr>
      <w:r>
        <w:t>require the Australian Federal Police (AFP) to notify the Commonwealth Ombudsman, the Independent National Security Legislation Monitor (INSLM) and the PJCIS of the declaration of any prescribed security zone within 72 hours</w:t>
      </w:r>
    </w:p>
    <w:p w14:paraId="32F26D94" w14:textId="6B626521" w:rsidR="004F0691" w:rsidRDefault="004F0691" w:rsidP="00651FC8">
      <w:pPr>
        <w:pStyle w:val="ListNumber2"/>
        <w:numPr>
          <w:ilvl w:val="1"/>
          <w:numId w:val="43"/>
        </w:numPr>
      </w:pPr>
      <w:r>
        <w:t>require the Minister to provide the PJCIS with a statement of reasons for making a declaration of a prescribed security zone as soon as practicable</w:t>
      </w:r>
    </w:p>
    <w:p w14:paraId="44A110E5" w14:textId="7CE591CD" w:rsidR="004F0691" w:rsidRDefault="004F0691" w:rsidP="004F0691">
      <w:pPr>
        <w:pStyle w:val="ListNumber2"/>
        <w:numPr>
          <w:ilvl w:val="0"/>
          <w:numId w:val="43"/>
        </w:numPr>
      </w:pPr>
      <w:r>
        <w:t xml:space="preserve">the control order regime </w:t>
      </w:r>
      <w:r w:rsidR="009D5BA8">
        <w:t xml:space="preserve">(if it is to continue) </w:t>
      </w:r>
      <w:r>
        <w:t xml:space="preserve">to </w:t>
      </w:r>
      <w:r w:rsidR="00101B57">
        <w:t xml:space="preserve">limit the making of control orders to the Federal Court </w:t>
      </w:r>
    </w:p>
    <w:p w14:paraId="5CB1DA92" w14:textId="6FD1F878" w:rsidR="00101B57" w:rsidRDefault="00101B57" w:rsidP="004F0691">
      <w:pPr>
        <w:pStyle w:val="ListNumber2"/>
        <w:numPr>
          <w:ilvl w:val="0"/>
          <w:numId w:val="43"/>
        </w:numPr>
      </w:pPr>
      <w:r>
        <w:t xml:space="preserve">the preventative detention order regime </w:t>
      </w:r>
      <w:r w:rsidR="009D5BA8">
        <w:t xml:space="preserve">(if it is to continue) </w:t>
      </w:r>
      <w:r>
        <w:t xml:space="preserve">to </w:t>
      </w:r>
      <w:r w:rsidR="00F4508B">
        <w:t>limit the issuing of preventative detention orders to current and former superior court judges.</w:t>
      </w:r>
    </w:p>
    <w:p w14:paraId="1F6C052D" w14:textId="608A239F" w:rsidR="00EF4D25" w:rsidRDefault="00EF4D25" w:rsidP="00EF4D25">
      <w:pPr>
        <w:pStyle w:val="ListNumber2"/>
        <w:tabs>
          <w:tab w:val="clear" w:pos="643"/>
          <w:tab w:val="num" w:pos="1080"/>
        </w:tabs>
        <w:ind w:left="1080" w:hanging="797"/>
      </w:pPr>
      <w:r>
        <w:t xml:space="preserve">The Commission agrees with the additional reporting requirements in relation to post-sentence </w:t>
      </w:r>
      <w:proofErr w:type="gramStart"/>
      <w:r>
        <w:t>orders, but</w:t>
      </w:r>
      <w:proofErr w:type="gramEnd"/>
      <w:r>
        <w:t xml:space="preserve"> notes that a more substantive review of Div 105A </w:t>
      </w:r>
      <w:r w:rsidR="009878E8">
        <w:t xml:space="preserve">is required and is currently being conducted by the PJCIS. </w:t>
      </w:r>
    </w:p>
    <w:p w14:paraId="519BD526" w14:textId="2D00EAB2" w:rsidR="009878E8" w:rsidRDefault="009878E8" w:rsidP="00EF4D25">
      <w:pPr>
        <w:pStyle w:val="ListNumber2"/>
        <w:tabs>
          <w:tab w:val="clear" w:pos="643"/>
          <w:tab w:val="num" w:pos="1080"/>
        </w:tabs>
        <w:ind w:left="1080" w:hanging="797"/>
      </w:pPr>
      <w:r>
        <w:t xml:space="preserve">The Commission also agrees with the extension </w:t>
      </w:r>
      <w:r w:rsidR="00605E2F">
        <w:t xml:space="preserve">for 12 months </w:t>
      </w:r>
      <w:r>
        <w:t>of the sunsetting date for the general secrecy offence under s 122.4 of the Criminal Code of unauthorised disclosure of information by current and former Commonwealth officers</w:t>
      </w:r>
      <w:r w:rsidR="00605E2F">
        <w:t xml:space="preserve">, on the basis that the Government is currently in a process of </w:t>
      </w:r>
      <w:r w:rsidR="00C5743D">
        <w:t>reducing the number and complexity of Commonwealth secrecy offences.</w:t>
      </w:r>
    </w:p>
    <w:p w14:paraId="0C757BB0" w14:textId="2D5E1A49" w:rsidR="00DC0933" w:rsidRDefault="00DC0933" w:rsidP="00DC0933">
      <w:pPr>
        <w:pStyle w:val="Heading1"/>
      </w:pPr>
      <w:bookmarkStart w:id="9" w:name="_Toc147736286"/>
      <w:r>
        <w:t>Recommendations</w:t>
      </w:r>
      <w:bookmarkEnd w:id="9"/>
    </w:p>
    <w:p w14:paraId="6F8D272A" w14:textId="77777777" w:rsidR="00DC0933" w:rsidRPr="00EB440B" w:rsidRDefault="00DC0933" w:rsidP="00DC0933">
      <w:pPr>
        <w:pStyle w:val="ListNumber2"/>
        <w:keepNext/>
        <w:numPr>
          <w:ilvl w:val="0"/>
          <w:numId w:val="0"/>
        </w:numPr>
        <w:ind w:left="1077"/>
        <w:rPr>
          <w:b/>
          <w:bCs/>
        </w:rPr>
      </w:pPr>
      <w:r w:rsidRPr="00EB440B">
        <w:rPr>
          <w:b/>
          <w:bCs/>
        </w:rPr>
        <w:t>Recommendation 1</w:t>
      </w:r>
    </w:p>
    <w:p w14:paraId="152464C8" w14:textId="77777777" w:rsidR="00DC0933" w:rsidRDefault="00DC0933" w:rsidP="00DC0933">
      <w:pPr>
        <w:pStyle w:val="ListNumber2"/>
        <w:numPr>
          <w:ilvl w:val="0"/>
          <w:numId w:val="0"/>
        </w:numPr>
        <w:ind w:left="1080"/>
      </w:pPr>
      <w:r>
        <w:t xml:space="preserve">The Commission recommends that Schedule 1 of the Bill, dealing with amendments to the stop, search and seize powers in the </w:t>
      </w:r>
      <w:r w:rsidRPr="00F54746">
        <w:rPr>
          <w:i/>
          <w:iCs/>
        </w:rPr>
        <w:t>Crimes Act 1914</w:t>
      </w:r>
      <w:r>
        <w:t xml:space="preserve"> (Cth), be passed. </w:t>
      </w:r>
    </w:p>
    <w:p w14:paraId="46EE4908" w14:textId="77777777" w:rsidR="00434D08" w:rsidRPr="0038636D" w:rsidRDefault="00434D08" w:rsidP="00434D08">
      <w:pPr>
        <w:pStyle w:val="ListNumber2"/>
        <w:keepNext/>
        <w:numPr>
          <w:ilvl w:val="0"/>
          <w:numId w:val="0"/>
        </w:numPr>
        <w:ind w:left="777" w:firstLine="318"/>
        <w:rPr>
          <w:b/>
          <w:bCs/>
        </w:rPr>
      </w:pPr>
      <w:r w:rsidRPr="0038636D">
        <w:rPr>
          <w:b/>
          <w:bCs/>
        </w:rPr>
        <w:lastRenderedPageBreak/>
        <w:t>Recommendation 2</w:t>
      </w:r>
    </w:p>
    <w:p w14:paraId="3E749B43" w14:textId="77777777" w:rsidR="00434D08" w:rsidRDefault="00434D08" w:rsidP="00434D08">
      <w:pPr>
        <w:pStyle w:val="ListNumber2"/>
        <w:numPr>
          <w:ilvl w:val="0"/>
          <w:numId w:val="0"/>
        </w:numPr>
        <w:ind w:left="1094"/>
      </w:pPr>
      <w:r>
        <w:t>The Commission recommends that the provisions of Schedule 2 of the Bill dealing with control orders not be passed, and that the provisions of the Criminal Code dealing with control orders be permitted to sunset on 7 December 2023 as currently provided for in s 104.32.</w:t>
      </w:r>
    </w:p>
    <w:p w14:paraId="13F2F100" w14:textId="77777777" w:rsidR="00434D08" w:rsidRPr="0020673F" w:rsidRDefault="00434D08" w:rsidP="00434D08">
      <w:pPr>
        <w:pStyle w:val="ListNumber2"/>
        <w:keepNext/>
        <w:numPr>
          <w:ilvl w:val="0"/>
          <w:numId w:val="0"/>
        </w:numPr>
        <w:ind w:left="1077"/>
        <w:rPr>
          <w:b/>
          <w:bCs/>
        </w:rPr>
      </w:pPr>
      <w:r w:rsidRPr="0020673F">
        <w:rPr>
          <w:b/>
          <w:bCs/>
        </w:rPr>
        <w:t>Recommendation 3</w:t>
      </w:r>
    </w:p>
    <w:p w14:paraId="6A144831" w14:textId="5E889986" w:rsidR="00434D08" w:rsidRDefault="00DA281B" w:rsidP="00434D08">
      <w:pPr>
        <w:pStyle w:val="ListNumber2"/>
        <w:numPr>
          <w:ilvl w:val="0"/>
          <w:numId w:val="0"/>
        </w:numPr>
        <w:ind w:left="1080"/>
      </w:pPr>
      <w:r w:rsidRPr="000B28ED">
        <w:t xml:space="preserve">If </w:t>
      </w:r>
      <w:r>
        <w:t xml:space="preserve">Recommendation 2 is not accepted, </w:t>
      </w:r>
      <w:r w:rsidR="00434D08">
        <w:t>the Commission recommends that the existing control order regime be amended to focus only on orders for preventative purposes, leaving the extended supervision order regime to apply to post-sentence orders.  This should be done by:</w:t>
      </w:r>
    </w:p>
    <w:p w14:paraId="27226CAC" w14:textId="77777777" w:rsidR="00434D08" w:rsidRDefault="00434D08" w:rsidP="00434D08">
      <w:pPr>
        <w:pStyle w:val="ListNumber2"/>
        <w:numPr>
          <w:ilvl w:val="0"/>
          <w:numId w:val="0"/>
        </w:numPr>
        <w:ind w:left="1080"/>
      </w:pPr>
      <w:r>
        <w:t>(a)</w:t>
      </w:r>
      <w:r>
        <w:tab/>
        <w:t>repealing ss 104.2(2)(b) and (d) of the Criminal Code</w:t>
      </w:r>
    </w:p>
    <w:p w14:paraId="6EAFD966" w14:textId="77777777" w:rsidR="00434D08" w:rsidRDefault="00434D08" w:rsidP="00434D08">
      <w:pPr>
        <w:pStyle w:val="ListNumber2"/>
        <w:numPr>
          <w:ilvl w:val="0"/>
          <w:numId w:val="0"/>
        </w:numPr>
        <w:ind w:left="1080"/>
      </w:pPr>
      <w:r>
        <w:t>(b)</w:t>
      </w:r>
      <w:r>
        <w:tab/>
        <w:t>repealing ss 104.4(1)(c)(ii)-(v) and (vii) of the Criminal Code</w:t>
      </w:r>
    </w:p>
    <w:p w14:paraId="6B3412DE" w14:textId="77777777" w:rsidR="00434D08" w:rsidRDefault="00434D08" w:rsidP="00434D08">
      <w:pPr>
        <w:pStyle w:val="ListNumber2"/>
        <w:numPr>
          <w:ilvl w:val="0"/>
          <w:numId w:val="0"/>
        </w:numPr>
        <w:ind w:left="1080"/>
      </w:pPr>
      <w:r>
        <w:t>(c)</w:t>
      </w:r>
      <w:r>
        <w:tab/>
        <w:t>making any other necessary consequential amendments.</w:t>
      </w:r>
    </w:p>
    <w:p w14:paraId="17832AE9" w14:textId="77777777" w:rsidR="00DA281B" w:rsidRPr="001757AE" w:rsidRDefault="00DA281B" w:rsidP="00DA281B">
      <w:pPr>
        <w:pStyle w:val="ListNumber2"/>
        <w:keepNext/>
        <w:numPr>
          <w:ilvl w:val="0"/>
          <w:numId w:val="0"/>
        </w:numPr>
        <w:ind w:left="1077"/>
        <w:rPr>
          <w:b/>
          <w:bCs/>
        </w:rPr>
      </w:pPr>
      <w:r w:rsidRPr="001757AE">
        <w:rPr>
          <w:b/>
          <w:bCs/>
        </w:rPr>
        <w:t xml:space="preserve">Recommendation </w:t>
      </w:r>
      <w:r>
        <w:rPr>
          <w:b/>
          <w:bCs/>
        </w:rPr>
        <w:t>4</w:t>
      </w:r>
    </w:p>
    <w:p w14:paraId="1E11F4A7" w14:textId="77777777" w:rsidR="00DA281B" w:rsidRPr="000B28ED" w:rsidRDefault="00DA281B" w:rsidP="00DA281B">
      <w:pPr>
        <w:pStyle w:val="ListNumber2"/>
        <w:numPr>
          <w:ilvl w:val="0"/>
          <w:numId w:val="0"/>
        </w:numPr>
        <w:ind w:left="1080"/>
      </w:pPr>
      <w:r w:rsidRPr="000B28ED">
        <w:t xml:space="preserve">If </w:t>
      </w:r>
      <w:r>
        <w:t>Recommendation 2 is not accepted, the Commission recommends that the provisions of Schedule 2 of the Bill that limit the making of control orders to the Federal Court be passed.</w:t>
      </w:r>
    </w:p>
    <w:p w14:paraId="3D11DE1C" w14:textId="77777777" w:rsidR="00E014E3" w:rsidRPr="00626274" w:rsidRDefault="00E014E3" w:rsidP="00E014E3">
      <w:pPr>
        <w:pStyle w:val="ListNumber2"/>
        <w:keepNext/>
        <w:numPr>
          <w:ilvl w:val="0"/>
          <w:numId w:val="0"/>
        </w:numPr>
        <w:ind w:left="1077"/>
        <w:rPr>
          <w:b/>
          <w:bCs/>
        </w:rPr>
      </w:pPr>
      <w:r w:rsidRPr="00626274">
        <w:rPr>
          <w:b/>
          <w:bCs/>
        </w:rPr>
        <w:t xml:space="preserve">Recommendation </w:t>
      </w:r>
      <w:r>
        <w:rPr>
          <w:b/>
          <w:bCs/>
        </w:rPr>
        <w:t>5</w:t>
      </w:r>
    </w:p>
    <w:p w14:paraId="7182B1EF" w14:textId="77777777" w:rsidR="00E014E3" w:rsidRDefault="00E014E3" w:rsidP="00E014E3">
      <w:pPr>
        <w:pStyle w:val="ListNumber2"/>
        <w:numPr>
          <w:ilvl w:val="0"/>
          <w:numId w:val="0"/>
        </w:numPr>
        <w:ind w:left="1094"/>
      </w:pPr>
      <w:r>
        <w:t>The Commission recommends that the provisions of Schedule 2 of the Bill dealing with preventative detention orders not be passed, and that the provisions of the Criminal Code dealing with preventative detention orders be permitted to sunset on 7 December 2023 as currently provided for in s 105.56.</w:t>
      </w:r>
    </w:p>
    <w:p w14:paraId="6BA38288" w14:textId="77777777" w:rsidR="00876D2C" w:rsidRPr="001757AE" w:rsidRDefault="00876D2C" w:rsidP="00876D2C">
      <w:pPr>
        <w:pStyle w:val="ListNumber2"/>
        <w:keepNext/>
        <w:numPr>
          <w:ilvl w:val="0"/>
          <w:numId w:val="0"/>
        </w:numPr>
        <w:ind w:left="1077"/>
        <w:rPr>
          <w:b/>
          <w:bCs/>
        </w:rPr>
      </w:pPr>
      <w:r w:rsidRPr="001757AE">
        <w:rPr>
          <w:b/>
          <w:bCs/>
        </w:rPr>
        <w:t xml:space="preserve">Recommendation </w:t>
      </w:r>
      <w:r>
        <w:rPr>
          <w:b/>
          <w:bCs/>
        </w:rPr>
        <w:t>6</w:t>
      </w:r>
    </w:p>
    <w:p w14:paraId="7AD39D8E" w14:textId="77777777" w:rsidR="00876D2C" w:rsidRPr="000B28ED" w:rsidRDefault="00876D2C" w:rsidP="00876D2C">
      <w:pPr>
        <w:pStyle w:val="ListNumber2"/>
        <w:numPr>
          <w:ilvl w:val="0"/>
          <w:numId w:val="0"/>
        </w:numPr>
        <w:ind w:left="1080"/>
      </w:pPr>
      <w:r w:rsidRPr="000B28ED">
        <w:t xml:space="preserve">If </w:t>
      </w:r>
      <w:r>
        <w:t>Recommendation 5 is not accepted, the Commission recommends that the provisions of Schedule 2 of the Bill that limit the issuing of preventative detention orders to current and former superior court judges be passed.</w:t>
      </w:r>
    </w:p>
    <w:p w14:paraId="3A32EE68" w14:textId="77777777" w:rsidR="00876D2C" w:rsidRPr="00FC6EE2" w:rsidRDefault="00876D2C" w:rsidP="00876D2C">
      <w:pPr>
        <w:pStyle w:val="ListNumber2"/>
        <w:keepNext/>
        <w:numPr>
          <w:ilvl w:val="0"/>
          <w:numId w:val="0"/>
        </w:numPr>
        <w:ind w:left="1077"/>
        <w:rPr>
          <w:b/>
          <w:bCs/>
        </w:rPr>
      </w:pPr>
      <w:r w:rsidRPr="00FC6EE2">
        <w:rPr>
          <w:b/>
          <w:bCs/>
        </w:rPr>
        <w:lastRenderedPageBreak/>
        <w:t xml:space="preserve">Recommendation </w:t>
      </w:r>
      <w:r>
        <w:rPr>
          <w:b/>
          <w:bCs/>
        </w:rPr>
        <w:t>7</w:t>
      </w:r>
    </w:p>
    <w:p w14:paraId="4EF0CC72" w14:textId="77777777" w:rsidR="00876D2C" w:rsidRDefault="00876D2C" w:rsidP="00876D2C">
      <w:pPr>
        <w:pStyle w:val="ListNumber2"/>
        <w:numPr>
          <w:ilvl w:val="0"/>
          <w:numId w:val="0"/>
        </w:numPr>
        <w:ind w:left="1080"/>
      </w:pPr>
      <w:r>
        <w:t>The Commission recommends that the items 53 to 55 of Schedule 2 of the Bill dealing with post-sentence orders be passed.</w:t>
      </w:r>
    </w:p>
    <w:p w14:paraId="104C50C0" w14:textId="77777777" w:rsidR="00876D2C" w:rsidRPr="004003DD" w:rsidRDefault="00876D2C" w:rsidP="00876D2C">
      <w:pPr>
        <w:pStyle w:val="ListNumber2"/>
        <w:keepNext/>
        <w:numPr>
          <w:ilvl w:val="0"/>
          <w:numId w:val="0"/>
        </w:numPr>
        <w:ind w:left="1077"/>
        <w:rPr>
          <w:b/>
          <w:bCs/>
        </w:rPr>
      </w:pPr>
      <w:r w:rsidRPr="004003DD">
        <w:rPr>
          <w:b/>
          <w:bCs/>
        </w:rPr>
        <w:t xml:space="preserve">Recommendation </w:t>
      </w:r>
      <w:r>
        <w:rPr>
          <w:b/>
          <w:bCs/>
        </w:rPr>
        <w:t>8</w:t>
      </w:r>
    </w:p>
    <w:p w14:paraId="5AC2882D" w14:textId="77777777" w:rsidR="00876D2C" w:rsidRDefault="00876D2C" w:rsidP="00876D2C">
      <w:pPr>
        <w:pStyle w:val="ListNumber2"/>
        <w:numPr>
          <w:ilvl w:val="0"/>
          <w:numId w:val="0"/>
        </w:numPr>
        <w:ind w:left="1080"/>
      </w:pPr>
      <w:r>
        <w:t xml:space="preserve">The Commission recommends that the extension of the sunsetting of s 122.4 in Part 2 of Schedule 2 of the Bill </w:t>
      </w:r>
      <w:proofErr w:type="gramStart"/>
      <w:r>
        <w:t>be passed,</w:t>
      </w:r>
      <w:proofErr w:type="gramEnd"/>
      <w:r>
        <w:t xml:space="preserve"> on the basis that the Government intends over the next 12 months to reduce and rationalise the number of Commonwealth secrecy offences.</w:t>
      </w:r>
    </w:p>
    <w:p w14:paraId="59556D89" w14:textId="40D1A24A" w:rsidR="008441EC" w:rsidRDefault="001545A0" w:rsidP="001545A0">
      <w:pPr>
        <w:pStyle w:val="Heading1"/>
      </w:pPr>
      <w:bookmarkStart w:id="10" w:name="_Toc147736287"/>
      <w:r>
        <w:t>Stop, search and seize powers</w:t>
      </w:r>
      <w:bookmarkEnd w:id="10"/>
    </w:p>
    <w:p w14:paraId="03C7E710" w14:textId="77777777" w:rsidR="00330DA1" w:rsidRDefault="00330DA1" w:rsidP="00330DA1">
      <w:pPr>
        <w:pStyle w:val="Heading2"/>
      </w:pPr>
      <w:bookmarkStart w:id="11" w:name="_Toc147736288"/>
      <w:r>
        <w:t>Structure of provisions</w:t>
      </w:r>
      <w:bookmarkEnd w:id="11"/>
    </w:p>
    <w:p w14:paraId="26F7FE39" w14:textId="2F825AB2" w:rsidR="00330DA1" w:rsidRDefault="00330DA1" w:rsidP="00330DA1">
      <w:pPr>
        <w:pStyle w:val="ListNumber2"/>
        <w:tabs>
          <w:tab w:val="clear" w:pos="643"/>
          <w:tab w:val="num" w:pos="1080"/>
        </w:tabs>
        <w:ind w:left="1080" w:hanging="797"/>
      </w:pPr>
      <w:r w:rsidRPr="0035411E">
        <w:t xml:space="preserve">Division 3A of Part IAA of the Crimes Act </w:t>
      </w:r>
      <w:r>
        <w:t>grants police officers</w:t>
      </w:r>
      <w:r w:rsidRPr="0035411E">
        <w:t xml:space="preserve"> stop, search and seize powers </w:t>
      </w:r>
      <w:r>
        <w:t xml:space="preserve">that can be used in relation to </w:t>
      </w:r>
      <w:proofErr w:type="gramStart"/>
      <w:r>
        <w:t>suspected</w:t>
      </w:r>
      <w:proofErr w:type="gramEnd"/>
      <w:r>
        <w:t xml:space="preserve"> </w:t>
      </w:r>
      <w:r w:rsidRPr="0035411E">
        <w:t xml:space="preserve">terrorist acts.  </w:t>
      </w:r>
      <w:r w:rsidR="00AF2D1E">
        <w:t>T</w:t>
      </w:r>
      <w:r>
        <w:t>hese provisions grant powers both to officers of the AFP and to officers of State and Territory police forces.</w:t>
      </w:r>
      <w:r w:rsidRPr="00AD666E">
        <w:rPr>
          <w:sz w:val="20"/>
          <w:szCs w:val="20"/>
          <w:vertAlign w:val="superscript"/>
        </w:rPr>
        <w:endnoteReference w:id="10"/>
      </w:r>
    </w:p>
    <w:p w14:paraId="12E08708" w14:textId="77777777" w:rsidR="00330DA1" w:rsidRDefault="00330DA1" w:rsidP="00330DA1">
      <w:pPr>
        <w:pStyle w:val="ListNumber2"/>
        <w:tabs>
          <w:tab w:val="clear" w:pos="643"/>
          <w:tab w:val="num" w:pos="1080"/>
        </w:tabs>
        <w:ind w:left="1080" w:hanging="797"/>
      </w:pPr>
      <w:r>
        <w:t>All but one of these powers</w:t>
      </w:r>
      <w:r w:rsidRPr="00AD666E">
        <w:rPr>
          <w:sz w:val="20"/>
          <w:szCs w:val="20"/>
          <w:vertAlign w:val="superscript"/>
        </w:rPr>
        <w:endnoteReference w:id="11"/>
      </w:r>
      <w:r>
        <w:t xml:space="preserve"> may be used in two kinds of situations.  The first situation is where a person is in a ‘Commonwealth place’ and the officer suspects, on reasonable grounds, that the person might be about to commit, might be committing, or might just have committed, a terrorist act.</w:t>
      </w:r>
      <w:r w:rsidRPr="00335599">
        <w:rPr>
          <w:sz w:val="20"/>
          <w:szCs w:val="20"/>
          <w:vertAlign w:val="superscript"/>
        </w:rPr>
        <w:endnoteReference w:id="12"/>
      </w:r>
      <w:r>
        <w:t xml:space="preserve">  That is, there must be a reasonable basis to suspect a terrorist act is imminent, occurring, or has just occurred.  A ‘Commonwealth place’ includes places like airports, defence establishments, Commonwealth departmental premises, the various federal courts and the High Court.</w:t>
      </w:r>
      <w:r w:rsidRPr="00335599">
        <w:rPr>
          <w:sz w:val="20"/>
          <w:szCs w:val="20"/>
          <w:vertAlign w:val="superscript"/>
        </w:rPr>
        <w:endnoteReference w:id="13"/>
      </w:r>
    </w:p>
    <w:p w14:paraId="4AA90BD5" w14:textId="5DA59F08" w:rsidR="00330DA1" w:rsidRDefault="00330DA1" w:rsidP="00330DA1">
      <w:pPr>
        <w:pStyle w:val="ListNumber2"/>
        <w:tabs>
          <w:tab w:val="clear" w:pos="643"/>
          <w:tab w:val="num" w:pos="1080"/>
        </w:tabs>
        <w:ind w:left="1080" w:hanging="797"/>
      </w:pPr>
      <w:r>
        <w:t>The second situation is where a person is in a Commonwealth place that the relevant Minister (</w:t>
      </w:r>
      <w:r w:rsidR="000F200F">
        <w:t xml:space="preserve">currently </w:t>
      </w:r>
      <w:r>
        <w:t>the Attorney-General) has declared to be a ‘prescribed security zone’ under s 3UJ of the Crimes Act.  In those circumstances, there is no need for the police officer to form any suspicion about the likelihood of a terrorist act occurring.  The fact that a person is in a prescribed security zone is sufficient for the stop, search and seize powers to be available.</w:t>
      </w:r>
      <w:r w:rsidRPr="00335599">
        <w:rPr>
          <w:sz w:val="20"/>
          <w:szCs w:val="20"/>
          <w:vertAlign w:val="superscript"/>
        </w:rPr>
        <w:endnoteReference w:id="14"/>
      </w:r>
    </w:p>
    <w:p w14:paraId="5237C09F" w14:textId="241EFD9A" w:rsidR="00330DA1" w:rsidRDefault="00330DA1" w:rsidP="00330DA1">
      <w:pPr>
        <w:pStyle w:val="ListNumber2"/>
        <w:tabs>
          <w:tab w:val="clear" w:pos="643"/>
          <w:tab w:val="num" w:pos="1080"/>
        </w:tabs>
        <w:ind w:left="1080" w:hanging="797"/>
      </w:pPr>
      <w:r w:rsidRPr="0035411E">
        <w:t xml:space="preserve">The </w:t>
      </w:r>
      <w:r w:rsidR="0059121C">
        <w:t xml:space="preserve">Minister </w:t>
      </w:r>
      <w:r>
        <w:t xml:space="preserve">may </w:t>
      </w:r>
      <w:r w:rsidRPr="0035411E">
        <w:t xml:space="preserve">declare that </w:t>
      </w:r>
      <w:r>
        <w:t xml:space="preserve">a Commonwealth place </w:t>
      </w:r>
      <w:r w:rsidRPr="0035411E">
        <w:t xml:space="preserve">is a prescribed security zone if </w:t>
      </w:r>
      <w:r>
        <w:t xml:space="preserve">the </w:t>
      </w:r>
      <w:r w:rsidR="0059121C">
        <w:t xml:space="preserve">Minister </w:t>
      </w:r>
      <w:r w:rsidRPr="0035411E">
        <w:t>consider</w:t>
      </w:r>
      <w:r>
        <w:t>s</w:t>
      </w:r>
      <w:r w:rsidRPr="0035411E">
        <w:t xml:space="preserve"> that a declaration would assist:</w:t>
      </w:r>
    </w:p>
    <w:p w14:paraId="3FE57039" w14:textId="77777777" w:rsidR="00330DA1" w:rsidRDefault="00330DA1" w:rsidP="00330DA1">
      <w:pPr>
        <w:pStyle w:val="ListNumber"/>
        <w:numPr>
          <w:ilvl w:val="0"/>
          <w:numId w:val="15"/>
        </w:numPr>
        <w:ind w:left="1440"/>
      </w:pPr>
      <w:r w:rsidRPr="0035411E">
        <w:lastRenderedPageBreak/>
        <w:t>in preventing a terrorist act occurring; or</w:t>
      </w:r>
      <w:r>
        <w:t xml:space="preserve"> </w:t>
      </w:r>
    </w:p>
    <w:p w14:paraId="600F1A17" w14:textId="77777777" w:rsidR="00330DA1" w:rsidRPr="0035411E" w:rsidRDefault="00330DA1" w:rsidP="00330DA1">
      <w:pPr>
        <w:pStyle w:val="ListNumber"/>
        <w:numPr>
          <w:ilvl w:val="0"/>
          <w:numId w:val="15"/>
        </w:numPr>
        <w:ind w:left="1440"/>
      </w:pPr>
      <w:r w:rsidRPr="0035411E">
        <w:t>in responding to a terrorist act that has occurred.</w:t>
      </w:r>
      <w:r w:rsidRPr="0035411E">
        <w:rPr>
          <w:rStyle w:val="EndnoteReference"/>
        </w:rPr>
        <w:endnoteReference w:id="15"/>
      </w:r>
    </w:p>
    <w:p w14:paraId="3E68C6F6" w14:textId="77777777" w:rsidR="00330DA1" w:rsidRDefault="00330DA1" w:rsidP="00330DA1">
      <w:pPr>
        <w:pStyle w:val="ListNumber2"/>
        <w:tabs>
          <w:tab w:val="clear" w:pos="643"/>
          <w:tab w:val="num" w:pos="1080"/>
        </w:tabs>
        <w:ind w:left="1080" w:hanging="797"/>
      </w:pPr>
      <w:r>
        <w:t>The declaration lasts for 28 days unless revoked earlier.</w:t>
      </w:r>
    </w:p>
    <w:p w14:paraId="54A5A6B4" w14:textId="77777777" w:rsidR="00330DA1" w:rsidRDefault="00330DA1" w:rsidP="00330DA1">
      <w:pPr>
        <w:pStyle w:val="ListNumber2"/>
        <w:tabs>
          <w:tab w:val="clear" w:pos="643"/>
          <w:tab w:val="num" w:pos="1080"/>
        </w:tabs>
        <w:ind w:left="1080" w:hanging="797"/>
      </w:pPr>
      <w:r>
        <w:t xml:space="preserve">The powers that may be exercised in these two situations allow a police officer to: </w:t>
      </w:r>
    </w:p>
    <w:p w14:paraId="71F93156" w14:textId="77777777" w:rsidR="00330DA1" w:rsidRDefault="00330DA1" w:rsidP="00330DA1">
      <w:pPr>
        <w:pStyle w:val="ListNumber"/>
        <w:numPr>
          <w:ilvl w:val="0"/>
          <w:numId w:val="16"/>
        </w:numPr>
      </w:pPr>
      <w:r>
        <w:t>require a person to show evidence of their identity and provide details of their name, residential address, and reason for being in that Commonwealth place</w:t>
      </w:r>
      <w:r>
        <w:rPr>
          <w:rStyle w:val="EndnoteReference"/>
        </w:rPr>
        <w:endnoteReference w:id="16"/>
      </w:r>
    </w:p>
    <w:p w14:paraId="7FE6AA4C" w14:textId="77777777" w:rsidR="00330DA1" w:rsidRDefault="00330DA1" w:rsidP="00330DA1">
      <w:pPr>
        <w:pStyle w:val="ListParagraph"/>
        <w:numPr>
          <w:ilvl w:val="0"/>
          <w:numId w:val="14"/>
        </w:numPr>
      </w:pPr>
      <w:r>
        <w:t>stop and detain a person for the purpose of conducting a search of their person (either an ordinary search or a frisk search), their vehicle, anything in their possession, or anything that they have brought into the Commonwealth place</w:t>
      </w:r>
      <w:r>
        <w:rPr>
          <w:rStyle w:val="EndnoteReference"/>
        </w:rPr>
        <w:endnoteReference w:id="17"/>
      </w:r>
      <w:r>
        <w:t xml:space="preserve"> </w:t>
      </w:r>
    </w:p>
    <w:p w14:paraId="4F2021C4" w14:textId="77777777" w:rsidR="00330DA1" w:rsidRDefault="00330DA1" w:rsidP="00330DA1">
      <w:pPr>
        <w:pStyle w:val="ListParagraph"/>
        <w:numPr>
          <w:ilvl w:val="0"/>
          <w:numId w:val="14"/>
        </w:numPr>
      </w:pPr>
      <w:r>
        <w:t xml:space="preserve">seize any item that the officer reasonably suspects may be used in, </w:t>
      </w:r>
      <w:proofErr w:type="gramStart"/>
      <w:r>
        <w:t>is connected with</w:t>
      </w:r>
      <w:proofErr w:type="gramEnd"/>
      <w:r>
        <w:t xml:space="preserve"> the preparation for, is evidence of, or relates to, a serious offence or a terrorist act.</w:t>
      </w:r>
      <w:r>
        <w:rPr>
          <w:rStyle w:val="EndnoteReference"/>
        </w:rPr>
        <w:endnoteReference w:id="18"/>
      </w:r>
      <w:r>
        <w:t xml:space="preserve"> </w:t>
      </w:r>
    </w:p>
    <w:p w14:paraId="1EBC354C" w14:textId="77777777" w:rsidR="00330DA1" w:rsidRDefault="00330DA1" w:rsidP="00330DA1">
      <w:pPr>
        <w:pStyle w:val="ListNumber2"/>
        <w:tabs>
          <w:tab w:val="clear" w:pos="643"/>
          <w:tab w:val="num" w:pos="1080"/>
        </w:tabs>
        <w:ind w:left="1080" w:hanging="797"/>
      </w:pPr>
      <w:r>
        <w:t>In addition, this Division contains a broader power that is not limited to Commonwealth places.  By virtue of s 3UEA of the Crimes Act, introduced in 2010,</w:t>
      </w:r>
      <w:r w:rsidRPr="00D41339">
        <w:rPr>
          <w:sz w:val="20"/>
          <w:szCs w:val="20"/>
          <w:vertAlign w:val="superscript"/>
        </w:rPr>
        <w:endnoteReference w:id="19"/>
      </w:r>
      <w:r>
        <w:t xml:space="preserve"> a police officer may enter any premises (including any private premises) without a warrant if the officer suspects on reasonable grounds that it is necessary to search the premises for a thing </w:t>
      </w:r>
      <w:proofErr w:type="gramStart"/>
      <w:r>
        <w:t>in order to</w:t>
      </w:r>
      <w:proofErr w:type="gramEnd"/>
      <w:r>
        <w:t xml:space="preserve"> prevent it from being used in connection with a terrorism offence.  This power can only be used where the officer also suspects on reasonable grounds that it is necessary to exercise the power without a warrant because there is a serious and imminent threat to a person’s life, health or safety.</w:t>
      </w:r>
    </w:p>
    <w:p w14:paraId="355556F6" w14:textId="77777777" w:rsidR="00330DA1" w:rsidRDefault="00330DA1" w:rsidP="00330DA1">
      <w:pPr>
        <w:pStyle w:val="ListNumber2"/>
        <w:tabs>
          <w:tab w:val="clear" w:pos="643"/>
          <w:tab w:val="num" w:pos="1080"/>
        </w:tabs>
        <w:ind w:left="1080" w:hanging="797"/>
      </w:pPr>
      <w:r>
        <w:t xml:space="preserve">In 2018, additional reporting and oversight provisions were introduced to increase transparency in relation to </w:t>
      </w:r>
      <w:proofErr w:type="gramStart"/>
      <w:r>
        <w:t>these stop</w:t>
      </w:r>
      <w:proofErr w:type="gramEnd"/>
      <w:r>
        <w:t>, search and seize powers.</w:t>
      </w:r>
      <w:r w:rsidRPr="00942D24">
        <w:rPr>
          <w:sz w:val="20"/>
          <w:szCs w:val="20"/>
          <w:vertAlign w:val="superscript"/>
        </w:rPr>
        <w:endnoteReference w:id="20"/>
      </w:r>
      <w:r>
        <w:t xml:space="preserve">  These amendments were made following recommendations of the INSLM</w:t>
      </w:r>
      <w:r w:rsidRPr="00942D24">
        <w:rPr>
          <w:sz w:val="20"/>
          <w:szCs w:val="20"/>
          <w:vertAlign w:val="superscript"/>
        </w:rPr>
        <w:endnoteReference w:id="21"/>
      </w:r>
      <w:r>
        <w:t xml:space="preserve"> and the </w:t>
      </w:r>
      <w:r w:rsidRPr="00152A8F">
        <w:t>PJCIS</w:t>
      </w:r>
      <w:r>
        <w:t>.</w:t>
      </w:r>
      <w:r w:rsidRPr="00942D24">
        <w:rPr>
          <w:sz w:val="20"/>
          <w:szCs w:val="20"/>
          <w:vertAlign w:val="superscript"/>
        </w:rPr>
        <w:endnoteReference w:id="22"/>
      </w:r>
      <w:r>
        <w:t xml:space="preserve">  The new reporting requirements involve:</w:t>
      </w:r>
    </w:p>
    <w:p w14:paraId="25F5F79B" w14:textId="378F9368" w:rsidR="00330DA1" w:rsidRDefault="00330DA1" w:rsidP="00330DA1">
      <w:pPr>
        <w:pStyle w:val="ListNumber"/>
        <w:numPr>
          <w:ilvl w:val="0"/>
          <w:numId w:val="14"/>
        </w:numPr>
      </w:pPr>
      <w:r>
        <w:t>reporting by the AFP to the Minister, the INSLM and the PJCIS in relation to the exercise of the powers, as soon as practicable after they are exercised</w:t>
      </w:r>
    </w:p>
    <w:p w14:paraId="6828BFC9" w14:textId="6333C516" w:rsidR="00330DA1" w:rsidRDefault="00330DA1" w:rsidP="00330DA1">
      <w:pPr>
        <w:pStyle w:val="ListNumber"/>
        <w:numPr>
          <w:ilvl w:val="0"/>
          <w:numId w:val="14"/>
        </w:numPr>
      </w:pPr>
      <w:r>
        <w:lastRenderedPageBreak/>
        <w:t>annual reporting by the Minister to Parliament on the exercise of the powers.</w:t>
      </w:r>
    </w:p>
    <w:p w14:paraId="7E5270FC" w14:textId="1561E1E2" w:rsidR="00330DA1" w:rsidRDefault="00330DA1" w:rsidP="00330DA1">
      <w:pPr>
        <w:pStyle w:val="ListNumber2"/>
        <w:tabs>
          <w:tab w:val="clear" w:pos="643"/>
          <w:tab w:val="num" w:pos="1080"/>
        </w:tabs>
        <w:ind w:left="1080" w:hanging="797"/>
      </w:pPr>
      <w:r>
        <w:t>The reporting is limited to the exercise of stop, search and seize powers by AFP officers, to requests by any police officer to the Minister for declarations of prescribed security zones</w:t>
      </w:r>
      <w:r w:rsidR="00D1113E">
        <w:t>, and to any declarations mad</w:t>
      </w:r>
      <w:r w:rsidR="00051639">
        <w:t>e by the Minister</w:t>
      </w:r>
      <w:r>
        <w:t>.  Reporting is not required in relation to the exercise of stop, search and seize powers by officers of State or Territory police forces.</w:t>
      </w:r>
    </w:p>
    <w:p w14:paraId="3BC57420" w14:textId="77777777" w:rsidR="00330DA1" w:rsidRDefault="00330DA1" w:rsidP="00330DA1">
      <w:pPr>
        <w:pStyle w:val="ListNumber2"/>
        <w:tabs>
          <w:tab w:val="clear" w:pos="643"/>
          <w:tab w:val="num" w:pos="1080"/>
        </w:tabs>
        <w:ind w:left="1080" w:hanging="797"/>
      </w:pPr>
      <w:r>
        <w:t xml:space="preserve">An additional oversight role was given to the PJCIS to monitor and review the performance by the AFP of its functions under Div 3A of Part IAA of the Crimes Act and the </w:t>
      </w:r>
      <w:r w:rsidRPr="00E319C3">
        <w:t>basis of the Minister’s declarations of prescribed security zones</w:t>
      </w:r>
      <w:r>
        <w:t>.</w:t>
      </w:r>
      <w:r w:rsidRPr="004A07DF">
        <w:rPr>
          <w:sz w:val="20"/>
          <w:szCs w:val="20"/>
          <w:vertAlign w:val="superscript"/>
        </w:rPr>
        <w:endnoteReference w:id="23"/>
      </w:r>
      <w:r>
        <w:t xml:space="preserve">  The PJCIS does not have a role in monitoring or reviewing the performance by officers of State and Territory police forces of their exercise of the stop, search and seize powers.</w:t>
      </w:r>
    </w:p>
    <w:p w14:paraId="2104BDC7" w14:textId="35334964" w:rsidR="00330DA1" w:rsidRDefault="007D161D" w:rsidP="00330DA1">
      <w:pPr>
        <w:pStyle w:val="ListNumber2"/>
        <w:tabs>
          <w:tab w:val="clear" w:pos="643"/>
          <w:tab w:val="num" w:pos="1080"/>
        </w:tabs>
        <w:ind w:left="1080" w:hanging="797"/>
      </w:pPr>
      <w:r>
        <w:t xml:space="preserve">As </w:t>
      </w:r>
      <w:proofErr w:type="gramStart"/>
      <w:r>
        <w:t>at</w:t>
      </w:r>
      <w:proofErr w:type="gramEnd"/>
      <w:r>
        <w:t xml:space="preserve"> </w:t>
      </w:r>
      <w:r w:rsidR="004A131E">
        <w:t xml:space="preserve">September </w:t>
      </w:r>
      <w:r>
        <w:t>2020</w:t>
      </w:r>
      <w:r w:rsidR="004A131E">
        <w:t xml:space="preserve"> (when these powers were last reviewed by the PJCIS)</w:t>
      </w:r>
      <w:r>
        <w:t>, t</w:t>
      </w:r>
      <w:r w:rsidR="00330DA1">
        <w:t xml:space="preserve">hese powers </w:t>
      </w:r>
      <w:r>
        <w:t xml:space="preserve">had </w:t>
      </w:r>
      <w:r w:rsidR="00330DA1">
        <w:t>not been used since they were introduced.</w:t>
      </w:r>
      <w:r w:rsidR="00330DA1">
        <w:rPr>
          <w:rStyle w:val="EndnoteReference"/>
        </w:rPr>
        <w:endnoteReference w:id="24"/>
      </w:r>
      <w:r w:rsidR="00330DA1">
        <w:t xml:space="preserve"> </w:t>
      </w:r>
      <w:r w:rsidR="000C17DE">
        <w:t xml:space="preserve"> </w:t>
      </w:r>
      <w:r w:rsidR="00190745">
        <w:t xml:space="preserve">Annual reports produced by the Department of </w:t>
      </w:r>
      <w:r w:rsidR="000C17DE">
        <w:t xml:space="preserve">Home Affairs </w:t>
      </w:r>
      <w:r w:rsidR="00190745">
        <w:t xml:space="preserve">in </w:t>
      </w:r>
      <w:r w:rsidR="000C17DE">
        <w:t xml:space="preserve">2020–21 </w:t>
      </w:r>
      <w:r w:rsidR="00190745">
        <w:t xml:space="preserve">and by the Attorney-General’s Department in </w:t>
      </w:r>
      <w:r w:rsidR="00B46387">
        <w:t xml:space="preserve">2021–22 </w:t>
      </w:r>
      <w:r w:rsidR="000C17DE">
        <w:t xml:space="preserve">confirm that the powers were also not used in </w:t>
      </w:r>
      <w:r w:rsidR="00B46387">
        <w:t xml:space="preserve">those </w:t>
      </w:r>
      <w:r w:rsidR="000C17DE">
        <w:t>financial year</w:t>
      </w:r>
      <w:r w:rsidR="00B46387">
        <w:t>s</w:t>
      </w:r>
      <w:r w:rsidR="000C17DE">
        <w:t>.</w:t>
      </w:r>
      <w:r w:rsidR="008F7302">
        <w:rPr>
          <w:rStyle w:val="EndnoteReference"/>
        </w:rPr>
        <w:endnoteReference w:id="25"/>
      </w:r>
      <w:r w:rsidR="000C17DE">
        <w:t xml:space="preserve">  </w:t>
      </w:r>
    </w:p>
    <w:p w14:paraId="06D55695" w14:textId="1A15A609" w:rsidR="001545A0" w:rsidRDefault="00205C76" w:rsidP="00205C76">
      <w:pPr>
        <w:pStyle w:val="Heading2"/>
      </w:pPr>
      <w:bookmarkStart w:id="12" w:name="_Toc147736289"/>
      <w:r>
        <w:t>Previous consideration by AHRC</w:t>
      </w:r>
      <w:bookmarkEnd w:id="12"/>
    </w:p>
    <w:p w14:paraId="590B9B5B" w14:textId="296D3772" w:rsidR="00205C76" w:rsidRDefault="00205C76" w:rsidP="008441EC">
      <w:pPr>
        <w:pStyle w:val="ListNumber2"/>
        <w:tabs>
          <w:tab w:val="clear" w:pos="643"/>
          <w:tab w:val="num" w:pos="1080"/>
        </w:tabs>
        <w:ind w:left="1080" w:hanging="797"/>
      </w:pPr>
      <w:r>
        <w:t xml:space="preserve">The Commission conducted a detailed human rights analysis in relation to the stop search and seizure provisions in its </w:t>
      </w:r>
      <w:r w:rsidR="007C48E5">
        <w:t>2020</w:t>
      </w:r>
      <w:r w:rsidR="00822252">
        <w:t xml:space="preserve"> submission</w:t>
      </w:r>
      <w:r w:rsidR="00265877">
        <w:t xml:space="preserve"> (see [62]</w:t>
      </w:r>
      <w:proofErr w:type="gramStart"/>
      <w:r w:rsidR="00265877">
        <w:t>–</w:t>
      </w:r>
      <w:r w:rsidR="00F32333">
        <w:t>[</w:t>
      </w:r>
      <w:proofErr w:type="gramEnd"/>
      <w:r w:rsidR="00F32333">
        <w:t>96])</w:t>
      </w:r>
      <w:r w:rsidR="00822252">
        <w:t>.</w:t>
      </w:r>
    </w:p>
    <w:p w14:paraId="163DA921" w14:textId="464606BD" w:rsidR="00822252" w:rsidRDefault="00F32333" w:rsidP="008441EC">
      <w:pPr>
        <w:pStyle w:val="ListNumber2"/>
        <w:tabs>
          <w:tab w:val="clear" w:pos="643"/>
          <w:tab w:val="num" w:pos="1080"/>
        </w:tabs>
        <w:ind w:left="1080" w:hanging="797"/>
      </w:pPr>
      <w:r>
        <w:t>The Commission concluded that</w:t>
      </w:r>
      <w:r w:rsidR="008B5A17">
        <w:t>,</w:t>
      </w:r>
      <w:r>
        <w:t xml:space="preserve"> </w:t>
      </w:r>
      <w:r w:rsidR="003B1957">
        <w:t>in the prevailing security environment at the time</w:t>
      </w:r>
      <w:r w:rsidR="008B5A17">
        <w:t>,</w:t>
      </w:r>
      <w:r w:rsidR="003B1957">
        <w:t xml:space="preserve"> </w:t>
      </w:r>
      <w:r w:rsidR="005309DF">
        <w:t xml:space="preserve">it would be open to the PJCIS to find that the stop, search and seize powers </w:t>
      </w:r>
      <w:r w:rsidR="00136C86">
        <w:t xml:space="preserve">were consistent with Australia’s human rights obligations.  The Commission recommended that the maximum duration of a declaration of a prescribed security zone be </w:t>
      </w:r>
      <w:r w:rsidR="00BE25FC">
        <w:t>limited to 14 days, consistent with equivalent legislation in the United Kingdom, unless there was compelling evidence suggesting that a longer period was necessary in Australian circumstances.</w:t>
      </w:r>
    </w:p>
    <w:p w14:paraId="0E1D3914" w14:textId="5C92798A" w:rsidR="00BE25FC" w:rsidRDefault="00D911B7" w:rsidP="008441EC">
      <w:pPr>
        <w:pStyle w:val="ListNumber2"/>
        <w:tabs>
          <w:tab w:val="clear" w:pos="643"/>
          <w:tab w:val="num" w:pos="1080"/>
        </w:tabs>
        <w:ind w:left="1080" w:hanging="797"/>
      </w:pPr>
      <w:r>
        <w:t xml:space="preserve">The Commission </w:t>
      </w:r>
      <w:r w:rsidR="00D3400D">
        <w:t xml:space="preserve">also </w:t>
      </w:r>
      <w:r>
        <w:t>recommend</w:t>
      </w:r>
      <w:r w:rsidR="00D3400D">
        <w:t xml:space="preserve">ed that further consideration be given to whether the warrantless entry powers should be repealed. </w:t>
      </w:r>
    </w:p>
    <w:p w14:paraId="0E3B1A88" w14:textId="0191C741" w:rsidR="00503C4B" w:rsidRDefault="00751AAB" w:rsidP="00671964">
      <w:pPr>
        <w:pStyle w:val="Heading2"/>
      </w:pPr>
      <w:bookmarkStart w:id="13" w:name="_Toc147736290"/>
      <w:r>
        <w:lastRenderedPageBreak/>
        <w:t>Proposed amendments</w:t>
      </w:r>
      <w:bookmarkEnd w:id="13"/>
      <w:r>
        <w:t xml:space="preserve"> </w:t>
      </w:r>
    </w:p>
    <w:p w14:paraId="7B0E0D83" w14:textId="7E44084E" w:rsidR="00F2647A" w:rsidRDefault="007221B5" w:rsidP="008441EC">
      <w:pPr>
        <w:pStyle w:val="ListNumber2"/>
        <w:tabs>
          <w:tab w:val="clear" w:pos="643"/>
          <w:tab w:val="num" w:pos="1080"/>
        </w:tabs>
        <w:ind w:left="1080" w:hanging="797"/>
      </w:pPr>
      <w:r>
        <w:t>Schedule 1 of t</w:t>
      </w:r>
      <w:r w:rsidR="00CC29F0">
        <w:t xml:space="preserve">he Bill substantially implements recommendations </w:t>
      </w:r>
      <w:r w:rsidR="000030DE">
        <w:t xml:space="preserve">1 and 2 made by the PJCIS in </w:t>
      </w:r>
      <w:r w:rsidR="005639FD">
        <w:t>its 2021 report.</w:t>
      </w:r>
      <w:r w:rsidR="005639FD">
        <w:rPr>
          <w:rStyle w:val="EndnoteReference"/>
        </w:rPr>
        <w:endnoteReference w:id="26"/>
      </w:r>
      <w:r w:rsidR="005639FD">
        <w:t xml:space="preserve"> </w:t>
      </w:r>
    </w:p>
    <w:p w14:paraId="71BD413E" w14:textId="0934586E" w:rsidR="00671964" w:rsidRDefault="00F2647A" w:rsidP="008441EC">
      <w:pPr>
        <w:pStyle w:val="ListNumber2"/>
        <w:tabs>
          <w:tab w:val="clear" w:pos="643"/>
          <w:tab w:val="num" w:pos="1080"/>
        </w:tabs>
        <w:ind w:left="1080" w:hanging="797"/>
      </w:pPr>
      <w:r w:rsidRPr="00A46241">
        <w:rPr>
          <w:i/>
          <w:iCs/>
        </w:rPr>
        <w:t>First</w:t>
      </w:r>
      <w:r>
        <w:t xml:space="preserve">, proposed </w:t>
      </w:r>
      <w:r w:rsidR="00F73D4A">
        <w:t xml:space="preserve">ss 3UD(1A) and (1B) of the Crimes Act </w:t>
      </w:r>
      <w:r w:rsidR="005639FD">
        <w:t xml:space="preserve">would </w:t>
      </w:r>
      <w:r w:rsidR="00F73D4A">
        <w:t>require a police officer exercising stop and search powers under s 3UD to inform the person stopped that they have a right to make a complaint about the conduct of the police officer to the Commonwealth Ombudsman or a State or Territory police oversight body (unless not reasonably practical because of urgency).</w:t>
      </w:r>
      <w:r w:rsidR="00F73D4A">
        <w:rPr>
          <w:rStyle w:val="EndnoteReference"/>
        </w:rPr>
        <w:endnoteReference w:id="27"/>
      </w:r>
      <w:r w:rsidR="00F73D4A">
        <w:t xml:space="preserve">  The Commission </w:t>
      </w:r>
      <w:r w:rsidR="00335A60">
        <w:t xml:space="preserve">considers that such notification is appropriate given the extraordinary nature of the powers and the fact that </w:t>
      </w:r>
      <w:r w:rsidR="00A46241">
        <w:t>members of the public are likely to experience them as being unusual.</w:t>
      </w:r>
    </w:p>
    <w:p w14:paraId="43BE1847" w14:textId="2E0F5FB4" w:rsidR="00A46241" w:rsidRDefault="00A46241" w:rsidP="008441EC">
      <w:pPr>
        <w:pStyle w:val="ListNumber2"/>
        <w:tabs>
          <w:tab w:val="clear" w:pos="643"/>
          <w:tab w:val="num" w:pos="1080"/>
        </w:tabs>
        <w:ind w:left="1080" w:hanging="797"/>
      </w:pPr>
      <w:r w:rsidRPr="006F7A84">
        <w:rPr>
          <w:i/>
          <w:iCs/>
        </w:rPr>
        <w:t>Secondly</w:t>
      </w:r>
      <w:r>
        <w:t xml:space="preserve">, proposed </w:t>
      </w:r>
      <w:r w:rsidR="001D2B7B">
        <w:t xml:space="preserve">s 3UJ(1A) of the Crimes Act would provide a list of mandatory considerations for the Minister when </w:t>
      </w:r>
      <w:r w:rsidR="002A2D83">
        <w:t>declaring a prescribed security zone, including:</w:t>
      </w:r>
    </w:p>
    <w:p w14:paraId="30F6CD6B" w14:textId="1592FD11" w:rsidR="005639FD" w:rsidRDefault="00744931" w:rsidP="005639FD">
      <w:pPr>
        <w:pStyle w:val="ListNumber2"/>
        <w:numPr>
          <w:ilvl w:val="0"/>
          <w:numId w:val="14"/>
        </w:numPr>
      </w:pPr>
      <w:r>
        <w:t>w</w:t>
      </w:r>
      <w:r w:rsidR="003E1A67">
        <w:t>hether the impact of the declaration on the rights of people in the Commonwealth place would be reasonable and proportionate to the purpose of preventing, or responding to, a terrorist act</w:t>
      </w:r>
    </w:p>
    <w:p w14:paraId="6CD66DD8" w14:textId="5B31AE18" w:rsidR="00744931" w:rsidRDefault="00744931" w:rsidP="005639FD">
      <w:pPr>
        <w:pStyle w:val="ListNumber2"/>
        <w:numPr>
          <w:ilvl w:val="0"/>
          <w:numId w:val="14"/>
        </w:numPr>
      </w:pPr>
      <w:r>
        <w:t xml:space="preserve">the appropriate duration </w:t>
      </w:r>
      <w:r w:rsidR="002A3A36">
        <w:t xml:space="preserve">of the declaration (within the maximum </w:t>
      </w:r>
      <w:proofErr w:type="gramStart"/>
      <w:r w:rsidR="002A3A36">
        <w:t>28 day</w:t>
      </w:r>
      <w:proofErr w:type="gramEnd"/>
      <w:r w:rsidR="002A3A36">
        <w:t xml:space="preserve"> period)</w:t>
      </w:r>
    </w:p>
    <w:p w14:paraId="7EA6D7C4" w14:textId="6D077601" w:rsidR="002A3A36" w:rsidRDefault="00B25B95" w:rsidP="005639FD">
      <w:pPr>
        <w:pStyle w:val="ListNumber2"/>
        <w:numPr>
          <w:ilvl w:val="0"/>
          <w:numId w:val="14"/>
        </w:numPr>
      </w:pPr>
      <w:r>
        <w:t>the availability and effectiveness of alternative powers</w:t>
      </w:r>
    </w:p>
    <w:p w14:paraId="057680AE" w14:textId="2D21C3DA" w:rsidR="00534D02" w:rsidRDefault="00B25B95" w:rsidP="00534D02">
      <w:pPr>
        <w:pStyle w:val="ListNumber2"/>
        <w:numPr>
          <w:ilvl w:val="0"/>
          <w:numId w:val="14"/>
        </w:numPr>
      </w:pPr>
      <w:r>
        <w:t xml:space="preserve">the impact, </w:t>
      </w:r>
      <w:r w:rsidR="00534D02">
        <w:t>and proportionality, of successive declarations.</w:t>
      </w:r>
    </w:p>
    <w:p w14:paraId="10328548" w14:textId="5AE8F0F8" w:rsidR="005639FD" w:rsidRDefault="00534D02" w:rsidP="008441EC">
      <w:pPr>
        <w:pStyle w:val="ListNumber2"/>
        <w:tabs>
          <w:tab w:val="clear" w:pos="643"/>
          <w:tab w:val="num" w:pos="1080"/>
        </w:tabs>
        <w:ind w:left="1080" w:hanging="797"/>
      </w:pPr>
      <w:r>
        <w:t xml:space="preserve">The Commission considers that these mandatory considerations assist in </w:t>
      </w:r>
      <w:r w:rsidR="006F7A84">
        <w:t xml:space="preserve">ensuring that any declaration of a prescribed security zone is proportionate to the </w:t>
      </w:r>
      <w:r w:rsidR="009A3741">
        <w:t>purpose of preventing, or responding to, a terrorist act.</w:t>
      </w:r>
    </w:p>
    <w:p w14:paraId="552F6EFC" w14:textId="3D531008" w:rsidR="009A3741" w:rsidRDefault="009A3741" w:rsidP="008441EC">
      <w:pPr>
        <w:pStyle w:val="ListNumber2"/>
        <w:tabs>
          <w:tab w:val="clear" w:pos="643"/>
          <w:tab w:val="num" w:pos="1080"/>
        </w:tabs>
        <w:ind w:left="1080" w:hanging="797"/>
      </w:pPr>
      <w:r w:rsidRPr="00CD3860">
        <w:rPr>
          <w:i/>
          <w:iCs/>
        </w:rPr>
        <w:t>Thirdly</w:t>
      </w:r>
      <w:r>
        <w:t xml:space="preserve">, </w:t>
      </w:r>
      <w:r w:rsidR="00E74395">
        <w:t xml:space="preserve">proposed new </w:t>
      </w:r>
      <w:r w:rsidR="00D1316C">
        <w:t>s 3</w:t>
      </w:r>
      <w:proofErr w:type="gramStart"/>
      <w:r w:rsidR="00D1316C">
        <w:t>U</w:t>
      </w:r>
      <w:r w:rsidR="00E74395">
        <w:t>J(</w:t>
      </w:r>
      <w:proofErr w:type="gramEnd"/>
      <w:r w:rsidR="00E74395">
        <w:t>3) would remove the default position that a declaration is in force for 28 days unless revoked, and provide that a declaration may be made for a shorter period of time</w:t>
      </w:r>
      <w:r w:rsidR="00CD3860">
        <w:t xml:space="preserve">.  This reinforces the </w:t>
      </w:r>
      <w:r w:rsidR="003521FC">
        <w:t xml:space="preserve">position that a declaration should only be made for the </w:t>
      </w:r>
      <w:proofErr w:type="gramStart"/>
      <w:r w:rsidR="003521FC">
        <w:t>period of time</w:t>
      </w:r>
      <w:proofErr w:type="gramEnd"/>
      <w:r w:rsidR="003521FC">
        <w:t xml:space="preserve"> that is necessary in the circumstances.</w:t>
      </w:r>
    </w:p>
    <w:p w14:paraId="0F187A15" w14:textId="63A7F872" w:rsidR="009A3741" w:rsidRDefault="003521FC" w:rsidP="008441EC">
      <w:pPr>
        <w:pStyle w:val="ListNumber2"/>
        <w:tabs>
          <w:tab w:val="clear" w:pos="643"/>
          <w:tab w:val="num" w:pos="1080"/>
        </w:tabs>
        <w:ind w:left="1080" w:hanging="797"/>
      </w:pPr>
      <w:r w:rsidRPr="007D7B22">
        <w:rPr>
          <w:i/>
          <w:iCs/>
        </w:rPr>
        <w:t>Fourthly</w:t>
      </w:r>
      <w:r>
        <w:t xml:space="preserve">, </w:t>
      </w:r>
      <w:r w:rsidR="001F2DE2">
        <w:t xml:space="preserve">proposed </w:t>
      </w:r>
      <w:r w:rsidR="00DA3D2C">
        <w:t xml:space="preserve">s 3UJ(5A) would require </w:t>
      </w:r>
      <w:r w:rsidR="00B57A2A">
        <w:t xml:space="preserve">the AFP to notify the Commonwealth Ombudsman, the INSLM and </w:t>
      </w:r>
      <w:r w:rsidR="007D6A0D">
        <w:t xml:space="preserve">the PJCIS </w:t>
      </w:r>
      <w:r w:rsidR="0062523C">
        <w:t xml:space="preserve">of the </w:t>
      </w:r>
      <w:r w:rsidR="0062523C">
        <w:lastRenderedPageBreak/>
        <w:t>declaration of any prescribed security zone as soon as practicable and, in any event, within 72 hours</w:t>
      </w:r>
      <w:r w:rsidR="002F55FE">
        <w:t>.  This provision will assist in ensuring proper oversight of these extraordinary powers.</w:t>
      </w:r>
    </w:p>
    <w:p w14:paraId="3FCFE291" w14:textId="2BCB25A4" w:rsidR="002F55FE" w:rsidRDefault="002F55FE" w:rsidP="008441EC">
      <w:pPr>
        <w:pStyle w:val="ListNumber2"/>
        <w:tabs>
          <w:tab w:val="clear" w:pos="643"/>
          <w:tab w:val="num" w:pos="1080"/>
        </w:tabs>
        <w:ind w:left="1080" w:hanging="797"/>
      </w:pPr>
      <w:r>
        <w:rPr>
          <w:i/>
          <w:iCs/>
        </w:rPr>
        <w:t>Fifthly</w:t>
      </w:r>
      <w:r>
        <w:t xml:space="preserve">, </w:t>
      </w:r>
      <w:r w:rsidR="009E494A">
        <w:t xml:space="preserve">proposed s 3UJ(5B) would </w:t>
      </w:r>
      <w:r w:rsidR="000C4AFB">
        <w:t xml:space="preserve">require the Minister to provide the PJCIS with a statement of reasons </w:t>
      </w:r>
      <w:r w:rsidR="000D4C8D">
        <w:t xml:space="preserve">for making a declaration of a prescribed security zone as soon as practicable after </w:t>
      </w:r>
      <w:r w:rsidR="005F3077">
        <w:t xml:space="preserve">a declaration is made.  This will assist the PJCIS with its statutory function of </w:t>
      </w:r>
      <w:r w:rsidR="00F6117D">
        <w:t>reviewing the basis of declarations made by the Minister.</w:t>
      </w:r>
      <w:r w:rsidR="00F6117D">
        <w:rPr>
          <w:rStyle w:val="EndnoteReference"/>
        </w:rPr>
        <w:endnoteReference w:id="28"/>
      </w:r>
    </w:p>
    <w:p w14:paraId="26A1CC21" w14:textId="6CCB3EDC" w:rsidR="001D49DA" w:rsidRDefault="001D49DA" w:rsidP="008441EC">
      <w:pPr>
        <w:pStyle w:val="ListNumber2"/>
        <w:tabs>
          <w:tab w:val="clear" w:pos="643"/>
          <w:tab w:val="num" w:pos="1080"/>
        </w:tabs>
        <w:ind w:left="1080" w:hanging="797"/>
      </w:pPr>
      <w:r>
        <w:t xml:space="preserve">In his second reading speech for the Bill, the Attorney-General said that </w:t>
      </w:r>
      <w:r w:rsidR="00EA458D">
        <w:t xml:space="preserve">the Government was </w:t>
      </w:r>
      <w:r w:rsidR="00BE76FC">
        <w:t xml:space="preserve">also </w:t>
      </w:r>
      <w:r w:rsidR="00EA458D">
        <w:t xml:space="preserve">committed to </w:t>
      </w:r>
      <w:r w:rsidR="004B3F3A">
        <w:t>implementing recommendation 6 of the PJCIS in its 2021 report.</w:t>
      </w:r>
      <w:r w:rsidR="004358B1">
        <w:rPr>
          <w:rStyle w:val="EndnoteReference"/>
        </w:rPr>
        <w:endnoteReference w:id="29"/>
      </w:r>
      <w:r w:rsidR="004B3F3A">
        <w:t xml:space="preserve">  This recommendation was that the warrantless </w:t>
      </w:r>
      <w:r w:rsidR="00272D9D">
        <w:t xml:space="preserve">entry power in s 3UEA of the Crimes Act be amended to require any agency that enters premises in accordance with that power to obtain an ex post facto warrant as soon as possible thereafter.  </w:t>
      </w:r>
      <w:r w:rsidR="009402AE">
        <w:t xml:space="preserve">The Attorney-General said that </w:t>
      </w:r>
      <w:r w:rsidR="004F39BF">
        <w:t xml:space="preserve">further consideration would be given to </w:t>
      </w:r>
      <w:r w:rsidR="0020226A">
        <w:t xml:space="preserve">the consequences that should flow from an assessment that the powers were not exercised </w:t>
      </w:r>
      <w:r w:rsidR="001E5F5A">
        <w:t xml:space="preserve">appropriately, including in relation to the admissibility of any evidence gathered in subsequent criminal proceedings.  </w:t>
      </w:r>
      <w:r w:rsidR="00DE657D">
        <w:t xml:space="preserve">As noted above, the warrantless entry power was the power in </w:t>
      </w:r>
      <w:r w:rsidR="0074199E">
        <w:t xml:space="preserve">Div 3A of </w:t>
      </w:r>
      <w:r w:rsidR="003B6E82">
        <w:t xml:space="preserve">Part IAA of the Crimes Act </w:t>
      </w:r>
      <w:r w:rsidR="00DE657D">
        <w:t>that the Commission expressed most concern about</w:t>
      </w:r>
      <w:r w:rsidR="003B6E82">
        <w:t xml:space="preserve">.  The Commission looks forward to engaging with </w:t>
      </w:r>
      <w:r w:rsidR="00C569FD">
        <w:t xml:space="preserve">the terms of </w:t>
      </w:r>
      <w:r w:rsidR="003B6E82">
        <w:t xml:space="preserve">this </w:t>
      </w:r>
      <w:r w:rsidR="008A099B">
        <w:t xml:space="preserve">additional proposed safeguard when a proposed amendment is introduced.  </w:t>
      </w:r>
    </w:p>
    <w:p w14:paraId="3A9E8764" w14:textId="77777777" w:rsidR="00E1490A" w:rsidRDefault="008A099B" w:rsidP="008441EC">
      <w:pPr>
        <w:pStyle w:val="ListNumber2"/>
        <w:tabs>
          <w:tab w:val="clear" w:pos="643"/>
          <w:tab w:val="num" w:pos="1080"/>
        </w:tabs>
        <w:ind w:left="1080" w:hanging="797"/>
      </w:pPr>
      <w:r>
        <w:t>Finally</w:t>
      </w:r>
      <w:r w:rsidR="00821E1C">
        <w:t>, the Bill would extend the sunsetting date for these powers until 7</w:t>
      </w:r>
      <w:r w:rsidR="00E1490A">
        <w:t xml:space="preserve"> December 2026.</w:t>
      </w:r>
    </w:p>
    <w:p w14:paraId="20B27CD8" w14:textId="00E296AD" w:rsidR="00E1490A" w:rsidRDefault="00E1490A" w:rsidP="008441EC">
      <w:pPr>
        <w:pStyle w:val="ListNumber2"/>
        <w:tabs>
          <w:tab w:val="clear" w:pos="643"/>
          <w:tab w:val="num" w:pos="1080"/>
        </w:tabs>
        <w:ind w:left="1080" w:hanging="797"/>
      </w:pPr>
      <w:r>
        <w:t xml:space="preserve">The Commission agrees with the proposed amendments to the Crimes Act described </w:t>
      </w:r>
      <w:proofErr w:type="gramStart"/>
      <w:r>
        <w:t>above, and</w:t>
      </w:r>
      <w:proofErr w:type="gramEnd"/>
      <w:r>
        <w:t xml:space="preserve"> recommends that Sche</w:t>
      </w:r>
      <w:r w:rsidR="00192577">
        <w:t>d</w:t>
      </w:r>
      <w:r>
        <w:t>ule 1 of the Bill be passed.</w:t>
      </w:r>
    </w:p>
    <w:p w14:paraId="6FF445DC" w14:textId="77777777" w:rsidR="00E1490A" w:rsidRPr="00EB440B" w:rsidRDefault="00E1490A" w:rsidP="00EB440B">
      <w:pPr>
        <w:pStyle w:val="ListNumber2"/>
        <w:keepNext/>
        <w:numPr>
          <w:ilvl w:val="0"/>
          <w:numId w:val="0"/>
        </w:numPr>
        <w:ind w:left="1077"/>
        <w:rPr>
          <w:b/>
          <w:bCs/>
        </w:rPr>
      </w:pPr>
      <w:r w:rsidRPr="00EB440B">
        <w:rPr>
          <w:b/>
          <w:bCs/>
        </w:rPr>
        <w:t>Recommendation 1</w:t>
      </w:r>
    </w:p>
    <w:p w14:paraId="35BE8FBA" w14:textId="2BF73596" w:rsidR="008A099B" w:rsidRDefault="00E1490A" w:rsidP="00EB440B">
      <w:pPr>
        <w:pStyle w:val="ListNumber2"/>
        <w:numPr>
          <w:ilvl w:val="0"/>
          <w:numId w:val="0"/>
        </w:numPr>
        <w:ind w:left="1080"/>
      </w:pPr>
      <w:r>
        <w:t xml:space="preserve">The Commission recommends that Schedule 1 of the Bill, dealing with amendments to the </w:t>
      </w:r>
      <w:r w:rsidR="00EB440B">
        <w:t xml:space="preserve">stop, search and seize powers in the </w:t>
      </w:r>
      <w:r w:rsidR="00EB440B" w:rsidRPr="00F54746">
        <w:rPr>
          <w:i/>
          <w:iCs/>
        </w:rPr>
        <w:t>Crimes Act 1914</w:t>
      </w:r>
      <w:r w:rsidR="00EB440B">
        <w:t xml:space="preserve"> (Cth), be passed.</w:t>
      </w:r>
      <w:r w:rsidR="008A099B">
        <w:t xml:space="preserve"> </w:t>
      </w:r>
    </w:p>
    <w:p w14:paraId="7A9D3A3E" w14:textId="57B18555" w:rsidR="00EB440B" w:rsidRDefault="00EB440B" w:rsidP="005D37A3">
      <w:pPr>
        <w:pStyle w:val="Heading1"/>
      </w:pPr>
      <w:bookmarkStart w:id="14" w:name="_Toc147736291"/>
      <w:r>
        <w:lastRenderedPageBreak/>
        <w:t>Control orders</w:t>
      </w:r>
      <w:bookmarkEnd w:id="14"/>
    </w:p>
    <w:p w14:paraId="41C2A344" w14:textId="77777777" w:rsidR="003C04AD" w:rsidRDefault="003C04AD" w:rsidP="003C04AD">
      <w:pPr>
        <w:pStyle w:val="Heading2"/>
      </w:pPr>
      <w:bookmarkStart w:id="15" w:name="_Toc147736292"/>
      <w:r>
        <w:t>Structure of provisions</w:t>
      </w:r>
      <w:bookmarkEnd w:id="15"/>
    </w:p>
    <w:p w14:paraId="77E9549D" w14:textId="0957B0B8" w:rsidR="003C04AD" w:rsidRDefault="003C04AD" w:rsidP="003C04AD">
      <w:pPr>
        <w:pStyle w:val="ListNumber2"/>
        <w:tabs>
          <w:tab w:val="clear" w:pos="643"/>
          <w:tab w:val="num" w:pos="1080"/>
        </w:tabs>
        <w:ind w:left="1080" w:hanging="797"/>
      </w:pPr>
      <w:r>
        <w:t>Control orders allow certain kinds of obligations, prohibitions and restrictions to be imposed on a person for one or more of the following purposes:</w:t>
      </w:r>
    </w:p>
    <w:p w14:paraId="4D60010C" w14:textId="77777777" w:rsidR="003C04AD" w:rsidRDefault="003C04AD" w:rsidP="003C04AD">
      <w:pPr>
        <w:pStyle w:val="ListNumber"/>
        <w:numPr>
          <w:ilvl w:val="0"/>
          <w:numId w:val="14"/>
        </w:numPr>
      </w:pPr>
      <w:r>
        <w:t>protecting the public from a terrorist act</w:t>
      </w:r>
    </w:p>
    <w:p w14:paraId="7715067E" w14:textId="77777777" w:rsidR="003C04AD" w:rsidRDefault="003C04AD" w:rsidP="003C04AD">
      <w:pPr>
        <w:pStyle w:val="ListNumber"/>
        <w:numPr>
          <w:ilvl w:val="0"/>
          <w:numId w:val="14"/>
        </w:numPr>
      </w:pPr>
      <w:r>
        <w:t>preventing the provision of support for, or the facilitation of, a terrorist act</w:t>
      </w:r>
    </w:p>
    <w:p w14:paraId="7CA70781" w14:textId="77777777" w:rsidR="003C04AD" w:rsidRDefault="003C04AD" w:rsidP="003C04AD">
      <w:pPr>
        <w:pStyle w:val="ListNumber"/>
        <w:numPr>
          <w:ilvl w:val="0"/>
          <w:numId w:val="14"/>
        </w:numPr>
      </w:pPr>
      <w:r>
        <w:t>preventing the provision of support for, or the facilitation of, the engagement in a hostile activity in a foreign country.</w:t>
      </w:r>
      <w:r>
        <w:rPr>
          <w:rStyle w:val="EndnoteReference"/>
        </w:rPr>
        <w:endnoteReference w:id="30"/>
      </w:r>
    </w:p>
    <w:p w14:paraId="2ED7EA42" w14:textId="31F3ABBF" w:rsidR="003C04AD" w:rsidRDefault="003C04AD" w:rsidP="003C04AD">
      <w:pPr>
        <w:pStyle w:val="ListNumber2"/>
        <w:tabs>
          <w:tab w:val="clear" w:pos="643"/>
          <w:tab w:val="num" w:pos="1080"/>
        </w:tabs>
        <w:ind w:left="1080" w:hanging="797"/>
      </w:pPr>
      <w:r>
        <w:t>However, it is not necessary to demonstrate that any of these events is likely to occur for a control order to be issued.</w:t>
      </w:r>
    </w:p>
    <w:p w14:paraId="2C42AC56" w14:textId="3AA9282A" w:rsidR="003C04AD" w:rsidRDefault="003C04AD" w:rsidP="003C04AD">
      <w:pPr>
        <w:pStyle w:val="ListNumber2"/>
        <w:tabs>
          <w:tab w:val="clear" w:pos="643"/>
          <w:tab w:val="num" w:pos="1080"/>
        </w:tabs>
        <w:ind w:left="1080" w:hanging="797"/>
      </w:pPr>
      <w:r>
        <w:t xml:space="preserve">There are </w:t>
      </w:r>
      <w:r w:rsidR="00BD0FEC">
        <w:t xml:space="preserve">currently </w:t>
      </w:r>
      <w:r>
        <w:t>1</w:t>
      </w:r>
      <w:r w:rsidR="0017440C">
        <w:t>3</w:t>
      </w:r>
      <w:r>
        <w:t xml:space="preserve"> broad categories of obligations, prohibitions and restrictions that can be imposed on a person</w:t>
      </w:r>
      <w:r w:rsidR="00BD0FEC">
        <w:t>,</w:t>
      </w:r>
      <w:r w:rsidRPr="00A01335">
        <w:rPr>
          <w:sz w:val="20"/>
          <w:szCs w:val="20"/>
          <w:vertAlign w:val="superscript"/>
        </w:rPr>
        <w:endnoteReference w:id="31"/>
      </w:r>
      <w:r>
        <w:t xml:space="preserve"> </w:t>
      </w:r>
      <w:r w:rsidR="00BD0FEC">
        <w:t xml:space="preserve">although the Bill proposes to expand </w:t>
      </w:r>
      <w:r w:rsidR="00F12015">
        <w:t>this list so that almost any kind of condition may be imposed.</w:t>
      </w:r>
      <w:r>
        <w:t xml:space="preserve"> </w:t>
      </w:r>
      <w:r w:rsidR="00F12015">
        <w:t xml:space="preserve"> </w:t>
      </w:r>
      <w:r>
        <w:t>Some of the</w:t>
      </w:r>
      <w:r w:rsidR="00F12015">
        <w:t xml:space="preserve"> existing provisions</w:t>
      </w:r>
      <w:r>
        <w:t xml:space="preserve"> amount to restrictions on the liberty or freedom of movement of a person, and engage rights under articles 9 and 12 of the ICCPR</w:t>
      </w:r>
      <w:r w:rsidRPr="00207439">
        <w:rPr>
          <w:lang w:val="en-GB"/>
        </w:rPr>
        <w:t>—</w:t>
      </w:r>
      <w:r>
        <w:t>for example:</w:t>
      </w:r>
    </w:p>
    <w:p w14:paraId="14DA283A" w14:textId="77777777" w:rsidR="003C04AD" w:rsidRDefault="003C04AD" w:rsidP="003C04AD">
      <w:pPr>
        <w:pStyle w:val="ListNumber"/>
        <w:numPr>
          <w:ilvl w:val="0"/>
          <w:numId w:val="14"/>
        </w:numPr>
      </w:pPr>
      <w:r>
        <w:t xml:space="preserve">curfews, requiring a person to stay at </w:t>
      </w:r>
      <w:proofErr w:type="gramStart"/>
      <w:r>
        <w:t>particular premises</w:t>
      </w:r>
      <w:proofErr w:type="gramEnd"/>
      <w:r>
        <w:t xml:space="preserve"> for up to 12 hours per day</w:t>
      </w:r>
    </w:p>
    <w:p w14:paraId="1045E967" w14:textId="77777777" w:rsidR="003C04AD" w:rsidRDefault="003C04AD" w:rsidP="003C04AD">
      <w:pPr>
        <w:pStyle w:val="ListNumber"/>
        <w:numPr>
          <w:ilvl w:val="0"/>
          <w:numId w:val="14"/>
        </w:numPr>
      </w:pPr>
      <w:r>
        <w:t xml:space="preserve">prohibitions on going to </w:t>
      </w:r>
      <w:proofErr w:type="gramStart"/>
      <w:r>
        <w:t>particular areas</w:t>
      </w:r>
      <w:proofErr w:type="gramEnd"/>
      <w:r>
        <w:t xml:space="preserve"> or places</w:t>
      </w:r>
    </w:p>
    <w:p w14:paraId="6517CDF6" w14:textId="77777777" w:rsidR="003C04AD" w:rsidRDefault="003C04AD" w:rsidP="003C04AD">
      <w:pPr>
        <w:pStyle w:val="ListNumber"/>
        <w:numPr>
          <w:ilvl w:val="0"/>
          <w:numId w:val="14"/>
        </w:numPr>
      </w:pPr>
      <w:r>
        <w:t>prohibitions on travelling overseas</w:t>
      </w:r>
    </w:p>
    <w:p w14:paraId="5D454363" w14:textId="77777777" w:rsidR="003C04AD" w:rsidRDefault="003C04AD" w:rsidP="003C04AD">
      <w:pPr>
        <w:pStyle w:val="ListNumber"/>
        <w:numPr>
          <w:ilvl w:val="0"/>
          <w:numId w:val="14"/>
        </w:numPr>
      </w:pPr>
      <w:r>
        <w:t>a requirement to wear a tracking device</w:t>
      </w:r>
    </w:p>
    <w:p w14:paraId="453711D1" w14:textId="77777777" w:rsidR="003C04AD" w:rsidRDefault="003C04AD" w:rsidP="003C04AD">
      <w:pPr>
        <w:pStyle w:val="ListNumber"/>
        <w:numPr>
          <w:ilvl w:val="0"/>
          <w:numId w:val="14"/>
        </w:numPr>
      </w:pPr>
      <w:r>
        <w:t>a requirement to report to police at certain times and places.</w:t>
      </w:r>
    </w:p>
    <w:p w14:paraId="6CB36B7F" w14:textId="77777777" w:rsidR="003C04AD" w:rsidRDefault="003C04AD" w:rsidP="003C04AD">
      <w:pPr>
        <w:pStyle w:val="ListNumber2"/>
        <w:tabs>
          <w:tab w:val="clear" w:pos="643"/>
          <w:tab w:val="num" w:pos="1080"/>
        </w:tabs>
        <w:ind w:left="1080" w:hanging="797"/>
      </w:pPr>
      <w:r>
        <w:t>Other restrictions place limits on a person’s freedom of communication and their freedom to associate with others, or interfere with their family life, engaging articles 17, 19 and 22 of the ICCPR</w:t>
      </w:r>
      <w:r w:rsidRPr="00207439">
        <w:rPr>
          <w:lang w:val="en-GB"/>
        </w:rPr>
        <w:t>—</w:t>
      </w:r>
      <w:r>
        <w:t>for example:</w:t>
      </w:r>
    </w:p>
    <w:p w14:paraId="3A2FC88B" w14:textId="77777777" w:rsidR="003C04AD" w:rsidRDefault="003C04AD" w:rsidP="003C04AD">
      <w:pPr>
        <w:pStyle w:val="ListNumber"/>
        <w:numPr>
          <w:ilvl w:val="0"/>
          <w:numId w:val="14"/>
        </w:numPr>
      </w:pPr>
      <w:r>
        <w:t>a prohibition on communicating with particular people</w:t>
      </w:r>
    </w:p>
    <w:p w14:paraId="562D5B6E" w14:textId="77777777" w:rsidR="003C04AD" w:rsidRDefault="003C04AD" w:rsidP="003C04AD">
      <w:pPr>
        <w:pStyle w:val="ListNumber"/>
        <w:numPr>
          <w:ilvl w:val="0"/>
          <w:numId w:val="14"/>
        </w:numPr>
      </w:pPr>
      <w:r>
        <w:t>a prohibition on associating with particular people</w:t>
      </w:r>
    </w:p>
    <w:p w14:paraId="25196A1F" w14:textId="77777777" w:rsidR="003C04AD" w:rsidRDefault="003C04AD" w:rsidP="003C04AD">
      <w:pPr>
        <w:pStyle w:val="ListNumber"/>
        <w:numPr>
          <w:ilvl w:val="0"/>
          <w:numId w:val="14"/>
        </w:numPr>
      </w:pPr>
      <w:r>
        <w:lastRenderedPageBreak/>
        <w:t>a restriction on accessing the internet or using certain telecommunications devices</w:t>
      </w:r>
      <w:r w:rsidRPr="00207439">
        <w:rPr>
          <w:lang w:val="en-GB"/>
        </w:rPr>
        <w:t>—</w:t>
      </w:r>
      <w:r>
        <w:t xml:space="preserve">for example, a requirement to only use </w:t>
      </w:r>
      <w:proofErr w:type="gramStart"/>
      <w:r>
        <w:t>a particular, identified</w:t>
      </w:r>
      <w:proofErr w:type="gramEnd"/>
      <w:r>
        <w:t xml:space="preserve"> mobile phone</w:t>
      </w:r>
    </w:p>
    <w:p w14:paraId="5B08F4F6" w14:textId="77777777" w:rsidR="003C04AD" w:rsidRPr="00FD5451" w:rsidRDefault="003C04AD" w:rsidP="003C04AD">
      <w:pPr>
        <w:pStyle w:val="ListNumber"/>
        <w:numPr>
          <w:ilvl w:val="0"/>
          <w:numId w:val="14"/>
        </w:numPr>
      </w:pPr>
      <w:r>
        <w:t>a prohibition on carrying out certain activities, including in relation to work.</w:t>
      </w:r>
    </w:p>
    <w:p w14:paraId="01AA6912" w14:textId="77777777" w:rsidR="003C04AD" w:rsidRDefault="003C04AD" w:rsidP="003C04AD">
      <w:pPr>
        <w:pStyle w:val="ListNumber2"/>
        <w:tabs>
          <w:tab w:val="clear" w:pos="643"/>
          <w:tab w:val="num" w:pos="1080"/>
        </w:tabs>
        <w:ind w:left="1080" w:hanging="797"/>
      </w:pPr>
      <w:r>
        <w:t>Some restrictions, including some of those set out above, interfere with a person’s right to privacy, engaging article 17 of the ICCPR</w:t>
      </w:r>
      <w:r w:rsidRPr="00207439">
        <w:rPr>
          <w:lang w:val="en-GB"/>
        </w:rPr>
        <w:t>—</w:t>
      </w:r>
      <w:r>
        <w:t>for example, a requirement:</w:t>
      </w:r>
    </w:p>
    <w:p w14:paraId="018D9A01" w14:textId="77777777" w:rsidR="003C04AD" w:rsidRDefault="003C04AD" w:rsidP="003C04AD">
      <w:pPr>
        <w:pStyle w:val="ListNumber"/>
        <w:numPr>
          <w:ilvl w:val="0"/>
          <w:numId w:val="14"/>
        </w:numPr>
      </w:pPr>
      <w:r>
        <w:t>to be photographed</w:t>
      </w:r>
    </w:p>
    <w:p w14:paraId="3059D043" w14:textId="77777777" w:rsidR="003C04AD" w:rsidRDefault="003C04AD" w:rsidP="003C04AD">
      <w:pPr>
        <w:pStyle w:val="ListNumber"/>
        <w:numPr>
          <w:ilvl w:val="0"/>
          <w:numId w:val="14"/>
        </w:numPr>
      </w:pPr>
      <w:r>
        <w:t>to be fingerprinted</w:t>
      </w:r>
    </w:p>
    <w:p w14:paraId="00977826" w14:textId="6F90F6A7" w:rsidR="003C04AD" w:rsidRDefault="003C04AD" w:rsidP="003C04AD">
      <w:pPr>
        <w:pStyle w:val="ListNumber"/>
        <w:numPr>
          <w:ilvl w:val="0"/>
          <w:numId w:val="14"/>
        </w:numPr>
      </w:pPr>
      <w:r>
        <w:t xml:space="preserve">that a person </w:t>
      </w:r>
      <w:proofErr w:type="gramStart"/>
      <w:r>
        <w:t>participate</w:t>
      </w:r>
      <w:proofErr w:type="gramEnd"/>
      <w:r>
        <w:t xml:space="preserve"> in specified counselling or education (but only if they agree to do so). </w:t>
      </w:r>
    </w:p>
    <w:p w14:paraId="4DE8FA05" w14:textId="77777777" w:rsidR="003C04AD" w:rsidRDefault="003C04AD" w:rsidP="003C04AD">
      <w:pPr>
        <w:pStyle w:val="ListNumber2"/>
        <w:tabs>
          <w:tab w:val="clear" w:pos="643"/>
          <w:tab w:val="num" w:pos="1080"/>
        </w:tabs>
        <w:ind w:left="1080" w:hanging="797"/>
      </w:pPr>
      <w:r>
        <w:t xml:space="preserve">Restrictions can also be imposed on a person ‘possessing or using specified articles or </w:t>
      </w:r>
      <w:proofErr w:type="gramStart"/>
      <w:r>
        <w:t>substances’</w:t>
      </w:r>
      <w:proofErr w:type="gramEnd"/>
      <w:r>
        <w:t>.  In practice, these restrictions sometimes merely reiterate other existing legal requirements, but add the criminal consequences involved in breaching a control order.</w:t>
      </w:r>
    </w:p>
    <w:p w14:paraId="28829FAA" w14:textId="44E30FF6" w:rsidR="003C04AD" w:rsidRPr="005308D0" w:rsidRDefault="003C04AD" w:rsidP="00385FBB">
      <w:pPr>
        <w:pStyle w:val="ListNumber2"/>
        <w:tabs>
          <w:tab w:val="clear" w:pos="643"/>
          <w:tab w:val="num" w:pos="1080"/>
        </w:tabs>
        <w:ind w:left="1080" w:hanging="797"/>
      </w:pPr>
      <w:r>
        <w:t>When a control order is imposed on an adult, it may be in force for up to 12 months at a time.</w:t>
      </w:r>
      <w:r w:rsidRPr="00A01335">
        <w:rPr>
          <w:sz w:val="20"/>
          <w:szCs w:val="20"/>
          <w:vertAlign w:val="superscript"/>
        </w:rPr>
        <w:endnoteReference w:id="32"/>
      </w:r>
      <w:r>
        <w:t xml:space="preserve">  When a control order is imposed on a child aged 14 to 17, it may be in force for up to three months at a time.</w:t>
      </w:r>
      <w:r w:rsidRPr="00A01335">
        <w:rPr>
          <w:sz w:val="20"/>
          <w:szCs w:val="20"/>
          <w:vertAlign w:val="superscript"/>
        </w:rPr>
        <w:endnoteReference w:id="33"/>
      </w:r>
      <w:r>
        <w:t xml:space="preserve">  It is possible to make successive control orders in relation to the same person (whether an adult or a child).</w:t>
      </w:r>
      <w:r w:rsidRPr="00350FAA">
        <w:rPr>
          <w:sz w:val="20"/>
          <w:szCs w:val="20"/>
          <w:vertAlign w:val="superscript"/>
        </w:rPr>
        <w:endnoteReference w:id="34"/>
      </w:r>
      <w:r>
        <w:t xml:space="preserve">  </w:t>
      </w:r>
    </w:p>
    <w:p w14:paraId="36340969" w14:textId="77777777" w:rsidR="003C04AD" w:rsidRDefault="003C04AD" w:rsidP="003C04AD">
      <w:pPr>
        <w:pStyle w:val="ListNumber2"/>
        <w:tabs>
          <w:tab w:val="clear" w:pos="643"/>
          <w:tab w:val="num" w:pos="1080"/>
        </w:tabs>
        <w:ind w:left="1080" w:hanging="797"/>
      </w:pPr>
      <w:r>
        <w:t xml:space="preserve">The </w:t>
      </w:r>
      <w:proofErr w:type="gramStart"/>
      <w:r>
        <w:t>particular conditions</w:t>
      </w:r>
      <w:proofErr w:type="gramEnd"/>
      <w:r>
        <w:t xml:space="preserve"> that may be imposed on a person by a control order vary in terms of their severity and their impact on human rights.  The most severe are the restrictions on liberty which, if applied inappropriately, have the potential to amount to arbitrary detention, and the restrictions on communication and association.  </w:t>
      </w:r>
    </w:p>
    <w:p w14:paraId="0559D405" w14:textId="216AEA48" w:rsidR="003C04AD" w:rsidRDefault="0062255A" w:rsidP="003C04AD">
      <w:pPr>
        <w:pStyle w:val="ListNumber2"/>
        <w:tabs>
          <w:tab w:val="clear" w:pos="643"/>
          <w:tab w:val="num" w:pos="1080"/>
        </w:tabs>
        <w:ind w:left="1080" w:hanging="797"/>
      </w:pPr>
      <w:r>
        <w:t>I</w:t>
      </w:r>
      <w:r w:rsidR="003C04AD">
        <w:t>n assessing the full impact of the imposition of control orders, it is also necessary to consider the penalties available for their breach.  If a control order is in force in relation to a person and the person contravenes any of the conditions in that control order, they commit an offence and are liable for imprisonment for up to five years.</w:t>
      </w:r>
      <w:r w:rsidR="003C04AD" w:rsidRPr="00350FAA">
        <w:rPr>
          <w:sz w:val="20"/>
          <w:szCs w:val="20"/>
          <w:vertAlign w:val="superscript"/>
        </w:rPr>
        <w:endnoteReference w:id="35"/>
      </w:r>
      <w:r w:rsidR="003C04AD">
        <w:t xml:space="preserve">  The same penalty applies to both adults and children older than 14.</w:t>
      </w:r>
    </w:p>
    <w:p w14:paraId="6192E0C5" w14:textId="77777777" w:rsidR="00214B34" w:rsidRDefault="00214B34" w:rsidP="00214B34">
      <w:pPr>
        <w:pStyle w:val="Heading2"/>
      </w:pPr>
      <w:bookmarkStart w:id="16" w:name="_Ref147412804"/>
      <w:bookmarkStart w:id="17" w:name="_Toc147736293"/>
      <w:r>
        <w:lastRenderedPageBreak/>
        <w:t>Previous consideration by AHRC</w:t>
      </w:r>
      <w:bookmarkEnd w:id="16"/>
      <w:bookmarkEnd w:id="17"/>
    </w:p>
    <w:p w14:paraId="5AC5E013" w14:textId="24802272" w:rsidR="00214B34" w:rsidRDefault="00214B34" w:rsidP="00214B34">
      <w:pPr>
        <w:pStyle w:val="ListNumber2"/>
        <w:tabs>
          <w:tab w:val="clear" w:pos="643"/>
          <w:tab w:val="num" w:pos="1080"/>
        </w:tabs>
        <w:ind w:left="1080" w:hanging="797"/>
      </w:pPr>
      <w:r>
        <w:t xml:space="preserve">The Commission conducted a detailed human rights analysis in relation to </w:t>
      </w:r>
      <w:r w:rsidR="0094202E">
        <w:t>control order</w:t>
      </w:r>
      <w:r w:rsidR="00C94884">
        <w:t>s</w:t>
      </w:r>
      <w:r w:rsidR="0094202E">
        <w:t xml:space="preserve"> </w:t>
      </w:r>
      <w:r>
        <w:t xml:space="preserve">in its </w:t>
      </w:r>
      <w:r w:rsidR="007C48E5">
        <w:t>2020</w:t>
      </w:r>
      <w:r>
        <w:t xml:space="preserve"> submission (see [</w:t>
      </w:r>
      <w:r w:rsidR="0094202E">
        <w:t>97</w:t>
      </w:r>
      <w:r>
        <w:t>]</w:t>
      </w:r>
      <w:proofErr w:type="gramStart"/>
      <w:r>
        <w:t>–[</w:t>
      </w:r>
      <w:proofErr w:type="gramEnd"/>
      <w:r w:rsidR="00C94884">
        <w:t>204</w:t>
      </w:r>
      <w:r>
        <w:t>]).</w:t>
      </w:r>
    </w:p>
    <w:p w14:paraId="72BEDF9F" w14:textId="77777777" w:rsidR="005A5606" w:rsidRDefault="0052414C" w:rsidP="00214B34">
      <w:pPr>
        <w:pStyle w:val="ListNumber2"/>
        <w:tabs>
          <w:tab w:val="clear" w:pos="643"/>
          <w:tab w:val="num" w:pos="1080"/>
        </w:tabs>
        <w:ind w:left="1080" w:hanging="797"/>
      </w:pPr>
      <w:r>
        <w:t xml:space="preserve">The Commission noted that control orders </w:t>
      </w:r>
      <w:r w:rsidR="00581881">
        <w:t>sought to impose obligations</w:t>
      </w:r>
      <w:r w:rsidR="005A5606">
        <w:t>, prohibitions or restrictions on a person based on the person’s anticipated future involvement in terrorism activity.  The orders could be sought in a range of circumstances including:</w:t>
      </w:r>
    </w:p>
    <w:p w14:paraId="03075C80" w14:textId="77777777" w:rsidR="00720D39" w:rsidRDefault="00720D39" w:rsidP="00720D39">
      <w:pPr>
        <w:pStyle w:val="ListNumber2"/>
        <w:numPr>
          <w:ilvl w:val="0"/>
          <w:numId w:val="0"/>
        </w:numPr>
        <w:ind w:left="1517" w:hanging="437"/>
      </w:pPr>
      <w:r>
        <w:t>(a)</w:t>
      </w:r>
      <w:r>
        <w:tab/>
        <w:t>as an alternative to prosecution—for example, where a person cannot be arrested because there is no reasonable basis to suspect that they have been involved in a terrorist act, or where they have been arrested but the CDPP has advised that there is no reasonable prospect of conviction</w:t>
      </w:r>
    </w:p>
    <w:p w14:paraId="4C745F6F" w14:textId="77777777" w:rsidR="00720D39" w:rsidRDefault="00720D39" w:rsidP="00720D39">
      <w:pPr>
        <w:pStyle w:val="ListNumber2"/>
        <w:numPr>
          <w:ilvl w:val="0"/>
          <w:numId w:val="0"/>
        </w:numPr>
        <w:ind w:left="1517" w:hanging="437"/>
      </w:pPr>
      <w:r>
        <w:t>(b)</w:t>
      </w:r>
      <w:r>
        <w:tab/>
        <w:t>as a ‘second attempt’ following an unsuccessful prosecution—for example, where a person has been tried and acquitted</w:t>
      </w:r>
    </w:p>
    <w:p w14:paraId="277E035D" w14:textId="77777777" w:rsidR="00720D39" w:rsidRDefault="00720D39" w:rsidP="00720D39">
      <w:pPr>
        <w:pStyle w:val="ListNumber2"/>
        <w:numPr>
          <w:ilvl w:val="0"/>
          <w:numId w:val="0"/>
        </w:numPr>
        <w:ind w:left="1517" w:hanging="437"/>
      </w:pPr>
      <w:r>
        <w:t>(c)</w:t>
      </w:r>
      <w:r>
        <w:tab/>
        <w:t>once a terrorist offender has been released from prison, in circumstances where they still pose an unacceptable risk to the community.</w:t>
      </w:r>
    </w:p>
    <w:p w14:paraId="2F3093EA" w14:textId="58DD9EAC" w:rsidR="00567B60" w:rsidRDefault="00567B60" w:rsidP="00567B60">
      <w:pPr>
        <w:pStyle w:val="ListNumber2"/>
        <w:tabs>
          <w:tab w:val="clear" w:pos="643"/>
          <w:tab w:val="num" w:pos="1080"/>
        </w:tabs>
        <w:ind w:left="1080" w:hanging="797"/>
      </w:pPr>
      <w:r>
        <w:t>The Commission provided detailed submissions to the PJCIS about why the use of control orders in categories (a) and (b) could not be justified, particularly in light of the availability of more appropriate alternatives including surveillance, and arrest and prosecution for those reasonably suspected of having engaged in criminal conduct.</w:t>
      </w:r>
      <w:r w:rsidRPr="00A64E19">
        <w:rPr>
          <w:sz w:val="20"/>
          <w:szCs w:val="20"/>
          <w:vertAlign w:val="superscript"/>
        </w:rPr>
        <w:endnoteReference w:id="36"/>
      </w:r>
      <w:r>
        <w:t xml:space="preserve">  If there is insufficient evidence to ground a ‘reasonable suspicion’ of criminal conduct, including preparatory offences such as planning a terrorist act, then the significant restrictions involved in a control order cannot be considered to be a proportionate response.  If a person has been tried and acquitted of a criminal offence, then the use of control orders based on the same </w:t>
      </w:r>
      <w:proofErr w:type="gramStart"/>
      <w:r>
        <w:t>evidence</w:t>
      </w:r>
      <w:proofErr w:type="gramEnd"/>
      <w:r>
        <w:t xml:space="preserve"> but a lower standard of proof raises serious concerns from a rule of law perspective.</w:t>
      </w:r>
    </w:p>
    <w:p w14:paraId="2355D747" w14:textId="75A738AB" w:rsidR="00567B60" w:rsidRDefault="00567B60" w:rsidP="00567B60">
      <w:pPr>
        <w:pStyle w:val="ListNumber2"/>
        <w:tabs>
          <w:tab w:val="clear" w:pos="643"/>
          <w:tab w:val="num" w:pos="1080"/>
        </w:tabs>
        <w:ind w:left="1080" w:hanging="797"/>
      </w:pPr>
      <w:r>
        <w:t>However, where a convicted terrorist offender can be demonstrated, through cogent and reliable evidence, to still pose an unacceptable risk to the community at the end of their sentence, then continuing controls, which are</w:t>
      </w:r>
      <w:r w:rsidRPr="00574077">
        <w:t xml:space="preserve"> </w:t>
      </w:r>
      <w:r>
        <w:t>reasonable, proportionate and necessary to manage that risk, can be justified.</w:t>
      </w:r>
    </w:p>
    <w:p w14:paraId="650EC53E" w14:textId="46DEA04E" w:rsidR="00F9095B" w:rsidRDefault="005409E7" w:rsidP="00EB440B">
      <w:pPr>
        <w:pStyle w:val="ListNumber2"/>
        <w:tabs>
          <w:tab w:val="clear" w:pos="643"/>
          <w:tab w:val="num" w:pos="1080"/>
        </w:tabs>
        <w:ind w:left="1080" w:hanging="797"/>
      </w:pPr>
      <w:r>
        <w:lastRenderedPageBreak/>
        <w:t xml:space="preserve">The Commission recommended that </w:t>
      </w:r>
      <w:r w:rsidR="00993874">
        <w:t xml:space="preserve">the control order regime be replaced by </w:t>
      </w:r>
      <w:r>
        <w:t xml:space="preserve">an extended supervision order </w:t>
      </w:r>
      <w:r w:rsidR="00724E53">
        <w:t xml:space="preserve">(ESO) </w:t>
      </w:r>
      <w:r>
        <w:t xml:space="preserve">regime </w:t>
      </w:r>
      <w:r w:rsidR="00E233AD">
        <w:t>so that the orders were limited to convicted terrorist offenders who would still present an unacceptable risk to the community at the</w:t>
      </w:r>
      <w:r w:rsidR="006A37DC">
        <w:t xml:space="preserve"> end of their sentence.</w:t>
      </w:r>
      <w:r w:rsidR="004A05FF">
        <w:t xml:space="preserve">  </w:t>
      </w:r>
      <w:r w:rsidR="003B4355">
        <w:t xml:space="preserve">This is </w:t>
      </w:r>
      <w:r w:rsidR="004A05FF">
        <w:t xml:space="preserve">overwhelmingly how control orders </w:t>
      </w:r>
      <w:r w:rsidR="003B4355">
        <w:t xml:space="preserve">have </w:t>
      </w:r>
      <w:r w:rsidR="004A05FF">
        <w:t xml:space="preserve">been used in practice.  </w:t>
      </w:r>
      <w:r w:rsidR="009A2EEA">
        <w:t>An ESO regime was subsequently introduced in late 2021.</w:t>
      </w:r>
      <w:r w:rsidR="009A2EEA">
        <w:rPr>
          <w:rStyle w:val="EndnoteReference"/>
        </w:rPr>
        <w:endnoteReference w:id="37"/>
      </w:r>
      <w:r w:rsidR="009A2EEA">
        <w:t xml:space="preserve">  However, the control order regime</w:t>
      </w:r>
      <w:r w:rsidR="00AA14FB">
        <w:t xml:space="preserve"> has, so far, been </w:t>
      </w:r>
      <w:r w:rsidR="009A2EEA">
        <w:t>retained.</w:t>
      </w:r>
    </w:p>
    <w:p w14:paraId="533D1E76" w14:textId="41D0D7BA" w:rsidR="00EB440B" w:rsidRDefault="003B4355" w:rsidP="00EB440B">
      <w:pPr>
        <w:pStyle w:val="ListNumber2"/>
        <w:tabs>
          <w:tab w:val="clear" w:pos="643"/>
          <w:tab w:val="num" w:pos="1080"/>
        </w:tabs>
        <w:ind w:left="1080" w:hanging="797"/>
      </w:pPr>
      <w:r>
        <w:t xml:space="preserve">In his second reading speech for the present Bill, the Attorney-General noted that </w:t>
      </w:r>
      <w:r w:rsidR="00DD67DC">
        <w:t xml:space="preserve">as </w:t>
      </w:r>
      <w:proofErr w:type="gramStart"/>
      <w:r w:rsidR="00DD67DC">
        <w:t>at</w:t>
      </w:r>
      <w:proofErr w:type="gramEnd"/>
      <w:r w:rsidR="00DD67DC">
        <w:t xml:space="preserve"> 6 August 2023 </w:t>
      </w:r>
      <w:r>
        <w:t>there ha</w:t>
      </w:r>
      <w:r w:rsidR="00003E4E">
        <w:t>d</w:t>
      </w:r>
      <w:r>
        <w:t xml:space="preserve"> been </w:t>
      </w:r>
      <w:r w:rsidR="000E15BF">
        <w:t xml:space="preserve">28 control orders made against 21 individuals since the powers were first introduced </w:t>
      </w:r>
      <w:r w:rsidR="00C9593A">
        <w:t>in 2005.</w:t>
      </w:r>
      <w:r w:rsidR="00A05551">
        <w:t xml:space="preserve">  </w:t>
      </w:r>
      <w:r w:rsidR="00A05551" w:rsidRPr="00A05551">
        <w:rPr>
          <w:b/>
          <w:bCs/>
        </w:rPr>
        <w:t>Annexure A</w:t>
      </w:r>
      <w:r w:rsidR="00A05551">
        <w:t xml:space="preserve"> to this submission describes each of</w:t>
      </w:r>
      <w:r w:rsidR="00DD67DC">
        <w:t xml:space="preserve"> these control orders</w:t>
      </w:r>
      <w:r w:rsidR="00DA18B0">
        <w:t xml:space="preserve"> (see also the </w:t>
      </w:r>
      <w:r w:rsidR="00984E5A">
        <w:t xml:space="preserve">background to early control orders described in </w:t>
      </w:r>
      <w:r w:rsidR="00DA18B0">
        <w:t>Commission’s 2020 submission at [138]</w:t>
      </w:r>
      <w:proofErr w:type="gramStart"/>
      <w:r w:rsidR="00DA18B0">
        <w:t>–</w:t>
      </w:r>
      <w:r w:rsidR="00F35181">
        <w:t>[</w:t>
      </w:r>
      <w:proofErr w:type="gramEnd"/>
      <w:r w:rsidR="00F35181">
        <w:t>174])</w:t>
      </w:r>
      <w:r w:rsidR="00DD67DC">
        <w:t>.</w:t>
      </w:r>
      <w:r w:rsidR="00F53243">
        <w:t xml:space="preserve">  22 </w:t>
      </w:r>
      <w:r w:rsidR="00970462">
        <w:t xml:space="preserve">control orders have been made since 2019 in relation to </w:t>
      </w:r>
      <w:r w:rsidR="009F0CA4">
        <w:t xml:space="preserve">15 people.  </w:t>
      </w:r>
      <w:r w:rsidR="00B17EFF">
        <w:t xml:space="preserve">Of the </w:t>
      </w:r>
      <w:r w:rsidR="00E81014">
        <w:t xml:space="preserve">15 </w:t>
      </w:r>
      <w:r w:rsidR="004A00ED">
        <w:t xml:space="preserve">people in respect of whom </w:t>
      </w:r>
      <w:r w:rsidR="00B17EFF">
        <w:t xml:space="preserve">control orders </w:t>
      </w:r>
      <w:r w:rsidR="00B64BE7">
        <w:t xml:space="preserve">have been made </w:t>
      </w:r>
      <w:r w:rsidR="00B17EFF">
        <w:t>since 2019</w:t>
      </w:r>
      <w:r w:rsidR="00B64BE7">
        <w:t>:</w:t>
      </w:r>
    </w:p>
    <w:p w14:paraId="54F30675" w14:textId="16366245" w:rsidR="00B64BE7" w:rsidRDefault="00B64BE7" w:rsidP="00B64BE7">
      <w:pPr>
        <w:pStyle w:val="ListNumber2"/>
        <w:numPr>
          <w:ilvl w:val="0"/>
          <w:numId w:val="14"/>
        </w:numPr>
      </w:pPr>
      <w:r>
        <w:t xml:space="preserve">11 of those people </w:t>
      </w:r>
      <w:r w:rsidR="00E81014">
        <w:t xml:space="preserve">had previously committed </w:t>
      </w:r>
      <w:r w:rsidR="001E170C">
        <w:t xml:space="preserve">a </w:t>
      </w:r>
      <w:r w:rsidR="002A3AC4">
        <w:t xml:space="preserve">serious terrorism </w:t>
      </w:r>
      <w:r w:rsidR="00E81014">
        <w:t>offence</w:t>
      </w:r>
      <w:r w:rsidR="007803D3">
        <w:t xml:space="preserve">.  </w:t>
      </w:r>
      <w:r w:rsidR="009E25F5">
        <w:t xml:space="preserve">Since the commencement of the ESO regime in </w:t>
      </w:r>
      <w:r w:rsidR="009D6DD9">
        <w:t>2021</w:t>
      </w:r>
      <w:r w:rsidR="00442895">
        <w:t xml:space="preserve">, all cases of this type could be considered for an </w:t>
      </w:r>
      <w:r w:rsidR="00D30EF2">
        <w:t>ESO</w:t>
      </w:r>
      <w:r w:rsidR="00442895">
        <w:t xml:space="preserve">.  Control orders </w:t>
      </w:r>
      <w:r w:rsidR="00D30EF2">
        <w:t>are simply not necessary in relation to this cohort.</w:t>
      </w:r>
    </w:p>
    <w:p w14:paraId="3F983DEA" w14:textId="719C3520" w:rsidR="00070A3B" w:rsidRDefault="00070A3B" w:rsidP="00070A3B">
      <w:pPr>
        <w:pStyle w:val="ListNumber2"/>
        <w:numPr>
          <w:ilvl w:val="0"/>
          <w:numId w:val="14"/>
        </w:numPr>
      </w:pPr>
      <w:r>
        <w:t xml:space="preserve">1 person (Ms </w:t>
      </w:r>
      <w:r w:rsidR="008B0B83" w:rsidRPr="008B0B83">
        <w:t>Zainab Abdirahman-Khalif</w:t>
      </w:r>
      <w:r w:rsidR="008B0B83">
        <w:t xml:space="preserve">) had a control order imposed after she had initially been acquitted of an offence that would have fallen within the ESO regime.  The acquittal was subsequently overturned on appeal the High Court.  The circumstances of her case are described in more detail in case study </w:t>
      </w:r>
      <w:r w:rsidR="00BD2C44">
        <w:t xml:space="preserve">5 </w:t>
      </w:r>
      <w:r w:rsidR="00BE668F">
        <w:t xml:space="preserve">in the Commission’s </w:t>
      </w:r>
      <w:r w:rsidR="007C48E5">
        <w:t>2020</w:t>
      </w:r>
      <w:r w:rsidR="00BE668F">
        <w:t xml:space="preserve"> submission (page 54</w:t>
      </w:r>
      <w:r w:rsidR="005D2B56">
        <w:t>).</w:t>
      </w:r>
      <w:r w:rsidR="00402FE1">
        <w:t xml:space="preserve">  </w:t>
      </w:r>
      <w:r w:rsidR="002A4489">
        <w:t>For the reasons set out in that submission, t</w:t>
      </w:r>
      <w:r w:rsidR="00402FE1">
        <w:t xml:space="preserve">he Commission concluded that </w:t>
      </w:r>
      <w:r w:rsidR="002A4489">
        <w:t xml:space="preserve">her case did not demonstrate </w:t>
      </w:r>
      <w:r w:rsidR="00214EF9">
        <w:t xml:space="preserve">the necessity for the control order system in any significantly persuasive manner, particularly having regard to alternative surveillance options available to authorities. </w:t>
      </w:r>
    </w:p>
    <w:p w14:paraId="59DB7B43" w14:textId="17D183C5" w:rsidR="00D30EF2" w:rsidRDefault="00070A3B" w:rsidP="00214EF9">
      <w:pPr>
        <w:pStyle w:val="ListNumber2"/>
        <w:numPr>
          <w:ilvl w:val="0"/>
          <w:numId w:val="14"/>
        </w:numPr>
      </w:pPr>
      <w:r>
        <w:t xml:space="preserve">3 of those people </w:t>
      </w:r>
      <w:r w:rsidR="00214EF9">
        <w:t xml:space="preserve">had previously committed ‘terrorism offences’ </w:t>
      </w:r>
      <w:r w:rsidR="00DB7FE4">
        <w:t xml:space="preserve">(as defined in </w:t>
      </w:r>
      <w:r w:rsidR="009427F4">
        <w:t xml:space="preserve">s 3(1) of the </w:t>
      </w:r>
      <w:r w:rsidR="009427F4" w:rsidRPr="006E7CAC">
        <w:t xml:space="preserve">Crimes Act </w:t>
      </w:r>
      <w:r w:rsidR="009427F4">
        <w:t xml:space="preserve">but these offences were not serious enough to qualify </w:t>
      </w:r>
      <w:r w:rsidR="00432A54">
        <w:t xml:space="preserve">for the ESO regime </w:t>
      </w:r>
      <w:r w:rsidR="00D5025A">
        <w:t>as it now exists.</w:t>
      </w:r>
      <w:r w:rsidR="00CF7844">
        <w:t xml:space="preserve">  </w:t>
      </w:r>
    </w:p>
    <w:p w14:paraId="20C15823" w14:textId="20B41D49" w:rsidR="006A37DC" w:rsidRDefault="00992480" w:rsidP="00EB440B">
      <w:pPr>
        <w:pStyle w:val="ListNumber2"/>
        <w:tabs>
          <w:tab w:val="clear" w:pos="643"/>
          <w:tab w:val="num" w:pos="1080"/>
        </w:tabs>
        <w:ind w:left="1080" w:hanging="797"/>
      </w:pPr>
      <w:r>
        <w:t xml:space="preserve">Expanding on the last dot point, given the specific post-sentence order regime that has now been </w:t>
      </w:r>
      <w:r w:rsidR="008A4273">
        <w:t>enacted</w:t>
      </w:r>
      <w:r>
        <w:t xml:space="preserve">, there are real questions about whether control orders should still be </w:t>
      </w:r>
      <w:r w:rsidR="00D04BE5">
        <w:t>able</w:t>
      </w:r>
      <w:r>
        <w:t xml:space="preserve"> </w:t>
      </w:r>
      <w:r w:rsidR="00400E88">
        <w:t xml:space="preserve">to be made in respect of people convicted of </w:t>
      </w:r>
      <w:r>
        <w:t xml:space="preserve">lower order offences that Parliament determined </w:t>
      </w:r>
      <w:r>
        <w:lastRenderedPageBreak/>
        <w:t xml:space="preserve">should </w:t>
      </w:r>
      <w:r w:rsidRPr="009A1EB5">
        <w:rPr>
          <w:i/>
          <w:iCs/>
        </w:rPr>
        <w:t>not</w:t>
      </w:r>
      <w:r>
        <w:t xml:space="preserve"> be part of the ESO regime.  </w:t>
      </w:r>
      <w:r w:rsidR="00C14F05">
        <w:t xml:space="preserve">Control orders are meant to be preventative, that is, focused on </w:t>
      </w:r>
      <w:r w:rsidR="00AD3CC9">
        <w:t xml:space="preserve">preventing </w:t>
      </w:r>
      <w:r w:rsidR="00CF684C">
        <w:t xml:space="preserve">the risk of </w:t>
      </w:r>
      <w:r w:rsidR="00CF684C" w:rsidRPr="00AD3CC9">
        <w:rPr>
          <w:i/>
          <w:iCs/>
        </w:rPr>
        <w:t>future</w:t>
      </w:r>
      <w:r w:rsidR="00CF684C">
        <w:t xml:space="preserve"> conduct.  However, in practice they are being applied for not on the basis of </w:t>
      </w:r>
      <w:r w:rsidR="00BA6421">
        <w:t xml:space="preserve">demonstrated </w:t>
      </w:r>
      <w:r w:rsidR="00CF684C">
        <w:t xml:space="preserve">future risk but on the basis of </w:t>
      </w:r>
      <w:r w:rsidR="00CF684C" w:rsidRPr="00AD3CC9">
        <w:rPr>
          <w:i/>
          <w:iCs/>
        </w:rPr>
        <w:t>past</w:t>
      </w:r>
      <w:r w:rsidR="00CF684C">
        <w:t xml:space="preserve"> conduct, including </w:t>
      </w:r>
      <w:proofErr w:type="gramStart"/>
      <w:r w:rsidR="00CF684C">
        <w:t>lower level</w:t>
      </w:r>
      <w:proofErr w:type="gramEnd"/>
      <w:r w:rsidR="00CF684C">
        <w:t xml:space="preserve"> conduct that does not qualify for a</w:t>
      </w:r>
      <w:r w:rsidR="002A0310">
        <w:t>n ESO</w:t>
      </w:r>
      <w:r w:rsidR="00CF684C">
        <w:t xml:space="preserve">.  </w:t>
      </w:r>
      <w:r w:rsidR="000016FD">
        <w:t>For example:</w:t>
      </w:r>
    </w:p>
    <w:p w14:paraId="0739C35C" w14:textId="0207D65E" w:rsidR="000016FD" w:rsidRDefault="000016FD" w:rsidP="000016FD">
      <w:pPr>
        <w:pStyle w:val="ListNumber2"/>
        <w:numPr>
          <w:ilvl w:val="0"/>
          <w:numId w:val="14"/>
        </w:numPr>
      </w:pPr>
      <w:r>
        <w:t xml:space="preserve">Mr </w:t>
      </w:r>
      <w:r w:rsidR="007A60E3" w:rsidRPr="007A60E3">
        <w:t xml:space="preserve">Ahmad </w:t>
      </w:r>
      <w:proofErr w:type="spellStart"/>
      <w:r w:rsidR="007A60E3" w:rsidRPr="007A60E3">
        <w:t>Saiyer</w:t>
      </w:r>
      <w:proofErr w:type="spellEnd"/>
      <w:r w:rsidR="007A60E3" w:rsidRPr="007A60E3">
        <w:t xml:space="preserve"> </w:t>
      </w:r>
      <w:proofErr w:type="spellStart"/>
      <w:r w:rsidR="007A60E3" w:rsidRPr="007A60E3">
        <w:t>Naizmand</w:t>
      </w:r>
      <w:proofErr w:type="spellEnd"/>
      <w:r w:rsidR="007A60E3">
        <w:t xml:space="preserve"> has now had three control orders </w:t>
      </w:r>
      <w:r w:rsidR="0069066E">
        <w:t>imposed on him based on past criminal conduct, but none of his offences involved a substantive terroris</w:t>
      </w:r>
      <w:r w:rsidR="000E0D66">
        <w:t>m</w:t>
      </w:r>
      <w:r w:rsidR="0069066E">
        <w:t xml:space="preserve"> offence.  </w:t>
      </w:r>
      <w:r w:rsidR="006F79C7">
        <w:t xml:space="preserve">When </w:t>
      </w:r>
      <w:r w:rsidR="003D1913">
        <w:t>t</w:t>
      </w:r>
      <w:r w:rsidR="00E51AEC">
        <w:t xml:space="preserve">he most recent control order </w:t>
      </w:r>
      <w:r w:rsidR="00906643">
        <w:t>was sought in 2022</w:t>
      </w:r>
      <w:r w:rsidR="003D1913">
        <w:t xml:space="preserve">, the AFP did not seek to establish </w:t>
      </w:r>
      <w:r w:rsidR="008A711B">
        <w:t xml:space="preserve">(on the balance of probabilities) </w:t>
      </w:r>
      <w:r w:rsidR="003D1913">
        <w:t xml:space="preserve">that the control order </w:t>
      </w:r>
      <w:r w:rsidR="00755C71">
        <w:t xml:space="preserve">would </w:t>
      </w:r>
      <w:r w:rsidR="00D31217">
        <w:t xml:space="preserve">substantially </w:t>
      </w:r>
      <w:r w:rsidR="00755C71">
        <w:t xml:space="preserve">assist in preventing </w:t>
      </w:r>
      <w:r w:rsidR="003D1913">
        <w:t>a terrorist act</w:t>
      </w:r>
      <w:r w:rsidR="00917092">
        <w:t xml:space="preserve"> (s 104.4(1)(c)(</w:t>
      </w:r>
      <w:proofErr w:type="spellStart"/>
      <w:r w:rsidR="00917092">
        <w:t>i</w:t>
      </w:r>
      <w:proofErr w:type="spellEnd"/>
      <w:r w:rsidR="00917092">
        <w:t>))</w:t>
      </w:r>
      <w:r w:rsidR="003D1913">
        <w:t xml:space="preserve">, or </w:t>
      </w:r>
      <w:r w:rsidR="00917092">
        <w:t xml:space="preserve">even that </w:t>
      </w:r>
      <w:r w:rsidR="00846CAB">
        <w:t>it</w:t>
      </w:r>
      <w:r w:rsidR="00917092">
        <w:t xml:space="preserve"> would </w:t>
      </w:r>
      <w:r w:rsidR="009139C0">
        <w:t>s</w:t>
      </w:r>
      <w:r w:rsidR="009139C0" w:rsidRPr="009139C0">
        <w:t>ubstantially assist in preventing the provision of support for or the facilitation of a terrorist act</w:t>
      </w:r>
      <w:r w:rsidR="009139C0">
        <w:t xml:space="preserve"> (s 104.4(1)(c)(vi)</w:t>
      </w:r>
      <w:r w:rsidR="00910A45">
        <w:t>)</w:t>
      </w:r>
      <w:r w:rsidR="009139C0">
        <w:t xml:space="preserve">.  Instead, </w:t>
      </w:r>
      <w:r w:rsidR="006201D5">
        <w:t xml:space="preserve">the AFP relied only on the fact that Mr </w:t>
      </w:r>
      <w:proofErr w:type="spellStart"/>
      <w:r w:rsidR="006201D5">
        <w:t>Naizmand</w:t>
      </w:r>
      <w:proofErr w:type="spellEnd"/>
      <w:r w:rsidR="006201D5">
        <w:t xml:space="preserve"> had previously been convicted of ‘an offence relating </w:t>
      </w:r>
      <w:r w:rsidR="00437464">
        <w:t>to terrorism’ (s 104.4(1)(c)(iv)</w:t>
      </w:r>
      <w:r w:rsidR="00910A45">
        <w:t>)</w:t>
      </w:r>
      <w:r w:rsidR="005577D6">
        <w:t>,</w:t>
      </w:r>
      <w:r w:rsidR="00437464">
        <w:t xml:space="preserve"> </w:t>
      </w:r>
      <w:r w:rsidR="005577D6">
        <w:t xml:space="preserve">namely, </w:t>
      </w:r>
      <w:r w:rsidR="00437464">
        <w:t>a breach of a previous control order.</w:t>
      </w:r>
      <w:r w:rsidR="005577D6">
        <w:rPr>
          <w:rStyle w:val="EndnoteReference"/>
        </w:rPr>
        <w:endnoteReference w:id="38"/>
      </w:r>
      <w:r w:rsidR="00C56BC0">
        <w:t xml:space="preserve">  The breach involved Mr </w:t>
      </w:r>
      <w:proofErr w:type="spellStart"/>
      <w:r w:rsidR="00C56BC0">
        <w:t>Naizmand</w:t>
      </w:r>
      <w:proofErr w:type="spellEnd"/>
      <w:r w:rsidR="00C56BC0">
        <w:t xml:space="preserve"> asking </w:t>
      </w:r>
      <w:r w:rsidR="00F27954">
        <w:t xml:space="preserve">relatives on two occasions </w:t>
      </w:r>
      <w:r w:rsidR="00F37A58">
        <w:t xml:space="preserve">to convey a message to someone </w:t>
      </w:r>
      <w:r w:rsidR="00D17378">
        <w:t xml:space="preserve">else </w:t>
      </w:r>
      <w:r w:rsidR="00F37A58">
        <w:t>thereby ‘</w:t>
      </w:r>
      <w:r w:rsidR="00E4050B">
        <w:t>bypassing controls on the use of a mobile telephone’.</w:t>
      </w:r>
      <w:r w:rsidR="00E4050B">
        <w:rPr>
          <w:rStyle w:val="EndnoteReference"/>
        </w:rPr>
        <w:endnoteReference w:id="39"/>
      </w:r>
      <w:r w:rsidR="00E4050B">
        <w:t xml:space="preserve"> </w:t>
      </w:r>
    </w:p>
    <w:p w14:paraId="4379A2EF" w14:textId="66907580" w:rsidR="00BD5D1B" w:rsidRDefault="000755B7" w:rsidP="000016FD">
      <w:pPr>
        <w:pStyle w:val="ListNumber2"/>
        <w:numPr>
          <w:ilvl w:val="0"/>
          <w:numId w:val="14"/>
        </w:numPr>
      </w:pPr>
      <w:r>
        <w:t xml:space="preserve">Mr </w:t>
      </w:r>
      <w:r w:rsidR="007C57D3" w:rsidRPr="007C57D3">
        <w:t>Tyler Slavko Jakovac</w:t>
      </w:r>
      <w:r w:rsidR="007C57D3">
        <w:t xml:space="preserve"> </w:t>
      </w:r>
      <w:r w:rsidR="00566415">
        <w:t>was convicted of an offence under s 80.2C(1) of the Criminal Code of intentionally advocating the doing of a terrorist act</w:t>
      </w:r>
      <w:r w:rsidR="002F57A1">
        <w:t xml:space="preserve">.  </w:t>
      </w:r>
      <w:r w:rsidR="008278D9">
        <w:t xml:space="preserve">The maximum penalty for this offence is imprisonment for 5 years and it </w:t>
      </w:r>
      <w:r w:rsidR="00102FBF">
        <w:t>is not an offence to which the ESO regime applies.</w:t>
      </w:r>
      <w:r w:rsidR="00102FBF">
        <w:rPr>
          <w:rStyle w:val="EndnoteReference"/>
        </w:rPr>
        <w:endnoteReference w:id="40"/>
      </w:r>
      <w:r w:rsidR="00102FBF">
        <w:t xml:space="preserve">  </w:t>
      </w:r>
      <w:r w:rsidR="002F57A1">
        <w:t xml:space="preserve">The conduct </w:t>
      </w:r>
      <w:r w:rsidR="00936C8F">
        <w:t xml:space="preserve">by Mr Jakovac </w:t>
      </w:r>
      <w:r w:rsidR="002F57A1">
        <w:t xml:space="preserve">involved </w:t>
      </w:r>
      <w:r w:rsidR="004F07C7">
        <w:t>the use of the internet and the encrypted messag</w:t>
      </w:r>
      <w:r w:rsidR="003E338D">
        <w:t xml:space="preserve">ing platform Telegram </w:t>
      </w:r>
      <w:r w:rsidR="009D2BF5">
        <w:t xml:space="preserve">when he was 18 years old </w:t>
      </w:r>
      <w:r w:rsidR="003E338D">
        <w:t>to advocate extreme right wing ideology, including ‘numerous instances of applauding well-known racist mass murder</w:t>
      </w:r>
      <w:r w:rsidR="009D2BF5">
        <w:t>s overseas, especially in the United States and New Zealand, and suggesting that more of the same should occur’.</w:t>
      </w:r>
      <w:r w:rsidR="00936C8F">
        <w:rPr>
          <w:rStyle w:val="EndnoteReference"/>
        </w:rPr>
        <w:endnoteReference w:id="41"/>
      </w:r>
      <w:r w:rsidR="009D2BF5">
        <w:t xml:space="preserve">  </w:t>
      </w:r>
      <w:r w:rsidR="00957C1D">
        <w:t>Again, the AFP did not seek to establish (on the balance of probabilities) that the control order would substantially assist in preventing a terrorist act (s 104.4(1)(c)(</w:t>
      </w:r>
      <w:proofErr w:type="spellStart"/>
      <w:r w:rsidR="00957C1D">
        <w:t>i</w:t>
      </w:r>
      <w:proofErr w:type="spellEnd"/>
      <w:r w:rsidR="00957C1D">
        <w:t>)), or even that it would s</w:t>
      </w:r>
      <w:r w:rsidR="00957C1D" w:rsidRPr="009139C0">
        <w:t>ubstantially assist in preventing the provision of support for or the facilitation of a terrorist act</w:t>
      </w:r>
      <w:r w:rsidR="00957C1D">
        <w:t xml:space="preserve"> (s 104.4(1)(c)(vi)).  Instead, the AFP relied only on the fact that Mr </w:t>
      </w:r>
      <w:r w:rsidR="00882F35">
        <w:t xml:space="preserve">Jakovac </w:t>
      </w:r>
      <w:r w:rsidR="00957C1D">
        <w:t>had previously been convicted of ‘an offence relating to terrorism’ (s 104.4(1)(c)(iv))</w:t>
      </w:r>
      <w:r w:rsidR="00882F35">
        <w:t>.</w:t>
      </w:r>
      <w:r w:rsidR="00882F35">
        <w:rPr>
          <w:rStyle w:val="EndnoteReference"/>
        </w:rPr>
        <w:endnoteReference w:id="42"/>
      </w:r>
      <w:r w:rsidR="00393B89">
        <w:t xml:space="preserve">  While the Court made an interim control order</w:t>
      </w:r>
      <w:r w:rsidR="00FC5805">
        <w:t xml:space="preserve">, when the matter came back before the Court to consider whether to confirm the control order, the Court decided to revoke the interim </w:t>
      </w:r>
      <w:r w:rsidR="00071BAD">
        <w:t xml:space="preserve">control order because </w:t>
      </w:r>
      <w:r w:rsidR="00494845">
        <w:t xml:space="preserve">the risk of </w:t>
      </w:r>
      <w:r w:rsidR="00243438">
        <w:t xml:space="preserve">Mr </w:t>
      </w:r>
      <w:r w:rsidR="00243438" w:rsidRPr="007C57D3">
        <w:t>Jakovac</w:t>
      </w:r>
      <w:r w:rsidR="00494845">
        <w:t xml:space="preserve"> </w:t>
      </w:r>
      <w:r w:rsidR="00494845">
        <w:lastRenderedPageBreak/>
        <w:t>engaging in the same kind of conduct was ‘remote and most unlikely to take place’.</w:t>
      </w:r>
      <w:r w:rsidR="00494845">
        <w:rPr>
          <w:rStyle w:val="EndnoteReference"/>
        </w:rPr>
        <w:endnoteReference w:id="43"/>
      </w:r>
    </w:p>
    <w:p w14:paraId="5A301D54" w14:textId="5A955893" w:rsidR="00FE20F2" w:rsidRDefault="00FE20F2" w:rsidP="00EB440B">
      <w:pPr>
        <w:pStyle w:val="ListNumber2"/>
        <w:tabs>
          <w:tab w:val="clear" w:pos="643"/>
          <w:tab w:val="num" w:pos="1080"/>
        </w:tabs>
        <w:ind w:left="1080" w:hanging="797"/>
      </w:pPr>
      <w:r>
        <w:t>The Commission’s primary position is that the control order regime should be repeal</w:t>
      </w:r>
      <w:r w:rsidR="004753D4">
        <w:t>ed, now that the ESO regime has been enacted.</w:t>
      </w:r>
      <w:r w:rsidR="00F50DCA">
        <w:t xml:space="preserve">  The ESO regime is </w:t>
      </w:r>
      <w:r w:rsidR="00314B1A">
        <w:t xml:space="preserve">a </w:t>
      </w:r>
      <w:r w:rsidR="00F1232A">
        <w:t xml:space="preserve">better way of dealing with </w:t>
      </w:r>
      <w:r w:rsidR="00314B1A">
        <w:t xml:space="preserve">people convicted of terrorism </w:t>
      </w:r>
      <w:r w:rsidR="0014290B">
        <w:t>offences because:</w:t>
      </w:r>
    </w:p>
    <w:p w14:paraId="4DF8EF55" w14:textId="0C8EB021" w:rsidR="00B26A5B" w:rsidRDefault="00B26A5B" w:rsidP="00B26A5B">
      <w:pPr>
        <w:pStyle w:val="ListNumber2"/>
        <w:numPr>
          <w:ilvl w:val="0"/>
          <w:numId w:val="14"/>
        </w:numPr>
      </w:pPr>
      <w:r>
        <w:t xml:space="preserve">the regime is appropriately targeted to people who have a demonstrated history of having committed a terrorism offence and who have been shown to </w:t>
      </w:r>
      <w:r w:rsidR="0041413E">
        <w:t xml:space="preserve">still </w:t>
      </w:r>
      <w:r>
        <w:t>pose an unacceptable risk to the community</w:t>
      </w:r>
      <w:r w:rsidR="0041413E">
        <w:t xml:space="preserve"> in the future</w:t>
      </w:r>
    </w:p>
    <w:p w14:paraId="7A23067F" w14:textId="6CC3B86A" w:rsidR="00B26A5B" w:rsidRDefault="00B26A5B" w:rsidP="00B26A5B">
      <w:pPr>
        <w:pStyle w:val="ListNumber2"/>
        <w:numPr>
          <w:ilvl w:val="0"/>
          <w:numId w:val="14"/>
        </w:numPr>
      </w:pPr>
      <w:r>
        <w:t xml:space="preserve">as a result, the degree to which the conditions imposed limit the human rights of the person subject to the regime </w:t>
      </w:r>
      <w:r w:rsidR="00E56F66">
        <w:t xml:space="preserve">are </w:t>
      </w:r>
      <w:r>
        <w:t>more likely to be proportionate to the purpose for their imposition</w:t>
      </w:r>
    </w:p>
    <w:p w14:paraId="2CBD1CA4" w14:textId="63DC84B9" w:rsidR="00B26A5B" w:rsidRDefault="00B26A5B" w:rsidP="00B26A5B">
      <w:pPr>
        <w:pStyle w:val="ListNumber2"/>
        <w:numPr>
          <w:ilvl w:val="0"/>
          <w:numId w:val="14"/>
        </w:numPr>
      </w:pPr>
      <w:r>
        <w:t xml:space="preserve">it avoids problematic aspects of the control order regime, including </w:t>
      </w:r>
      <w:r w:rsidRPr="00B26A5B">
        <w:rPr>
          <w:i/>
          <w:iCs/>
        </w:rPr>
        <w:t xml:space="preserve">ex </w:t>
      </w:r>
      <w:proofErr w:type="spellStart"/>
      <w:r w:rsidRPr="00B26A5B">
        <w:rPr>
          <w:i/>
          <w:iCs/>
        </w:rPr>
        <w:t>parte</w:t>
      </w:r>
      <w:proofErr w:type="spellEnd"/>
      <w:r>
        <w:t xml:space="preserve"> applications for interim orders based on hearsay evidence, and long delays prior to confirmation hearings</w:t>
      </w:r>
    </w:p>
    <w:p w14:paraId="2D70508D" w14:textId="1B7BC4E8" w:rsidR="0014290B" w:rsidRDefault="00B26A5B" w:rsidP="00B26A5B">
      <w:pPr>
        <w:pStyle w:val="ListNumber2"/>
        <w:numPr>
          <w:ilvl w:val="0"/>
          <w:numId w:val="14"/>
        </w:numPr>
      </w:pPr>
      <w:r>
        <w:t xml:space="preserve">instead, the evidence in support of an application </w:t>
      </w:r>
      <w:r w:rsidR="00E56F66">
        <w:t>can</w:t>
      </w:r>
      <w:r>
        <w:t xml:space="preserve"> be properly tested in court proceedings when an order is first sought.</w:t>
      </w:r>
    </w:p>
    <w:p w14:paraId="2A88811E" w14:textId="5E7BFD98" w:rsidR="00B61E75" w:rsidRDefault="00374740" w:rsidP="00EB440B">
      <w:pPr>
        <w:pStyle w:val="ListNumber2"/>
        <w:tabs>
          <w:tab w:val="clear" w:pos="643"/>
          <w:tab w:val="num" w:pos="1080"/>
        </w:tabs>
        <w:ind w:left="1080" w:hanging="797"/>
      </w:pPr>
      <w:r>
        <w:t xml:space="preserve">For people </w:t>
      </w:r>
      <w:r w:rsidR="003F64D8">
        <w:t xml:space="preserve">who </w:t>
      </w:r>
      <w:r w:rsidR="00F55797">
        <w:t xml:space="preserve">have not previously been convicted of a relevant offence, </w:t>
      </w:r>
      <w:r>
        <w:t xml:space="preserve">it is much more difficult to justify the use of control orders, </w:t>
      </w:r>
      <w:r w:rsidR="0061625F">
        <w:t>particularly in light of the availability of more appropriate alternatives including surveillance, arrest and prosecution for those reasonably suspected of having engaged in criminal conduct</w:t>
      </w:r>
      <w:r w:rsidR="002C5602">
        <w:t xml:space="preserve"> (see the Commission’s 2020 submission at </w:t>
      </w:r>
      <w:r w:rsidR="004D1D17">
        <w:t>[175]</w:t>
      </w:r>
      <w:proofErr w:type="gramStart"/>
      <w:r w:rsidR="004D1D17">
        <w:t>–[</w:t>
      </w:r>
      <w:proofErr w:type="gramEnd"/>
      <w:r w:rsidR="004D1D17">
        <w:t>192])</w:t>
      </w:r>
      <w:r w:rsidR="002C5602">
        <w:t>.</w:t>
      </w:r>
      <w:r w:rsidR="0061625F">
        <w:t xml:space="preserve"> </w:t>
      </w:r>
    </w:p>
    <w:p w14:paraId="261AFF0E" w14:textId="12D5CB3F" w:rsidR="00A0023B" w:rsidRDefault="00A0023B" w:rsidP="00EB440B">
      <w:pPr>
        <w:pStyle w:val="ListNumber2"/>
        <w:tabs>
          <w:tab w:val="clear" w:pos="643"/>
          <w:tab w:val="num" w:pos="1080"/>
        </w:tabs>
        <w:ind w:left="1080" w:hanging="797"/>
      </w:pPr>
      <w:r>
        <w:t xml:space="preserve">When the PJCIS considered the control order regime in </w:t>
      </w:r>
      <w:r w:rsidR="00F0000C">
        <w:t xml:space="preserve">its </w:t>
      </w:r>
      <w:r>
        <w:t>202</w:t>
      </w:r>
      <w:r w:rsidR="00F0000C">
        <w:t xml:space="preserve">1 report, it said that it would be ‘necessary to evaluate the extended supervision order </w:t>
      </w:r>
      <w:r w:rsidR="0078338F">
        <w:t xml:space="preserve">scheme </w:t>
      </w:r>
      <w:r w:rsidR="00AB5640">
        <w:t xml:space="preserve">[which had not yet been enacted] </w:t>
      </w:r>
      <w:r w:rsidR="0078338F">
        <w:t>prior to making a determination that the control order scheme is no longer necessary’.</w:t>
      </w:r>
      <w:r w:rsidR="00DD7F9C">
        <w:rPr>
          <w:rStyle w:val="EndnoteReference"/>
        </w:rPr>
        <w:endnoteReference w:id="44"/>
      </w:r>
      <w:r w:rsidR="0078338F">
        <w:t xml:space="preserve">  Now that the ESO regime has been enacted and used, </w:t>
      </w:r>
      <w:r w:rsidR="00DD7F9C">
        <w:t>it is possible for the conclusion flagged by the PJCIS to be reached.</w:t>
      </w:r>
    </w:p>
    <w:p w14:paraId="04AA8EC6" w14:textId="3DDD7B6E" w:rsidR="00F46FAA" w:rsidRPr="0038636D" w:rsidRDefault="0088022F" w:rsidP="0038636D">
      <w:pPr>
        <w:pStyle w:val="ListNumber2"/>
        <w:keepNext/>
        <w:numPr>
          <w:ilvl w:val="0"/>
          <w:numId w:val="0"/>
        </w:numPr>
        <w:ind w:left="777" w:firstLine="318"/>
        <w:rPr>
          <w:b/>
          <w:bCs/>
        </w:rPr>
      </w:pPr>
      <w:r w:rsidRPr="0038636D">
        <w:rPr>
          <w:b/>
          <w:bCs/>
        </w:rPr>
        <w:t>Recommendation 2</w:t>
      </w:r>
    </w:p>
    <w:p w14:paraId="28969BA2" w14:textId="1EEEAE62" w:rsidR="0088022F" w:rsidRDefault="0038636D" w:rsidP="00F54746">
      <w:pPr>
        <w:pStyle w:val="ListNumber2"/>
        <w:numPr>
          <w:ilvl w:val="0"/>
          <w:numId w:val="0"/>
        </w:numPr>
        <w:ind w:left="1094"/>
      </w:pPr>
      <w:r>
        <w:t xml:space="preserve">The Commission recommends that </w:t>
      </w:r>
      <w:r w:rsidR="00A639A9">
        <w:t xml:space="preserve">the provisions of Schedule 2 of the Bill </w:t>
      </w:r>
      <w:r w:rsidR="00F54746">
        <w:t xml:space="preserve">dealing with control orders not be passed, and that </w:t>
      </w:r>
      <w:r w:rsidR="00C40925">
        <w:t xml:space="preserve">the provisions </w:t>
      </w:r>
      <w:r w:rsidR="00E606A6">
        <w:lastRenderedPageBreak/>
        <w:t xml:space="preserve">of the Criminal Code dealing with control orders be permitted to sunset </w:t>
      </w:r>
      <w:r w:rsidR="00383ACB">
        <w:t>on 7 December 2023 as currently provided for in s 104.32.</w:t>
      </w:r>
    </w:p>
    <w:p w14:paraId="03E6ACF1" w14:textId="2C2DD81E" w:rsidR="004A4A14" w:rsidRDefault="000675B4" w:rsidP="00EB440B">
      <w:pPr>
        <w:pStyle w:val="ListNumber2"/>
        <w:tabs>
          <w:tab w:val="clear" w:pos="643"/>
          <w:tab w:val="num" w:pos="1080"/>
        </w:tabs>
        <w:ind w:left="1080" w:hanging="797"/>
      </w:pPr>
      <w:r>
        <w:t xml:space="preserve">If </w:t>
      </w:r>
      <w:r w:rsidR="002D5EBB">
        <w:t>R</w:t>
      </w:r>
      <w:r>
        <w:t xml:space="preserve">ecommendation 2 is not accepted, the Commission reiterates its previous submissions that control orders be clearly distinguished from extended supervision orders by </w:t>
      </w:r>
      <w:r w:rsidR="00E044DA">
        <w:t xml:space="preserve">not being available </w:t>
      </w:r>
      <w:r w:rsidR="005C20E4">
        <w:t>as an alternative form of post-sentence order.</w:t>
      </w:r>
      <w:r w:rsidR="00FE15E7">
        <w:t xml:space="preserve">  </w:t>
      </w:r>
      <w:r w:rsidR="0029348A">
        <w:t xml:space="preserve">This would involve amending s 104.4(1)(c) of the Criminal Code to remove those grounds for making a control order that are based on </w:t>
      </w:r>
      <w:r w:rsidR="0029348A" w:rsidRPr="00A454AB">
        <w:rPr>
          <w:i/>
          <w:iCs/>
        </w:rPr>
        <w:t>past</w:t>
      </w:r>
      <w:r w:rsidR="0029348A">
        <w:t xml:space="preserve"> conduct involving a </w:t>
      </w:r>
      <w:proofErr w:type="gramStart"/>
      <w:r w:rsidR="0029348A">
        <w:t>conviction, or</w:t>
      </w:r>
      <w:proofErr w:type="gramEnd"/>
      <w:r w:rsidR="0029348A">
        <w:t xml:space="preserve"> conduct that could be the subject of a conviction, and leaving only those grounds that relate to the prevention of </w:t>
      </w:r>
      <w:r w:rsidR="0029348A" w:rsidRPr="00A454AB">
        <w:rPr>
          <w:i/>
          <w:iCs/>
        </w:rPr>
        <w:t>future</w:t>
      </w:r>
      <w:r w:rsidR="0029348A">
        <w:t xml:space="preserve"> terrorist acts.</w:t>
      </w:r>
      <w:r w:rsidR="006A2CFD">
        <w:t xml:space="preserve">  These amendments would be consistent with previous recommendations of the PJCIS in 2016.</w:t>
      </w:r>
      <w:r w:rsidR="00361072">
        <w:rPr>
          <w:rStyle w:val="EndnoteReference"/>
          <w:szCs w:val="22"/>
        </w:rPr>
        <w:endnoteReference w:id="45"/>
      </w:r>
    </w:p>
    <w:p w14:paraId="6A5D8749" w14:textId="745922A1" w:rsidR="0020673F" w:rsidRPr="0020673F" w:rsidRDefault="0020673F" w:rsidP="002D5EBB">
      <w:pPr>
        <w:pStyle w:val="ListNumber2"/>
        <w:keepNext/>
        <w:numPr>
          <w:ilvl w:val="0"/>
          <w:numId w:val="0"/>
        </w:numPr>
        <w:ind w:left="1077"/>
        <w:rPr>
          <w:b/>
          <w:bCs/>
        </w:rPr>
      </w:pPr>
      <w:r w:rsidRPr="0020673F">
        <w:rPr>
          <w:b/>
          <w:bCs/>
        </w:rPr>
        <w:t>Recommendation 3</w:t>
      </w:r>
    </w:p>
    <w:p w14:paraId="1E368363" w14:textId="32E16DCB" w:rsidR="002D5EBB" w:rsidRDefault="002D5EBB" w:rsidP="002D5EBB">
      <w:pPr>
        <w:pStyle w:val="ListNumber2"/>
        <w:numPr>
          <w:ilvl w:val="0"/>
          <w:numId w:val="0"/>
        </w:numPr>
        <w:ind w:left="1080"/>
      </w:pPr>
      <w:r>
        <w:t>I</w:t>
      </w:r>
      <w:r w:rsidR="00434D08">
        <w:t>f Recommen</w:t>
      </w:r>
      <w:r w:rsidR="00DA281B">
        <w:t xml:space="preserve">dation 2 is not accepted, </w:t>
      </w:r>
      <w:r>
        <w:t>the Commission recommends that the existing control order regime be amended to focus only on orders for preventative purposes, leaving the extended supervision order regime to apply to post-sentence orders.  This should be done by:</w:t>
      </w:r>
    </w:p>
    <w:p w14:paraId="2C5B411C" w14:textId="77777777" w:rsidR="002D5EBB" w:rsidRDefault="002D5EBB" w:rsidP="002D5EBB">
      <w:pPr>
        <w:pStyle w:val="ListNumber2"/>
        <w:numPr>
          <w:ilvl w:val="0"/>
          <w:numId w:val="0"/>
        </w:numPr>
        <w:ind w:left="1080"/>
      </w:pPr>
      <w:r>
        <w:t>(a)</w:t>
      </w:r>
      <w:r>
        <w:tab/>
        <w:t>repealing ss 104.2(2)(b) and (d) of the Criminal Code</w:t>
      </w:r>
    </w:p>
    <w:p w14:paraId="43DDA856" w14:textId="77777777" w:rsidR="002D5EBB" w:rsidRDefault="002D5EBB" w:rsidP="002D5EBB">
      <w:pPr>
        <w:pStyle w:val="ListNumber2"/>
        <w:numPr>
          <w:ilvl w:val="0"/>
          <w:numId w:val="0"/>
        </w:numPr>
        <w:ind w:left="1080"/>
      </w:pPr>
      <w:r>
        <w:t>(b)</w:t>
      </w:r>
      <w:r>
        <w:tab/>
        <w:t>repealing ss 104.4(1)(c)(ii)-(v) and (vii) of the Criminal Code</w:t>
      </w:r>
    </w:p>
    <w:p w14:paraId="7DF2E738" w14:textId="4298B1E1" w:rsidR="0020673F" w:rsidRDefault="002D5EBB" w:rsidP="002D5EBB">
      <w:pPr>
        <w:pStyle w:val="ListNumber2"/>
        <w:numPr>
          <w:ilvl w:val="0"/>
          <w:numId w:val="0"/>
        </w:numPr>
        <w:ind w:left="1080"/>
      </w:pPr>
      <w:r>
        <w:t>(c)</w:t>
      </w:r>
      <w:r>
        <w:tab/>
        <w:t>making any other necessary consequential amendments.</w:t>
      </w:r>
    </w:p>
    <w:p w14:paraId="44FCF31B" w14:textId="77777777" w:rsidR="00613375" w:rsidRDefault="00613375" w:rsidP="00613375">
      <w:pPr>
        <w:pStyle w:val="Heading2"/>
      </w:pPr>
      <w:bookmarkStart w:id="18" w:name="_Toc147736294"/>
      <w:r>
        <w:t>Proposed amendments</w:t>
      </w:r>
      <w:bookmarkEnd w:id="18"/>
      <w:r>
        <w:t xml:space="preserve"> </w:t>
      </w:r>
    </w:p>
    <w:p w14:paraId="3B28C653" w14:textId="67D031BC" w:rsidR="0020673F" w:rsidRDefault="00AD3E84" w:rsidP="00EB440B">
      <w:pPr>
        <w:pStyle w:val="ListNumber2"/>
        <w:tabs>
          <w:tab w:val="clear" w:pos="643"/>
          <w:tab w:val="num" w:pos="1080"/>
        </w:tabs>
        <w:ind w:left="1080" w:hanging="797"/>
      </w:pPr>
      <w:r>
        <w:t xml:space="preserve">The Bill proposes </w:t>
      </w:r>
      <w:r w:rsidR="00AD1D99">
        <w:t xml:space="preserve">to retain the control order regime with </w:t>
      </w:r>
      <w:r w:rsidR="00D034DC">
        <w:t>four</w:t>
      </w:r>
      <w:r w:rsidR="00AD1D99">
        <w:t xml:space="preserve"> broad amendments.</w:t>
      </w:r>
    </w:p>
    <w:p w14:paraId="41433343" w14:textId="4C127963" w:rsidR="00AD1D99" w:rsidRDefault="00AD1D99" w:rsidP="00EB440B">
      <w:pPr>
        <w:pStyle w:val="ListNumber2"/>
        <w:tabs>
          <w:tab w:val="clear" w:pos="643"/>
          <w:tab w:val="num" w:pos="1080"/>
        </w:tabs>
        <w:ind w:left="1080" w:hanging="797"/>
      </w:pPr>
      <w:r w:rsidRPr="007A6C75">
        <w:rPr>
          <w:i/>
          <w:iCs/>
        </w:rPr>
        <w:t>First</w:t>
      </w:r>
      <w:r>
        <w:t xml:space="preserve">, </w:t>
      </w:r>
      <w:r w:rsidR="00DE2975">
        <w:t>the making of control orders would be restricted to the Federal Court</w:t>
      </w:r>
      <w:r w:rsidR="00DD23A8">
        <w:t xml:space="preserve">.  Control orders would no longer be able to be made by the Federal Circuit and Family Court of Australia (Division 2).  </w:t>
      </w:r>
      <w:r w:rsidR="00D05C2A">
        <w:t xml:space="preserve">This reflects how control orders have generally been made in </w:t>
      </w:r>
      <w:r w:rsidR="00DD23A8">
        <w:t>practice</w:t>
      </w:r>
      <w:r w:rsidR="00D05C2A">
        <w:t xml:space="preserve">.  The first six </w:t>
      </w:r>
      <w:r w:rsidR="007F11E4">
        <w:t xml:space="preserve">applications for </w:t>
      </w:r>
      <w:r w:rsidR="00D05C2A">
        <w:t xml:space="preserve">control orders </w:t>
      </w:r>
      <w:r w:rsidR="007F11E4">
        <w:t xml:space="preserve">were made to the Federal Magistrates Court and </w:t>
      </w:r>
      <w:r w:rsidR="00FB2898">
        <w:t xml:space="preserve">the </w:t>
      </w:r>
      <w:r w:rsidR="007F11E4">
        <w:t>Federal Circuit Court</w:t>
      </w:r>
      <w:r w:rsidR="003C2935">
        <w:t xml:space="preserve"> as they then were</w:t>
      </w:r>
      <w:r w:rsidR="007F11E4">
        <w:t xml:space="preserve"> (see rows 1–6 of </w:t>
      </w:r>
      <w:r w:rsidR="007F11E4" w:rsidRPr="007F11E4">
        <w:rPr>
          <w:b/>
          <w:bCs/>
        </w:rPr>
        <w:t>Annexure A</w:t>
      </w:r>
      <w:r w:rsidR="007F11E4">
        <w:t>)</w:t>
      </w:r>
      <w:r w:rsidR="0035453C">
        <w:t>,</w:t>
      </w:r>
      <w:r w:rsidR="007F11E4">
        <w:t xml:space="preserve"> </w:t>
      </w:r>
      <w:r w:rsidR="00391139">
        <w:t xml:space="preserve">but since 2019 all applications have been made to the Federal Court.  This amendment would </w:t>
      </w:r>
      <w:r w:rsidR="00C12831">
        <w:t xml:space="preserve">formalise existing practice into a legislative requirement and implement </w:t>
      </w:r>
      <w:r w:rsidR="00DA6B6B">
        <w:t xml:space="preserve">recommendation 8 of the </w:t>
      </w:r>
      <w:r w:rsidR="00DA6B6B">
        <w:lastRenderedPageBreak/>
        <w:t>PJCIS in its 2021 report.</w:t>
      </w:r>
      <w:r w:rsidR="006A2E73">
        <w:t xml:space="preserve">  If control orders are retained, then the Commission supports this recommendation.</w:t>
      </w:r>
    </w:p>
    <w:p w14:paraId="48DD3927" w14:textId="289E369D" w:rsidR="006A2E73" w:rsidRPr="001757AE" w:rsidRDefault="006A2E73" w:rsidP="001E1DE0">
      <w:pPr>
        <w:pStyle w:val="ListNumber2"/>
        <w:keepNext/>
        <w:numPr>
          <w:ilvl w:val="0"/>
          <w:numId w:val="0"/>
        </w:numPr>
        <w:ind w:left="1077"/>
        <w:rPr>
          <w:b/>
          <w:bCs/>
        </w:rPr>
      </w:pPr>
      <w:r w:rsidRPr="001757AE">
        <w:rPr>
          <w:b/>
          <w:bCs/>
        </w:rPr>
        <w:t xml:space="preserve">Recommendation </w:t>
      </w:r>
      <w:r w:rsidR="00434D08">
        <w:rPr>
          <w:b/>
          <w:bCs/>
        </w:rPr>
        <w:t>4</w:t>
      </w:r>
    </w:p>
    <w:p w14:paraId="73E38683" w14:textId="154403B3" w:rsidR="000B28ED" w:rsidRPr="000B28ED" w:rsidRDefault="000B28ED" w:rsidP="001757AE">
      <w:pPr>
        <w:pStyle w:val="ListNumber2"/>
        <w:numPr>
          <w:ilvl w:val="0"/>
          <w:numId w:val="0"/>
        </w:numPr>
        <w:ind w:left="1080"/>
      </w:pPr>
      <w:r w:rsidRPr="000B28ED">
        <w:t xml:space="preserve">If </w:t>
      </w:r>
      <w:r w:rsidR="006A2E73">
        <w:t xml:space="preserve">Recommendation </w:t>
      </w:r>
      <w:r w:rsidR="00DA281B">
        <w:t>2</w:t>
      </w:r>
      <w:r w:rsidR="006A2E73">
        <w:t xml:space="preserve"> is </w:t>
      </w:r>
      <w:r w:rsidR="001757AE">
        <w:t>not accepted, the Commission recommends that the provisions of Schedule 2 of the Bill that limit the making of control orders to the Federal Court be passed.</w:t>
      </w:r>
    </w:p>
    <w:p w14:paraId="208A9263" w14:textId="436C3130" w:rsidR="00DA6B6B" w:rsidRDefault="00DA6B6B" w:rsidP="00EB440B">
      <w:pPr>
        <w:pStyle w:val="ListNumber2"/>
        <w:tabs>
          <w:tab w:val="clear" w:pos="643"/>
          <w:tab w:val="num" w:pos="1080"/>
        </w:tabs>
        <w:ind w:left="1080" w:hanging="797"/>
      </w:pPr>
      <w:r>
        <w:rPr>
          <w:i/>
          <w:iCs/>
        </w:rPr>
        <w:t>Secondly</w:t>
      </w:r>
      <w:r>
        <w:t xml:space="preserve">, </w:t>
      </w:r>
      <w:r w:rsidR="00247D3B">
        <w:t xml:space="preserve">the conditions included in </w:t>
      </w:r>
      <w:r w:rsidR="00962E9A">
        <w:t xml:space="preserve">control orders would no longer be limited to </w:t>
      </w:r>
      <w:r w:rsidR="00247D3B">
        <w:t xml:space="preserve">the list set out in s 104.5(3) but would be expanded to include virtually any condition, </w:t>
      </w:r>
      <w:r w:rsidR="00221437">
        <w:t xml:space="preserve">along the lines of the ESO regime.  This amendment reinforces the view that control orders are in effect a substitute for an ESO, with a lower threshold for obtaining them and fewer procedural safeguards.  </w:t>
      </w:r>
      <w:r w:rsidR="008134F2">
        <w:t xml:space="preserve">Many of the existing ESO conditions are problematic for the reasons </w:t>
      </w:r>
      <w:r w:rsidR="00314C11">
        <w:t>described by the Commission in a submission to the PJCIS when they were introduced.</w:t>
      </w:r>
      <w:r w:rsidR="00314C11">
        <w:rPr>
          <w:rStyle w:val="EndnoteReference"/>
        </w:rPr>
        <w:endnoteReference w:id="46"/>
      </w:r>
      <w:r w:rsidR="00314C11">
        <w:t xml:space="preserve">  </w:t>
      </w:r>
      <w:r w:rsidR="00104660">
        <w:t xml:space="preserve">They are even more problematic when applied to people who are not already convicted terrorist offenders.  </w:t>
      </w:r>
      <w:r w:rsidR="00445B3E">
        <w:t xml:space="preserve">For the reasons set out </w:t>
      </w:r>
      <w:r w:rsidR="00DB683D">
        <w:t xml:space="preserve">in section </w:t>
      </w:r>
      <w:r w:rsidR="00DB683D">
        <w:fldChar w:fldCharType="begin"/>
      </w:r>
      <w:r w:rsidR="00DB683D">
        <w:instrText xml:space="preserve"> REF _Ref147412804 \r \h </w:instrText>
      </w:r>
      <w:r w:rsidR="00DB683D">
        <w:fldChar w:fldCharType="separate"/>
      </w:r>
      <w:r w:rsidR="008C2701">
        <w:t>5.2</w:t>
      </w:r>
      <w:r w:rsidR="00DB683D">
        <w:fldChar w:fldCharType="end"/>
      </w:r>
      <w:r w:rsidR="00DB683D">
        <w:t xml:space="preserve"> </w:t>
      </w:r>
      <w:r w:rsidR="00445B3E">
        <w:t xml:space="preserve">above, the </w:t>
      </w:r>
      <w:r w:rsidR="00DB683D">
        <w:t xml:space="preserve">Commission </w:t>
      </w:r>
      <w:r w:rsidR="00221437">
        <w:t>does not agree that these changes should be made</w:t>
      </w:r>
      <w:r w:rsidR="00DB683D">
        <w:t xml:space="preserve"> and reiterates Recommendation 2</w:t>
      </w:r>
      <w:r w:rsidR="00221437">
        <w:t>.</w:t>
      </w:r>
    </w:p>
    <w:p w14:paraId="11D5174E" w14:textId="7CF903D2" w:rsidR="00221437" w:rsidRDefault="00375507" w:rsidP="00EB440B">
      <w:pPr>
        <w:pStyle w:val="ListNumber2"/>
        <w:tabs>
          <w:tab w:val="clear" w:pos="643"/>
          <w:tab w:val="num" w:pos="1080"/>
        </w:tabs>
        <w:ind w:left="1080" w:hanging="797"/>
      </w:pPr>
      <w:r>
        <w:t xml:space="preserve">Further, the explicit </w:t>
      </w:r>
      <w:r w:rsidR="00790E15">
        <w:t>safeguard</w:t>
      </w:r>
      <w:r>
        <w:t xml:space="preserve"> in s 104</w:t>
      </w:r>
      <w:r w:rsidR="000A7C04">
        <w:t xml:space="preserve">.5(6) on not compelling people to participate in </w:t>
      </w:r>
      <w:r w:rsidR="00FB42E6">
        <w:t xml:space="preserve">specified </w:t>
      </w:r>
      <w:r w:rsidR="000A7C04">
        <w:t xml:space="preserve">counselling or education unless they agree </w:t>
      </w:r>
      <w:r w:rsidR="007A5490">
        <w:t xml:space="preserve">to participate at the time of the counselling or education </w:t>
      </w:r>
      <w:r w:rsidR="000A7C04">
        <w:t xml:space="preserve">would be removed by the Bill.  </w:t>
      </w:r>
      <w:r w:rsidR="00365311">
        <w:t>Again, this is problematic for the reasons discussed previously by the Commission and is contrary to best practice in countering violent extremism programs.</w:t>
      </w:r>
      <w:r w:rsidR="00365311">
        <w:rPr>
          <w:rStyle w:val="EndnoteReference"/>
        </w:rPr>
        <w:endnoteReference w:id="47"/>
      </w:r>
      <w:r w:rsidR="00FA2C97">
        <w:t xml:space="preserve">  </w:t>
      </w:r>
      <w:r w:rsidR="00A83102">
        <w:t xml:space="preserve">It is surprising that </w:t>
      </w:r>
      <w:r w:rsidR="00FA2C97">
        <w:t xml:space="preserve">the Explanatory Memorandum </w:t>
      </w:r>
      <w:r w:rsidR="00363E35">
        <w:t xml:space="preserve">appears to </w:t>
      </w:r>
      <w:r w:rsidR="005211FA">
        <w:t xml:space="preserve">include no discussion of </w:t>
      </w:r>
      <w:r w:rsidR="00FA2C97">
        <w:t>the removal of this safeguard.</w:t>
      </w:r>
    </w:p>
    <w:p w14:paraId="492A6233" w14:textId="371BF360" w:rsidR="00D40D68" w:rsidRDefault="009A0BE2" w:rsidP="00C240BC">
      <w:pPr>
        <w:pStyle w:val="ListNumber2"/>
        <w:tabs>
          <w:tab w:val="clear" w:pos="643"/>
          <w:tab w:val="num" w:pos="1080"/>
        </w:tabs>
        <w:ind w:left="1080" w:hanging="797"/>
      </w:pPr>
      <w:r w:rsidRPr="007F5563">
        <w:rPr>
          <w:i/>
          <w:iCs/>
        </w:rPr>
        <w:t>Thirdly</w:t>
      </w:r>
      <w:r>
        <w:t xml:space="preserve">, </w:t>
      </w:r>
      <w:r w:rsidR="000E6325">
        <w:t xml:space="preserve">the process for varying </w:t>
      </w:r>
      <w:r w:rsidR="000B547E">
        <w:t>a</w:t>
      </w:r>
      <w:r w:rsidR="000E6325">
        <w:t xml:space="preserve"> control order would be changed</w:t>
      </w:r>
      <w:r w:rsidR="00D034DC">
        <w:t>.</w:t>
      </w:r>
      <w:r w:rsidR="00062163">
        <w:t xml:space="preserve">  The Bill proposes to </w:t>
      </w:r>
      <w:r w:rsidR="00695BC8">
        <w:t xml:space="preserve">repeal s 104.11A which permits an interim control order to be varied by consent.  </w:t>
      </w:r>
      <w:r w:rsidR="00730743">
        <w:t xml:space="preserve">Instead, the Bill proposes a new s 104.22 which would permit </w:t>
      </w:r>
      <w:r w:rsidR="00615301">
        <w:t xml:space="preserve">any control order (either interim or confirmed) to be varied by consent.  The section includes additional </w:t>
      </w:r>
      <w:r w:rsidR="00B930BB">
        <w:t xml:space="preserve">safeguards in relation to control orders made in relation to children aged </w:t>
      </w:r>
      <w:proofErr w:type="gramStart"/>
      <w:r w:rsidR="00B930BB">
        <w:t>14 to 17 year old</w:t>
      </w:r>
      <w:proofErr w:type="gramEnd"/>
      <w:r w:rsidR="00B930BB">
        <w:t>.</w:t>
      </w:r>
      <w:r w:rsidR="007F5563">
        <w:t xml:space="preserve">  </w:t>
      </w:r>
      <w:r w:rsidR="007D4600">
        <w:t xml:space="preserve">An application for a variation would have to be given to the child’s parent or guardian.  Further, the Court </w:t>
      </w:r>
      <w:r w:rsidR="00F91C47">
        <w:t xml:space="preserve">would have to be satisfied that the variation was in the best interests of the child.  </w:t>
      </w:r>
      <w:r w:rsidR="00742653">
        <w:t>These are sensible safeguard</w:t>
      </w:r>
      <w:r w:rsidR="00DD0CA7">
        <w:t>s</w:t>
      </w:r>
      <w:r w:rsidR="00742653">
        <w:t>.</w:t>
      </w:r>
    </w:p>
    <w:p w14:paraId="7063469A" w14:textId="735F3502" w:rsidR="007F5563" w:rsidRDefault="00742653" w:rsidP="00EB440B">
      <w:pPr>
        <w:pStyle w:val="ListNumber2"/>
        <w:tabs>
          <w:tab w:val="clear" w:pos="643"/>
          <w:tab w:val="num" w:pos="1080"/>
        </w:tabs>
        <w:ind w:left="1080" w:hanging="797"/>
      </w:pPr>
      <w:r>
        <w:lastRenderedPageBreak/>
        <w:t>However, an important existing safeguard would be lost if the amendments proposed in the Bill were made.  Section </w:t>
      </w:r>
      <w:r w:rsidR="007F5563">
        <w:t xml:space="preserve">104.11A currently provides that an </w:t>
      </w:r>
      <w:r w:rsidR="007F5563" w:rsidRPr="00742653">
        <w:rPr>
          <w:u w:val="single"/>
        </w:rPr>
        <w:t>interim</w:t>
      </w:r>
      <w:r w:rsidR="007F5563">
        <w:t xml:space="preserve"> control order can only be varied if it does not involve </w:t>
      </w:r>
      <w:r w:rsidR="007F5563" w:rsidRPr="00D40D68">
        <w:rPr>
          <w:i/>
          <w:iCs/>
        </w:rPr>
        <w:t>adding</w:t>
      </w:r>
      <w:r w:rsidR="007F5563">
        <w:t xml:space="preserve"> any obligations, prohibitions or restrictions to the order.  The repeal of this section would also repeal that safeguard.</w:t>
      </w:r>
    </w:p>
    <w:p w14:paraId="3A871455" w14:textId="3E07052C" w:rsidR="0050126B" w:rsidRDefault="00301468" w:rsidP="00EB440B">
      <w:pPr>
        <w:pStyle w:val="ListNumber2"/>
        <w:tabs>
          <w:tab w:val="clear" w:pos="643"/>
          <w:tab w:val="num" w:pos="1080"/>
        </w:tabs>
        <w:ind w:left="1080" w:hanging="797"/>
      </w:pPr>
      <w:r>
        <w:t xml:space="preserve">This </w:t>
      </w:r>
      <w:r w:rsidR="0015631F">
        <w:t xml:space="preserve">existing </w:t>
      </w:r>
      <w:r>
        <w:t>provision for variations followed recommendations of both the third INSLM in 2017 and the PJCIS in 2018.  The rationale for this provision was that there may be a delay between an interim control order being made and a confirmation hearing and it was reasonable to provide for a process to remove conditions that were no longer appropriate.</w:t>
      </w:r>
      <w:r>
        <w:rPr>
          <w:rStyle w:val="EndnoteReference"/>
        </w:rPr>
        <w:endnoteReference w:id="48"/>
      </w:r>
      <w:r w:rsidR="00D96A3E">
        <w:t xml:space="preserve">  However, there is far less justification for permitting an interim control order to be varied to </w:t>
      </w:r>
      <w:r w:rsidR="00D96A3E" w:rsidRPr="002479FD">
        <w:rPr>
          <w:i/>
          <w:iCs/>
        </w:rPr>
        <w:t>add</w:t>
      </w:r>
      <w:r w:rsidR="00D96A3E">
        <w:t xml:space="preserve"> further conditions before a final hearing on whether a control order should be confirmed</w:t>
      </w:r>
      <w:r w:rsidR="00D3528D">
        <w:t xml:space="preserve"> (even if it is said that the person subject to the control order has ‘consented’ to the additional conditions)</w:t>
      </w:r>
      <w:r w:rsidR="00D96A3E">
        <w:t>.</w:t>
      </w:r>
      <w:r w:rsidR="00ED3861">
        <w:t xml:space="preserve">  As the Explanatory Memorandum for the Bill that introduced s 104.11A said:</w:t>
      </w:r>
    </w:p>
    <w:p w14:paraId="22B3E134" w14:textId="30647B63" w:rsidR="00ED3861" w:rsidRDefault="0017154B" w:rsidP="00ED3861">
      <w:pPr>
        <w:pStyle w:val="ListNumber2"/>
        <w:numPr>
          <w:ilvl w:val="0"/>
          <w:numId w:val="0"/>
        </w:numPr>
        <w:ind w:left="1440"/>
      </w:pPr>
      <w:r w:rsidRPr="0017154B">
        <w:t>This measure is an additional safeguard in the control order regime. It allows both parties to make minor and uncontroversial changes to the terms of an interim control order prior to a confirmation proceeding, such as amending a relevant condition to account for a change to the mobile phone number of the controlee, or a change in the controlee’s residential or employment arrangements. New paragraph 104.11A(2)(b) does not allow a variation to include additional obligations, prohibitions or restrictions to the interim control order.</w:t>
      </w:r>
      <w:r w:rsidR="00991956">
        <w:rPr>
          <w:rStyle w:val="EndnoteReference"/>
        </w:rPr>
        <w:endnoteReference w:id="49"/>
      </w:r>
    </w:p>
    <w:p w14:paraId="541C7183" w14:textId="52E0CCD1" w:rsidR="00ED3861" w:rsidRDefault="005107F2" w:rsidP="00EB440B">
      <w:pPr>
        <w:pStyle w:val="ListNumber2"/>
        <w:tabs>
          <w:tab w:val="clear" w:pos="643"/>
          <w:tab w:val="num" w:pos="1080"/>
        </w:tabs>
        <w:ind w:left="1080" w:hanging="797"/>
      </w:pPr>
      <w:r w:rsidRPr="00161857">
        <w:rPr>
          <w:i/>
          <w:iCs/>
        </w:rPr>
        <w:t>Fourthly</w:t>
      </w:r>
      <w:r>
        <w:t xml:space="preserve">, </w:t>
      </w:r>
      <w:r w:rsidR="00161857">
        <w:t>the Bill would extend the sunsetting date for these powers until 7 December 2026.</w:t>
      </w:r>
      <w:r w:rsidR="00F77AB6">
        <w:t xml:space="preserve">  As noted above</w:t>
      </w:r>
      <w:r w:rsidR="00552DC0">
        <w:t xml:space="preserve"> in Recommendation 2</w:t>
      </w:r>
      <w:r w:rsidR="00F77AB6">
        <w:t>, the Commission does not agree that this regime should extend beyond the sunsetting date currently determined by Parliament and should expire on 7 December 2023.</w:t>
      </w:r>
    </w:p>
    <w:p w14:paraId="38A9CF9D" w14:textId="0F3C015B" w:rsidR="00F37992" w:rsidRPr="00F37992" w:rsidRDefault="00F37992" w:rsidP="00F37992">
      <w:pPr>
        <w:pStyle w:val="Heading1"/>
      </w:pPr>
      <w:bookmarkStart w:id="19" w:name="_Toc147736295"/>
      <w:r>
        <w:lastRenderedPageBreak/>
        <w:t>Preventative detention orders</w:t>
      </w:r>
      <w:bookmarkEnd w:id="19"/>
    </w:p>
    <w:p w14:paraId="696BC704" w14:textId="77777777" w:rsidR="00A80ADA" w:rsidRDefault="00A80ADA" w:rsidP="00A80ADA">
      <w:pPr>
        <w:pStyle w:val="Heading2"/>
      </w:pPr>
      <w:bookmarkStart w:id="20" w:name="_Toc147736296"/>
      <w:r>
        <w:t>Structure of provisions</w:t>
      </w:r>
      <w:bookmarkEnd w:id="20"/>
    </w:p>
    <w:p w14:paraId="3748092A" w14:textId="5D0ABD61" w:rsidR="00534C49" w:rsidRDefault="00534C49" w:rsidP="00A80ADA">
      <w:pPr>
        <w:pStyle w:val="ListNumber2"/>
        <w:tabs>
          <w:tab w:val="clear" w:pos="643"/>
          <w:tab w:val="num" w:pos="1080"/>
        </w:tabs>
        <w:ind w:left="1080" w:hanging="797"/>
      </w:pPr>
      <w:r>
        <w:t xml:space="preserve">Preventative detention orders </w:t>
      </w:r>
      <w:r w:rsidR="00C13D8F">
        <w:t xml:space="preserve">(PDOs) </w:t>
      </w:r>
      <w:r>
        <w:t xml:space="preserve">permit </w:t>
      </w:r>
      <w:r w:rsidR="00C13D8F">
        <w:t>a person to be detained without charge</w:t>
      </w:r>
      <w:r w:rsidR="00453157">
        <w:t xml:space="preserve"> for up to 48 hours</w:t>
      </w:r>
      <w:r w:rsidR="00BD792A">
        <w:t xml:space="preserve">, with very significant limits being placed on their ability to contact other people. </w:t>
      </w:r>
    </w:p>
    <w:p w14:paraId="03D5AF98" w14:textId="6A3DC8E3" w:rsidR="00BD792A" w:rsidRDefault="00BD792A" w:rsidP="00A80ADA">
      <w:pPr>
        <w:pStyle w:val="ListNumber2"/>
        <w:tabs>
          <w:tab w:val="clear" w:pos="643"/>
          <w:tab w:val="num" w:pos="1080"/>
        </w:tabs>
        <w:ind w:left="1080" w:hanging="797"/>
      </w:pPr>
      <w:r>
        <w:t xml:space="preserve">Human rights law rightly </w:t>
      </w:r>
      <w:r w:rsidR="001E0CE3">
        <w:t xml:space="preserve">condemns </w:t>
      </w:r>
      <w:r w:rsidR="00A145BF">
        <w:t>‘</w:t>
      </w:r>
      <w:r w:rsidR="00B115A6" w:rsidRPr="00141016">
        <w:t>incommunicado</w:t>
      </w:r>
      <w:r w:rsidR="00A145BF">
        <w:t>’</w:t>
      </w:r>
      <w:r w:rsidR="00B115A6" w:rsidRPr="00141016">
        <w:t xml:space="preserve"> detention</w:t>
      </w:r>
      <w:r w:rsidR="00B115A6">
        <w:t>.</w:t>
      </w:r>
      <w:r w:rsidR="00364E13">
        <w:rPr>
          <w:rStyle w:val="EndnoteReference"/>
        </w:rPr>
        <w:endnoteReference w:id="50"/>
      </w:r>
      <w:r w:rsidR="00B115A6">
        <w:t xml:space="preserve">  </w:t>
      </w:r>
      <w:r w:rsidR="009E123D">
        <w:t xml:space="preserve">That is particularly the case where, as in Australia, there are equally effective ways to achieve </w:t>
      </w:r>
      <w:r w:rsidR="00C2102C">
        <w:t xml:space="preserve">the </w:t>
      </w:r>
      <w:r w:rsidR="009E123D">
        <w:t xml:space="preserve">important policy outcomes of countering terrorism that are less restrictive of </w:t>
      </w:r>
      <w:r w:rsidR="00A000C9">
        <w:t>individual rights.</w:t>
      </w:r>
    </w:p>
    <w:p w14:paraId="66BEC722" w14:textId="4DAB4BC8" w:rsidR="00A80ADA" w:rsidRDefault="00A80ADA" w:rsidP="00A80ADA">
      <w:pPr>
        <w:pStyle w:val="ListNumber2"/>
        <w:tabs>
          <w:tab w:val="clear" w:pos="643"/>
          <w:tab w:val="num" w:pos="1080"/>
        </w:tabs>
        <w:ind w:left="1080" w:hanging="797"/>
      </w:pPr>
      <w:r>
        <w:t xml:space="preserve">When originally enacted in 2005, the object of the PDO regime was to allow a person to be taken into custody and detained for a ‘short period of time’ </w:t>
      </w:r>
      <w:proofErr w:type="gramStart"/>
      <w:r>
        <w:t>in order to</w:t>
      </w:r>
      <w:proofErr w:type="gramEnd"/>
      <w:r>
        <w:t>:</w:t>
      </w:r>
    </w:p>
    <w:p w14:paraId="3FEA45A8" w14:textId="77777777" w:rsidR="00A80ADA" w:rsidRDefault="00A80ADA" w:rsidP="00A80ADA">
      <w:pPr>
        <w:pStyle w:val="ListNumber2"/>
        <w:numPr>
          <w:ilvl w:val="0"/>
          <w:numId w:val="0"/>
        </w:numPr>
        <w:ind w:left="1800" w:hanging="720"/>
      </w:pPr>
      <w:r>
        <w:t>(a)</w:t>
      </w:r>
      <w:r>
        <w:tab/>
        <w:t>prevent an imminent terrorist act occurring; or</w:t>
      </w:r>
    </w:p>
    <w:p w14:paraId="197F23DD" w14:textId="77777777" w:rsidR="00A80ADA" w:rsidRDefault="00A80ADA" w:rsidP="00A80ADA">
      <w:pPr>
        <w:pStyle w:val="ListNumber2"/>
        <w:numPr>
          <w:ilvl w:val="0"/>
          <w:numId w:val="0"/>
        </w:numPr>
        <w:ind w:left="1800" w:hanging="720"/>
      </w:pPr>
      <w:r>
        <w:t>(b)</w:t>
      </w:r>
      <w:r>
        <w:tab/>
        <w:t xml:space="preserve">preserve evidence of, or relating to, a terrorist act. </w:t>
      </w:r>
    </w:p>
    <w:p w14:paraId="3D8F82FE" w14:textId="77777777" w:rsidR="00A80ADA" w:rsidRDefault="00A80ADA" w:rsidP="00A80ADA">
      <w:pPr>
        <w:pStyle w:val="ListNumber2"/>
        <w:tabs>
          <w:tab w:val="clear" w:pos="643"/>
          <w:tab w:val="num" w:pos="1080"/>
        </w:tabs>
        <w:ind w:left="1080" w:hanging="797"/>
      </w:pPr>
      <w:r>
        <w:t xml:space="preserve">In 2016, the threshold for ground (a) was lowered.  The new object in (a) is detention </w:t>
      </w:r>
      <w:proofErr w:type="gramStart"/>
      <w:r>
        <w:t>in order to</w:t>
      </w:r>
      <w:proofErr w:type="gramEnd"/>
      <w:r>
        <w:t xml:space="preserve"> ‘prevent a terrorist act that is capable of being carried out, and could occur, within the next 14 days from occurring’.</w:t>
      </w:r>
      <w:r>
        <w:rPr>
          <w:rStyle w:val="EndnoteReference"/>
        </w:rPr>
        <w:endnoteReference w:id="51"/>
      </w:r>
    </w:p>
    <w:p w14:paraId="45A11C78" w14:textId="77777777" w:rsidR="00A80ADA" w:rsidRDefault="00A80ADA" w:rsidP="00A80ADA">
      <w:pPr>
        <w:pStyle w:val="ListNumber2"/>
        <w:tabs>
          <w:tab w:val="clear" w:pos="643"/>
          <w:tab w:val="num" w:pos="1080"/>
        </w:tabs>
        <w:ind w:left="1080" w:hanging="797"/>
      </w:pPr>
      <w:r>
        <w:t xml:space="preserve">An application for a PDO may be made by an AFP member.  When seeking a PDO based on ground (a), the AFP member </w:t>
      </w:r>
      <w:r w:rsidRPr="004B15CF">
        <w:rPr>
          <w:i/>
          <w:iCs/>
        </w:rPr>
        <w:t>must</w:t>
      </w:r>
      <w:r>
        <w:t xml:space="preserve"> suspect on reasonable grounds that the subject of the PDO:</w:t>
      </w:r>
    </w:p>
    <w:p w14:paraId="50CE0B66" w14:textId="77777777" w:rsidR="00A80ADA" w:rsidRDefault="00A80ADA" w:rsidP="00A80ADA">
      <w:pPr>
        <w:pStyle w:val="ListNumber2"/>
        <w:numPr>
          <w:ilvl w:val="0"/>
          <w:numId w:val="14"/>
        </w:numPr>
      </w:pPr>
      <w:r>
        <w:t>will engage in a terrorist act, or</w:t>
      </w:r>
    </w:p>
    <w:p w14:paraId="0B981FCD" w14:textId="77777777" w:rsidR="00A80ADA" w:rsidRDefault="00A80ADA" w:rsidP="00A80ADA">
      <w:pPr>
        <w:pStyle w:val="ListNumber2"/>
        <w:numPr>
          <w:ilvl w:val="0"/>
          <w:numId w:val="14"/>
        </w:numPr>
      </w:pPr>
      <w:r>
        <w:t xml:space="preserve">possesses a thing that </w:t>
      </w:r>
      <w:proofErr w:type="gramStart"/>
      <w:r>
        <w:t>is connected with</w:t>
      </w:r>
      <w:proofErr w:type="gramEnd"/>
      <w:r>
        <w:t xml:space="preserve"> the preparation for, or the engagement of a person in, a terrorist act, or</w:t>
      </w:r>
    </w:p>
    <w:p w14:paraId="6608A37B" w14:textId="77777777" w:rsidR="00A80ADA" w:rsidRDefault="00A80ADA" w:rsidP="00A80ADA">
      <w:pPr>
        <w:pStyle w:val="ListNumber2"/>
        <w:numPr>
          <w:ilvl w:val="0"/>
          <w:numId w:val="14"/>
        </w:numPr>
      </w:pPr>
      <w:r>
        <w:t>has done an act in preparation for, or planning, a terrorist act</w:t>
      </w:r>
    </w:p>
    <w:p w14:paraId="7474A5BC" w14:textId="77777777" w:rsidR="00A80ADA" w:rsidRDefault="00A80ADA" w:rsidP="00A80ADA">
      <w:pPr>
        <w:pStyle w:val="ListNumber2"/>
        <w:numPr>
          <w:ilvl w:val="0"/>
          <w:numId w:val="0"/>
        </w:numPr>
        <w:ind w:left="1080"/>
      </w:pPr>
      <w:r>
        <w:t>where ‘terrorist act’ is one that is capable of being carried out, and could occur, within the next 14 days.</w:t>
      </w:r>
      <w:r>
        <w:rPr>
          <w:rStyle w:val="EndnoteReference"/>
        </w:rPr>
        <w:endnoteReference w:id="52"/>
      </w:r>
      <w:r>
        <w:t xml:space="preserve"> </w:t>
      </w:r>
    </w:p>
    <w:p w14:paraId="3A070765" w14:textId="23747597" w:rsidR="00A80ADA" w:rsidRDefault="00694DD7" w:rsidP="00A80ADA">
      <w:pPr>
        <w:pStyle w:val="ListNumber2"/>
        <w:tabs>
          <w:tab w:val="clear" w:pos="643"/>
          <w:tab w:val="num" w:pos="1080"/>
        </w:tabs>
        <w:ind w:left="1080" w:hanging="797"/>
      </w:pPr>
      <w:r>
        <w:t>Importantly</w:t>
      </w:r>
      <w:r w:rsidR="00A80ADA">
        <w:t xml:space="preserve">, if the AFP member has the suspicion described in the first or third dot points above, the member would also have the option of immediately arresting the person under s 3WA of the Crimes Act </w:t>
      </w:r>
      <w:r w:rsidR="00A80ADA">
        <w:lastRenderedPageBreak/>
        <w:t>without a warrant, rather than applying for a PDO.</w:t>
      </w:r>
      <w:r w:rsidR="00A80ADA">
        <w:rPr>
          <w:rStyle w:val="EndnoteReference"/>
        </w:rPr>
        <w:endnoteReference w:id="53"/>
      </w:r>
      <w:r w:rsidR="00A80ADA">
        <w:t xml:space="preserve">  The AFP member would also have the option of immediately arresting the person based on the suspicion described in the second dot point above, if the member also reasonably suspects that the person knows of, or is reckless as to the existence of, the connection between the thing and the potential terrorist act.</w:t>
      </w:r>
      <w:r w:rsidR="00A80ADA">
        <w:rPr>
          <w:rStyle w:val="EndnoteReference"/>
        </w:rPr>
        <w:endnoteReference w:id="54"/>
      </w:r>
      <w:r w:rsidR="00A80ADA">
        <w:t xml:space="preserve">  Arresting the person is likely to be a quicker and more effective way of dealing with the situation than applying for a PDO.</w:t>
      </w:r>
      <w:r w:rsidR="00E527AA">
        <w:t xml:space="preserve">  It is also a process that better protects human rights because it </w:t>
      </w:r>
      <w:r w:rsidR="004243F6">
        <w:t xml:space="preserve">then engages the requirement for </w:t>
      </w:r>
      <w:r w:rsidR="0076454D">
        <w:t>the</w:t>
      </w:r>
      <w:r w:rsidR="004243F6">
        <w:t xml:space="preserve"> person to be brought before a </w:t>
      </w:r>
      <w:r w:rsidR="00E0593D">
        <w:t>c</w:t>
      </w:r>
      <w:r w:rsidR="004243F6">
        <w:t xml:space="preserve">ourt so that </w:t>
      </w:r>
      <w:r w:rsidR="00E0593D">
        <w:t xml:space="preserve">the court can determine whether </w:t>
      </w:r>
      <w:r w:rsidR="008B0766">
        <w:t xml:space="preserve">the detention is lawful </w:t>
      </w:r>
      <w:r w:rsidR="00280AEA">
        <w:t>(see ICCPR article 9(4))</w:t>
      </w:r>
      <w:r w:rsidR="008B0766">
        <w:t xml:space="preserve"> and, ultimately, whether an offence has been committed</w:t>
      </w:r>
      <w:r w:rsidR="00E0593D">
        <w:t>.</w:t>
      </w:r>
    </w:p>
    <w:p w14:paraId="3AB38F53" w14:textId="094EDA57" w:rsidR="00A80ADA" w:rsidRDefault="00A80ADA" w:rsidP="00A80ADA">
      <w:pPr>
        <w:pStyle w:val="ListNumber2"/>
        <w:tabs>
          <w:tab w:val="clear" w:pos="643"/>
          <w:tab w:val="num" w:pos="1080"/>
        </w:tabs>
        <w:ind w:left="1080" w:hanging="797"/>
      </w:pPr>
      <w:r>
        <w:t xml:space="preserve">When seeking a PDO based on ground (b), the AFP member </w:t>
      </w:r>
      <w:r w:rsidRPr="00C24B8E">
        <w:t>must</w:t>
      </w:r>
      <w:r>
        <w:t xml:space="preserve"> suspect on reasonable grounds that:</w:t>
      </w:r>
    </w:p>
    <w:p w14:paraId="158E30A2" w14:textId="77777777" w:rsidR="00A80ADA" w:rsidRDefault="00A80ADA" w:rsidP="00A80ADA">
      <w:pPr>
        <w:pStyle w:val="ListNumber2"/>
        <w:numPr>
          <w:ilvl w:val="0"/>
          <w:numId w:val="14"/>
        </w:numPr>
      </w:pPr>
      <w:r>
        <w:t>a terrorist act has occurred within the last 28 days, and</w:t>
      </w:r>
    </w:p>
    <w:p w14:paraId="0AEC634A" w14:textId="77777777" w:rsidR="00A80ADA" w:rsidRDefault="00A80ADA" w:rsidP="00A80ADA">
      <w:pPr>
        <w:pStyle w:val="ListNumber2"/>
        <w:numPr>
          <w:ilvl w:val="0"/>
          <w:numId w:val="14"/>
        </w:numPr>
      </w:pPr>
      <w:r>
        <w:t>detaining the subject under a PDO is reasonably necessary for the purpose of preserving evidence of, or relating to, the terrorist act.</w:t>
      </w:r>
      <w:r>
        <w:rPr>
          <w:rStyle w:val="EndnoteReference"/>
        </w:rPr>
        <w:endnoteReference w:id="55"/>
      </w:r>
    </w:p>
    <w:p w14:paraId="29A9B659" w14:textId="395B0E5B" w:rsidR="00A80ADA" w:rsidRDefault="00682312" w:rsidP="00A80ADA">
      <w:pPr>
        <w:pStyle w:val="ListNumber2"/>
        <w:tabs>
          <w:tab w:val="clear" w:pos="643"/>
          <w:tab w:val="num" w:pos="1080"/>
        </w:tabs>
        <w:ind w:left="1080" w:hanging="797"/>
      </w:pPr>
      <w:r>
        <w:t>However,</w:t>
      </w:r>
      <w:r w:rsidR="00A80ADA">
        <w:t xml:space="preserve"> if </w:t>
      </w:r>
      <w:r w:rsidR="00A80ADA" w:rsidRPr="006F0D72">
        <w:rPr>
          <w:i/>
          <w:iCs/>
        </w:rPr>
        <w:t>any</w:t>
      </w:r>
      <w:r w:rsidR="00A80ADA">
        <w:t xml:space="preserve"> crime has been committed, the police can obtain a warrant under s 3E of the Crimes Act to search a person or premises if there are reasonable grounds for suspecting that the search will locate evidential material.  A search warrant entitles an officer to seize:</w:t>
      </w:r>
    </w:p>
    <w:p w14:paraId="6AE8C867" w14:textId="0AD3D561" w:rsidR="003B5933" w:rsidRDefault="00A80ADA" w:rsidP="00A80ADA">
      <w:pPr>
        <w:pStyle w:val="ListNumber2"/>
        <w:numPr>
          <w:ilvl w:val="0"/>
          <w:numId w:val="14"/>
        </w:numPr>
      </w:pPr>
      <w:r w:rsidRPr="00A924B5">
        <w:t>evidential material in relation to an offence to which the warrant relates</w:t>
      </w:r>
      <w:r w:rsidR="00CA34F1">
        <w:t>; or</w:t>
      </w:r>
    </w:p>
    <w:p w14:paraId="6EC52B1A" w14:textId="4A506CCE" w:rsidR="00A80ADA" w:rsidRDefault="003B5933" w:rsidP="00A80ADA">
      <w:pPr>
        <w:pStyle w:val="ListNumber2"/>
        <w:numPr>
          <w:ilvl w:val="0"/>
          <w:numId w:val="14"/>
        </w:numPr>
      </w:pPr>
      <w:r>
        <w:t>evidential material</w:t>
      </w:r>
      <w:r w:rsidR="00C436B5">
        <w:t xml:space="preserve"> or a thing</w:t>
      </w:r>
      <w:r>
        <w:t xml:space="preserve"> </w:t>
      </w:r>
      <w:r w:rsidR="00CA34F1">
        <w:t xml:space="preserve">relevant </w:t>
      </w:r>
      <w:r>
        <w:t>to another indictable offence</w:t>
      </w:r>
    </w:p>
    <w:p w14:paraId="0F8FD4BE" w14:textId="77777777" w:rsidR="00A80ADA" w:rsidRDefault="00A80ADA" w:rsidP="00A80ADA">
      <w:pPr>
        <w:pStyle w:val="ListNumber2"/>
        <w:numPr>
          <w:ilvl w:val="0"/>
          <w:numId w:val="0"/>
        </w:numPr>
        <w:ind w:left="1094"/>
      </w:pPr>
      <w:r w:rsidRPr="00DE0830">
        <w:t>if the officer believes on reasonable grounds that seizure of the things is necessary to prevent their concealment, loss or destruction or their use in committing an offence</w:t>
      </w:r>
      <w:r>
        <w:t>.</w:t>
      </w:r>
      <w:r>
        <w:rPr>
          <w:rStyle w:val="EndnoteReference"/>
        </w:rPr>
        <w:endnoteReference w:id="56"/>
      </w:r>
    </w:p>
    <w:p w14:paraId="1BE1434F" w14:textId="58B4A7A3" w:rsidR="00A80ADA" w:rsidRDefault="00A80ADA" w:rsidP="00A80ADA">
      <w:pPr>
        <w:pStyle w:val="ListNumber2"/>
        <w:tabs>
          <w:tab w:val="clear" w:pos="643"/>
          <w:tab w:val="num" w:pos="1080"/>
        </w:tabs>
        <w:ind w:left="1080" w:hanging="797"/>
      </w:pPr>
      <w:r>
        <w:t xml:space="preserve">Like a PDO, a search warrant may be obtained by phone in urgent circumstances (Crimes Act s 3R).  Further, </w:t>
      </w:r>
      <w:r w:rsidR="00854490">
        <w:t xml:space="preserve">as noted earlier in this submission, </w:t>
      </w:r>
      <w:r>
        <w:t xml:space="preserve">there is a power under s 3UEA of the Crimes Act that allows police to enter premises </w:t>
      </w:r>
      <w:r w:rsidRPr="0091704E">
        <w:rPr>
          <w:i/>
          <w:iCs/>
        </w:rPr>
        <w:t>without</w:t>
      </w:r>
      <w:r>
        <w:t xml:space="preserve"> a warrant to search for and seize a thing to prevent it from being used in connection with a terrorism offence.  The use of either of these powers is likely to be a </w:t>
      </w:r>
      <w:r>
        <w:lastRenderedPageBreak/>
        <w:t>more direct and effective way of preserving evidence of, or relating to, a terrorist act than using a PDO.</w:t>
      </w:r>
    </w:p>
    <w:p w14:paraId="3CB37ABC" w14:textId="609D8443" w:rsidR="00973F26" w:rsidRDefault="00973F26" w:rsidP="00A80ADA">
      <w:pPr>
        <w:pStyle w:val="ListNumber2"/>
        <w:tabs>
          <w:tab w:val="clear" w:pos="643"/>
          <w:tab w:val="num" w:pos="1080"/>
        </w:tabs>
        <w:ind w:left="1080" w:hanging="797"/>
      </w:pPr>
      <w:proofErr w:type="gramStart"/>
      <w:r>
        <w:t>In light of</w:t>
      </w:r>
      <w:proofErr w:type="gramEnd"/>
      <w:r>
        <w:t xml:space="preserve"> these alternative measures for achieving the same aims, that are less restrictive of human rights</w:t>
      </w:r>
      <w:r w:rsidR="001E138F">
        <w:t xml:space="preserve">, the Commission has previously recommended that the PDO regime be repealed. </w:t>
      </w:r>
    </w:p>
    <w:p w14:paraId="6027CB3B" w14:textId="1BF0C39E" w:rsidR="00F37992" w:rsidRDefault="00A80ADA" w:rsidP="00A80ADA">
      <w:pPr>
        <w:pStyle w:val="Heading2"/>
      </w:pPr>
      <w:bookmarkStart w:id="21" w:name="_Toc147736297"/>
      <w:r>
        <w:t>Previous consideration by AHRC</w:t>
      </w:r>
      <w:bookmarkEnd w:id="21"/>
    </w:p>
    <w:p w14:paraId="21FA801B" w14:textId="0CB2A0B6" w:rsidR="00A80ADA" w:rsidRDefault="00A80ADA" w:rsidP="00A80ADA">
      <w:pPr>
        <w:pStyle w:val="ListNumber2"/>
        <w:tabs>
          <w:tab w:val="clear" w:pos="643"/>
          <w:tab w:val="num" w:pos="1080"/>
        </w:tabs>
        <w:ind w:left="1080" w:hanging="797"/>
      </w:pPr>
      <w:r>
        <w:t>The Commission conducted a detailed human rights analysis in relation to the preventative detention order provisions in its 2020 submission (see [</w:t>
      </w:r>
      <w:r w:rsidR="00BF1E99">
        <w:t>2</w:t>
      </w:r>
      <w:r w:rsidR="003561B1">
        <w:t>05</w:t>
      </w:r>
      <w:r>
        <w:t>]</w:t>
      </w:r>
      <w:proofErr w:type="gramStart"/>
      <w:r>
        <w:t>–[</w:t>
      </w:r>
      <w:proofErr w:type="gramEnd"/>
      <w:r w:rsidR="00BF1E99">
        <w:t>241</w:t>
      </w:r>
      <w:r>
        <w:t>]).</w:t>
      </w:r>
    </w:p>
    <w:p w14:paraId="3473DB09" w14:textId="7CA261A7" w:rsidR="002F7FB2" w:rsidRDefault="002F7FB2" w:rsidP="002F7FB2">
      <w:pPr>
        <w:pStyle w:val="ListNumber2"/>
        <w:tabs>
          <w:tab w:val="clear" w:pos="643"/>
          <w:tab w:val="num" w:pos="1080"/>
        </w:tabs>
        <w:ind w:left="1080" w:hanging="797"/>
      </w:pPr>
      <w:r>
        <w:t xml:space="preserve">On </w:t>
      </w:r>
      <w:proofErr w:type="gramStart"/>
      <w:r>
        <w:t>a number of</w:t>
      </w:r>
      <w:proofErr w:type="gramEnd"/>
      <w:r>
        <w:t xml:space="preserve"> occasions, the Commission has </w:t>
      </w:r>
      <w:r w:rsidR="003A3EFF">
        <w:t xml:space="preserve">identified the following </w:t>
      </w:r>
      <w:r>
        <w:t xml:space="preserve">human rights issues </w:t>
      </w:r>
      <w:r w:rsidR="003A3EFF">
        <w:t xml:space="preserve">with </w:t>
      </w:r>
      <w:r>
        <w:t>the PDO regime:</w:t>
      </w:r>
    </w:p>
    <w:p w14:paraId="5BA6B059" w14:textId="77777777" w:rsidR="002F7FB2" w:rsidRDefault="002F7FB2" w:rsidP="002F7FB2">
      <w:pPr>
        <w:pStyle w:val="ListNumber2"/>
        <w:numPr>
          <w:ilvl w:val="0"/>
          <w:numId w:val="14"/>
        </w:numPr>
      </w:pPr>
      <w:r>
        <w:t xml:space="preserve">Unlike a person who has been charged with a criminal offence, there is no obligation on the police to bring a person detained under a PDO promptly before a court.  </w:t>
      </w:r>
    </w:p>
    <w:p w14:paraId="24C83C7F" w14:textId="77777777" w:rsidR="002F7FB2" w:rsidRDefault="002F7FB2" w:rsidP="002F7FB2">
      <w:pPr>
        <w:pStyle w:val="ListNumber2"/>
        <w:numPr>
          <w:ilvl w:val="0"/>
          <w:numId w:val="14"/>
        </w:numPr>
      </w:pPr>
      <w:r>
        <w:t xml:space="preserve">Further, the ability of the person detained to bring their own proceedings to secure their release is very limited.  The PDO regime does not allow for meaningful review of the merits of the decision to make a PDO while the person is detained.  This significantly impinges on article 9(4) of the ICCPR, which provides that anyone who is deprived of their liberty by arrest or detention is entitled to take proceedings before a court, so that the court can decide without delay whether the detention is </w:t>
      </w:r>
      <w:proofErr w:type="gramStart"/>
      <w:r>
        <w:t>lawful, and</w:t>
      </w:r>
      <w:proofErr w:type="gramEnd"/>
      <w:r>
        <w:t xml:space="preserve"> order the person’s release if the detention is not lawful.  </w:t>
      </w:r>
    </w:p>
    <w:p w14:paraId="30C598C6" w14:textId="77777777" w:rsidR="002F7FB2" w:rsidRDefault="002F7FB2" w:rsidP="002F7FB2">
      <w:pPr>
        <w:pStyle w:val="ListNumber2"/>
        <w:numPr>
          <w:ilvl w:val="0"/>
          <w:numId w:val="14"/>
        </w:numPr>
      </w:pPr>
      <w:r>
        <w:t>The lack of review rights also impinges on the right of people under article 2(3) of the ICCPR to an effective remedy.  In the context of a regime of preventative detention, a remedy that is ‘effective’ must be one that enables a person who is wrongfully detained or being ill-treated to obtain redress before the wrongful detention or ill-treatment comes to an end.</w:t>
      </w:r>
    </w:p>
    <w:p w14:paraId="2782A618" w14:textId="77777777" w:rsidR="002F7FB2" w:rsidRDefault="002F7FB2" w:rsidP="002F7FB2">
      <w:pPr>
        <w:pStyle w:val="ListNumber2"/>
        <w:numPr>
          <w:ilvl w:val="0"/>
          <w:numId w:val="14"/>
        </w:numPr>
      </w:pPr>
      <w:r>
        <w:t xml:space="preserve">The strict limitations on communication with others also engages a range of rights including the right to freedom of expression (article 19 of the ICCPR) and the guarantee against arbitrary interference with the family (article 17 of the ICCPR). </w:t>
      </w:r>
    </w:p>
    <w:p w14:paraId="0E85116F" w14:textId="759FE27E" w:rsidR="00A80ADA" w:rsidRDefault="00202978" w:rsidP="00EB440B">
      <w:pPr>
        <w:pStyle w:val="ListNumber2"/>
        <w:tabs>
          <w:tab w:val="clear" w:pos="643"/>
          <w:tab w:val="num" w:pos="1080"/>
        </w:tabs>
        <w:ind w:left="1080" w:hanging="797"/>
      </w:pPr>
      <w:r>
        <w:lastRenderedPageBreak/>
        <w:t>The PDO regime has been part of the Criminal Code since 2005 but has never been used.</w:t>
      </w:r>
      <w:r w:rsidR="009D19CC">
        <w:rPr>
          <w:rStyle w:val="EndnoteReference"/>
        </w:rPr>
        <w:endnoteReference w:id="57"/>
      </w:r>
    </w:p>
    <w:p w14:paraId="40E137C9" w14:textId="3BED9CF4" w:rsidR="00202978" w:rsidRDefault="00702B11" w:rsidP="00EA17F9">
      <w:pPr>
        <w:pStyle w:val="ListNumber2"/>
        <w:tabs>
          <w:tab w:val="clear" w:pos="643"/>
          <w:tab w:val="num" w:pos="1080"/>
        </w:tabs>
        <w:ind w:left="1080" w:hanging="797"/>
      </w:pPr>
      <w:r>
        <w:t>In its 2021 report, the PJCIS said that: ‘</w:t>
      </w:r>
      <w:r w:rsidR="00EA17F9">
        <w:t>Whilst the non-use of these powers seems to reflect a considered approach by law enforcement, it also presents the Committee with a difficult circumstance as the Committee is left to consider hypotheticals and provides little justification for the continued use of these powers.’</w:t>
      </w:r>
      <w:r w:rsidR="00EA17F9">
        <w:rPr>
          <w:rStyle w:val="EndnoteReference"/>
        </w:rPr>
        <w:endnoteReference w:id="58"/>
      </w:r>
    </w:p>
    <w:p w14:paraId="0A62F5F2" w14:textId="1C540440" w:rsidR="00D0048F" w:rsidRDefault="00465D6B" w:rsidP="00EA17F9">
      <w:pPr>
        <w:pStyle w:val="ListNumber2"/>
        <w:tabs>
          <w:tab w:val="clear" w:pos="643"/>
          <w:tab w:val="num" w:pos="1080"/>
        </w:tabs>
        <w:ind w:left="1080" w:hanging="797"/>
      </w:pPr>
      <w:r>
        <w:t xml:space="preserve">The PJCIS </w:t>
      </w:r>
      <w:r w:rsidR="00066786">
        <w:t xml:space="preserve">referred to the opinion of the </w:t>
      </w:r>
      <w:r w:rsidR="00E94FC8">
        <w:t>third INSLM, Dr James Renwick SC</w:t>
      </w:r>
      <w:r w:rsidR="00FA4C73">
        <w:t xml:space="preserve"> in 2017 who </w:t>
      </w:r>
      <w:r>
        <w:t xml:space="preserve">considered the </w:t>
      </w:r>
      <w:r w:rsidR="00FA4C73">
        <w:t xml:space="preserve">issue to be ‘finely balanced’ </w:t>
      </w:r>
      <w:r w:rsidR="007C1007">
        <w:t>but recommended the retention of the regime given ‘the nature and extent of current terrorist threats’.</w:t>
      </w:r>
      <w:r w:rsidR="006F3F14">
        <w:rPr>
          <w:rStyle w:val="EndnoteReference"/>
        </w:rPr>
        <w:endnoteReference w:id="59"/>
      </w:r>
      <w:r w:rsidR="007C1007">
        <w:t xml:space="preserve">  Similarly, the PJCIS </w:t>
      </w:r>
      <w:r w:rsidR="001C0037">
        <w:t xml:space="preserve">in 2021 </w:t>
      </w:r>
      <w:r w:rsidR="007C1007">
        <w:t xml:space="preserve">referred to </w:t>
      </w:r>
      <w:r w:rsidR="00694EC8">
        <w:t>the then ‘national security threat environment’ as an important factor.</w:t>
      </w:r>
      <w:r w:rsidR="006F3F14">
        <w:rPr>
          <w:rStyle w:val="EndnoteReference"/>
        </w:rPr>
        <w:endnoteReference w:id="60"/>
      </w:r>
      <w:r w:rsidR="00694EC8">
        <w:t xml:space="preserve">  </w:t>
      </w:r>
      <w:r w:rsidR="00BC0F96">
        <w:t>As described above, s</w:t>
      </w:r>
      <w:r w:rsidR="00694EC8">
        <w:t xml:space="preserve">ince the time of those reports Australia’s </w:t>
      </w:r>
      <w:r w:rsidR="00BA4805">
        <w:t xml:space="preserve">terrorism threat level has been reduced from </w:t>
      </w:r>
      <w:r w:rsidR="00E4062E">
        <w:t>‘</w:t>
      </w:r>
      <w:r w:rsidR="00BA4805">
        <w:t>PROBABLE</w:t>
      </w:r>
      <w:r w:rsidR="00E4062E">
        <w:t>’</w:t>
      </w:r>
      <w:r w:rsidR="00BA4805">
        <w:t xml:space="preserve"> to </w:t>
      </w:r>
      <w:r w:rsidR="00E4062E">
        <w:t>‘</w:t>
      </w:r>
      <w:r w:rsidR="00BA4805">
        <w:t>POSSIBLE</w:t>
      </w:r>
      <w:r w:rsidR="00E4062E">
        <w:t>’</w:t>
      </w:r>
      <w:r w:rsidR="00BA4805">
        <w:t xml:space="preserve">.  </w:t>
      </w:r>
      <w:r w:rsidR="00FD5672">
        <w:t xml:space="preserve">The current threat level is the </w:t>
      </w:r>
      <w:r w:rsidR="00E477ED">
        <w:t xml:space="preserve">second lowest on a scale of five </w:t>
      </w:r>
      <w:proofErr w:type="gramStart"/>
      <w:r w:rsidR="00E477ED">
        <w:t>levels, and</w:t>
      </w:r>
      <w:proofErr w:type="gramEnd"/>
      <w:r w:rsidR="00E477ED">
        <w:t xml:space="preserve"> is the lowest level </w:t>
      </w:r>
      <w:r w:rsidR="00BD66F5">
        <w:t xml:space="preserve">since </w:t>
      </w:r>
      <w:r w:rsidR="00DD123D">
        <w:t>September 2014</w:t>
      </w:r>
      <w:r w:rsidR="00BD66F5">
        <w:t>.</w:t>
      </w:r>
      <w:r w:rsidR="00E477ED">
        <w:t xml:space="preserve"> </w:t>
      </w:r>
    </w:p>
    <w:p w14:paraId="14CA8F71" w14:textId="0B4C31E7" w:rsidR="00BA4805" w:rsidRDefault="00BA4805" w:rsidP="00EA17F9">
      <w:pPr>
        <w:pStyle w:val="ListNumber2"/>
        <w:tabs>
          <w:tab w:val="clear" w:pos="643"/>
          <w:tab w:val="num" w:pos="1080"/>
        </w:tabs>
        <w:ind w:left="1080" w:hanging="797"/>
      </w:pPr>
      <w:r>
        <w:t>In light of</w:t>
      </w:r>
      <w:r w:rsidR="00626274">
        <w:t>:</w:t>
      </w:r>
      <w:r>
        <w:t xml:space="preserve"> the serious human rights concerns with PDOs, </w:t>
      </w:r>
      <w:r w:rsidR="006F3C18">
        <w:t xml:space="preserve">the availability of equally effective alternative measures that are less restrictive of human rights, </w:t>
      </w:r>
      <w:r w:rsidR="00D3518C">
        <w:t xml:space="preserve">the fact that </w:t>
      </w:r>
      <w:r w:rsidR="006F3C18">
        <w:t xml:space="preserve">PDOs </w:t>
      </w:r>
      <w:r w:rsidR="00D3518C">
        <w:t xml:space="preserve">were introduced as a short term emergency measure in 2005, </w:t>
      </w:r>
      <w:r w:rsidR="00350B4D">
        <w:t xml:space="preserve">the fact </w:t>
      </w:r>
      <w:r w:rsidR="00D3518C">
        <w:t xml:space="preserve">that </w:t>
      </w:r>
      <w:r w:rsidR="00B824D0">
        <w:t>they have never been used</w:t>
      </w:r>
      <w:r w:rsidR="00996140">
        <w:t xml:space="preserve">, and the reduction of the terrorism threat level </w:t>
      </w:r>
      <w:r w:rsidR="00E4062E">
        <w:t>to ‘POSSIBLE’</w:t>
      </w:r>
      <w:r w:rsidR="00996140">
        <w:t xml:space="preserve">, it is now time for the PDO regime to be </w:t>
      </w:r>
      <w:r w:rsidR="00EF7E7D">
        <w:t>allowed to sunset as originally intended</w:t>
      </w:r>
      <w:r w:rsidR="00996140">
        <w:t>.</w:t>
      </w:r>
    </w:p>
    <w:p w14:paraId="0C753B98" w14:textId="0E40DD47" w:rsidR="006F3C18" w:rsidRPr="00626274" w:rsidRDefault="006F3C18" w:rsidP="0075118A">
      <w:pPr>
        <w:pStyle w:val="ListNumber2"/>
        <w:keepNext/>
        <w:numPr>
          <w:ilvl w:val="0"/>
          <w:numId w:val="0"/>
        </w:numPr>
        <w:ind w:left="1077"/>
        <w:rPr>
          <w:b/>
          <w:bCs/>
        </w:rPr>
      </w:pPr>
      <w:r w:rsidRPr="00626274">
        <w:rPr>
          <w:b/>
          <w:bCs/>
        </w:rPr>
        <w:t xml:space="preserve">Recommendation </w:t>
      </w:r>
      <w:r w:rsidR="00E014E3">
        <w:rPr>
          <w:b/>
          <w:bCs/>
        </w:rPr>
        <w:t>5</w:t>
      </w:r>
    </w:p>
    <w:p w14:paraId="06FE353C" w14:textId="58BC8104" w:rsidR="0075118A" w:rsidRDefault="0075118A" w:rsidP="0075118A">
      <w:pPr>
        <w:pStyle w:val="ListNumber2"/>
        <w:numPr>
          <w:ilvl w:val="0"/>
          <w:numId w:val="0"/>
        </w:numPr>
        <w:ind w:left="1094"/>
      </w:pPr>
      <w:r>
        <w:t xml:space="preserve">The Commission recommends that the provisions of Schedule 2 of the Bill dealing with preventative detention orders not be passed, and that the provisions of the Criminal Code dealing with </w:t>
      </w:r>
      <w:r w:rsidR="00D92DA5">
        <w:t xml:space="preserve">preventative detention </w:t>
      </w:r>
      <w:r>
        <w:t>orders be permitted to sunset on 7 December 2023 as currently provided for in s 10</w:t>
      </w:r>
      <w:r w:rsidR="00D92DA5">
        <w:t>5.</w:t>
      </w:r>
      <w:r w:rsidR="00806A85">
        <w:t>56</w:t>
      </w:r>
      <w:r>
        <w:t>.</w:t>
      </w:r>
    </w:p>
    <w:p w14:paraId="6B05DF6B" w14:textId="77777777" w:rsidR="00BD649C" w:rsidRDefault="00BD649C" w:rsidP="00BD649C">
      <w:pPr>
        <w:pStyle w:val="Heading2"/>
      </w:pPr>
      <w:bookmarkStart w:id="22" w:name="_Toc147736298"/>
      <w:r>
        <w:t>Proposed amendments</w:t>
      </w:r>
      <w:bookmarkEnd w:id="22"/>
      <w:r>
        <w:t xml:space="preserve"> </w:t>
      </w:r>
    </w:p>
    <w:p w14:paraId="5B590960" w14:textId="49B6BECA" w:rsidR="00BD649C" w:rsidRDefault="00BD649C" w:rsidP="00BD649C">
      <w:pPr>
        <w:pStyle w:val="ListNumber2"/>
        <w:tabs>
          <w:tab w:val="clear" w:pos="643"/>
          <w:tab w:val="num" w:pos="1080"/>
        </w:tabs>
        <w:ind w:left="1080" w:hanging="797"/>
      </w:pPr>
      <w:r>
        <w:t xml:space="preserve">The Bill proposes to retain the </w:t>
      </w:r>
      <w:r w:rsidR="00622226">
        <w:t xml:space="preserve">PDO </w:t>
      </w:r>
      <w:r>
        <w:t xml:space="preserve">regime with </w:t>
      </w:r>
      <w:r w:rsidR="00AE3268">
        <w:t xml:space="preserve">two </w:t>
      </w:r>
      <w:r>
        <w:t>amendments.</w:t>
      </w:r>
    </w:p>
    <w:p w14:paraId="1C55A041" w14:textId="6ADC1817" w:rsidR="00AF37BC" w:rsidRDefault="00AE3268" w:rsidP="00AF37BC">
      <w:pPr>
        <w:pStyle w:val="ListNumber2"/>
        <w:tabs>
          <w:tab w:val="clear" w:pos="643"/>
          <w:tab w:val="num" w:pos="1080"/>
        </w:tabs>
        <w:ind w:left="1080" w:hanging="797"/>
      </w:pPr>
      <w:r w:rsidRPr="007E3C00">
        <w:rPr>
          <w:i/>
          <w:iCs/>
        </w:rPr>
        <w:t>First</w:t>
      </w:r>
      <w:r>
        <w:t xml:space="preserve">, </w:t>
      </w:r>
      <w:r w:rsidR="004421AA">
        <w:t xml:space="preserve">the Bill would limit the classes of persons who may be appointed as an ‘issuing authority’ for PDOs to </w:t>
      </w:r>
      <w:r w:rsidR="0065009C">
        <w:t xml:space="preserve">current or former </w:t>
      </w:r>
      <w:r w:rsidR="004421AA">
        <w:t xml:space="preserve">superior court </w:t>
      </w:r>
      <w:proofErr w:type="gramStart"/>
      <w:r w:rsidR="004421AA">
        <w:t>judges, and</w:t>
      </w:r>
      <w:proofErr w:type="gramEnd"/>
      <w:r w:rsidR="004421AA">
        <w:t xml:space="preserve"> remove the ability of members of the Administrative </w:t>
      </w:r>
      <w:r w:rsidR="004421AA">
        <w:lastRenderedPageBreak/>
        <w:t xml:space="preserve">Appeals Tribunal </w:t>
      </w:r>
      <w:r w:rsidR="000B098C">
        <w:t xml:space="preserve">and judges of the Federal Circuit and Family Court of Australia (Division 2) </w:t>
      </w:r>
      <w:r w:rsidR="004421AA">
        <w:t>to issue PDOs.</w:t>
      </w:r>
      <w:r w:rsidR="00AF37BC">
        <w:t xml:space="preserve">  Given the extraordinary nature of these powers, the Commission agrees that this restriction is appropriate if</w:t>
      </w:r>
      <w:r w:rsidR="00DF0822">
        <w:t>, contrary to its primary recommendation,</w:t>
      </w:r>
      <w:r w:rsidR="00AF37BC">
        <w:t xml:space="preserve"> PDOs are to be retained.  </w:t>
      </w:r>
      <w:r w:rsidR="00795E10">
        <w:t>These amendments would implement Recommendation 15 of the PJCIS in its 2021 report.</w:t>
      </w:r>
    </w:p>
    <w:p w14:paraId="1BF1A53F" w14:textId="5F765089" w:rsidR="00AF37BC" w:rsidRPr="001757AE" w:rsidRDefault="00AF37BC" w:rsidP="00AF37BC">
      <w:pPr>
        <w:pStyle w:val="ListNumber2"/>
        <w:keepNext/>
        <w:numPr>
          <w:ilvl w:val="0"/>
          <w:numId w:val="0"/>
        </w:numPr>
        <w:ind w:left="1077"/>
        <w:rPr>
          <w:b/>
          <w:bCs/>
        </w:rPr>
      </w:pPr>
      <w:r w:rsidRPr="001757AE">
        <w:rPr>
          <w:b/>
          <w:bCs/>
        </w:rPr>
        <w:t xml:space="preserve">Recommendation </w:t>
      </w:r>
      <w:r w:rsidR="00876D2C">
        <w:rPr>
          <w:b/>
          <w:bCs/>
        </w:rPr>
        <w:t>6</w:t>
      </w:r>
    </w:p>
    <w:p w14:paraId="205D2E3E" w14:textId="69C446A4" w:rsidR="00AF37BC" w:rsidRPr="000B28ED" w:rsidRDefault="00AF37BC" w:rsidP="00AF37BC">
      <w:pPr>
        <w:pStyle w:val="ListNumber2"/>
        <w:numPr>
          <w:ilvl w:val="0"/>
          <w:numId w:val="0"/>
        </w:numPr>
        <w:ind w:left="1080"/>
      </w:pPr>
      <w:r w:rsidRPr="000B28ED">
        <w:t xml:space="preserve">If </w:t>
      </w:r>
      <w:r>
        <w:t xml:space="preserve">Recommendation </w:t>
      </w:r>
      <w:r w:rsidR="00876D2C">
        <w:t>5</w:t>
      </w:r>
      <w:r>
        <w:t xml:space="preserve"> is not accepted, the Commission recommends that the provisions of Schedule 2 of the Bill that limit the </w:t>
      </w:r>
      <w:r w:rsidR="00DE3375">
        <w:t xml:space="preserve">issuing of preventative detention orders to current and former superior court judges </w:t>
      </w:r>
      <w:r>
        <w:t>be passed.</w:t>
      </w:r>
    </w:p>
    <w:p w14:paraId="169D6419" w14:textId="15DAA2DC" w:rsidR="00AE3268" w:rsidRDefault="00254E48" w:rsidP="00BD649C">
      <w:pPr>
        <w:pStyle w:val="ListNumber2"/>
        <w:tabs>
          <w:tab w:val="clear" w:pos="643"/>
          <w:tab w:val="num" w:pos="1080"/>
        </w:tabs>
        <w:ind w:left="1080" w:hanging="797"/>
      </w:pPr>
      <w:r w:rsidRPr="00254E48">
        <w:rPr>
          <w:i/>
          <w:iCs/>
        </w:rPr>
        <w:t>Secondly</w:t>
      </w:r>
      <w:r>
        <w:t xml:space="preserve">, the Bill would extend the sunsetting date for these powers until 7 December 2026.  As noted above in Recommendation </w:t>
      </w:r>
      <w:r w:rsidR="00F725CB">
        <w:t>4</w:t>
      </w:r>
      <w:r>
        <w:t>, the Commission does not agree that this regime should extend beyond the sunsetting date currently determined by Parliament and should expire on 7 December 2023.</w:t>
      </w:r>
    </w:p>
    <w:p w14:paraId="7237FF98" w14:textId="023BE207" w:rsidR="00626274" w:rsidRDefault="002F276D" w:rsidP="002F276D">
      <w:pPr>
        <w:pStyle w:val="Heading1"/>
      </w:pPr>
      <w:bookmarkStart w:id="23" w:name="_Toc147736299"/>
      <w:r>
        <w:t>Post-sentence orders</w:t>
      </w:r>
      <w:bookmarkEnd w:id="23"/>
    </w:p>
    <w:p w14:paraId="1A9A4748" w14:textId="1225A412" w:rsidR="00996140" w:rsidRDefault="00143ED6" w:rsidP="00EA17F9">
      <w:pPr>
        <w:pStyle w:val="ListNumber2"/>
        <w:tabs>
          <w:tab w:val="clear" w:pos="643"/>
          <w:tab w:val="num" w:pos="1080"/>
        </w:tabs>
        <w:ind w:left="1080" w:hanging="797"/>
      </w:pPr>
      <w:r>
        <w:t xml:space="preserve">The </w:t>
      </w:r>
      <w:r w:rsidR="00F55507">
        <w:t xml:space="preserve">Bill proposes amendments to the post-sentence order regime in Div 105A of the Criminal Code.  </w:t>
      </w:r>
      <w:r w:rsidR="00AF5B5C">
        <w:t xml:space="preserve">The first thing to note is that </w:t>
      </w:r>
      <w:r w:rsidR="00951360">
        <w:t xml:space="preserve">there is </w:t>
      </w:r>
      <w:r w:rsidR="00B47321">
        <w:t xml:space="preserve">currently </w:t>
      </w:r>
      <w:r w:rsidR="00951360">
        <w:t xml:space="preserve">a </w:t>
      </w:r>
      <w:r w:rsidR="00466FEE">
        <w:t xml:space="preserve">separate </w:t>
      </w:r>
      <w:r w:rsidR="00951360">
        <w:t>substantial review of Div 105A being undertaken by the PJCIS.</w:t>
      </w:r>
    </w:p>
    <w:p w14:paraId="02343A3D" w14:textId="6C73F705" w:rsidR="00951360" w:rsidRDefault="00951360" w:rsidP="00EA17F9">
      <w:pPr>
        <w:pStyle w:val="ListNumber2"/>
        <w:tabs>
          <w:tab w:val="clear" w:pos="643"/>
          <w:tab w:val="num" w:pos="1080"/>
        </w:tabs>
        <w:ind w:left="1080" w:hanging="797"/>
      </w:pPr>
      <w:r>
        <w:t>Th</w:t>
      </w:r>
      <w:r w:rsidR="00C1309C">
        <w:t xml:space="preserve">is inquiry was referred to the PJCIS in May 2023 and the Commission </w:t>
      </w:r>
      <w:r w:rsidR="00A50E03">
        <w:t xml:space="preserve">made a submission on 23 June 2023.  </w:t>
      </w:r>
      <w:r w:rsidR="00531A37">
        <w:t xml:space="preserve">Significant </w:t>
      </w:r>
      <w:r w:rsidR="00A50E03">
        <w:t xml:space="preserve">change is required to Div 105A following revelations by the </w:t>
      </w:r>
      <w:r w:rsidR="007B0F35">
        <w:t xml:space="preserve">INSLM </w:t>
      </w:r>
      <w:r w:rsidR="00A50E03">
        <w:t xml:space="preserve">that the Commonwealth </w:t>
      </w:r>
      <w:r w:rsidR="00D27EBE">
        <w:t xml:space="preserve">has been relying on a risk assessment tool, VERA-2R, </w:t>
      </w:r>
      <w:r w:rsidR="005008AE">
        <w:t xml:space="preserve">in Div 105A proceedings despite </w:t>
      </w:r>
      <w:r w:rsidR="003C3757">
        <w:t xml:space="preserve">the conclusions in a report it </w:t>
      </w:r>
      <w:r w:rsidR="00DA3613">
        <w:t>commission</w:t>
      </w:r>
      <w:r w:rsidR="003C3757">
        <w:t>ed</w:t>
      </w:r>
      <w:r w:rsidR="00DA3613">
        <w:t xml:space="preserve"> </w:t>
      </w:r>
      <w:r w:rsidR="003C3757">
        <w:t xml:space="preserve">that </w:t>
      </w:r>
      <w:r w:rsidR="00C838C6">
        <w:t>the tool lacks a strong theoretical and empirical foundation, has poor inter-rater reliability and questionable predictive validity.</w:t>
      </w:r>
    </w:p>
    <w:p w14:paraId="6BC2BEFF" w14:textId="488F00A7" w:rsidR="007B0F35" w:rsidRDefault="002716CC" w:rsidP="00EA17F9">
      <w:pPr>
        <w:pStyle w:val="ListNumber2"/>
        <w:tabs>
          <w:tab w:val="clear" w:pos="643"/>
          <w:tab w:val="num" w:pos="1080"/>
        </w:tabs>
        <w:ind w:left="1080" w:hanging="797"/>
      </w:pPr>
      <w:r>
        <w:t xml:space="preserve">In a report </w:t>
      </w:r>
      <w:r w:rsidR="00897A36">
        <w:t xml:space="preserve">tabled in Parliament </w:t>
      </w:r>
      <w:r>
        <w:t>in March 2023, t</w:t>
      </w:r>
      <w:r w:rsidR="007B0F35">
        <w:t xml:space="preserve">he INSLM concluded </w:t>
      </w:r>
      <w:r w:rsidR="00386126">
        <w:t xml:space="preserve">that the continuing detention order </w:t>
      </w:r>
      <w:r w:rsidR="001A3B0D">
        <w:t xml:space="preserve">(CDO) </w:t>
      </w:r>
      <w:r w:rsidR="00386126">
        <w:t>regime could no longer be justified and recommended that it be repealed.</w:t>
      </w:r>
    </w:p>
    <w:p w14:paraId="0C30154A" w14:textId="3C94D326" w:rsidR="00C838C6" w:rsidRDefault="007C2226" w:rsidP="00EA17F9">
      <w:pPr>
        <w:pStyle w:val="ListNumber2"/>
        <w:tabs>
          <w:tab w:val="clear" w:pos="643"/>
          <w:tab w:val="num" w:pos="1080"/>
        </w:tabs>
        <w:ind w:left="1080" w:hanging="797"/>
      </w:pPr>
      <w:r>
        <w:t xml:space="preserve">The Commission does not seek to </w:t>
      </w:r>
      <w:r w:rsidR="00CD24B3">
        <w:t xml:space="preserve">deal with those </w:t>
      </w:r>
      <w:r>
        <w:t xml:space="preserve">matters as part of this </w:t>
      </w:r>
      <w:r w:rsidR="00CD24B3">
        <w:t>submission as it is the subject of a separate inquiry by the PJCIS.</w:t>
      </w:r>
    </w:p>
    <w:p w14:paraId="6E6A6C44" w14:textId="3B7C47E4" w:rsidR="00775976" w:rsidRDefault="000617FC" w:rsidP="00850D5B">
      <w:pPr>
        <w:pStyle w:val="ListNumber2"/>
        <w:tabs>
          <w:tab w:val="clear" w:pos="643"/>
          <w:tab w:val="num" w:pos="1080"/>
        </w:tabs>
        <w:ind w:left="1080" w:hanging="797"/>
      </w:pPr>
      <w:r>
        <w:lastRenderedPageBreak/>
        <w:t xml:space="preserve">This Bill proposes </w:t>
      </w:r>
      <w:r w:rsidR="001773A7">
        <w:t xml:space="preserve">one substantial </w:t>
      </w:r>
      <w:r w:rsidR="003B5606">
        <w:t xml:space="preserve">change to </w:t>
      </w:r>
      <w:r w:rsidR="00FC6819">
        <w:t>Div 105A</w:t>
      </w:r>
      <w:r w:rsidR="00775976">
        <w:t>.</w:t>
      </w:r>
      <w:r w:rsidR="001773A7">
        <w:t xml:space="preserve">  I</w:t>
      </w:r>
      <w:r w:rsidR="004B096A">
        <w:t xml:space="preserve">t proposes that additional information be included in the annual report </w:t>
      </w:r>
      <w:r w:rsidR="009F0A81">
        <w:t xml:space="preserve">that </w:t>
      </w:r>
      <w:r w:rsidR="004B096A">
        <w:t xml:space="preserve">the AFP Minister </w:t>
      </w:r>
      <w:r w:rsidR="009F0A81">
        <w:t>i</w:t>
      </w:r>
      <w:r w:rsidR="00397809">
        <w:t>s</w:t>
      </w:r>
      <w:r w:rsidR="009F0A81">
        <w:t xml:space="preserve"> required to table in Parliament.  The additional information</w:t>
      </w:r>
      <w:r w:rsidR="009B477F">
        <w:t xml:space="preserve"> includes information about:</w:t>
      </w:r>
    </w:p>
    <w:p w14:paraId="45594812" w14:textId="02566854" w:rsidR="009B477F" w:rsidRDefault="001A3B0D" w:rsidP="009B477F">
      <w:pPr>
        <w:pStyle w:val="ListNumber2"/>
        <w:numPr>
          <w:ilvl w:val="0"/>
          <w:numId w:val="14"/>
        </w:numPr>
      </w:pPr>
      <w:r>
        <w:t>the detention arrangements that applied to terrorist offenders subject to a CDO</w:t>
      </w:r>
    </w:p>
    <w:p w14:paraId="75C10FF4" w14:textId="0D41D65F" w:rsidR="001A3B0D" w:rsidRDefault="00C33626" w:rsidP="009B477F">
      <w:pPr>
        <w:pStyle w:val="ListNumber2"/>
        <w:numPr>
          <w:ilvl w:val="0"/>
          <w:numId w:val="14"/>
        </w:numPr>
      </w:pPr>
      <w:r>
        <w:t>the rehabilitation or treatment programs that were made available to terrorist offenders subject to a CDO</w:t>
      </w:r>
    </w:p>
    <w:p w14:paraId="2424120E" w14:textId="31E8D3CC" w:rsidR="00C33626" w:rsidRDefault="00AA6041" w:rsidP="009B477F">
      <w:pPr>
        <w:pStyle w:val="ListNumber2"/>
        <w:numPr>
          <w:ilvl w:val="0"/>
          <w:numId w:val="14"/>
        </w:numPr>
      </w:pPr>
      <w:r>
        <w:t>funding for the administration of Div 105A.</w:t>
      </w:r>
    </w:p>
    <w:p w14:paraId="2CE1956F" w14:textId="025918E4" w:rsidR="009B477F" w:rsidRDefault="001773A7" w:rsidP="00EA17F9">
      <w:pPr>
        <w:pStyle w:val="ListNumber2"/>
        <w:tabs>
          <w:tab w:val="clear" w:pos="643"/>
          <w:tab w:val="num" w:pos="1080"/>
        </w:tabs>
        <w:ind w:left="1080" w:hanging="797"/>
      </w:pPr>
      <w:r w:rsidRPr="00FC6EE2">
        <w:t xml:space="preserve">The Commission agrees with this proposed change, subject to the comments that it has made in its </w:t>
      </w:r>
      <w:r w:rsidR="00FC6EE2" w:rsidRPr="00FC6EE2">
        <w:t>June 2023 submission to the PJCIS about whether the CDO regime should continue.</w:t>
      </w:r>
    </w:p>
    <w:p w14:paraId="7879AC17" w14:textId="3DE18791" w:rsidR="00FC6EE2" w:rsidRPr="00FC6EE2" w:rsidRDefault="00FC6EE2" w:rsidP="000969FC">
      <w:pPr>
        <w:pStyle w:val="ListNumber2"/>
        <w:keepNext/>
        <w:numPr>
          <w:ilvl w:val="0"/>
          <w:numId w:val="0"/>
        </w:numPr>
        <w:ind w:left="1077"/>
        <w:rPr>
          <w:b/>
          <w:bCs/>
        </w:rPr>
      </w:pPr>
      <w:r w:rsidRPr="00FC6EE2">
        <w:rPr>
          <w:b/>
          <w:bCs/>
        </w:rPr>
        <w:t xml:space="preserve">Recommendation </w:t>
      </w:r>
      <w:r w:rsidR="00876D2C">
        <w:rPr>
          <w:b/>
          <w:bCs/>
        </w:rPr>
        <w:t>7</w:t>
      </w:r>
    </w:p>
    <w:p w14:paraId="6346AD30" w14:textId="3EF3D582" w:rsidR="00FC6EE2" w:rsidRDefault="00FC6EE2" w:rsidP="00FC6EE2">
      <w:pPr>
        <w:pStyle w:val="ListNumber2"/>
        <w:numPr>
          <w:ilvl w:val="0"/>
          <w:numId w:val="0"/>
        </w:numPr>
        <w:ind w:left="1080"/>
      </w:pPr>
      <w:r>
        <w:t xml:space="preserve">The Commission recommends that </w:t>
      </w:r>
      <w:r w:rsidR="00270EF8">
        <w:t xml:space="preserve">the </w:t>
      </w:r>
      <w:r w:rsidR="00B2118D">
        <w:t xml:space="preserve">items 53 to </w:t>
      </w:r>
      <w:r w:rsidR="00927512">
        <w:t xml:space="preserve">55 of </w:t>
      </w:r>
      <w:r w:rsidR="00270EF8">
        <w:t>Schedule 2 of the Bill dealing with post-sentence orders be passed.</w:t>
      </w:r>
    </w:p>
    <w:p w14:paraId="1F4AC72A" w14:textId="77777777" w:rsidR="000A12A2" w:rsidRDefault="004F551F" w:rsidP="000A12A2">
      <w:pPr>
        <w:pStyle w:val="Heading1"/>
      </w:pPr>
      <w:bookmarkStart w:id="24" w:name="_Toc147736300"/>
      <w:r>
        <w:t>Secrecy provisions</w:t>
      </w:r>
      <w:bookmarkEnd w:id="24"/>
    </w:p>
    <w:p w14:paraId="4A94FE88" w14:textId="3818605C" w:rsidR="00FC6EE2" w:rsidRDefault="007438EB" w:rsidP="00EA17F9">
      <w:pPr>
        <w:pStyle w:val="ListNumber2"/>
        <w:tabs>
          <w:tab w:val="clear" w:pos="643"/>
          <w:tab w:val="num" w:pos="1080"/>
        </w:tabs>
        <w:ind w:left="1080" w:hanging="797"/>
      </w:pPr>
      <w:r>
        <w:t>Part 2 of Schedule 2 of the Bill deals with a separate issue that is not directly related to the other counter-terrorism aspects of the Bill</w:t>
      </w:r>
      <w:r w:rsidR="00FC6EE2">
        <w:t>.</w:t>
      </w:r>
    </w:p>
    <w:p w14:paraId="6DA93813" w14:textId="68DD8006" w:rsidR="00B1429B" w:rsidRDefault="007438EB" w:rsidP="00EA17F9">
      <w:pPr>
        <w:pStyle w:val="ListNumber2"/>
        <w:tabs>
          <w:tab w:val="clear" w:pos="643"/>
          <w:tab w:val="num" w:pos="1080"/>
        </w:tabs>
        <w:ind w:left="1080" w:hanging="797"/>
      </w:pPr>
      <w:r>
        <w:t xml:space="preserve">It proposes to extend the sunset date for the </w:t>
      </w:r>
      <w:r w:rsidR="003621F4">
        <w:t xml:space="preserve">general secrecy </w:t>
      </w:r>
      <w:r>
        <w:t>offence under s 122.4 of the Criminal Code</w:t>
      </w:r>
      <w:r w:rsidR="006B1B38">
        <w:t xml:space="preserve"> </w:t>
      </w:r>
      <w:r w:rsidR="003621F4">
        <w:t xml:space="preserve">of unauthorised disclosure of </w:t>
      </w:r>
      <w:r w:rsidR="00B5551B">
        <w:t xml:space="preserve">information by current and former Commonwealth officers.  One element of the offence is that the person was under a duty not to disclose the information.  </w:t>
      </w:r>
      <w:r w:rsidR="008D49DC">
        <w:t xml:space="preserve">According to the Attorney-General, this element picks up duties in </w:t>
      </w:r>
      <w:r w:rsidR="00EE53F9">
        <w:t>approximately 296 other Commonwealth laws.</w:t>
      </w:r>
      <w:r w:rsidR="008301A6">
        <w:rPr>
          <w:rStyle w:val="EndnoteReference"/>
        </w:rPr>
        <w:endnoteReference w:id="61"/>
      </w:r>
      <w:r w:rsidR="00EE53F9">
        <w:t xml:space="preserve"> </w:t>
      </w:r>
    </w:p>
    <w:p w14:paraId="037830A4" w14:textId="07B083BD" w:rsidR="00B5551B" w:rsidRDefault="00EE53F9" w:rsidP="00EA17F9">
      <w:pPr>
        <w:pStyle w:val="ListNumber2"/>
        <w:tabs>
          <w:tab w:val="clear" w:pos="643"/>
          <w:tab w:val="num" w:pos="1080"/>
        </w:tabs>
        <w:ind w:left="1080" w:hanging="797"/>
      </w:pPr>
      <w:r>
        <w:t xml:space="preserve">In December </w:t>
      </w:r>
      <w:r w:rsidR="00B1429B">
        <w:t>2022, t</w:t>
      </w:r>
      <w:r>
        <w:t xml:space="preserve">he Attorney-General announced a review </w:t>
      </w:r>
      <w:r w:rsidR="00B1429B">
        <w:t>of Commonwealth secrecy offences and a report by his department was due to be delivered to Government by 31 August 2023.</w:t>
      </w:r>
    </w:p>
    <w:p w14:paraId="1180B872" w14:textId="7D8A2D96" w:rsidR="007438EB" w:rsidRDefault="00B1429B" w:rsidP="00EA17F9">
      <w:pPr>
        <w:pStyle w:val="ListNumber2"/>
        <w:tabs>
          <w:tab w:val="clear" w:pos="643"/>
          <w:tab w:val="num" w:pos="1080"/>
        </w:tabs>
        <w:ind w:left="1080" w:hanging="797"/>
      </w:pPr>
      <w:r>
        <w:t xml:space="preserve">The Bill proposes extending the general secrecy offence </w:t>
      </w:r>
      <w:r w:rsidR="006B1B38">
        <w:t xml:space="preserve">for a further 12 months </w:t>
      </w:r>
      <w:r>
        <w:t xml:space="preserve">to </w:t>
      </w:r>
      <w:r w:rsidR="00007EB3">
        <w:t xml:space="preserve">29 December 2024, </w:t>
      </w:r>
      <w:r w:rsidR="006B1B38">
        <w:t xml:space="preserve">pending the outcome of </w:t>
      </w:r>
      <w:r w:rsidR="00007EB3">
        <w:t xml:space="preserve">the Government’s consideration of the </w:t>
      </w:r>
      <w:r w:rsidR="009F560E">
        <w:t xml:space="preserve">current review </w:t>
      </w:r>
      <w:r w:rsidR="00B34ECC">
        <w:t>of secrecy offences.</w:t>
      </w:r>
    </w:p>
    <w:p w14:paraId="608A201B" w14:textId="7F4D0EC3" w:rsidR="00B34ECC" w:rsidRDefault="00AC4771" w:rsidP="00EA17F9">
      <w:pPr>
        <w:pStyle w:val="ListNumber2"/>
        <w:tabs>
          <w:tab w:val="clear" w:pos="643"/>
          <w:tab w:val="num" w:pos="1080"/>
        </w:tabs>
        <w:ind w:left="1080" w:hanging="797"/>
      </w:pPr>
      <w:r>
        <w:lastRenderedPageBreak/>
        <w:t xml:space="preserve">The Commission has previously expressed concern about the breadth and complexity of Commonwealth secrecy provisions.  </w:t>
      </w:r>
      <w:r w:rsidR="00B34ECC">
        <w:t>In circumstances</w:t>
      </w:r>
      <w:r>
        <w:t xml:space="preserve"> where the proposed extension of this general </w:t>
      </w:r>
      <w:r w:rsidR="00E074D3">
        <w:t xml:space="preserve">offence </w:t>
      </w:r>
      <w:r>
        <w:t>provision is part of an overall process that seeks to reduce this complexity</w:t>
      </w:r>
      <w:r w:rsidR="00B34ECC">
        <w:t xml:space="preserve">, the Commission </w:t>
      </w:r>
      <w:r w:rsidR="00B9214C">
        <w:t xml:space="preserve">considers that the extension </w:t>
      </w:r>
      <w:r w:rsidR="00D36AD0">
        <w:t>is warranted.</w:t>
      </w:r>
    </w:p>
    <w:p w14:paraId="14D3F7C1" w14:textId="744946ED" w:rsidR="00D36AD0" w:rsidRPr="004003DD" w:rsidRDefault="00D36AD0" w:rsidP="004003DD">
      <w:pPr>
        <w:pStyle w:val="ListNumber2"/>
        <w:keepNext/>
        <w:numPr>
          <w:ilvl w:val="0"/>
          <w:numId w:val="0"/>
        </w:numPr>
        <w:ind w:left="1077"/>
        <w:rPr>
          <w:b/>
          <w:bCs/>
        </w:rPr>
      </w:pPr>
      <w:r w:rsidRPr="004003DD">
        <w:rPr>
          <w:b/>
          <w:bCs/>
        </w:rPr>
        <w:t xml:space="preserve">Recommendation </w:t>
      </w:r>
      <w:r w:rsidR="00876D2C">
        <w:rPr>
          <w:b/>
          <w:bCs/>
        </w:rPr>
        <w:t>8</w:t>
      </w:r>
    </w:p>
    <w:p w14:paraId="79E0D249" w14:textId="26726B90" w:rsidR="00D36AD0" w:rsidRDefault="00D36AD0" w:rsidP="004003DD">
      <w:pPr>
        <w:pStyle w:val="ListNumber2"/>
        <w:numPr>
          <w:ilvl w:val="0"/>
          <w:numId w:val="0"/>
        </w:numPr>
        <w:ind w:left="1080"/>
      </w:pPr>
      <w:r>
        <w:t>The Commission recommends that the extension of the sunset</w:t>
      </w:r>
      <w:r w:rsidR="009913B4">
        <w:t xml:space="preserve">ting of s 122.4 in Part 2 of Schedule 2 of the Bill </w:t>
      </w:r>
      <w:proofErr w:type="gramStart"/>
      <w:r w:rsidR="009913B4">
        <w:t>be passed,</w:t>
      </w:r>
      <w:proofErr w:type="gramEnd"/>
      <w:r w:rsidR="009913B4">
        <w:t xml:space="preserve"> on the basis that </w:t>
      </w:r>
      <w:r w:rsidR="004003DD">
        <w:t>the Government intends over the next 12 months to reduce and rationalise the number of Commonwealth secrecy offences.</w:t>
      </w:r>
    </w:p>
    <w:bookmarkEnd w:id="7"/>
    <w:p w14:paraId="1F4139AC" w14:textId="244E45D1" w:rsidR="00551899" w:rsidRDefault="00551899" w:rsidP="000705F2">
      <w:pPr>
        <w:pStyle w:val="ListNumber"/>
        <w:numPr>
          <w:ilvl w:val="0"/>
          <w:numId w:val="0"/>
        </w:numPr>
      </w:pPr>
    </w:p>
    <w:p w14:paraId="01710864" w14:textId="77777777" w:rsidR="008956F2" w:rsidRDefault="008956F2">
      <w:pPr>
        <w:spacing w:before="0" w:after="0"/>
        <w:sectPr w:rsidR="008956F2" w:rsidSect="00A7615D">
          <w:headerReference w:type="even" r:id="rId20"/>
          <w:headerReference w:type="default" r:id="rId21"/>
          <w:footerReference w:type="even" r:id="rId22"/>
          <w:footerReference w:type="default" r:id="rId23"/>
          <w:headerReference w:type="first" r:id="rId24"/>
          <w:footerReference w:type="first" r:id="rId25"/>
          <w:endnotePr>
            <w:numFmt w:val="decimal"/>
          </w:endnotePr>
          <w:pgSz w:w="11906" w:h="16838" w:code="9"/>
          <w:pgMar w:top="2438" w:right="1418" w:bottom="1134" w:left="1418" w:header="907" w:footer="284" w:gutter="0"/>
          <w:pgNumType w:start="2"/>
          <w:cols w:space="708"/>
          <w:titlePg/>
          <w:docGrid w:linePitch="360"/>
        </w:sectPr>
      </w:pPr>
    </w:p>
    <w:p w14:paraId="47A38F0F" w14:textId="6D3A444A" w:rsidR="003C7479" w:rsidRDefault="003C7479" w:rsidP="003064F7">
      <w:pPr>
        <w:pStyle w:val="Heading1"/>
        <w:numPr>
          <w:ilvl w:val="0"/>
          <w:numId w:val="0"/>
        </w:numPr>
        <w:ind w:left="851" w:hanging="851"/>
        <w:jc w:val="center"/>
      </w:pPr>
      <w:bookmarkStart w:id="25" w:name="_Toc147736301"/>
      <w:r>
        <w:lastRenderedPageBreak/>
        <w:t>Appendix</w:t>
      </w:r>
      <w:r w:rsidR="0049756A">
        <w:t xml:space="preserve"> A</w:t>
      </w:r>
      <w:r>
        <w:t>: Control orders made</w:t>
      </w:r>
      <w:bookmarkEnd w:id="25"/>
    </w:p>
    <w:tbl>
      <w:tblPr>
        <w:tblStyle w:val="TableGrid"/>
        <w:tblW w:w="13315" w:type="dxa"/>
        <w:tblCellMar>
          <w:left w:w="115" w:type="dxa"/>
          <w:right w:w="115" w:type="dxa"/>
        </w:tblCellMar>
        <w:tblLook w:val="04A0" w:firstRow="1" w:lastRow="0" w:firstColumn="1" w:lastColumn="0" w:noHBand="0" w:noVBand="1"/>
      </w:tblPr>
      <w:tblGrid>
        <w:gridCol w:w="574"/>
        <w:gridCol w:w="2175"/>
        <w:gridCol w:w="1860"/>
        <w:gridCol w:w="2136"/>
        <w:gridCol w:w="6570"/>
      </w:tblGrid>
      <w:tr w:rsidR="00F452EA" w:rsidRPr="00A16709" w14:paraId="209BB9CB" w14:textId="77777777" w:rsidTr="00712F50">
        <w:trPr>
          <w:cantSplit/>
          <w:tblHeader/>
        </w:trPr>
        <w:tc>
          <w:tcPr>
            <w:tcW w:w="0" w:type="auto"/>
            <w:shd w:val="clear" w:color="auto" w:fill="DEEAF6" w:themeFill="accent1" w:themeFillTint="33"/>
          </w:tcPr>
          <w:p w14:paraId="5E1BECFA" w14:textId="77777777" w:rsidR="00F452EA" w:rsidRPr="00A16709" w:rsidRDefault="00F452EA" w:rsidP="008B025A">
            <w:pPr>
              <w:spacing w:before="0" w:after="0"/>
              <w:rPr>
                <w:b/>
                <w:bCs/>
              </w:rPr>
            </w:pPr>
            <w:r w:rsidRPr="00A16709">
              <w:rPr>
                <w:b/>
                <w:bCs/>
              </w:rPr>
              <w:t>No</w:t>
            </w:r>
          </w:p>
        </w:tc>
        <w:tc>
          <w:tcPr>
            <w:tcW w:w="0" w:type="auto"/>
            <w:shd w:val="clear" w:color="auto" w:fill="DEEAF6" w:themeFill="accent1" w:themeFillTint="33"/>
          </w:tcPr>
          <w:p w14:paraId="705F2A8E" w14:textId="77777777" w:rsidR="00F452EA" w:rsidRPr="00A16709" w:rsidRDefault="00F452EA" w:rsidP="008B025A">
            <w:pPr>
              <w:spacing w:before="0" w:after="0"/>
              <w:rPr>
                <w:b/>
                <w:bCs/>
              </w:rPr>
            </w:pPr>
            <w:r w:rsidRPr="00A16709">
              <w:rPr>
                <w:b/>
                <w:bCs/>
              </w:rPr>
              <w:t>Name</w:t>
            </w:r>
          </w:p>
        </w:tc>
        <w:tc>
          <w:tcPr>
            <w:tcW w:w="0" w:type="auto"/>
            <w:shd w:val="clear" w:color="auto" w:fill="DEEAF6" w:themeFill="accent1" w:themeFillTint="33"/>
          </w:tcPr>
          <w:p w14:paraId="0DF06D78" w14:textId="77777777" w:rsidR="00F452EA" w:rsidRPr="00A16709" w:rsidRDefault="00F452EA" w:rsidP="008B025A">
            <w:pPr>
              <w:spacing w:before="0" w:after="0"/>
              <w:rPr>
                <w:b/>
                <w:bCs/>
              </w:rPr>
            </w:pPr>
            <w:r w:rsidRPr="00A16709">
              <w:rPr>
                <w:b/>
                <w:bCs/>
              </w:rPr>
              <w:t xml:space="preserve">Interim </w:t>
            </w:r>
            <w:r>
              <w:rPr>
                <w:b/>
                <w:bCs/>
              </w:rPr>
              <w:t>control order</w:t>
            </w:r>
            <w:r w:rsidRPr="00A16709">
              <w:rPr>
                <w:b/>
                <w:bCs/>
              </w:rPr>
              <w:t xml:space="preserve"> date</w:t>
            </w:r>
          </w:p>
        </w:tc>
        <w:tc>
          <w:tcPr>
            <w:tcW w:w="2136" w:type="dxa"/>
            <w:shd w:val="clear" w:color="auto" w:fill="DEEAF6" w:themeFill="accent1" w:themeFillTint="33"/>
          </w:tcPr>
          <w:p w14:paraId="5BA44D03" w14:textId="77777777" w:rsidR="00F452EA" w:rsidRPr="00A16709" w:rsidRDefault="00F452EA" w:rsidP="008B025A">
            <w:pPr>
              <w:spacing w:before="0" w:after="0"/>
              <w:rPr>
                <w:b/>
                <w:bCs/>
              </w:rPr>
            </w:pPr>
            <w:r w:rsidRPr="00A16709">
              <w:rPr>
                <w:b/>
                <w:bCs/>
              </w:rPr>
              <w:t>Confirmation date</w:t>
            </w:r>
          </w:p>
        </w:tc>
        <w:tc>
          <w:tcPr>
            <w:tcW w:w="6570" w:type="dxa"/>
            <w:shd w:val="clear" w:color="auto" w:fill="DEEAF6" w:themeFill="accent1" w:themeFillTint="33"/>
          </w:tcPr>
          <w:p w14:paraId="492B63AD" w14:textId="77777777" w:rsidR="00F452EA" w:rsidRPr="00A16709" w:rsidRDefault="00F452EA" w:rsidP="008B025A">
            <w:pPr>
              <w:spacing w:before="0" w:after="0"/>
              <w:rPr>
                <w:b/>
                <w:bCs/>
              </w:rPr>
            </w:pPr>
            <w:r w:rsidRPr="00A16709">
              <w:rPr>
                <w:b/>
                <w:bCs/>
              </w:rPr>
              <w:t xml:space="preserve">Investigation stage when </w:t>
            </w:r>
            <w:r>
              <w:rPr>
                <w:b/>
                <w:bCs/>
              </w:rPr>
              <w:t xml:space="preserve">control order </w:t>
            </w:r>
            <w:r w:rsidRPr="00A16709">
              <w:rPr>
                <w:b/>
                <w:bCs/>
              </w:rPr>
              <w:t>made</w:t>
            </w:r>
          </w:p>
        </w:tc>
      </w:tr>
      <w:tr w:rsidR="00F452EA" w14:paraId="31608667" w14:textId="77777777" w:rsidTr="00712F50">
        <w:trPr>
          <w:cantSplit/>
        </w:trPr>
        <w:tc>
          <w:tcPr>
            <w:tcW w:w="0" w:type="auto"/>
          </w:tcPr>
          <w:p w14:paraId="11336156" w14:textId="77777777" w:rsidR="00F452EA" w:rsidRDefault="00F452EA" w:rsidP="00F452EA">
            <w:pPr>
              <w:pStyle w:val="ListParagraph"/>
              <w:numPr>
                <w:ilvl w:val="0"/>
                <w:numId w:val="21"/>
              </w:numPr>
              <w:spacing w:before="0" w:after="0"/>
              <w:ind w:left="144" w:firstLine="0"/>
            </w:pPr>
          </w:p>
        </w:tc>
        <w:tc>
          <w:tcPr>
            <w:tcW w:w="0" w:type="auto"/>
          </w:tcPr>
          <w:p w14:paraId="7B29E9BE" w14:textId="16B00F53" w:rsidR="00F452EA" w:rsidRPr="00323C55" w:rsidRDefault="00751C15" w:rsidP="008B025A">
            <w:pPr>
              <w:spacing w:before="0" w:after="0"/>
            </w:pPr>
            <w:r>
              <w:t xml:space="preserve">Mr </w:t>
            </w:r>
            <w:r w:rsidR="00F452EA" w:rsidRPr="00323C55">
              <w:t>Jack Thomas</w:t>
            </w:r>
          </w:p>
        </w:tc>
        <w:tc>
          <w:tcPr>
            <w:tcW w:w="0" w:type="auto"/>
          </w:tcPr>
          <w:p w14:paraId="11F9257F" w14:textId="77777777" w:rsidR="00F452EA" w:rsidRDefault="00F452EA" w:rsidP="008B025A">
            <w:pPr>
              <w:spacing w:before="0" w:after="0"/>
            </w:pPr>
            <w:r>
              <w:rPr>
                <w:rFonts w:cs="Open Sans"/>
              </w:rPr>
              <w:t>27 August 2006</w:t>
            </w:r>
          </w:p>
        </w:tc>
        <w:tc>
          <w:tcPr>
            <w:tcW w:w="2136" w:type="dxa"/>
          </w:tcPr>
          <w:p w14:paraId="1E203C33" w14:textId="77777777" w:rsidR="00F452EA" w:rsidRDefault="00F452EA" w:rsidP="008B025A">
            <w:pPr>
              <w:spacing w:before="0" w:after="0"/>
            </w:pPr>
            <w:r>
              <w:t>Not confirmed</w:t>
            </w:r>
          </w:p>
        </w:tc>
        <w:tc>
          <w:tcPr>
            <w:tcW w:w="6570" w:type="dxa"/>
          </w:tcPr>
          <w:p w14:paraId="55B239CE" w14:textId="77777777" w:rsidR="00F452EA" w:rsidRDefault="00F452EA" w:rsidP="008B025A">
            <w:pPr>
              <w:spacing w:before="0" w:after="0"/>
            </w:pPr>
            <w:r>
              <w:t>After acquittal for terrorism offences</w:t>
            </w:r>
          </w:p>
        </w:tc>
      </w:tr>
      <w:tr w:rsidR="00F452EA" w14:paraId="56FB011C" w14:textId="77777777" w:rsidTr="00712F50">
        <w:trPr>
          <w:cantSplit/>
        </w:trPr>
        <w:tc>
          <w:tcPr>
            <w:tcW w:w="0" w:type="auto"/>
          </w:tcPr>
          <w:p w14:paraId="5F10ECD7" w14:textId="77777777" w:rsidR="00F452EA" w:rsidRDefault="00F452EA" w:rsidP="00F452EA">
            <w:pPr>
              <w:pStyle w:val="ListParagraph"/>
              <w:numPr>
                <w:ilvl w:val="0"/>
                <w:numId w:val="21"/>
              </w:numPr>
              <w:spacing w:before="0" w:after="0"/>
              <w:ind w:left="144" w:firstLine="0"/>
            </w:pPr>
          </w:p>
        </w:tc>
        <w:tc>
          <w:tcPr>
            <w:tcW w:w="0" w:type="auto"/>
          </w:tcPr>
          <w:p w14:paraId="275AE2A0" w14:textId="534AB41B" w:rsidR="00F452EA" w:rsidRPr="00040FDF" w:rsidRDefault="00751C15" w:rsidP="008B025A">
            <w:pPr>
              <w:spacing w:before="0" w:after="0"/>
            </w:pPr>
            <w:r>
              <w:rPr>
                <w:rFonts w:cs="Open Sans"/>
              </w:rPr>
              <w:t xml:space="preserve">Mr </w:t>
            </w:r>
            <w:r w:rsidR="00F452EA" w:rsidRPr="00040FDF">
              <w:rPr>
                <w:rFonts w:cs="Open Sans"/>
              </w:rPr>
              <w:t>David Hicks</w:t>
            </w:r>
          </w:p>
        </w:tc>
        <w:tc>
          <w:tcPr>
            <w:tcW w:w="0" w:type="auto"/>
          </w:tcPr>
          <w:p w14:paraId="64B4EAE4" w14:textId="77777777" w:rsidR="00F452EA" w:rsidRDefault="00F452EA" w:rsidP="008B025A">
            <w:pPr>
              <w:spacing w:before="0" w:after="0"/>
            </w:pPr>
            <w:r>
              <w:rPr>
                <w:rFonts w:cs="Open Sans"/>
              </w:rPr>
              <w:t>21 December 2007</w:t>
            </w:r>
          </w:p>
        </w:tc>
        <w:tc>
          <w:tcPr>
            <w:tcW w:w="2136" w:type="dxa"/>
          </w:tcPr>
          <w:p w14:paraId="0BA413B5" w14:textId="77777777" w:rsidR="00F452EA" w:rsidRDefault="00F452EA" w:rsidP="008B025A">
            <w:pPr>
              <w:spacing w:before="0" w:after="0"/>
            </w:pPr>
            <w:r>
              <w:rPr>
                <w:rFonts w:cs="Open Sans"/>
              </w:rPr>
              <w:t>19 February 2008</w:t>
            </w:r>
          </w:p>
        </w:tc>
        <w:tc>
          <w:tcPr>
            <w:tcW w:w="6570" w:type="dxa"/>
          </w:tcPr>
          <w:p w14:paraId="3094C94B" w14:textId="77777777" w:rsidR="00F452EA" w:rsidRDefault="00F452EA" w:rsidP="008B025A">
            <w:pPr>
              <w:spacing w:before="0" w:after="0"/>
            </w:pPr>
            <w:r>
              <w:t>After controversial conviction in the US for a terrorism offence (which was ultimately set aside on 18 February 2015 by the United States Court of Military Commission Review)</w:t>
            </w:r>
          </w:p>
        </w:tc>
      </w:tr>
      <w:tr w:rsidR="00F452EA" w14:paraId="3EB6BF11" w14:textId="77777777" w:rsidTr="00712F50">
        <w:trPr>
          <w:cantSplit/>
        </w:trPr>
        <w:tc>
          <w:tcPr>
            <w:tcW w:w="0" w:type="auto"/>
          </w:tcPr>
          <w:p w14:paraId="76667838" w14:textId="77777777" w:rsidR="00F452EA" w:rsidRDefault="00F452EA" w:rsidP="00F452EA">
            <w:pPr>
              <w:pStyle w:val="ListParagraph"/>
              <w:numPr>
                <w:ilvl w:val="0"/>
                <w:numId w:val="21"/>
              </w:numPr>
              <w:spacing w:before="0" w:after="0"/>
              <w:ind w:left="144" w:firstLine="0"/>
            </w:pPr>
          </w:p>
        </w:tc>
        <w:tc>
          <w:tcPr>
            <w:tcW w:w="0" w:type="auto"/>
          </w:tcPr>
          <w:p w14:paraId="541EEF82" w14:textId="77777777" w:rsidR="00F452EA" w:rsidRDefault="00F452EA" w:rsidP="008B025A">
            <w:pPr>
              <w:spacing w:before="0" w:after="0"/>
            </w:pPr>
            <w:r>
              <w:t>Mr MO</w:t>
            </w:r>
          </w:p>
        </w:tc>
        <w:tc>
          <w:tcPr>
            <w:tcW w:w="0" w:type="auto"/>
          </w:tcPr>
          <w:p w14:paraId="41D72F1C" w14:textId="77777777" w:rsidR="00F452EA" w:rsidRDefault="00F452EA" w:rsidP="008B025A">
            <w:pPr>
              <w:spacing w:before="0" w:after="0"/>
            </w:pPr>
            <w:r>
              <w:rPr>
                <w:rFonts w:cs="Open Sans"/>
              </w:rPr>
              <w:t>17 December 2014</w:t>
            </w:r>
          </w:p>
        </w:tc>
        <w:tc>
          <w:tcPr>
            <w:tcW w:w="2136" w:type="dxa"/>
          </w:tcPr>
          <w:p w14:paraId="773719B0" w14:textId="77777777" w:rsidR="00F452EA" w:rsidRDefault="00F452EA" w:rsidP="008B025A">
            <w:pPr>
              <w:spacing w:before="0" w:after="0"/>
            </w:pPr>
            <w:r>
              <w:t>Not confirmed</w:t>
            </w:r>
          </w:p>
        </w:tc>
        <w:tc>
          <w:tcPr>
            <w:tcW w:w="6570" w:type="dxa"/>
          </w:tcPr>
          <w:p w14:paraId="17E170F2" w14:textId="77777777" w:rsidR="00F452EA" w:rsidRDefault="00F452EA" w:rsidP="008B025A">
            <w:pPr>
              <w:spacing w:before="0" w:after="0"/>
            </w:pPr>
            <w:r>
              <w:t>After conviction for an undisclosed offence</w:t>
            </w:r>
          </w:p>
        </w:tc>
      </w:tr>
      <w:tr w:rsidR="00F452EA" w14:paraId="483EB1C4" w14:textId="77777777" w:rsidTr="00712F50">
        <w:trPr>
          <w:cantSplit/>
        </w:trPr>
        <w:tc>
          <w:tcPr>
            <w:tcW w:w="0" w:type="auto"/>
          </w:tcPr>
          <w:p w14:paraId="03CCD023" w14:textId="77777777" w:rsidR="00F452EA" w:rsidRDefault="00F452EA" w:rsidP="00F452EA">
            <w:pPr>
              <w:pStyle w:val="ListParagraph"/>
              <w:numPr>
                <w:ilvl w:val="0"/>
                <w:numId w:val="21"/>
              </w:numPr>
              <w:spacing w:before="0" w:after="0"/>
              <w:ind w:left="144" w:firstLine="0"/>
            </w:pPr>
          </w:p>
        </w:tc>
        <w:tc>
          <w:tcPr>
            <w:tcW w:w="0" w:type="auto"/>
          </w:tcPr>
          <w:p w14:paraId="635983D6" w14:textId="77777777" w:rsidR="00F452EA" w:rsidRDefault="00F452EA" w:rsidP="008B025A">
            <w:pPr>
              <w:spacing w:before="0" w:after="0"/>
            </w:pPr>
            <w:r>
              <w:t>CO4</w:t>
            </w:r>
          </w:p>
        </w:tc>
        <w:tc>
          <w:tcPr>
            <w:tcW w:w="0" w:type="auto"/>
          </w:tcPr>
          <w:p w14:paraId="7C23A0A0" w14:textId="77777777" w:rsidR="00F452EA" w:rsidRDefault="00F452EA" w:rsidP="008B025A">
            <w:pPr>
              <w:spacing w:before="0" w:after="0"/>
              <w:rPr>
                <w:rFonts w:cs="Open Sans"/>
              </w:rPr>
            </w:pPr>
            <w:r w:rsidRPr="00E726F3">
              <w:rPr>
                <w:rFonts w:cs="Open Sans"/>
              </w:rPr>
              <w:t>17 December 2014</w:t>
            </w:r>
          </w:p>
        </w:tc>
        <w:tc>
          <w:tcPr>
            <w:tcW w:w="2136" w:type="dxa"/>
          </w:tcPr>
          <w:p w14:paraId="7DD60BF0" w14:textId="77777777" w:rsidR="00F452EA" w:rsidRDefault="00F452EA" w:rsidP="008B025A">
            <w:pPr>
              <w:spacing w:before="0" w:after="0"/>
            </w:pPr>
            <w:r>
              <w:t>Not confirmed</w:t>
            </w:r>
          </w:p>
        </w:tc>
        <w:tc>
          <w:tcPr>
            <w:tcW w:w="6570" w:type="dxa"/>
          </w:tcPr>
          <w:p w14:paraId="1794F319" w14:textId="77777777" w:rsidR="00F452EA" w:rsidRDefault="00F452EA" w:rsidP="008B025A">
            <w:pPr>
              <w:spacing w:before="0" w:after="0"/>
            </w:pPr>
            <w:r>
              <w:t>Unknown</w:t>
            </w:r>
          </w:p>
        </w:tc>
      </w:tr>
      <w:tr w:rsidR="00F452EA" w14:paraId="0B944727" w14:textId="77777777" w:rsidTr="00712F50">
        <w:trPr>
          <w:cantSplit/>
        </w:trPr>
        <w:tc>
          <w:tcPr>
            <w:tcW w:w="0" w:type="auto"/>
          </w:tcPr>
          <w:p w14:paraId="28368213" w14:textId="77777777" w:rsidR="00F452EA" w:rsidRDefault="00F452EA" w:rsidP="00F452EA">
            <w:pPr>
              <w:pStyle w:val="ListParagraph"/>
              <w:numPr>
                <w:ilvl w:val="0"/>
                <w:numId w:val="21"/>
              </w:numPr>
              <w:spacing w:before="0" w:after="0"/>
              <w:ind w:left="144" w:firstLine="0"/>
            </w:pPr>
          </w:p>
        </w:tc>
        <w:tc>
          <w:tcPr>
            <w:tcW w:w="0" w:type="auto"/>
          </w:tcPr>
          <w:p w14:paraId="4E28CC86" w14:textId="77777777" w:rsidR="00F452EA" w:rsidRDefault="00F452EA" w:rsidP="008B025A">
            <w:pPr>
              <w:spacing w:before="0" w:after="0"/>
            </w:pPr>
            <w:r>
              <w:t xml:space="preserve">Mr </w:t>
            </w:r>
            <w:r w:rsidRPr="00AF0D34">
              <w:rPr>
                <w:rFonts w:cs="Open Sans"/>
              </w:rPr>
              <w:t xml:space="preserve">Ahmad </w:t>
            </w:r>
            <w:proofErr w:type="spellStart"/>
            <w:r w:rsidRPr="00AF0D34">
              <w:rPr>
                <w:rFonts w:cs="Open Sans"/>
              </w:rPr>
              <w:t>Saiyer</w:t>
            </w:r>
            <w:proofErr w:type="spellEnd"/>
            <w:r w:rsidRPr="00AF0D34">
              <w:rPr>
                <w:rFonts w:cs="Open Sans"/>
              </w:rPr>
              <w:t xml:space="preserve"> </w:t>
            </w:r>
            <w:proofErr w:type="spellStart"/>
            <w:r w:rsidRPr="00AF0D34">
              <w:rPr>
                <w:rFonts w:cs="Open Sans"/>
              </w:rPr>
              <w:t>Naizmand</w:t>
            </w:r>
            <w:proofErr w:type="spellEnd"/>
            <w:r>
              <w:rPr>
                <w:rFonts w:cs="Open Sans"/>
              </w:rPr>
              <w:t xml:space="preserve"> (#1)</w:t>
            </w:r>
          </w:p>
        </w:tc>
        <w:tc>
          <w:tcPr>
            <w:tcW w:w="0" w:type="auto"/>
          </w:tcPr>
          <w:p w14:paraId="0E3AFE4F" w14:textId="77777777" w:rsidR="00F452EA" w:rsidRPr="00E726F3" w:rsidRDefault="00F452EA" w:rsidP="008B025A">
            <w:pPr>
              <w:spacing w:before="0" w:after="0"/>
              <w:rPr>
                <w:rFonts w:cs="Open Sans"/>
              </w:rPr>
            </w:pPr>
            <w:r>
              <w:rPr>
                <w:rFonts w:cs="Open Sans"/>
              </w:rPr>
              <w:t>5 March 2015</w:t>
            </w:r>
          </w:p>
        </w:tc>
        <w:tc>
          <w:tcPr>
            <w:tcW w:w="2136" w:type="dxa"/>
          </w:tcPr>
          <w:p w14:paraId="083AD712" w14:textId="77777777" w:rsidR="00F452EA" w:rsidRDefault="00F452EA" w:rsidP="008B025A">
            <w:pPr>
              <w:spacing w:before="0" w:after="0"/>
            </w:pPr>
            <w:r>
              <w:rPr>
                <w:rFonts w:cs="Open Sans"/>
              </w:rPr>
              <w:t>30 November 2015</w:t>
            </w:r>
          </w:p>
        </w:tc>
        <w:tc>
          <w:tcPr>
            <w:tcW w:w="6570" w:type="dxa"/>
          </w:tcPr>
          <w:p w14:paraId="5459941F" w14:textId="77777777" w:rsidR="00F452EA" w:rsidRDefault="00F452EA" w:rsidP="008B025A">
            <w:pPr>
              <w:spacing w:before="0" w:after="0"/>
            </w:pPr>
            <w:r>
              <w:t xml:space="preserve">After conviction for a passport offence and while released on recognisance to be of good behaviour </w:t>
            </w:r>
          </w:p>
        </w:tc>
      </w:tr>
      <w:tr w:rsidR="00F452EA" w14:paraId="4EB53E20" w14:textId="77777777" w:rsidTr="00712F50">
        <w:trPr>
          <w:cantSplit/>
        </w:trPr>
        <w:tc>
          <w:tcPr>
            <w:tcW w:w="0" w:type="auto"/>
          </w:tcPr>
          <w:p w14:paraId="527A4722" w14:textId="77777777" w:rsidR="00F452EA" w:rsidRDefault="00F452EA" w:rsidP="00F452EA">
            <w:pPr>
              <w:pStyle w:val="ListParagraph"/>
              <w:numPr>
                <w:ilvl w:val="0"/>
                <w:numId w:val="21"/>
              </w:numPr>
              <w:spacing w:before="0" w:after="0"/>
              <w:ind w:left="144" w:firstLine="0"/>
            </w:pPr>
          </w:p>
        </w:tc>
        <w:tc>
          <w:tcPr>
            <w:tcW w:w="0" w:type="auto"/>
          </w:tcPr>
          <w:p w14:paraId="3807C462" w14:textId="77777777" w:rsidR="00F452EA" w:rsidRDefault="00F452EA" w:rsidP="008B025A">
            <w:pPr>
              <w:spacing w:before="0" w:after="0"/>
            </w:pPr>
            <w:r>
              <w:t xml:space="preserve">Mr </w:t>
            </w:r>
            <w:r w:rsidRPr="00AD64B3">
              <w:rPr>
                <w:rFonts w:cs="Open Sans"/>
              </w:rPr>
              <w:t>Harun Causevic</w:t>
            </w:r>
          </w:p>
        </w:tc>
        <w:tc>
          <w:tcPr>
            <w:tcW w:w="0" w:type="auto"/>
          </w:tcPr>
          <w:p w14:paraId="1D05C60F" w14:textId="77777777" w:rsidR="00F452EA" w:rsidRDefault="00F452EA" w:rsidP="008B025A">
            <w:pPr>
              <w:spacing w:before="0" w:after="0"/>
              <w:rPr>
                <w:rFonts w:cs="Open Sans"/>
              </w:rPr>
            </w:pPr>
            <w:r>
              <w:rPr>
                <w:rFonts w:cs="Open Sans"/>
              </w:rPr>
              <w:t xml:space="preserve">10 September </w:t>
            </w:r>
            <w:r w:rsidRPr="008822B5">
              <w:rPr>
                <w:rFonts w:cs="Open Sans"/>
              </w:rPr>
              <w:t>2015</w:t>
            </w:r>
          </w:p>
        </w:tc>
        <w:tc>
          <w:tcPr>
            <w:tcW w:w="2136" w:type="dxa"/>
          </w:tcPr>
          <w:p w14:paraId="018BFADB" w14:textId="77777777" w:rsidR="00F452EA" w:rsidRDefault="00F452EA" w:rsidP="008B025A">
            <w:pPr>
              <w:spacing w:before="0" w:after="0"/>
              <w:rPr>
                <w:rFonts w:cs="Open Sans"/>
              </w:rPr>
            </w:pPr>
            <w:r>
              <w:rPr>
                <w:rFonts w:cs="Open Sans"/>
              </w:rPr>
              <w:t>8 July 2016</w:t>
            </w:r>
          </w:p>
        </w:tc>
        <w:tc>
          <w:tcPr>
            <w:tcW w:w="6570" w:type="dxa"/>
          </w:tcPr>
          <w:p w14:paraId="72234905" w14:textId="77777777" w:rsidR="00F452EA" w:rsidRDefault="00F452EA" w:rsidP="008B025A">
            <w:pPr>
              <w:spacing w:before="0" w:after="0"/>
            </w:pPr>
            <w:r>
              <w:t>Investigation stage: after CDPP had decided there was no reasonable prospect of conviction</w:t>
            </w:r>
          </w:p>
        </w:tc>
      </w:tr>
      <w:tr w:rsidR="00F452EA" w14:paraId="03EFB3EB" w14:textId="77777777" w:rsidTr="00712F50">
        <w:trPr>
          <w:cantSplit/>
        </w:trPr>
        <w:tc>
          <w:tcPr>
            <w:tcW w:w="0" w:type="auto"/>
          </w:tcPr>
          <w:p w14:paraId="1A1D3A01" w14:textId="77777777" w:rsidR="00F452EA" w:rsidRDefault="00F452EA" w:rsidP="00F452EA">
            <w:pPr>
              <w:pStyle w:val="ListParagraph"/>
              <w:numPr>
                <w:ilvl w:val="0"/>
                <w:numId w:val="21"/>
              </w:numPr>
              <w:spacing w:before="0" w:after="0"/>
              <w:ind w:left="144" w:firstLine="0"/>
            </w:pPr>
          </w:p>
        </w:tc>
        <w:tc>
          <w:tcPr>
            <w:tcW w:w="0" w:type="auto"/>
          </w:tcPr>
          <w:p w14:paraId="6E46ECD0" w14:textId="77777777" w:rsidR="00F452EA" w:rsidRDefault="00F452EA" w:rsidP="008B025A">
            <w:pPr>
              <w:spacing w:before="0" w:after="0"/>
            </w:pPr>
            <w:r>
              <w:t>Mr EB</w:t>
            </w:r>
          </w:p>
        </w:tc>
        <w:tc>
          <w:tcPr>
            <w:tcW w:w="0" w:type="auto"/>
          </w:tcPr>
          <w:p w14:paraId="31F7C719" w14:textId="77777777" w:rsidR="00F452EA" w:rsidRDefault="00F452EA" w:rsidP="008B025A">
            <w:pPr>
              <w:spacing w:before="0" w:after="0"/>
              <w:rPr>
                <w:rFonts w:cs="Open Sans"/>
              </w:rPr>
            </w:pPr>
            <w:r>
              <w:rPr>
                <w:rFonts w:cs="Open Sans"/>
              </w:rPr>
              <w:t>30 January 2019</w:t>
            </w:r>
          </w:p>
        </w:tc>
        <w:tc>
          <w:tcPr>
            <w:tcW w:w="2136" w:type="dxa"/>
          </w:tcPr>
          <w:p w14:paraId="099DD457" w14:textId="77777777" w:rsidR="00F452EA" w:rsidRDefault="00F452EA" w:rsidP="008B025A">
            <w:pPr>
              <w:spacing w:before="0" w:after="0"/>
              <w:rPr>
                <w:rFonts w:cs="Open Sans"/>
              </w:rPr>
            </w:pPr>
            <w:r>
              <w:rPr>
                <w:rFonts w:cs="Open Sans"/>
              </w:rPr>
              <w:t>22 February 2019</w:t>
            </w:r>
          </w:p>
        </w:tc>
        <w:tc>
          <w:tcPr>
            <w:tcW w:w="6570" w:type="dxa"/>
          </w:tcPr>
          <w:p w14:paraId="06E7C14F" w14:textId="77777777" w:rsidR="00F452EA" w:rsidRDefault="00F452EA" w:rsidP="008B025A">
            <w:pPr>
              <w:spacing w:before="0" w:after="0"/>
            </w:pPr>
            <w:r>
              <w:t xml:space="preserve">After conviction for a terrorism offence: </w:t>
            </w:r>
            <w:r>
              <w:rPr>
                <w:rFonts w:cs="Open Sans"/>
              </w:rPr>
              <w:t>p</w:t>
            </w:r>
            <w:r w:rsidRPr="001E0E70">
              <w:rPr>
                <w:rFonts w:cs="Open Sans"/>
              </w:rPr>
              <w:t>reparation for incursion into foreign countr</w:t>
            </w:r>
            <w:r>
              <w:rPr>
                <w:rFonts w:cs="Open Sans"/>
              </w:rPr>
              <w:t>y</w:t>
            </w:r>
            <w:r w:rsidRPr="001E0E70">
              <w:rPr>
                <w:rFonts w:cs="Open Sans"/>
              </w:rPr>
              <w:t xml:space="preserve"> for purpose of engaging in hostile activities</w:t>
            </w:r>
            <w:r>
              <w:rPr>
                <w:rFonts w:cs="Open Sans"/>
              </w:rPr>
              <w:t xml:space="preserve"> (s 119</w:t>
            </w:r>
            <w:r>
              <w:rPr>
                <w:rFonts w:ascii="Verdana" w:hAnsi="Verdana"/>
                <w:color w:val="373739"/>
                <w:sz w:val="18"/>
                <w:szCs w:val="18"/>
                <w:shd w:val="clear" w:color="auto" w:fill="FFFFFF"/>
              </w:rPr>
              <w:t>.</w:t>
            </w:r>
            <w:r w:rsidRPr="00B86A2D">
              <w:rPr>
                <w:rFonts w:cs="Open Sans"/>
              </w:rPr>
              <w:t>4(1) of</w:t>
            </w:r>
            <w:r>
              <w:rPr>
                <w:rFonts w:cs="Open Sans"/>
              </w:rPr>
              <w:t xml:space="preserve"> Criminal Code)</w:t>
            </w:r>
          </w:p>
        </w:tc>
      </w:tr>
      <w:tr w:rsidR="00F452EA" w14:paraId="383785E6" w14:textId="77777777" w:rsidTr="00712F50">
        <w:trPr>
          <w:cantSplit/>
        </w:trPr>
        <w:tc>
          <w:tcPr>
            <w:tcW w:w="0" w:type="auto"/>
          </w:tcPr>
          <w:p w14:paraId="1DD5E509" w14:textId="77777777" w:rsidR="00F452EA" w:rsidRDefault="00F452EA" w:rsidP="00F452EA">
            <w:pPr>
              <w:pStyle w:val="ListParagraph"/>
              <w:numPr>
                <w:ilvl w:val="0"/>
                <w:numId w:val="21"/>
              </w:numPr>
              <w:spacing w:before="0" w:after="0"/>
              <w:ind w:left="144" w:firstLine="0"/>
            </w:pPr>
          </w:p>
        </w:tc>
        <w:tc>
          <w:tcPr>
            <w:tcW w:w="0" w:type="auto"/>
          </w:tcPr>
          <w:p w14:paraId="31C0599F" w14:textId="77777777" w:rsidR="00F452EA" w:rsidRPr="00963C4B" w:rsidRDefault="00F452EA" w:rsidP="008B025A">
            <w:pPr>
              <w:spacing w:before="0" w:after="0"/>
            </w:pPr>
            <w:proofErr w:type="spellStart"/>
            <w:r w:rsidRPr="00963C4B">
              <w:rPr>
                <w:lang w:val="en-US"/>
              </w:rPr>
              <w:t>Ms</w:t>
            </w:r>
            <w:proofErr w:type="spellEnd"/>
            <w:r w:rsidRPr="00963C4B">
              <w:rPr>
                <w:lang w:val="en-US"/>
              </w:rPr>
              <w:t xml:space="preserve"> </w:t>
            </w:r>
            <w:r w:rsidRPr="00963C4B">
              <w:t>Zainab</w:t>
            </w:r>
            <w:r w:rsidRPr="00963C4B">
              <w:rPr>
                <w:lang w:val="en-US"/>
              </w:rPr>
              <w:t xml:space="preserve"> Abdirahman-Khalif</w:t>
            </w:r>
            <w:r>
              <w:rPr>
                <w:lang w:val="en-US"/>
              </w:rPr>
              <w:t xml:space="preserve"> (#1)</w:t>
            </w:r>
          </w:p>
        </w:tc>
        <w:tc>
          <w:tcPr>
            <w:tcW w:w="0" w:type="auto"/>
          </w:tcPr>
          <w:p w14:paraId="3B3AE9F3" w14:textId="77777777" w:rsidR="00F452EA" w:rsidRDefault="00F452EA" w:rsidP="008B025A">
            <w:pPr>
              <w:spacing w:before="0" w:after="0"/>
              <w:rPr>
                <w:rFonts w:cs="Open Sans"/>
              </w:rPr>
            </w:pPr>
            <w:r w:rsidRPr="000817F8">
              <w:rPr>
                <w:rFonts w:cs="Open Sans"/>
              </w:rPr>
              <w:t>22 November 2019</w:t>
            </w:r>
          </w:p>
        </w:tc>
        <w:tc>
          <w:tcPr>
            <w:tcW w:w="2136" w:type="dxa"/>
          </w:tcPr>
          <w:p w14:paraId="5E2DEA2A" w14:textId="77777777" w:rsidR="00F452EA" w:rsidRDefault="00F452EA" w:rsidP="008B025A">
            <w:pPr>
              <w:spacing w:before="0" w:after="0"/>
              <w:rPr>
                <w:rFonts w:cs="Open Sans"/>
              </w:rPr>
            </w:pPr>
            <w:r>
              <w:rPr>
                <w:rFonts w:cs="Open Sans"/>
              </w:rPr>
              <w:t>17 July 2020</w:t>
            </w:r>
          </w:p>
        </w:tc>
        <w:tc>
          <w:tcPr>
            <w:tcW w:w="6570" w:type="dxa"/>
          </w:tcPr>
          <w:p w14:paraId="227D33C3" w14:textId="77777777" w:rsidR="00F452EA" w:rsidRDefault="00F452EA" w:rsidP="008B025A">
            <w:pPr>
              <w:spacing w:before="0" w:after="0"/>
            </w:pPr>
            <w:r>
              <w:t>After initial acquittal for terrorism offence (subsequently overturned) and while appeal to High Court pending</w:t>
            </w:r>
          </w:p>
        </w:tc>
      </w:tr>
      <w:tr w:rsidR="00F452EA" w14:paraId="681E419C" w14:textId="77777777" w:rsidTr="00712F50">
        <w:trPr>
          <w:cantSplit/>
        </w:trPr>
        <w:tc>
          <w:tcPr>
            <w:tcW w:w="0" w:type="auto"/>
          </w:tcPr>
          <w:p w14:paraId="45189C06" w14:textId="77777777" w:rsidR="00F452EA" w:rsidRDefault="00F452EA" w:rsidP="00F452EA">
            <w:pPr>
              <w:pStyle w:val="ListParagraph"/>
              <w:numPr>
                <w:ilvl w:val="0"/>
                <w:numId w:val="21"/>
              </w:numPr>
              <w:spacing w:before="0" w:after="0"/>
              <w:ind w:left="144" w:firstLine="0"/>
            </w:pPr>
          </w:p>
        </w:tc>
        <w:tc>
          <w:tcPr>
            <w:tcW w:w="0" w:type="auto"/>
          </w:tcPr>
          <w:p w14:paraId="5C26795B" w14:textId="77777777" w:rsidR="00F452EA" w:rsidRPr="00FB0CA8" w:rsidRDefault="00F452EA" w:rsidP="008B025A">
            <w:pPr>
              <w:spacing w:before="0" w:after="0"/>
              <w:rPr>
                <w:lang w:val="en-US"/>
              </w:rPr>
            </w:pPr>
            <w:proofErr w:type="spellStart"/>
            <w:r>
              <w:rPr>
                <w:rFonts w:cs="Open Sans"/>
                <w:lang w:val="en-US"/>
              </w:rPr>
              <w:t>Ms</w:t>
            </w:r>
            <w:proofErr w:type="spellEnd"/>
            <w:r>
              <w:rPr>
                <w:rFonts w:cs="Open Sans"/>
                <w:lang w:val="en-US"/>
              </w:rPr>
              <w:t xml:space="preserve"> </w:t>
            </w:r>
            <w:r w:rsidRPr="00FB0CA8">
              <w:rPr>
                <w:rFonts w:cs="Open Sans"/>
                <w:lang w:val="en-US"/>
              </w:rPr>
              <w:t xml:space="preserve">Alo-Bridget </w:t>
            </w:r>
            <w:proofErr w:type="spellStart"/>
            <w:r w:rsidRPr="00FB0CA8">
              <w:rPr>
                <w:rFonts w:cs="Open Sans"/>
                <w:lang w:val="en-US"/>
              </w:rPr>
              <w:t>Namoa</w:t>
            </w:r>
            <w:proofErr w:type="spellEnd"/>
            <w:r>
              <w:rPr>
                <w:rFonts w:cs="Open Sans"/>
                <w:lang w:val="en-US"/>
              </w:rPr>
              <w:t xml:space="preserve"> (#1)</w:t>
            </w:r>
          </w:p>
        </w:tc>
        <w:tc>
          <w:tcPr>
            <w:tcW w:w="0" w:type="auto"/>
          </w:tcPr>
          <w:p w14:paraId="4B0A7678" w14:textId="77777777" w:rsidR="00F452EA" w:rsidRDefault="00F452EA" w:rsidP="008B025A">
            <w:pPr>
              <w:spacing w:before="0" w:after="0"/>
              <w:rPr>
                <w:rFonts w:cs="Open Sans"/>
              </w:rPr>
            </w:pPr>
            <w:r>
              <w:rPr>
                <w:rFonts w:cs="Open Sans"/>
                <w:lang w:val="en-US"/>
              </w:rPr>
              <w:t>19 December 2019</w:t>
            </w:r>
          </w:p>
        </w:tc>
        <w:tc>
          <w:tcPr>
            <w:tcW w:w="2136" w:type="dxa"/>
          </w:tcPr>
          <w:p w14:paraId="6B6FAE56" w14:textId="77777777" w:rsidR="00F452EA" w:rsidRDefault="00F452EA" w:rsidP="008B025A">
            <w:pPr>
              <w:spacing w:before="0" w:after="0"/>
              <w:rPr>
                <w:rFonts w:cs="Open Sans"/>
              </w:rPr>
            </w:pPr>
            <w:r>
              <w:rPr>
                <w:rFonts w:cs="Open Sans"/>
                <w:lang w:val="en-US"/>
              </w:rPr>
              <w:t>3 February 2020</w:t>
            </w:r>
          </w:p>
        </w:tc>
        <w:tc>
          <w:tcPr>
            <w:tcW w:w="6570" w:type="dxa"/>
          </w:tcPr>
          <w:p w14:paraId="368003CB" w14:textId="77777777" w:rsidR="00F452EA" w:rsidRDefault="00F452EA" w:rsidP="008B025A">
            <w:pPr>
              <w:spacing w:before="0" w:after="0"/>
            </w:pPr>
            <w:r>
              <w:t xml:space="preserve">After conviction for a terrorism offence: </w:t>
            </w:r>
            <w:r w:rsidRPr="002359D1">
              <w:t xml:space="preserve">conspiring to do acts in preparation for a terrorist act </w:t>
            </w:r>
            <w:r>
              <w:t>(</w:t>
            </w:r>
            <w:r w:rsidRPr="002359D1">
              <w:t>ss 11.5(1) and 101.6(1)</w:t>
            </w:r>
            <w:r>
              <w:t xml:space="preserve"> of Criminal Code)</w:t>
            </w:r>
          </w:p>
        </w:tc>
      </w:tr>
      <w:tr w:rsidR="00F452EA" w14:paraId="00567563" w14:textId="77777777" w:rsidTr="00712F50">
        <w:trPr>
          <w:cantSplit/>
        </w:trPr>
        <w:tc>
          <w:tcPr>
            <w:tcW w:w="0" w:type="auto"/>
          </w:tcPr>
          <w:p w14:paraId="6BC7E6B8" w14:textId="77777777" w:rsidR="00F452EA" w:rsidRDefault="00F452EA" w:rsidP="00F452EA">
            <w:pPr>
              <w:pStyle w:val="ListParagraph"/>
              <w:numPr>
                <w:ilvl w:val="0"/>
                <w:numId w:val="21"/>
              </w:numPr>
              <w:spacing w:before="0" w:after="0"/>
              <w:ind w:left="144" w:firstLine="0"/>
            </w:pPr>
          </w:p>
        </w:tc>
        <w:tc>
          <w:tcPr>
            <w:tcW w:w="0" w:type="auto"/>
          </w:tcPr>
          <w:p w14:paraId="6EEB1402" w14:textId="77777777" w:rsidR="00F452EA" w:rsidRPr="001009C6" w:rsidRDefault="00F452EA" w:rsidP="008B025A">
            <w:pPr>
              <w:spacing w:before="0" w:after="0"/>
              <w:rPr>
                <w:lang w:val="en-US"/>
              </w:rPr>
            </w:pPr>
            <w:r>
              <w:rPr>
                <w:rFonts w:cs="Open Sans"/>
              </w:rPr>
              <w:t xml:space="preserve">Mr </w:t>
            </w:r>
            <w:r w:rsidRPr="001009C6">
              <w:rPr>
                <w:rFonts w:cs="Open Sans"/>
              </w:rPr>
              <w:t>Murat Kaya</w:t>
            </w:r>
          </w:p>
        </w:tc>
        <w:tc>
          <w:tcPr>
            <w:tcW w:w="0" w:type="auto"/>
          </w:tcPr>
          <w:p w14:paraId="4B6B719C" w14:textId="77777777" w:rsidR="00F452EA" w:rsidRDefault="00F452EA" w:rsidP="008B025A">
            <w:pPr>
              <w:spacing w:before="0" w:after="0"/>
              <w:rPr>
                <w:rFonts w:cs="Open Sans"/>
              </w:rPr>
            </w:pPr>
            <w:r>
              <w:rPr>
                <w:rFonts w:cs="Open Sans"/>
              </w:rPr>
              <w:t>22 January 2020</w:t>
            </w:r>
          </w:p>
        </w:tc>
        <w:tc>
          <w:tcPr>
            <w:tcW w:w="2136" w:type="dxa"/>
          </w:tcPr>
          <w:p w14:paraId="73F24243" w14:textId="77777777" w:rsidR="00F452EA" w:rsidRDefault="00F452EA" w:rsidP="008B025A">
            <w:pPr>
              <w:spacing w:before="0" w:after="0"/>
              <w:rPr>
                <w:rFonts w:cs="Open Sans"/>
              </w:rPr>
            </w:pPr>
            <w:r>
              <w:rPr>
                <w:rFonts w:cs="Open Sans"/>
              </w:rPr>
              <w:t>29 July 2020</w:t>
            </w:r>
          </w:p>
        </w:tc>
        <w:tc>
          <w:tcPr>
            <w:tcW w:w="6570" w:type="dxa"/>
          </w:tcPr>
          <w:p w14:paraId="2FE50751" w14:textId="77777777" w:rsidR="00F452EA" w:rsidRDefault="00F452EA" w:rsidP="008B025A">
            <w:pPr>
              <w:spacing w:before="0" w:after="0"/>
            </w:pPr>
            <w:r>
              <w:t xml:space="preserve">After conviction for a terrorism offence: </w:t>
            </w:r>
            <w:r>
              <w:rPr>
                <w:rFonts w:cs="Open Sans"/>
              </w:rPr>
              <w:t>p</w:t>
            </w:r>
            <w:r w:rsidRPr="001E0E70">
              <w:rPr>
                <w:rFonts w:cs="Open Sans"/>
              </w:rPr>
              <w:t>reparation for incursion into foreign countr</w:t>
            </w:r>
            <w:r>
              <w:rPr>
                <w:rFonts w:cs="Open Sans"/>
              </w:rPr>
              <w:t>y</w:t>
            </w:r>
            <w:r w:rsidRPr="001E0E70">
              <w:rPr>
                <w:rFonts w:cs="Open Sans"/>
              </w:rPr>
              <w:t xml:space="preserve"> for purpose of engaging in hostile activities</w:t>
            </w:r>
            <w:r>
              <w:rPr>
                <w:rFonts w:cs="Open Sans"/>
              </w:rPr>
              <w:t xml:space="preserve"> (s 119</w:t>
            </w:r>
            <w:r>
              <w:rPr>
                <w:rFonts w:ascii="Verdana" w:hAnsi="Verdana"/>
                <w:color w:val="373739"/>
                <w:sz w:val="18"/>
                <w:szCs w:val="18"/>
                <w:shd w:val="clear" w:color="auto" w:fill="FFFFFF"/>
              </w:rPr>
              <w:t>.</w:t>
            </w:r>
            <w:r w:rsidRPr="00B86A2D">
              <w:rPr>
                <w:rFonts w:cs="Open Sans"/>
              </w:rPr>
              <w:t>4(1) of</w:t>
            </w:r>
            <w:r>
              <w:rPr>
                <w:rFonts w:cs="Open Sans"/>
              </w:rPr>
              <w:t xml:space="preserve"> Criminal Code)</w:t>
            </w:r>
          </w:p>
        </w:tc>
      </w:tr>
      <w:tr w:rsidR="00F452EA" w14:paraId="38258735" w14:textId="77777777" w:rsidTr="00712F50">
        <w:trPr>
          <w:cantSplit/>
        </w:trPr>
        <w:tc>
          <w:tcPr>
            <w:tcW w:w="0" w:type="auto"/>
          </w:tcPr>
          <w:p w14:paraId="0FE20AF8" w14:textId="77777777" w:rsidR="00F452EA" w:rsidRDefault="00F452EA" w:rsidP="00F452EA">
            <w:pPr>
              <w:pStyle w:val="ListParagraph"/>
              <w:numPr>
                <w:ilvl w:val="0"/>
                <w:numId w:val="21"/>
              </w:numPr>
              <w:spacing w:before="0" w:after="0"/>
              <w:ind w:left="144" w:firstLine="0"/>
            </w:pPr>
          </w:p>
        </w:tc>
        <w:tc>
          <w:tcPr>
            <w:tcW w:w="0" w:type="auto"/>
          </w:tcPr>
          <w:p w14:paraId="6DCB81D1" w14:textId="77777777" w:rsidR="00F452EA" w:rsidRDefault="00F452EA" w:rsidP="008B025A">
            <w:pPr>
              <w:spacing w:before="0" w:after="0"/>
              <w:rPr>
                <w:lang w:val="en-US"/>
              </w:rPr>
            </w:pPr>
            <w:r>
              <w:t xml:space="preserve">Mr </w:t>
            </w:r>
            <w:r w:rsidRPr="00AF0D34">
              <w:rPr>
                <w:rFonts w:cs="Open Sans"/>
              </w:rPr>
              <w:t xml:space="preserve">Ahmad </w:t>
            </w:r>
            <w:proofErr w:type="spellStart"/>
            <w:r w:rsidRPr="00AF0D34">
              <w:rPr>
                <w:rFonts w:cs="Open Sans"/>
              </w:rPr>
              <w:t>Saiyer</w:t>
            </w:r>
            <w:proofErr w:type="spellEnd"/>
            <w:r w:rsidRPr="00AF0D34">
              <w:rPr>
                <w:rFonts w:cs="Open Sans"/>
              </w:rPr>
              <w:t xml:space="preserve"> </w:t>
            </w:r>
            <w:proofErr w:type="spellStart"/>
            <w:r w:rsidRPr="00AF0D34">
              <w:rPr>
                <w:rFonts w:cs="Open Sans"/>
              </w:rPr>
              <w:t>Naizmand</w:t>
            </w:r>
            <w:proofErr w:type="spellEnd"/>
            <w:r>
              <w:rPr>
                <w:rFonts w:cs="Open Sans"/>
              </w:rPr>
              <w:t xml:space="preserve"> (#2)</w:t>
            </w:r>
          </w:p>
        </w:tc>
        <w:tc>
          <w:tcPr>
            <w:tcW w:w="0" w:type="auto"/>
          </w:tcPr>
          <w:p w14:paraId="33402033" w14:textId="77777777" w:rsidR="00F452EA" w:rsidRDefault="00F452EA" w:rsidP="008B025A">
            <w:pPr>
              <w:spacing w:before="0" w:after="0"/>
              <w:rPr>
                <w:rFonts w:cs="Open Sans"/>
              </w:rPr>
            </w:pPr>
            <w:r>
              <w:rPr>
                <w:rFonts w:cs="Open Sans"/>
                <w:lang w:val="en-US"/>
              </w:rPr>
              <w:t>27 February 2020</w:t>
            </w:r>
          </w:p>
        </w:tc>
        <w:tc>
          <w:tcPr>
            <w:tcW w:w="2136" w:type="dxa"/>
          </w:tcPr>
          <w:p w14:paraId="3E201886" w14:textId="275745CD" w:rsidR="00F452EA" w:rsidRDefault="00813DBD" w:rsidP="008B025A">
            <w:pPr>
              <w:spacing w:before="0" w:after="0"/>
              <w:rPr>
                <w:rFonts w:cs="Open Sans"/>
              </w:rPr>
            </w:pPr>
            <w:r>
              <w:rPr>
                <w:rFonts w:cs="Open Sans"/>
              </w:rPr>
              <w:t>20 May 2020</w:t>
            </w:r>
          </w:p>
        </w:tc>
        <w:tc>
          <w:tcPr>
            <w:tcW w:w="6570" w:type="dxa"/>
          </w:tcPr>
          <w:p w14:paraId="705997E8" w14:textId="4D677B9A" w:rsidR="00F452EA" w:rsidRDefault="00F452EA" w:rsidP="008B025A">
            <w:pPr>
              <w:spacing w:before="0" w:after="0"/>
            </w:pPr>
            <w:r>
              <w:t>After conviction for terrorism offence: breach of first control order (s 104.27 of Criminal Code)</w:t>
            </w:r>
          </w:p>
        </w:tc>
      </w:tr>
      <w:tr w:rsidR="00F452EA" w14:paraId="66A36C37" w14:textId="77777777" w:rsidTr="00712F50">
        <w:trPr>
          <w:cantSplit/>
        </w:trPr>
        <w:tc>
          <w:tcPr>
            <w:tcW w:w="0" w:type="auto"/>
          </w:tcPr>
          <w:p w14:paraId="12C0D3B3" w14:textId="77777777" w:rsidR="00F452EA" w:rsidRDefault="00F452EA" w:rsidP="00F452EA">
            <w:pPr>
              <w:pStyle w:val="ListParagraph"/>
              <w:numPr>
                <w:ilvl w:val="0"/>
                <w:numId w:val="21"/>
              </w:numPr>
              <w:spacing w:before="0" w:after="0"/>
              <w:ind w:left="144" w:firstLine="0"/>
            </w:pPr>
          </w:p>
        </w:tc>
        <w:tc>
          <w:tcPr>
            <w:tcW w:w="0" w:type="auto"/>
          </w:tcPr>
          <w:p w14:paraId="0A862C88" w14:textId="77777777" w:rsidR="00F452EA" w:rsidRPr="00963C4B" w:rsidRDefault="00F452EA" w:rsidP="008B025A">
            <w:pPr>
              <w:spacing w:before="0" w:after="0"/>
              <w:rPr>
                <w:lang w:val="en-US"/>
              </w:rPr>
            </w:pPr>
            <w:r>
              <w:rPr>
                <w:lang w:val="en-US"/>
              </w:rPr>
              <w:t xml:space="preserve">Mr </w:t>
            </w:r>
            <w:r w:rsidRPr="009014EF">
              <w:rPr>
                <w:rFonts w:cs="Open Sans"/>
              </w:rPr>
              <w:t xml:space="preserve">Shayden </w:t>
            </w:r>
            <w:r>
              <w:rPr>
                <w:rFonts w:cs="Open Sans"/>
              </w:rPr>
              <w:t xml:space="preserve">Jamil </w:t>
            </w:r>
            <w:r w:rsidRPr="009014EF">
              <w:rPr>
                <w:rFonts w:cs="Open Sans"/>
              </w:rPr>
              <w:t>Thorne</w:t>
            </w:r>
            <w:r>
              <w:rPr>
                <w:rFonts w:cs="Open Sans"/>
              </w:rPr>
              <w:t xml:space="preserve"> (#1)</w:t>
            </w:r>
          </w:p>
        </w:tc>
        <w:tc>
          <w:tcPr>
            <w:tcW w:w="0" w:type="auto"/>
          </w:tcPr>
          <w:p w14:paraId="58672137" w14:textId="77777777" w:rsidR="00F452EA" w:rsidRDefault="00F452EA" w:rsidP="008B025A">
            <w:pPr>
              <w:spacing w:before="0" w:after="0"/>
              <w:rPr>
                <w:rFonts w:cs="Open Sans"/>
              </w:rPr>
            </w:pPr>
            <w:r>
              <w:rPr>
                <w:rFonts w:cs="Open Sans"/>
              </w:rPr>
              <w:t>6 March 2020</w:t>
            </w:r>
          </w:p>
        </w:tc>
        <w:tc>
          <w:tcPr>
            <w:tcW w:w="2136" w:type="dxa"/>
          </w:tcPr>
          <w:p w14:paraId="07722396" w14:textId="77777777" w:rsidR="00F452EA" w:rsidRDefault="00F452EA" w:rsidP="008B025A">
            <w:pPr>
              <w:spacing w:before="0" w:after="0"/>
              <w:rPr>
                <w:rFonts w:cs="Open Sans"/>
              </w:rPr>
            </w:pPr>
            <w:r>
              <w:rPr>
                <w:rFonts w:cs="Open Sans"/>
              </w:rPr>
              <w:t>17 August 2020</w:t>
            </w:r>
          </w:p>
        </w:tc>
        <w:tc>
          <w:tcPr>
            <w:tcW w:w="6570" w:type="dxa"/>
          </w:tcPr>
          <w:p w14:paraId="40CBD47C" w14:textId="77777777" w:rsidR="00F452EA" w:rsidRDefault="00F452EA" w:rsidP="008B025A">
            <w:pPr>
              <w:spacing w:before="0" w:after="0"/>
            </w:pPr>
            <w:r>
              <w:t xml:space="preserve">After conviction for a terrorism offence: </w:t>
            </w:r>
            <w:r>
              <w:rPr>
                <w:rFonts w:cs="Open Sans"/>
              </w:rPr>
              <w:t>p</w:t>
            </w:r>
            <w:r w:rsidRPr="001E0E70">
              <w:rPr>
                <w:rFonts w:cs="Open Sans"/>
              </w:rPr>
              <w:t>reparation for incursion into foreign countr</w:t>
            </w:r>
            <w:r>
              <w:rPr>
                <w:rFonts w:cs="Open Sans"/>
              </w:rPr>
              <w:t>y</w:t>
            </w:r>
            <w:r w:rsidRPr="001E0E70">
              <w:rPr>
                <w:rFonts w:cs="Open Sans"/>
              </w:rPr>
              <w:t xml:space="preserve"> for purpose of engaging in hostile activities</w:t>
            </w:r>
            <w:r>
              <w:rPr>
                <w:rFonts w:cs="Open Sans"/>
              </w:rPr>
              <w:t xml:space="preserve"> (s 119</w:t>
            </w:r>
            <w:r>
              <w:rPr>
                <w:rFonts w:ascii="Verdana" w:hAnsi="Verdana"/>
                <w:color w:val="373739"/>
                <w:sz w:val="18"/>
                <w:szCs w:val="18"/>
                <w:shd w:val="clear" w:color="auto" w:fill="FFFFFF"/>
              </w:rPr>
              <w:t>.</w:t>
            </w:r>
            <w:r w:rsidRPr="00B86A2D">
              <w:rPr>
                <w:rFonts w:cs="Open Sans"/>
              </w:rPr>
              <w:t>4(1) of</w:t>
            </w:r>
            <w:r>
              <w:rPr>
                <w:rFonts w:cs="Open Sans"/>
              </w:rPr>
              <w:t xml:space="preserve"> Criminal Code)</w:t>
            </w:r>
          </w:p>
        </w:tc>
      </w:tr>
      <w:tr w:rsidR="00F452EA" w14:paraId="48D9E2BE" w14:textId="77777777" w:rsidTr="00712F50">
        <w:trPr>
          <w:cantSplit/>
        </w:trPr>
        <w:tc>
          <w:tcPr>
            <w:tcW w:w="0" w:type="auto"/>
          </w:tcPr>
          <w:p w14:paraId="267B6BA6" w14:textId="77777777" w:rsidR="00F452EA" w:rsidRDefault="00F452EA" w:rsidP="00F452EA">
            <w:pPr>
              <w:pStyle w:val="ListParagraph"/>
              <w:numPr>
                <w:ilvl w:val="0"/>
                <w:numId w:val="21"/>
              </w:numPr>
              <w:spacing w:before="0" w:after="0"/>
              <w:ind w:left="144" w:firstLine="0"/>
            </w:pPr>
          </w:p>
        </w:tc>
        <w:tc>
          <w:tcPr>
            <w:tcW w:w="0" w:type="auto"/>
          </w:tcPr>
          <w:p w14:paraId="67DD87D5" w14:textId="77777777" w:rsidR="00F452EA" w:rsidRDefault="00F452EA" w:rsidP="008B025A">
            <w:pPr>
              <w:spacing w:before="0" w:after="0"/>
              <w:rPr>
                <w:lang w:val="en-US"/>
              </w:rPr>
            </w:pPr>
            <w:r>
              <w:rPr>
                <w:lang w:val="en-US"/>
              </w:rPr>
              <w:t xml:space="preserve">Mr </w:t>
            </w:r>
            <w:r w:rsidRPr="0087712F">
              <w:rPr>
                <w:rFonts w:cs="Open Sans"/>
              </w:rPr>
              <w:t>Paul James Dacre</w:t>
            </w:r>
            <w:r>
              <w:rPr>
                <w:rFonts w:cs="Open Sans"/>
              </w:rPr>
              <w:t xml:space="preserve"> (#1)</w:t>
            </w:r>
          </w:p>
        </w:tc>
        <w:tc>
          <w:tcPr>
            <w:tcW w:w="0" w:type="auto"/>
          </w:tcPr>
          <w:p w14:paraId="38B0EFFD" w14:textId="77777777" w:rsidR="00F452EA" w:rsidRDefault="00F452EA" w:rsidP="008B025A">
            <w:pPr>
              <w:spacing w:before="0" w:after="0"/>
              <w:rPr>
                <w:rFonts w:cs="Open Sans"/>
              </w:rPr>
            </w:pPr>
            <w:r>
              <w:rPr>
                <w:rFonts w:cs="Open Sans"/>
              </w:rPr>
              <w:t>14 May 2020</w:t>
            </w:r>
          </w:p>
        </w:tc>
        <w:tc>
          <w:tcPr>
            <w:tcW w:w="2136" w:type="dxa"/>
          </w:tcPr>
          <w:p w14:paraId="76F38F2E" w14:textId="77777777" w:rsidR="00F452EA" w:rsidRDefault="00F452EA" w:rsidP="008B025A">
            <w:pPr>
              <w:spacing w:before="0" w:after="0"/>
              <w:rPr>
                <w:rFonts w:cs="Open Sans"/>
              </w:rPr>
            </w:pPr>
            <w:r>
              <w:rPr>
                <w:rFonts w:cs="Open Sans"/>
              </w:rPr>
              <w:t>3 June 2020</w:t>
            </w:r>
          </w:p>
        </w:tc>
        <w:tc>
          <w:tcPr>
            <w:tcW w:w="6570" w:type="dxa"/>
          </w:tcPr>
          <w:p w14:paraId="78C8C27B" w14:textId="77777777" w:rsidR="00F452EA" w:rsidRDefault="00F452EA" w:rsidP="008B025A">
            <w:pPr>
              <w:spacing w:before="0" w:after="0"/>
            </w:pPr>
            <w:r>
              <w:t xml:space="preserve">After conviction for a terrorism offence: </w:t>
            </w:r>
            <w:r>
              <w:rPr>
                <w:rFonts w:cs="Open Sans"/>
              </w:rPr>
              <w:t>p</w:t>
            </w:r>
            <w:r w:rsidRPr="001E0E70">
              <w:rPr>
                <w:rFonts w:cs="Open Sans"/>
              </w:rPr>
              <w:t>reparation for incursion into foreign countr</w:t>
            </w:r>
            <w:r>
              <w:rPr>
                <w:rFonts w:cs="Open Sans"/>
              </w:rPr>
              <w:t>y</w:t>
            </w:r>
            <w:r w:rsidRPr="001E0E70">
              <w:rPr>
                <w:rFonts w:cs="Open Sans"/>
              </w:rPr>
              <w:t xml:space="preserve"> for purpose of engaging in hostile activities</w:t>
            </w:r>
            <w:r>
              <w:rPr>
                <w:rFonts w:cs="Open Sans"/>
              </w:rPr>
              <w:t xml:space="preserve"> (s 119</w:t>
            </w:r>
            <w:r>
              <w:rPr>
                <w:rFonts w:ascii="Verdana" w:hAnsi="Verdana"/>
                <w:color w:val="373739"/>
                <w:sz w:val="18"/>
                <w:szCs w:val="18"/>
                <w:shd w:val="clear" w:color="auto" w:fill="FFFFFF"/>
              </w:rPr>
              <w:t>.</w:t>
            </w:r>
            <w:r w:rsidRPr="00B86A2D">
              <w:rPr>
                <w:rFonts w:cs="Open Sans"/>
              </w:rPr>
              <w:t>4(1) of</w:t>
            </w:r>
            <w:r>
              <w:rPr>
                <w:rFonts w:cs="Open Sans"/>
              </w:rPr>
              <w:t xml:space="preserve"> Criminal Code)</w:t>
            </w:r>
          </w:p>
        </w:tc>
      </w:tr>
      <w:tr w:rsidR="00F452EA" w14:paraId="1408AC66" w14:textId="77777777" w:rsidTr="00712F50">
        <w:trPr>
          <w:cantSplit/>
        </w:trPr>
        <w:tc>
          <w:tcPr>
            <w:tcW w:w="0" w:type="auto"/>
          </w:tcPr>
          <w:p w14:paraId="69DC68D0" w14:textId="77777777" w:rsidR="00F452EA" w:rsidRDefault="00F452EA" w:rsidP="00F452EA">
            <w:pPr>
              <w:pStyle w:val="ListParagraph"/>
              <w:numPr>
                <w:ilvl w:val="0"/>
                <w:numId w:val="21"/>
              </w:numPr>
              <w:spacing w:before="0" w:after="0"/>
              <w:ind w:left="144" w:firstLine="0"/>
            </w:pPr>
          </w:p>
        </w:tc>
        <w:tc>
          <w:tcPr>
            <w:tcW w:w="0" w:type="auto"/>
          </w:tcPr>
          <w:p w14:paraId="47ADF2F1" w14:textId="77777777" w:rsidR="00F452EA" w:rsidRPr="00C5371F" w:rsidRDefault="00F452EA" w:rsidP="008B025A">
            <w:pPr>
              <w:spacing w:before="0" w:after="0"/>
              <w:rPr>
                <w:lang w:val="en-US"/>
              </w:rPr>
            </w:pPr>
            <w:r>
              <w:t xml:space="preserve">Mr </w:t>
            </w:r>
            <w:r w:rsidRPr="00C5371F">
              <w:t>Kadir Kaya</w:t>
            </w:r>
          </w:p>
        </w:tc>
        <w:tc>
          <w:tcPr>
            <w:tcW w:w="0" w:type="auto"/>
          </w:tcPr>
          <w:p w14:paraId="774DD94B" w14:textId="77777777" w:rsidR="00F452EA" w:rsidRDefault="00F452EA" w:rsidP="008B025A">
            <w:pPr>
              <w:spacing w:before="0" w:after="0"/>
              <w:rPr>
                <w:rFonts w:cs="Open Sans"/>
              </w:rPr>
            </w:pPr>
            <w:r>
              <w:rPr>
                <w:rFonts w:cs="Open Sans"/>
              </w:rPr>
              <w:t>28 May 2020</w:t>
            </w:r>
          </w:p>
        </w:tc>
        <w:tc>
          <w:tcPr>
            <w:tcW w:w="2136" w:type="dxa"/>
          </w:tcPr>
          <w:p w14:paraId="009618F9" w14:textId="77777777" w:rsidR="00F452EA" w:rsidRDefault="00F452EA" w:rsidP="008B025A">
            <w:pPr>
              <w:spacing w:before="0" w:after="0"/>
              <w:rPr>
                <w:rFonts w:cs="Open Sans"/>
              </w:rPr>
            </w:pPr>
            <w:r>
              <w:rPr>
                <w:rFonts w:cs="Open Sans"/>
              </w:rPr>
              <w:t>31 August 2020</w:t>
            </w:r>
          </w:p>
        </w:tc>
        <w:tc>
          <w:tcPr>
            <w:tcW w:w="6570" w:type="dxa"/>
          </w:tcPr>
          <w:p w14:paraId="1948AC5A" w14:textId="77777777" w:rsidR="00F452EA" w:rsidRDefault="00F452EA" w:rsidP="008B025A">
            <w:pPr>
              <w:spacing w:before="0" w:after="0"/>
            </w:pPr>
            <w:r>
              <w:t xml:space="preserve">After conviction for a terrorism offence: </w:t>
            </w:r>
            <w:r>
              <w:rPr>
                <w:rFonts w:cs="Open Sans"/>
              </w:rPr>
              <w:t>p</w:t>
            </w:r>
            <w:r w:rsidRPr="001E0E70">
              <w:rPr>
                <w:rFonts w:cs="Open Sans"/>
              </w:rPr>
              <w:t>reparation for incursion into foreign countr</w:t>
            </w:r>
            <w:r>
              <w:rPr>
                <w:rFonts w:cs="Open Sans"/>
              </w:rPr>
              <w:t>y</w:t>
            </w:r>
            <w:r w:rsidRPr="001E0E70">
              <w:rPr>
                <w:rFonts w:cs="Open Sans"/>
              </w:rPr>
              <w:t xml:space="preserve"> for purpose of engaging in hostile activities</w:t>
            </w:r>
            <w:r>
              <w:rPr>
                <w:rFonts w:cs="Open Sans"/>
              </w:rPr>
              <w:t xml:space="preserve"> (s 119</w:t>
            </w:r>
            <w:r>
              <w:rPr>
                <w:rFonts w:ascii="Verdana" w:hAnsi="Verdana"/>
                <w:color w:val="373739"/>
                <w:sz w:val="18"/>
                <w:szCs w:val="18"/>
                <w:shd w:val="clear" w:color="auto" w:fill="FFFFFF"/>
              </w:rPr>
              <w:t>.</w:t>
            </w:r>
            <w:r w:rsidRPr="00B86A2D">
              <w:rPr>
                <w:rFonts w:cs="Open Sans"/>
              </w:rPr>
              <w:t>4(1) of</w:t>
            </w:r>
            <w:r>
              <w:rPr>
                <w:rFonts w:cs="Open Sans"/>
              </w:rPr>
              <w:t xml:space="preserve"> Criminal Code)</w:t>
            </w:r>
          </w:p>
        </w:tc>
      </w:tr>
      <w:tr w:rsidR="00F452EA" w14:paraId="09FAF727" w14:textId="77777777" w:rsidTr="00712F50">
        <w:trPr>
          <w:cantSplit/>
        </w:trPr>
        <w:tc>
          <w:tcPr>
            <w:tcW w:w="0" w:type="auto"/>
          </w:tcPr>
          <w:p w14:paraId="2BCA90C5" w14:textId="77777777" w:rsidR="00F452EA" w:rsidRDefault="00F452EA" w:rsidP="00F452EA">
            <w:pPr>
              <w:pStyle w:val="ListParagraph"/>
              <w:numPr>
                <w:ilvl w:val="0"/>
                <w:numId w:val="21"/>
              </w:numPr>
              <w:spacing w:before="0" w:after="0"/>
              <w:ind w:left="144" w:firstLine="0"/>
            </w:pPr>
          </w:p>
        </w:tc>
        <w:tc>
          <w:tcPr>
            <w:tcW w:w="0" w:type="auto"/>
          </w:tcPr>
          <w:p w14:paraId="1520B13E" w14:textId="77777777" w:rsidR="00F452EA" w:rsidRDefault="00F452EA" w:rsidP="008B025A">
            <w:pPr>
              <w:spacing w:before="0" w:after="0"/>
            </w:pPr>
            <w:r>
              <w:t xml:space="preserve">Mr </w:t>
            </w:r>
            <w:r w:rsidRPr="00571751">
              <w:rPr>
                <w:rFonts w:cs="Open Sans"/>
              </w:rPr>
              <w:t>Antonino Granata</w:t>
            </w:r>
          </w:p>
        </w:tc>
        <w:tc>
          <w:tcPr>
            <w:tcW w:w="0" w:type="auto"/>
          </w:tcPr>
          <w:p w14:paraId="223C6749" w14:textId="77777777" w:rsidR="00F452EA" w:rsidRDefault="00F452EA" w:rsidP="008B025A">
            <w:pPr>
              <w:spacing w:before="0" w:after="0"/>
              <w:rPr>
                <w:rFonts w:cs="Open Sans"/>
              </w:rPr>
            </w:pPr>
            <w:r>
              <w:rPr>
                <w:rFonts w:cs="Open Sans"/>
              </w:rPr>
              <w:t>29 May 2020</w:t>
            </w:r>
          </w:p>
        </w:tc>
        <w:tc>
          <w:tcPr>
            <w:tcW w:w="2136" w:type="dxa"/>
          </w:tcPr>
          <w:p w14:paraId="02532FDB" w14:textId="77777777" w:rsidR="00F452EA" w:rsidRDefault="00F452EA" w:rsidP="008B025A">
            <w:pPr>
              <w:spacing w:before="0" w:after="0"/>
              <w:rPr>
                <w:rFonts w:cs="Open Sans"/>
              </w:rPr>
            </w:pPr>
            <w:r>
              <w:rPr>
                <w:rFonts w:cs="Open Sans"/>
              </w:rPr>
              <w:t>25 September 2020</w:t>
            </w:r>
          </w:p>
        </w:tc>
        <w:tc>
          <w:tcPr>
            <w:tcW w:w="6570" w:type="dxa"/>
          </w:tcPr>
          <w:p w14:paraId="4C5F9599" w14:textId="77777777" w:rsidR="00F452EA" w:rsidRDefault="00F452EA" w:rsidP="008B025A">
            <w:pPr>
              <w:spacing w:before="0" w:after="0"/>
            </w:pPr>
            <w:r>
              <w:t xml:space="preserve">After conviction for a terrorism offence: </w:t>
            </w:r>
            <w:r>
              <w:rPr>
                <w:rFonts w:cs="Open Sans"/>
              </w:rPr>
              <w:t>p</w:t>
            </w:r>
            <w:r w:rsidRPr="001E0E70">
              <w:rPr>
                <w:rFonts w:cs="Open Sans"/>
              </w:rPr>
              <w:t>reparation for incursion into foreign countr</w:t>
            </w:r>
            <w:r>
              <w:rPr>
                <w:rFonts w:cs="Open Sans"/>
              </w:rPr>
              <w:t>y</w:t>
            </w:r>
            <w:r w:rsidRPr="001E0E70">
              <w:rPr>
                <w:rFonts w:cs="Open Sans"/>
              </w:rPr>
              <w:t xml:space="preserve"> for purpose of engaging in hostile activities</w:t>
            </w:r>
            <w:r>
              <w:rPr>
                <w:rFonts w:cs="Open Sans"/>
              </w:rPr>
              <w:t xml:space="preserve"> (s 119</w:t>
            </w:r>
            <w:r>
              <w:rPr>
                <w:rFonts w:ascii="Verdana" w:hAnsi="Verdana"/>
                <w:color w:val="373739"/>
                <w:sz w:val="18"/>
                <w:szCs w:val="18"/>
                <w:shd w:val="clear" w:color="auto" w:fill="FFFFFF"/>
              </w:rPr>
              <w:t>.</w:t>
            </w:r>
            <w:r w:rsidRPr="00B86A2D">
              <w:rPr>
                <w:rFonts w:cs="Open Sans"/>
              </w:rPr>
              <w:t>4(1) of</w:t>
            </w:r>
            <w:r>
              <w:rPr>
                <w:rFonts w:cs="Open Sans"/>
              </w:rPr>
              <w:t xml:space="preserve"> Criminal Code)</w:t>
            </w:r>
          </w:p>
        </w:tc>
      </w:tr>
      <w:tr w:rsidR="00F452EA" w14:paraId="00C2741E" w14:textId="77777777" w:rsidTr="00712F50">
        <w:trPr>
          <w:cantSplit/>
        </w:trPr>
        <w:tc>
          <w:tcPr>
            <w:tcW w:w="0" w:type="auto"/>
          </w:tcPr>
          <w:p w14:paraId="7BE83675" w14:textId="77777777" w:rsidR="00F452EA" w:rsidRDefault="00F452EA" w:rsidP="00F452EA">
            <w:pPr>
              <w:pStyle w:val="ListParagraph"/>
              <w:numPr>
                <w:ilvl w:val="0"/>
                <w:numId w:val="21"/>
              </w:numPr>
              <w:spacing w:before="0" w:after="0"/>
              <w:ind w:left="144" w:firstLine="0"/>
            </w:pPr>
          </w:p>
        </w:tc>
        <w:tc>
          <w:tcPr>
            <w:tcW w:w="0" w:type="auto"/>
          </w:tcPr>
          <w:p w14:paraId="167E158D" w14:textId="77777777" w:rsidR="00F452EA" w:rsidRDefault="00F452EA" w:rsidP="008B025A">
            <w:pPr>
              <w:spacing w:before="0" w:after="0"/>
            </w:pPr>
            <w:r>
              <w:t xml:space="preserve">Mr Belal </w:t>
            </w:r>
            <w:proofErr w:type="spellStart"/>
            <w:r>
              <w:t>Saadallay</w:t>
            </w:r>
            <w:proofErr w:type="spellEnd"/>
            <w:r>
              <w:t xml:space="preserve"> </w:t>
            </w:r>
            <w:proofErr w:type="spellStart"/>
            <w:r>
              <w:t>Khazaal</w:t>
            </w:r>
            <w:proofErr w:type="spellEnd"/>
          </w:p>
        </w:tc>
        <w:tc>
          <w:tcPr>
            <w:tcW w:w="0" w:type="auto"/>
          </w:tcPr>
          <w:p w14:paraId="7E0D7D30" w14:textId="77777777" w:rsidR="00F452EA" w:rsidRDefault="00F452EA" w:rsidP="008B025A">
            <w:pPr>
              <w:spacing w:before="0" w:after="0"/>
              <w:rPr>
                <w:rFonts w:cs="Open Sans"/>
              </w:rPr>
            </w:pPr>
            <w:r>
              <w:rPr>
                <w:rFonts w:cs="Open Sans"/>
              </w:rPr>
              <w:t>26 August 2020</w:t>
            </w:r>
          </w:p>
        </w:tc>
        <w:tc>
          <w:tcPr>
            <w:tcW w:w="2136" w:type="dxa"/>
          </w:tcPr>
          <w:p w14:paraId="668898C4" w14:textId="77777777" w:rsidR="00F452EA" w:rsidRDefault="00F452EA" w:rsidP="008B025A">
            <w:pPr>
              <w:spacing w:before="0" w:after="0"/>
              <w:rPr>
                <w:rFonts w:cs="Open Sans"/>
              </w:rPr>
            </w:pPr>
            <w:r>
              <w:rPr>
                <w:rFonts w:cs="Open Sans"/>
              </w:rPr>
              <w:t>7 October 2020</w:t>
            </w:r>
          </w:p>
        </w:tc>
        <w:tc>
          <w:tcPr>
            <w:tcW w:w="6570" w:type="dxa"/>
          </w:tcPr>
          <w:p w14:paraId="21597AA3" w14:textId="77777777" w:rsidR="00F452EA" w:rsidRDefault="00F452EA" w:rsidP="008B025A">
            <w:pPr>
              <w:spacing w:before="0" w:after="0"/>
            </w:pPr>
            <w:r>
              <w:t>After conviction for a terrorism offence: making a document connected with assistance in a terrorist act (s 101.5(1) of Criminal Code)</w:t>
            </w:r>
          </w:p>
        </w:tc>
      </w:tr>
      <w:tr w:rsidR="00F452EA" w14:paraId="5BA64895" w14:textId="77777777" w:rsidTr="00712F50">
        <w:trPr>
          <w:cantSplit/>
        </w:trPr>
        <w:tc>
          <w:tcPr>
            <w:tcW w:w="0" w:type="auto"/>
          </w:tcPr>
          <w:p w14:paraId="3EED5F84" w14:textId="77777777" w:rsidR="00F452EA" w:rsidRDefault="00F452EA" w:rsidP="00F452EA">
            <w:pPr>
              <w:pStyle w:val="ListParagraph"/>
              <w:numPr>
                <w:ilvl w:val="0"/>
                <w:numId w:val="21"/>
              </w:numPr>
              <w:spacing w:before="0" w:after="0"/>
              <w:ind w:left="144" w:firstLine="0"/>
            </w:pPr>
          </w:p>
        </w:tc>
        <w:tc>
          <w:tcPr>
            <w:tcW w:w="0" w:type="auto"/>
          </w:tcPr>
          <w:p w14:paraId="337622C5" w14:textId="77777777" w:rsidR="00F452EA" w:rsidRDefault="00F452EA" w:rsidP="008B025A">
            <w:pPr>
              <w:spacing w:before="0" w:after="0"/>
            </w:pPr>
            <w:r>
              <w:t xml:space="preserve">Mr Abdul Nacer </w:t>
            </w:r>
            <w:proofErr w:type="spellStart"/>
            <w:r>
              <w:t>Benbrika</w:t>
            </w:r>
            <w:proofErr w:type="spellEnd"/>
          </w:p>
        </w:tc>
        <w:tc>
          <w:tcPr>
            <w:tcW w:w="0" w:type="auto"/>
          </w:tcPr>
          <w:p w14:paraId="5620C05F" w14:textId="77777777" w:rsidR="00F452EA" w:rsidRDefault="00F452EA" w:rsidP="008B025A">
            <w:pPr>
              <w:spacing w:before="0" w:after="0"/>
              <w:rPr>
                <w:rFonts w:cs="Open Sans"/>
              </w:rPr>
            </w:pPr>
            <w:r>
              <w:rPr>
                <w:rFonts w:cs="Open Sans"/>
              </w:rPr>
              <w:t>1 December 2020</w:t>
            </w:r>
          </w:p>
        </w:tc>
        <w:tc>
          <w:tcPr>
            <w:tcW w:w="2136" w:type="dxa"/>
          </w:tcPr>
          <w:p w14:paraId="4180F06D" w14:textId="77777777" w:rsidR="00F452EA" w:rsidRDefault="00F452EA" w:rsidP="008B025A">
            <w:pPr>
              <w:spacing w:before="0" w:after="0"/>
              <w:rPr>
                <w:rFonts w:cs="Open Sans"/>
              </w:rPr>
            </w:pPr>
            <w:r>
              <w:rPr>
                <w:rFonts w:cs="Open Sans"/>
              </w:rPr>
              <w:t>Not confirmed</w:t>
            </w:r>
          </w:p>
        </w:tc>
        <w:tc>
          <w:tcPr>
            <w:tcW w:w="6570" w:type="dxa"/>
          </w:tcPr>
          <w:p w14:paraId="0A945F5E" w14:textId="77777777" w:rsidR="00F452EA" w:rsidRDefault="00F452EA" w:rsidP="008B025A">
            <w:pPr>
              <w:spacing w:before="0" w:after="0"/>
            </w:pPr>
            <w:r>
              <w:t>After conviction for terrorism offences: being a member of a terrorist organisation and directing the activities of a terrorism organisation (ss 102.3(1) and 102.2(1) of Criminal Code)</w:t>
            </w:r>
          </w:p>
          <w:p w14:paraId="791B3D7C" w14:textId="77777777" w:rsidR="00F452EA" w:rsidRDefault="00F452EA" w:rsidP="008B025A">
            <w:pPr>
              <w:spacing w:before="0" w:after="0"/>
            </w:pPr>
          </w:p>
          <w:p w14:paraId="2512C1EC" w14:textId="7A8FB047" w:rsidR="00F452EA" w:rsidRDefault="00F452EA" w:rsidP="008B025A">
            <w:pPr>
              <w:spacing w:before="0" w:after="0"/>
            </w:pPr>
            <w:r>
              <w:t>Continuing detention order in force for three years from 24 December 2020</w:t>
            </w:r>
            <w:r w:rsidR="005F4099">
              <w:t>.</w:t>
            </w:r>
          </w:p>
        </w:tc>
      </w:tr>
      <w:tr w:rsidR="00F452EA" w14:paraId="6B2FA1E3" w14:textId="77777777" w:rsidTr="00712F50">
        <w:trPr>
          <w:cantSplit/>
        </w:trPr>
        <w:tc>
          <w:tcPr>
            <w:tcW w:w="0" w:type="auto"/>
          </w:tcPr>
          <w:p w14:paraId="153B71C5" w14:textId="77777777" w:rsidR="00F452EA" w:rsidRDefault="00F452EA" w:rsidP="00F452EA">
            <w:pPr>
              <w:pStyle w:val="ListParagraph"/>
              <w:numPr>
                <w:ilvl w:val="0"/>
                <w:numId w:val="21"/>
              </w:numPr>
              <w:spacing w:before="0" w:after="0"/>
              <w:ind w:left="144" w:firstLine="0"/>
            </w:pPr>
          </w:p>
        </w:tc>
        <w:tc>
          <w:tcPr>
            <w:tcW w:w="0" w:type="auto"/>
          </w:tcPr>
          <w:p w14:paraId="24884CCA" w14:textId="60DBB5F6" w:rsidR="00F452EA" w:rsidRDefault="00F452EA" w:rsidP="008B025A">
            <w:pPr>
              <w:spacing w:before="0" w:after="0"/>
              <w:rPr>
                <w:lang w:val="en-US"/>
              </w:rPr>
            </w:pPr>
            <w:r>
              <w:rPr>
                <w:lang w:val="en-US"/>
              </w:rPr>
              <w:t xml:space="preserve">Mr Radwan </w:t>
            </w:r>
            <w:proofErr w:type="spellStart"/>
            <w:r>
              <w:rPr>
                <w:lang w:val="en-US"/>
              </w:rPr>
              <w:t>Dakkak</w:t>
            </w:r>
            <w:proofErr w:type="spellEnd"/>
            <w:r w:rsidR="005978BA">
              <w:rPr>
                <w:lang w:val="en-US"/>
              </w:rPr>
              <w:t xml:space="preserve"> (#1)</w:t>
            </w:r>
          </w:p>
        </w:tc>
        <w:tc>
          <w:tcPr>
            <w:tcW w:w="0" w:type="auto"/>
          </w:tcPr>
          <w:p w14:paraId="1BF69A08" w14:textId="77777777" w:rsidR="00F452EA" w:rsidRDefault="00F452EA" w:rsidP="008B025A">
            <w:pPr>
              <w:spacing w:before="0" w:after="0"/>
              <w:rPr>
                <w:rFonts w:cs="Open Sans"/>
              </w:rPr>
            </w:pPr>
            <w:r>
              <w:rPr>
                <w:rFonts w:cs="Open Sans"/>
              </w:rPr>
              <w:t>31 December 2020</w:t>
            </w:r>
          </w:p>
        </w:tc>
        <w:tc>
          <w:tcPr>
            <w:tcW w:w="2136" w:type="dxa"/>
          </w:tcPr>
          <w:p w14:paraId="5E7FE4AB" w14:textId="77777777" w:rsidR="00F452EA" w:rsidRDefault="00F452EA" w:rsidP="008B025A">
            <w:pPr>
              <w:spacing w:before="0" w:after="0"/>
              <w:rPr>
                <w:rFonts w:cs="Open Sans"/>
              </w:rPr>
            </w:pPr>
            <w:r>
              <w:rPr>
                <w:rFonts w:cs="Open Sans"/>
              </w:rPr>
              <w:t>Not confirmed</w:t>
            </w:r>
          </w:p>
        </w:tc>
        <w:tc>
          <w:tcPr>
            <w:tcW w:w="6570" w:type="dxa"/>
          </w:tcPr>
          <w:p w14:paraId="02164D86" w14:textId="77777777" w:rsidR="00F452EA" w:rsidRDefault="00F452EA" w:rsidP="008B025A">
            <w:pPr>
              <w:spacing w:before="0" w:after="0"/>
            </w:pPr>
            <w:r>
              <w:t>After conviction for terrorism offences: associating with terrorist organisations (s 102.8(1) of Criminal Code)</w:t>
            </w:r>
          </w:p>
          <w:p w14:paraId="61770829" w14:textId="77777777" w:rsidR="002C57DE" w:rsidRDefault="002C57DE" w:rsidP="008B025A">
            <w:pPr>
              <w:spacing w:before="0" w:after="0"/>
            </w:pPr>
          </w:p>
          <w:p w14:paraId="6B746410" w14:textId="35B32490" w:rsidR="002C57DE" w:rsidRDefault="00A8448A" w:rsidP="008B025A">
            <w:pPr>
              <w:spacing w:before="0" w:after="0"/>
            </w:pPr>
            <w:r>
              <w:t xml:space="preserve">Arrested on </w:t>
            </w:r>
            <w:r w:rsidR="006D7327">
              <w:t>16 January 2021 and subsequently c</w:t>
            </w:r>
            <w:r w:rsidR="002C57DE">
              <w:t>onvicted of breach of interim control order prior to it being confirmed.</w:t>
            </w:r>
          </w:p>
        </w:tc>
      </w:tr>
      <w:tr w:rsidR="00F452EA" w14:paraId="3DA0E6AE" w14:textId="77777777" w:rsidTr="00712F50">
        <w:trPr>
          <w:cantSplit/>
        </w:trPr>
        <w:tc>
          <w:tcPr>
            <w:tcW w:w="0" w:type="auto"/>
          </w:tcPr>
          <w:p w14:paraId="1D6266D8" w14:textId="77777777" w:rsidR="00F452EA" w:rsidRDefault="00F452EA" w:rsidP="00F452EA">
            <w:pPr>
              <w:pStyle w:val="ListParagraph"/>
              <w:numPr>
                <w:ilvl w:val="0"/>
                <w:numId w:val="21"/>
              </w:numPr>
              <w:spacing w:before="0" w:after="0"/>
              <w:ind w:left="144" w:firstLine="0"/>
            </w:pPr>
          </w:p>
        </w:tc>
        <w:tc>
          <w:tcPr>
            <w:tcW w:w="0" w:type="auto"/>
          </w:tcPr>
          <w:p w14:paraId="63103D2A" w14:textId="77777777" w:rsidR="00F452EA" w:rsidRPr="00963C4B" w:rsidRDefault="00F452EA" w:rsidP="008B025A">
            <w:pPr>
              <w:spacing w:before="0" w:after="0"/>
              <w:rPr>
                <w:lang w:val="en-US"/>
              </w:rPr>
            </w:pPr>
            <w:r>
              <w:rPr>
                <w:lang w:val="en-US"/>
              </w:rPr>
              <w:t xml:space="preserve">Mr </w:t>
            </w:r>
            <w:r w:rsidRPr="009014EF">
              <w:rPr>
                <w:rFonts w:cs="Open Sans"/>
              </w:rPr>
              <w:t xml:space="preserve">Shayden </w:t>
            </w:r>
            <w:r>
              <w:rPr>
                <w:rFonts w:cs="Open Sans"/>
              </w:rPr>
              <w:t xml:space="preserve">Jamil </w:t>
            </w:r>
            <w:r w:rsidRPr="009014EF">
              <w:rPr>
                <w:rFonts w:cs="Open Sans"/>
              </w:rPr>
              <w:t>Thorne</w:t>
            </w:r>
            <w:r>
              <w:rPr>
                <w:rFonts w:cs="Open Sans"/>
              </w:rPr>
              <w:t xml:space="preserve"> (#2)</w:t>
            </w:r>
          </w:p>
        </w:tc>
        <w:tc>
          <w:tcPr>
            <w:tcW w:w="0" w:type="auto"/>
          </w:tcPr>
          <w:p w14:paraId="01076627" w14:textId="77777777" w:rsidR="00F452EA" w:rsidRDefault="00F452EA" w:rsidP="008B025A">
            <w:pPr>
              <w:spacing w:before="0" w:after="0"/>
              <w:rPr>
                <w:rFonts w:cs="Open Sans"/>
              </w:rPr>
            </w:pPr>
            <w:r>
              <w:rPr>
                <w:rFonts w:cs="Open Sans"/>
              </w:rPr>
              <w:t>5 March 2021</w:t>
            </w:r>
          </w:p>
        </w:tc>
        <w:tc>
          <w:tcPr>
            <w:tcW w:w="2136" w:type="dxa"/>
          </w:tcPr>
          <w:p w14:paraId="13E69D3E" w14:textId="77777777" w:rsidR="00F452EA" w:rsidRDefault="00F452EA" w:rsidP="008B025A">
            <w:pPr>
              <w:spacing w:before="0" w:after="0"/>
              <w:rPr>
                <w:rFonts w:cs="Open Sans"/>
              </w:rPr>
            </w:pPr>
            <w:r>
              <w:rPr>
                <w:rFonts w:cs="Open Sans"/>
              </w:rPr>
              <w:t>9 June 2021</w:t>
            </w:r>
          </w:p>
        </w:tc>
        <w:tc>
          <w:tcPr>
            <w:tcW w:w="6570" w:type="dxa"/>
          </w:tcPr>
          <w:p w14:paraId="112B1A69" w14:textId="77777777" w:rsidR="00F452EA" w:rsidRDefault="00F452EA" w:rsidP="008B025A">
            <w:pPr>
              <w:spacing w:before="0" w:after="0"/>
            </w:pPr>
            <w:r>
              <w:t xml:space="preserve">After conviction for a terrorism offence: </w:t>
            </w:r>
            <w:r>
              <w:rPr>
                <w:rFonts w:cs="Open Sans"/>
              </w:rPr>
              <w:t>p</w:t>
            </w:r>
            <w:r w:rsidRPr="001E0E70">
              <w:rPr>
                <w:rFonts w:cs="Open Sans"/>
              </w:rPr>
              <w:t>reparation for incursion into foreign countr</w:t>
            </w:r>
            <w:r>
              <w:rPr>
                <w:rFonts w:cs="Open Sans"/>
              </w:rPr>
              <w:t>y</w:t>
            </w:r>
            <w:r w:rsidRPr="001E0E70">
              <w:rPr>
                <w:rFonts w:cs="Open Sans"/>
              </w:rPr>
              <w:t xml:space="preserve"> for purpose of engaging in hostile activities</w:t>
            </w:r>
            <w:r>
              <w:rPr>
                <w:rFonts w:cs="Open Sans"/>
              </w:rPr>
              <w:t xml:space="preserve"> (s 119</w:t>
            </w:r>
            <w:r>
              <w:rPr>
                <w:rFonts w:ascii="Verdana" w:hAnsi="Verdana"/>
                <w:color w:val="373739"/>
                <w:sz w:val="18"/>
                <w:szCs w:val="18"/>
                <w:shd w:val="clear" w:color="auto" w:fill="FFFFFF"/>
              </w:rPr>
              <w:t>.</w:t>
            </w:r>
            <w:r w:rsidRPr="00B86A2D">
              <w:rPr>
                <w:rFonts w:cs="Open Sans"/>
              </w:rPr>
              <w:t>4(1) of</w:t>
            </w:r>
            <w:r>
              <w:rPr>
                <w:rFonts w:cs="Open Sans"/>
              </w:rPr>
              <w:t xml:space="preserve"> Criminal Code)</w:t>
            </w:r>
          </w:p>
        </w:tc>
      </w:tr>
      <w:tr w:rsidR="00F452EA" w14:paraId="441D7F84" w14:textId="77777777" w:rsidTr="00712F50">
        <w:trPr>
          <w:cantSplit/>
        </w:trPr>
        <w:tc>
          <w:tcPr>
            <w:tcW w:w="0" w:type="auto"/>
          </w:tcPr>
          <w:p w14:paraId="60BE69B4" w14:textId="77777777" w:rsidR="00F452EA" w:rsidRDefault="00F452EA" w:rsidP="00F452EA">
            <w:pPr>
              <w:pStyle w:val="ListParagraph"/>
              <w:numPr>
                <w:ilvl w:val="0"/>
                <w:numId w:val="21"/>
              </w:numPr>
              <w:spacing w:before="0" w:after="0"/>
              <w:ind w:left="144" w:firstLine="0"/>
            </w:pPr>
          </w:p>
        </w:tc>
        <w:tc>
          <w:tcPr>
            <w:tcW w:w="0" w:type="auto"/>
          </w:tcPr>
          <w:p w14:paraId="03EA014D" w14:textId="77777777" w:rsidR="00F452EA" w:rsidRDefault="00F452EA" w:rsidP="008B025A">
            <w:pPr>
              <w:spacing w:before="0" w:after="0"/>
            </w:pPr>
            <w:proofErr w:type="spellStart"/>
            <w:r w:rsidRPr="00963C4B">
              <w:rPr>
                <w:lang w:val="en-US"/>
              </w:rPr>
              <w:t>Ms</w:t>
            </w:r>
            <w:proofErr w:type="spellEnd"/>
            <w:r w:rsidRPr="00963C4B">
              <w:rPr>
                <w:lang w:val="en-US"/>
              </w:rPr>
              <w:t xml:space="preserve"> </w:t>
            </w:r>
            <w:r w:rsidRPr="00963C4B">
              <w:t>Zainab</w:t>
            </w:r>
            <w:r w:rsidRPr="00963C4B">
              <w:rPr>
                <w:lang w:val="en-US"/>
              </w:rPr>
              <w:t xml:space="preserve"> Abdirahman-Khalif</w:t>
            </w:r>
            <w:r>
              <w:rPr>
                <w:lang w:val="en-US"/>
              </w:rPr>
              <w:t xml:space="preserve"> (#2)</w:t>
            </w:r>
          </w:p>
        </w:tc>
        <w:tc>
          <w:tcPr>
            <w:tcW w:w="0" w:type="auto"/>
          </w:tcPr>
          <w:p w14:paraId="43409175" w14:textId="77777777" w:rsidR="00F452EA" w:rsidRDefault="00F452EA" w:rsidP="008B025A">
            <w:pPr>
              <w:spacing w:before="0" w:after="0"/>
              <w:rPr>
                <w:rFonts w:cs="Open Sans"/>
              </w:rPr>
            </w:pPr>
            <w:r>
              <w:rPr>
                <w:rFonts w:cs="Open Sans"/>
              </w:rPr>
              <w:t>4 May 2021</w:t>
            </w:r>
          </w:p>
        </w:tc>
        <w:tc>
          <w:tcPr>
            <w:tcW w:w="2136" w:type="dxa"/>
          </w:tcPr>
          <w:p w14:paraId="1F190EF8" w14:textId="77777777" w:rsidR="00F452EA" w:rsidRDefault="00F452EA" w:rsidP="008B025A">
            <w:pPr>
              <w:spacing w:before="0" w:after="0"/>
              <w:rPr>
                <w:rFonts w:cs="Open Sans"/>
              </w:rPr>
            </w:pPr>
            <w:r>
              <w:rPr>
                <w:rFonts w:cs="Open Sans"/>
              </w:rPr>
              <w:t>22 December 2021</w:t>
            </w:r>
          </w:p>
        </w:tc>
        <w:tc>
          <w:tcPr>
            <w:tcW w:w="6570" w:type="dxa"/>
          </w:tcPr>
          <w:p w14:paraId="1F60154A" w14:textId="4BFD7C92" w:rsidR="00F452EA" w:rsidRDefault="00F452EA" w:rsidP="008B025A">
            <w:pPr>
              <w:spacing w:before="0" w:after="0"/>
            </w:pPr>
            <w:r>
              <w:t>After conviction for a terrorism offence: intentionally taking steps to become a member of a terrorist organisation (</w:t>
            </w:r>
            <w:r w:rsidRPr="00927DB8">
              <w:t>s</w:t>
            </w:r>
            <w:r w:rsidR="00AA3CE3">
              <w:t> </w:t>
            </w:r>
            <w:r>
              <w:t>102.3 of Criminal Code)</w:t>
            </w:r>
          </w:p>
        </w:tc>
      </w:tr>
      <w:tr w:rsidR="00F452EA" w14:paraId="25872DC8" w14:textId="77777777" w:rsidTr="00712F50">
        <w:trPr>
          <w:cantSplit/>
        </w:trPr>
        <w:tc>
          <w:tcPr>
            <w:tcW w:w="0" w:type="auto"/>
          </w:tcPr>
          <w:p w14:paraId="3AB1B74E" w14:textId="77777777" w:rsidR="00F452EA" w:rsidRDefault="00F452EA" w:rsidP="00F452EA">
            <w:pPr>
              <w:pStyle w:val="ListParagraph"/>
              <w:numPr>
                <w:ilvl w:val="0"/>
                <w:numId w:val="21"/>
              </w:numPr>
              <w:spacing w:before="0" w:after="0"/>
              <w:ind w:left="144" w:firstLine="0"/>
            </w:pPr>
          </w:p>
        </w:tc>
        <w:tc>
          <w:tcPr>
            <w:tcW w:w="0" w:type="auto"/>
          </w:tcPr>
          <w:p w14:paraId="4ED208B2" w14:textId="77777777" w:rsidR="00F452EA" w:rsidRDefault="00F452EA" w:rsidP="008B025A">
            <w:pPr>
              <w:spacing w:before="0" w:after="0"/>
            </w:pPr>
            <w:r>
              <w:rPr>
                <w:lang w:val="en-US"/>
              </w:rPr>
              <w:t xml:space="preserve">Mr </w:t>
            </w:r>
            <w:r w:rsidRPr="0087712F">
              <w:rPr>
                <w:rFonts w:cs="Open Sans"/>
              </w:rPr>
              <w:t>Paul James Dacre</w:t>
            </w:r>
            <w:r>
              <w:rPr>
                <w:rFonts w:cs="Open Sans"/>
              </w:rPr>
              <w:t xml:space="preserve"> (#2)</w:t>
            </w:r>
          </w:p>
        </w:tc>
        <w:tc>
          <w:tcPr>
            <w:tcW w:w="0" w:type="auto"/>
          </w:tcPr>
          <w:p w14:paraId="6AA47AF0" w14:textId="77777777" w:rsidR="00F452EA" w:rsidRDefault="00F452EA" w:rsidP="008B025A">
            <w:pPr>
              <w:spacing w:before="0" w:after="0"/>
              <w:rPr>
                <w:rFonts w:cs="Open Sans"/>
              </w:rPr>
            </w:pPr>
            <w:r>
              <w:rPr>
                <w:rFonts w:cs="Open Sans"/>
              </w:rPr>
              <w:t>12 May 2021</w:t>
            </w:r>
          </w:p>
        </w:tc>
        <w:tc>
          <w:tcPr>
            <w:tcW w:w="2136" w:type="dxa"/>
          </w:tcPr>
          <w:p w14:paraId="430D4711" w14:textId="77777777" w:rsidR="00F452EA" w:rsidRDefault="00F452EA" w:rsidP="008B025A">
            <w:pPr>
              <w:spacing w:before="0" w:after="0"/>
              <w:rPr>
                <w:rFonts w:cs="Open Sans"/>
              </w:rPr>
            </w:pPr>
            <w:r>
              <w:rPr>
                <w:rFonts w:cs="Open Sans"/>
              </w:rPr>
              <w:t>8 July 2021</w:t>
            </w:r>
          </w:p>
        </w:tc>
        <w:tc>
          <w:tcPr>
            <w:tcW w:w="6570" w:type="dxa"/>
          </w:tcPr>
          <w:p w14:paraId="6F6C3702" w14:textId="77777777" w:rsidR="00F452EA" w:rsidRDefault="00F452EA" w:rsidP="008B025A">
            <w:pPr>
              <w:spacing w:before="0" w:after="0"/>
            </w:pPr>
            <w:r>
              <w:t xml:space="preserve">After conviction for a terrorism offence: </w:t>
            </w:r>
            <w:r>
              <w:rPr>
                <w:rFonts w:cs="Open Sans"/>
              </w:rPr>
              <w:t>p</w:t>
            </w:r>
            <w:r w:rsidRPr="001E0E70">
              <w:rPr>
                <w:rFonts w:cs="Open Sans"/>
              </w:rPr>
              <w:t>reparation for incursion into foreign countr</w:t>
            </w:r>
            <w:r>
              <w:rPr>
                <w:rFonts w:cs="Open Sans"/>
              </w:rPr>
              <w:t>y</w:t>
            </w:r>
            <w:r w:rsidRPr="001E0E70">
              <w:rPr>
                <w:rFonts w:cs="Open Sans"/>
              </w:rPr>
              <w:t xml:space="preserve"> for purpose of engaging in hostile activities</w:t>
            </w:r>
            <w:r>
              <w:rPr>
                <w:rFonts w:cs="Open Sans"/>
              </w:rPr>
              <w:t xml:space="preserve"> (s 119</w:t>
            </w:r>
            <w:r>
              <w:rPr>
                <w:rFonts w:ascii="Verdana" w:hAnsi="Verdana"/>
                <w:color w:val="373739"/>
                <w:sz w:val="18"/>
                <w:szCs w:val="18"/>
                <w:shd w:val="clear" w:color="auto" w:fill="FFFFFF"/>
              </w:rPr>
              <w:t>.</w:t>
            </w:r>
            <w:r w:rsidRPr="00B86A2D">
              <w:rPr>
                <w:rFonts w:cs="Open Sans"/>
              </w:rPr>
              <w:t>4(1) of</w:t>
            </w:r>
            <w:r>
              <w:rPr>
                <w:rFonts w:cs="Open Sans"/>
              </w:rPr>
              <w:t xml:space="preserve"> Criminal Code)</w:t>
            </w:r>
          </w:p>
        </w:tc>
      </w:tr>
      <w:tr w:rsidR="00F452EA" w14:paraId="0CA2FE79" w14:textId="77777777" w:rsidTr="00712F50">
        <w:trPr>
          <w:cantSplit/>
        </w:trPr>
        <w:tc>
          <w:tcPr>
            <w:tcW w:w="0" w:type="auto"/>
          </w:tcPr>
          <w:p w14:paraId="4DF4146B" w14:textId="77777777" w:rsidR="00F452EA" w:rsidRDefault="00F452EA" w:rsidP="00F452EA">
            <w:pPr>
              <w:pStyle w:val="ListParagraph"/>
              <w:numPr>
                <w:ilvl w:val="0"/>
                <w:numId w:val="21"/>
              </w:numPr>
              <w:spacing w:before="0" w:after="0"/>
              <w:ind w:left="144" w:firstLine="0"/>
            </w:pPr>
          </w:p>
        </w:tc>
        <w:tc>
          <w:tcPr>
            <w:tcW w:w="0" w:type="auto"/>
          </w:tcPr>
          <w:p w14:paraId="27C020A5" w14:textId="77777777" w:rsidR="00F452EA" w:rsidRDefault="00F452EA" w:rsidP="008B025A">
            <w:pPr>
              <w:spacing w:before="0" w:after="0"/>
            </w:pPr>
            <w:r>
              <w:t>Mr Adam Mathew Brookman</w:t>
            </w:r>
          </w:p>
        </w:tc>
        <w:tc>
          <w:tcPr>
            <w:tcW w:w="0" w:type="auto"/>
          </w:tcPr>
          <w:p w14:paraId="10B11045" w14:textId="77777777" w:rsidR="00F452EA" w:rsidRDefault="00F452EA" w:rsidP="008B025A">
            <w:pPr>
              <w:spacing w:before="0" w:after="0"/>
              <w:rPr>
                <w:rFonts w:cs="Open Sans"/>
              </w:rPr>
            </w:pPr>
            <w:r>
              <w:rPr>
                <w:rFonts w:cs="Open Sans"/>
              </w:rPr>
              <w:t>6 July 2021</w:t>
            </w:r>
          </w:p>
        </w:tc>
        <w:tc>
          <w:tcPr>
            <w:tcW w:w="2136" w:type="dxa"/>
          </w:tcPr>
          <w:p w14:paraId="73C9CEA0" w14:textId="77777777" w:rsidR="00F452EA" w:rsidRDefault="00F452EA" w:rsidP="008B025A">
            <w:pPr>
              <w:spacing w:before="0" w:after="0"/>
              <w:rPr>
                <w:rFonts w:cs="Open Sans"/>
              </w:rPr>
            </w:pPr>
            <w:r>
              <w:rPr>
                <w:rFonts w:cs="Open Sans"/>
              </w:rPr>
              <w:t>31 January 2022</w:t>
            </w:r>
          </w:p>
        </w:tc>
        <w:tc>
          <w:tcPr>
            <w:tcW w:w="6570" w:type="dxa"/>
          </w:tcPr>
          <w:p w14:paraId="2008CCBC" w14:textId="77777777" w:rsidR="00F452EA" w:rsidRDefault="00F452EA" w:rsidP="008B025A">
            <w:pPr>
              <w:spacing w:before="0" w:after="0"/>
            </w:pPr>
            <w:r>
              <w:t xml:space="preserve">After conviction for a terrorism offence: performing services in support or promotion of a foreign incursion offence (s 7(1)(e) of the then </w:t>
            </w:r>
            <w:r w:rsidRPr="006B7F5C">
              <w:rPr>
                <w:i/>
                <w:iCs/>
              </w:rPr>
              <w:t>Crimes (Foreign Incursions and Recruitment) Act 1978</w:t>
            </w:r>
            <w:r>
              <w:t xml:space="preserve"> (Cth))</w:t>
            </w:r>
          </w:p>
        </w:tc>
      </w:tr>
      <w:tr w:rsidR="00F452EA" w14:paraId="39178425" w14:textId="77777777" w:rsidTr="00712F50">
        <w:trPr>
          <w:cantSplit/>
        </w:trPr>
        <w:tc>
          <w:tcPr>
            <w:tcW w:w="0" w:type="auto"/>
          </w:tcPr>
          <w:p w14:paraId="640927F2" w14:textId="77777777" w:rsidR="00F452EA" w:rsidRDefault="00F452EA" w:rsidP="00F452EA">
            <w:pPr>
              <w:pStyle w:val="ListParagraph"/>
              <w:numPr>
                <w:ilvl w:val="0"/>
                <w:numId w:val="21"/>
              </w:numPr>
              <w:spacing w:before="0" w:after="0"/>
              <w:ind w:left="144" w:firstLine="0"/>
            </w:pPr>
          </w:p>
        </w:tc>
        <w:tc>
          <w:tcPr>
            <w:tcW w:w="0" w:type="auto"/>
          </w:tcPr>
          <w:p w14:paraId="4E4E4D66" w14:textId="77777777" w:rsidR="00F452EA" w:rsidRDefault="00F452EA" w:rsidP="008B025A">
            <w:pPr>
              <w:spacing w:before="0" w:after="0"/>
            </w:pPr>
            <w:r>
              <w:t>Mr Mehmet Biber</w:t>
            </w:r>
          </w:p>
        </w:tc>
        <w:tc>
          <w:tcPr>
            <w:tcW w:w="0" w:type="auto"/>
          </w:tcPr>
          <w:p w14:paraId="2CFC1DC5" w14:textId="77777777" w:rsidR="00F452EA" w:rsidRDefault="00F452EA" w:rsidP="008B025A">
            <w:pPr>
              <w:spacing w:before="0" w:after="0"/>
              <w:rPr>
                <w:rFonts w:cs="Open Sans"/>
              </w:rPr>
            </w:pPr>
            <w:r>
              <w:rPr>
                <w:rFonts w:cs="Open Sans"/>
              </w:rPr>
              <w:t>29 July 2021</w:t>
            </w:r>
          </w:p>
        </w:tc>
        <w:tc>
          <w:tcPr>
            <w:tcW w:w="2136" w:type="dxa"/>
          </w:tcPr>
          <w:p w14:paraId="5F0ECEA1" w14:textId="55BCC070" w:rsidR="00F452EA" w:rsidRDefault="00F452EA" w:rsidP="008B025A">
            <w:pPr>
              <w:spacing w:before="0" w:after="0"/>
              <w:rPr>
                <w:rFonts w:cs="Open Sans"/>
              </w:rPr>
            </w:pPr>
            <w:r w:rsidRPr="002E5AF9">
              <w:rPr>
                <w:rFonts w:cs="Open Sans"/>
              </w:rPr>
              <w:t>Not confirmed</w:t>
            </w:r>
          </w:p>
        </w:tc>
        <w:tc>
          <w:tcPr>
            <w:tcW w:w="6570" w:type="dxa"/>
          </w:tcPr>
          <w:p w14:paraId="54D3E192" w14:textId="77777777" w:rsidR="00F452EA" w:rsidRDefault="00F452EA" w:rsidP="008B025A">
            <w:pPr>
              <w:spacing w:before="0" w:after="0"/>
            </w:pPr>
            <w:r>
              <w:t xml:space="preserve">After conviction for a terrorism offence: entering a foreign state (Syria) with the intent to engage in hostile activity (s 6(1)(a) of the then </w:t>
            </w:r>
            <w:r w:rsidRPr="006B7F5C">
              <w:rPr>
                <w:i/>
                <w:iCs/>
              </w:rPr>
              <w:t>Crimes (Foreign Incursions and Recruitment) Act 1978</w:t>
            </w:r>
            <w:r>
              <w:t xml:space="preserve"> (Cth))</w:t>
            </w:r>
          </w:p>
          <w:p w14:paraId="04372C0B" w14:textId="77777777" w:rsidR="002E5AF9" w:rsidRDefault="002E5AF9" w:rsidP="008B025A">
            <w:pPr>
              <w:spacing w:before="0" w:after="0"/>
            </w:pPr>
          </w:p>
          <w:p w14:paraId="5619DBF1" w14:textId="5EF9FCEE" w:rsidR="002E5AF9" w:rsidRDefault="003B694C" w:rsidP="008B025A">
            <w:pPr>
              <w:spacing w:before="0" w:after="0"/>
            </w:pPr>
            <w:r>
              <w:t xml:space="preserve">Reportedly convicted of breach of control order </w:t>
            </w:r>
            <w:r w:rsidR="005C78A4">
              <w:t xml:space="preserve">(for conducting a business without </w:t>
            </w:r>
            <w:r w:rsidR="00E778F7">
              <w:t xml:space="preserve">authorisation) </w:t>
            </w:r>
            <w:r>
              <w:t>and s</w:t>
            </w:r>
            <w:r w:rsidR="005C78A4">
              <w:t xml:space="preserve">entenced </w:t>
            </w:r>
            <w:r w:rsidR="00E778F7">
              <w:t xml:space="preserve">to </w:t>
            </w:r>
            <w:r w:rsidR="0083646E">
              <w:t>a non-custodial community correction order for two years.</w:t>
            </w:r>
          </w:p>
        </w:tc>
      </w:tr>
      <w:tr w:rsidR="00F452EA" w14:paraId="291BBB88" w14:textId="77777777" w:rsidTr="00712F50">
        <w:trPr>
          <w:cantSplit/>
        </w:trPr>
        <w:tc>
          <w:tcPr>
            <w:tcW w:w="0" w:type="auto"/>
          </w:tcPr>
          <w:p w14:paraId="56353FE1" w14:textId="77777777" w:rsidR="00F452EA" w:rsidRDefault="00F452EA" w:rsidP="00F452EA">
            <w:pPr>
              <w:pStyle w:val="ListParagraph"/>
              <w:numPr>
                <w:ilvl w:val="0"/>
                <w:numId w:val="21"/>
              </w:numPr>
              <w:spacing w:before="0" w:after="0"/>
              <w:ind w:left="144" w:firstLine="0"/>
            </w:pPr>
          </w:p>
        </w:tc>
        <w:tc>
          <w:tcPr>
            <w:tcW w:w="0" w:type="auto"/>
          </w:tcPr>
          <w:p w14:paraId="53E07CAB" w14:textId="77777777" w:rsidR="00F452EA" w:rsidRDefault="00F452EA" w:rsidP="008B025A">
            <w:pPr>
              <w:spacing w:before="0" w:after="0"/>
            </w:pPr>
            <w:r>
              <w:t>Mr Blake Pender</w:t>
            </w:r>
          </w:p>
        </w:tc>
        <w:tc>
          <w:tcPr>
            <w:tcW w:w="0" w:type="auto"/>
          </w:tcPr>
          <w:p w14:paraId="661B9578" w14:textId="77777777" w:rsidR="00F452EA" w:rsidRDefault="00F452EA" w:rsidP="008B025A">
            <w:pPr>
              <w:spacing w:before="0" w:after="0"/>
              <w:rPr>
                <w:rFonts w:cs="Open Sans"/>
              </w:rPr>
            </w:pPr>
            <w:r>
              <w:rPr>
                <w:rFonts w:cs="Open Sans"/>
              </w:rPr>
              <w:t>7 October 2021</w:t>
            </w:r>
          </w:p>
        </w:tc>
        <w:tc>
          <w:tcPr>
            <w:tcW w:w="2136" w:type="dxa"/>
          </w:tcPr>
          <w:p w14:paraId="4B420545" w14:textId="53675F78" w:rsidR="00F452EA" w:rsidRDefault="00F452EA" w:rsidP="008B025A">
            <w:pPr>
              <w:spacing w:before="0" w:after="0"/>
              <w:rPr>
                <w:rFonts w:cs="Open Sans"/>
              </w:rPr>
            </w:pPr>
            <w:r>
              <w:rPr>
                <w:rFonts w:cs="Open Sans"/>
              </w:rPr>
              <w:t>Not confirmed</w:t>
            </w:r>
          </w:p>
        </w:tc>
        <w:tc>
          <w:tcPr>
            <w:tcW w:w="6570" w:type="dxa"/>
          </w:tcPr>
          <w:p w14:paraId="3ED0F864" w14:textId="77777777" w:rsidR="00F452EA" w:rsidRDefault="00F452EA" w:rsidP="008B025A">
            <w:pPr>
              <w:spacing w:before="0" w:after="0"/>
            </w:pPr>
            <w:r>
              <w:t>After conviction for a terrorism offence and another offence: possessing a thing (a knife) connected with terrorism (s 101.4(1) of Criminal Code) and threatening a judicial officer (s </w:t>
            </w:r>
            <w:r w:rsidRPr="00166A3E">
              <w:rPr>
                <w:bCs/>
              </w:rPr>
              <w:t>326</w:t>
            </w:r>
            <w:r>
              <w:t xml:space="preserve">(1)(b) of the </w:t>
            </w:r>
            <w:r w:rsidRPr="00166A3E">
              <w:rPr>
                <w:i/>
                <w:iCs/>
              </w:rPr>
              <w:t>Crimes Act 1900</w:t>
            </w:r>
            <w:r>
              <w:t xml:space="preserve"> (NSW))</w:t>
            </w:r>
          </w:p>
          <w:p w14:paraId="71D5E360" w14:textId="77777777" w:rsidR="00F452EA" w:rsidRDefault="00F452EA" w:rsidP="008B025A">
            <w:pPr>
              <w:spacing w:before="0" w:after="0"/>
            </w:pPr>
          </w:p>
          <w:p w14:paraId="3580CBEB" w14:textId="0E1912EC" w:rsidR="00F452EA" w:rsidRDefault="00F452EA" w:rsidP="008B025A">
            <w:pPr>
              <w:spacing w:before="0" w:after="0"/>
            </w:pPr>
            <w:r>
              <w:t>Continuing detention order in force for one year from 13 September 2021</w:t>
            </w:r>
            <w:r w:rsidR="00B638CB">
              <w:t xml:space="preserve">.  </w:t>
            </w:r>
            <w:r w:rsidR="002E7507">
              <w:t xml:space="preserve">Further conviction for assault while in custody and detained </w:t>
            </w:r>
            <w:r w:rsidR="00210C43">
              <w:t xml:space="preserve">until 18 October 2022.  Interim Supervision Order made on 7 October 2022.  </w:t>
            </w:r>
            <w:r w:rsidR="00FC2FAE">
              <w:t>Further conviction for breach of ISO</w:t>
            </w:r>
            <w:r w:rsidR="00621AE3">
              <w:t xml:space="preserve"> </w:t>
            </w:r>
            <w:r w:rsidR="008A7F90">
              <w:t>(</w:t>
            </w:r>
            <w:r w:rsidR="00832204">
              <w:t xml:space="preserve">re </w:t>
            </w:r>
            <w:r w:rsidR="008A7F90">
              <w:t xml:space="preserve">use of mobile phone) </w:t>
            </w:r>
            <w:r w:rsidR="00621AE3">
              <w:t xml:space="preserve">and detained until 9 September 2023.  </w:t>
            </w:r>
            <w:r w:rsidR="00031F6E">
              <w:t xml:space="preserve">Due for release on 9 September 2023 </w:t>
            </w:r>
            <w:r w:rsidR="004A6A88">
              <w:t>pursuant to extended supervision order made in December 2022 for period of three years.</w:t>
            </w:r>
          </w:p>
        </w:tc>
      </w:tr>
      <w:tr w:rsidR="00F452EA" w14:paraId="4A67F2D6" w14:textId="77777777" w:rsidTr="00712F50">
        <w:trPr>
          <w:cantSplit/>
        </w:trPr>
        <w:tc>
          <w:tcPr>
            <w:tcW w:w="0" w:type="auto"/>
          </w:tcPr>
          <w:p w14:paraId="27F61CFC" w14:textId="77777777" w:rsidR="00F452EA" w:rsidRDefault="00F452EA" w:rsidP="00F452EA">
            <w:pPr>
              <w:pStyle w:val="ListParagraph"/>
              <w:numPr>
                <w:ilvl w:val="0"/>
                <w:numId w:val="21"/>
              </w:numPr>
              <w:spacing w:before="0" w:after="0"/>
              <w:ind w:left="144" w:firstLine="0"/>
            </w:pPr>
          </w:p>
        </w:tc>
        <w:tc>
          <w:tcPr>
            <w:tcW w:w="0" w:type="auto"/>
          </w:tcPr>
          <w:p w14:paraId="27C2BB73" w14:textId="77777777" w:rsidR="00F452EA" w:rsidRDefault="00F452EA" w:rsidP="008B025A">
            <w:pPr>
              <w:spacing w:before="0" w:after="0"/>
            </w:pPr>
            <w:proofErr w:type="spellStart"/>
            <w:r>
              <w:rPr>
                <w:rFonts w:cs="Open Sans"/>
                <w:lang w:val="en-US"/>
              </w:rPr>
              <w:t>Ms</w:t>
            </w:r>
            <w:proofErr w:type="spellEnd"/>
            <w:r>
              <w:rPr>
                <w:rFonts w:cs="Open Sans"/>
                <w:lang w:val="en-US"/>
              </w:rPr>
              <w:t xml:space="preserve"> </w:t>
            </w:r>
            <w:r w:rsidRPr="00FB0CA8">
              <w:rPr>
                <w:rFonts w:cs="Open Sans"/>
                <w:lang w:val="en-US"/>
              </w:rPr>
              <w:t xml:space="preserve">Alo-Bridget </w:t>
            </w:r>
            <w:proofErr w:type="spellStart"/>
            <w:r w:rsidRPr="00FB0CA8">
              <w:rPr>
                <w:rFonts w:cs="Open Sans"/>
                <w:lang w:val="en-US"/>
              </w:rPr>
              <w:t>Namoa</w:t>
            </w:r>
            <w:proofErr w:type="spellEnd"/>
            <w:r>
              <w:rPr>
                <w:rFonts w:cs="Open Sans"/>
                <w:lang w:val="en-US"/>
              </w:rPr>
              <w:t xml:space="preserve"> (#2)</w:t>
            </w:r>
          </w:p>
        </w:tc>
        <w:tc>
          <w:tcPr>
            <w:tcW w:w="0" w:type="auto"/>
          </w:tcPr>
          <w:p w14:paraId="749E04B0" w14:textId="77777777" w:rsidR="00F452EA" w:rsidRDefault="00F452EA" w:rsidP="008B025A">
            <w:pPr>
              <w:spacing w:before="0" w:after="0"/>
              <w:rPr>
                <w:rFonts w:cs="Open Sans"/>
              </w:rPr>
            </w:pPr>
            <w:r>
              <w:rPr>
                <w:rFonts w:cs="Open Sans"/>
              </w:rPr>
              <w:t>24 November 2021</w:t>
            </w:r>
          </w:p>
        </w:tc>
        <w:tc>
          <w:tcPr>
            <w:tcW w:w="2136" w:type="dxa"/>
          </w:tcPr>
          <w:p w14:paraId="6D26D2F0" w14:textId="77777777" w:rsidR="00F452EA" w:rsidRDefault="00F452EA" w:rsidP="008B025A">
            <w:pPr>
              <w:spacing w:before="0" w:after="0"/>
              <w:rPr>
                <w:rFonts w:cs="Open Sans"/>
              </w:rPr>
            </w:pPr>
            <w:r>
              <w:rPr>
                <w:rFonts w:cs="Open Sans"/>
              </w:rPr>
              <w:t>2 December 2021</w:t>
            </w:r>
          </w:p>
        </w:tc>
        <w:tc>
          <w:tcPr>
            <w:tcW w:w="6570" w:type="dxa"/>
          </w:tcPr>
          <w:p w14:paraId="05773CE6" w14:textId="77777777" w:rsidR="00F452EA" w:rsidRDefault="00F452EA" w:rsidP="008B025A">
            <w:pPr>
              <w:spacing w:before="0" w:after="0"/>
            </w:pPr>
            <w:r>
              <w:t xml:space="preserve">After conviction for a terrorism offence: </w:t>
            </w:r>
            <w:r w:rsidRPr="002359D1">
              <w:t xml:space="preserve">conspiring to do acts in preparation for a terrorist act </w:t>
            </w:r>
            <w:r>
              <w:t>(</w:t>
            </w:r>
            <w:r w:rsidRPr="002359D1">
              <w:t>ss 11.5(1) and 101.6(1)</w:t>
            </w:r>
            <w:r>
              <w:t xml:space="preserve"> of Criminal Code)</w:t>
            </w:r>
          </w:p>
        </w:tc>
      </w:tr>
      <w:tr w:rsidR="00955BFB" w14:paraId="04A07B27" w14:textId="77777777" w:rsidTr="00712F50">
        <w:trPr>
          <w:cantSplit/>
        </w:trPr>
        <w:tc>
          <w:tcPr>
            <w:tcW w:w="0" w:type="auto"/>
          </w:tcPr>
          <w:p w14:paraId="0F58EB4F" w14:textId="77777777" w:rsidR="00955BFB" w:rsidRDefault="00955BFB" w:rsidP="00F452EA">
            <w:pPr>
              <w:pStyle w:val="ListParagraph"/>
              <w:numPr>
                <w:ilvl w:val="0"/>
                <w:numId w:val="21"/>
              </w:numPr>
              <w:spacing w:before="0" w:after="0"/>
              <w:ind w:left="144" w:firstLine="0"/>
            </w:pPr>
          </w:p>
        </w:tc>
        <w:tc>
          <w:tcPr>
            <w:tcW w:w="0" w:type="auto"/>
          </w:tcPr>
          <w:p w14:paraId="6147FAC8" w14:textId="418CD29C" w:rsidR="00955BFB" w:rsidRDefault="005978BA" w:rsidP="008B025A">
            <w:pPr>
              <w:spacing w:before="0" w:after="0"/>
              <w:rPr>
                <w:rFonts w:cs="Open Sans"/>
                <w:lang w:val="en-US"/>
              </w:rPr>
            </w:pPr>
            <w:r>
              <w:rPr>
                <w:lang w:val="en-US"/>
              </w:rPr>
              <w:t xml:space="preserve">Mr Radwan </w:t>
            </w:r>
            <w:proofErr w:type="spellStart"/>
            <w:r>
              <w:rPr>
                <w:lang w:val="en-US"/>
              </w:rPr>
              <w:t>Dakkak</w:t>
            </w:r>
            <w:proofErr w:type="spellEnd"/>
            <w:r>
              <w:rPr>
                <w:lang w:val="en-US"/>
              </w:rPr>
              <w:t xml:space="preserve"> (#2)</w:t>
            </w:r>
          </w:p>
        </w:tc>
        <w:tc>
          <w:tcPr>
            <w:tcW w:w="0" w:type="auto"/>
          </w:tcPr>
          <w:p w14:paraId="216CB6A1" w14:textId="715BED70" w:rsidR="00955BFB" w:rsidRDefault="004B3F60" w:rsidP="008B025A">
            <w:pPr>
              <w:spacing w:before="0" w:after="0"/>
              <w:rPr>
                <w:rFonts w:cs="Open Sans"/>
              </w:rPr>
            </w:pPr>
            <w:r>
              <w:rPr>
                <w:rFonts w:cs="Open Sans"/>
              </w:rPr>
              <w:t>9</w:t>
            </w:r>
            <w:r w:rsidR="00543CCB">
              <w:rPr>
                <w:rFonts w:cs="Open Sans"/>
              </w:rPr>
              <w:t xml:space="preserve"> September 2022</w:t>
            </w:r>
          </w:p>
        </w:tc>
        <w:tc>
          <w:tcPr>
            <w:tcW w:w="2136" w:type="dxa"/>
          </w:tcPr>
          <w:p w14:paraId="62A70E83" w14:textId="1EBF5F24" w:rsidR="00955BFB" w:rsidRDefault="00352714" w:rsidP="008B025A">
            <w:pPr>
              <w:spacing w:before="0" w:after="0"/>
              <w:rPr>
                <w:rFonts w:cs="Open Sans"/>
              </w:rPr>
            </w:pPr>
            <w:r>
              <w:rPr>
                <w:rFonts w:cs="Open Sans"/>
              </w:rPr>
              <w:t>9 December 2022</w:t>
            </w:r>
          </w:p>
        </w:tc>
        <w:tc>
          <w:tcPr>
            <w:tcW w:w="6570" w:type="dxa"/>
          </w:tcPr>
          <w:p w14:paraId="3DE49121" w14:textId="58C9E6AE" w:rsidR="00955BFB" w:rsidRDefault="00E05E19" w:rsidP="008B025A">
            <w:pPr>
              <w:spacing w:before="0" w:after="0"/>
            </w:pPr>
            <w:r>
              <w:t xml:space="preserve">After conviction for </w:t>
            </w:r>
            <w:r w:rsidR="00AE2B2C">
              <w:t xml:space="preserve">a </w:t>
            </w:r>
            <w:r>
              <w:t>terrorism offence: associating with terrorist organisations (s 102.8(1) of Criminal Code)</w:t>
            </w:r>
          </w:p>
        </w:tc>
      </w:tr>
      <w:tr w:rsidR="00955BFB" w14:paraId="46535ED4" w14:textId="77777777" w:rsidTr="00712F50">
        <w:trPr>
          <w:cantSplit/>
        </w:trPr>
        <w:tc>
          <w:tcPr>
            <w:tcW w:w="0" w:type="auto"/>
          </w:tcPr>
          <w:p w14:paraId="1F5259BD" w14:textId="77777777" w:rsidR="00955BFB" w:rsidRDefault="00955BFB" w:rsidP="00F452EA">
            <w:pPr>
              <w:pStyle w:val="ListParagraph"/>
              <w:numPr>
                <w:ilvl w:val="0"/>
                <w:numId w:val="21"/>
              </w:numPr>
              <w:spacing w:before="0" w:after="0"/>
              <w:ind w:left="144" w:firstLine="0"/>
            </w:pPr>
          </w:p>
        </w:tc>
        <w:tc>
          <w:tcPr>
            <w:tcW w:w="0" w:type="auto"/>
          </w:tcPr>
          <w:p w14:paraId="3549736A" w14:textId="40D476A5" w:rsidR="00955BFB" w:rsidRDefault="00B94CAE" w:rsidP="008B025A">
            <w:pPr>
              <w:spacing w:before="0" w:after="0"/>
              <w:rPr>
                <w:rFonts w:cs="Open Sans"/>
                <w:lang w:val="en-US"/>
              </w:rPr>
            </w:pPr>
            <w:r>
              <w:t xml:space="preserve">Mr </w:t>
            </w:r>
            <w:r w:rsidRPr="00AF0D34">
              <w:rPr>
                <w:rFonts w:cs="Open Sans"/>
              </w:rPr>
              <w:t xml:space="preserve">Ahmad </w:t>
            </w:r>
            <w:proofErr w:type="spellStart"/>
            <w:r w:rsidRPr="00AF0D34">
              <w:rPr>
                <w:rFonts w:cs="Open Sans"/>
              </w:rPr>
              <w:t>Saiyer</w:t>
            </w:r>
            <w:proofErr w:type="spellEnd"/>
            <w:r w:rsidRPr="00AF0D34">
              <w:rPr>
                <w:rFonts w:cs="Open Sans"/>
              </w:rPr>
              <w:t xml:space="preserve"> </w:t>
            </w:r>
            <w:proofErr w:type="spellStart"/>
            <w:r w:rsidRPr="00AF0D34">
              <w:rPr>
                <w:rFonts w:cs="Open Sans"/>
              </w:rPr>
              <w:t>Naizmand</w:t>
            </w:r>
            <w:proofErr w:type="spellEnd"/>
            <w:r>
              <w:rPr>
                <w:rFonts w:cs="Open Sans"/>
              </w:rPr>
              <w:t xml:space="preserve"> (#3)</w:t>
            </w:r>
          </w:p>
        </w:tc>
        <w:tc>
          <w:tcPr>
            <w:tcW w:w="0" w:type="auto"/>
          </w:tcPr>
          <w:p w14:paraId="5DDD757C" w14:textId="20449B72" w:rsidR="00955BFB" w:rsidRDefault="00E44008" w:rsidP="008B025A">
            <w:pPr>
              <w:spacing w:before="0" w:after="0"/>
              <w:rPr>
                <w:rFonts w:cs="Open Sans"/>
              </w:rPr>
            </w:pPr>
            <w:r>
              <w:rPr>
                <w:rFonts w:cs="Open Sans"/>
              </w:rPr>
              <w:t>20 September 2022</w:t>
            </w:r>
          </w:p>
        </w:tc>
        <w:tc>
          <w:tcPr>
            <w:tcW w:w="2136" w:type="dxa"/>
          </w:tcPr>
          <w:p w14:paraId="13F0F6EF" w14:textId="6F65F33C" w:rsidR="00955BFB" w:rsidRDefault="004D189B" w:rsidP="008B025A">
            <w:pPr>
              <w:spacing w:before="0" w:after="0"/>
              <w:rPr>
                <w:rFonts w:cs="Open Sans"/>
              </w:rPr>
            </w:pPr>
            <w:r>
              <w:rPr>
                <w:rFonts w:cs="Open Sans"/>
              </w:rPr>
              <w:t>[unclear]</w:t>
            </w:r>
          </w:p>
        </w:tc>
        <w:tc>
          <w:tcPr>
            <w:tcW w:w="6570" w:type="dxa"/>
          </w:tcPr>
          <w:p w14:paraId="1E3DDCFC" w14:textId="18F8770A" w:rsidR="00955BFB" w:rsidRDefault="00770746" w:rsidP="008B025A">
            <w:pPr>
              <w:spacing w:before="0" w:after="0"/>
            </w:pPr>
            <w:r>
              <w:t>After conviction for terrorism offences: breach of first and second control orders (s 104.27 of Criminal Code)</w:t>
            </w:r>
          </w:p>
        </w:tc>
      </w:tr>
      <w:tr w:rsidR="00955BFB" w14:paraId="11656B74" w14:textId="77777777" w:rsidTr="00712F50">
        <w:trPr>
          <w:cantSplit/>
        </w:trPr>
        <w:tc>
          <w:tcPr>
            <w:tcW w:w="0" w:type="auto"/>
          </w:tcPr>
          <w:p w14:paraId="18008B2F" w14:textId="77777777" w:rsidR="00955BFB" w:rsidRDefault="00955BFB" w:rsidP="00F452EA">
            <w:pPr>
              <w:pStyle w:val="ListParagraph"/>
              <w:numPr>
                <w:ilvl w:val="0"/>
                <w:numId w:val="21"/>
              </w:numPr>
              <w:spacing w:before="0" w:after="0"/>
              <w:ind w:left="144" w:firstLine="0"/>
            </w:pPr>
          </w:p>
        </w:tc>
        <w:tc>
          <w:tcPr>
            <w:tcW w:w="0" w:type="auto"/>
          </w:tcPr>
          <w:p w14:paraId="67E85334" w14:textId="153B975A" w:rsidR="00955BFB" w:rsidRDefault="00372C1D" w:rsidP="008B025A">
            <w:pPr>
              <w:spacing w:before="0" w:after="0"/>
              <w:rPr>
                <w:rFonts w:cs="Open Sans"/>
                <w:lang w:val="en-US"/>
              </w:rPr>
            </w:pPr>
            <w:r>
              <w:rPr>
                <w:rFonts w:cs="Open Sans"/>
                <w:lang w:val="en-US"/>
              </w:rPr>
              <w:t>Mr Tyler Slavko Jakovac</w:t>
            </w:r>
          </w:p>
        </w:tc>
        <w:tc>
          <w:tcPr>
            <w:tcW w:w="0" w:type="auto"/>
          </w:tcPr>
          <w:p w14:paraId="56CCD685" w14:textId="55AA7D11" w:rsidR="00955BFB" w:rsidRDefault="00E60EB0" w:rsidP="008B025A">
            <w:pPr>
              <w:spacing w:before="0" w:after="0"/>
              <w:rPr>
                <w:rFonts w:cs="Open Sans"/>
              </w:rPr>
            </w:pPr>
            <w:r>
              <w:rPr>
                <w:rFonts w:cs="Open Sans"/>
              </w:rPr>
              <w:t>29 November 2022</w:t>
            </w:r>
          </w:p>
        </w:tc>
        <w:tc>
          <w:tcPr>
            <w:tcW w:w="2136" w:type="dxa"/>
          </w:tcPr>
          <w:p w14:paraId="0B4E83FC" w14:textId="7FC8DD7A" w:rsidR="00955BFB" w:rsidRDefault="00E44C59" w:rsidP="008B025A">
            <w:pPr>
              <w:spacing w:before="0" w:after="0"/>
              <w:rPr>
                <w:rFonts w:cs="Open Sans"/>
              </w:rPr>
            </w:pPr>
            <w:r>
              <w:rPr>
                <w:rFonts w:cs="Open Sans"/>
              </w:rPr>
              <w:t>Revok</w:t>
            </w:r>
            <w:r w:rsidR="004424BB">
              <w:rPr>
                <w:rFonts w:cs="Open Sans"/>
              </w:rPr>
              <w:t>ed on 16 March 2023</w:t>
            </w:r>
          </w:p>
        </w:tc>
        <w:tc>
          <w:tcPr>
            <w:tcW w:w="6570" w:type="dxa"/>
          </w:tcPr>
          <w:p w14:paraId="1EA6AE08" w14:textId="0D515DFD" w:rsidR="00955BFB" w:rsidRDefault="00AE2B2C" w:rsidP="008B025A">
            <w:pPr>
              <w:spacing w:before="0" w:after="0"/>
            </w:pPr>
            <w:r>
              <w:t>After conviction for a</w:t>
            </w:r>
            <w:r w:rsidR="00C92B35">
              <w:t xml:space="preserve"> terrorism</w:t>
            </w:r>
            <w:r>
              <w:t xml:space="preserve"> offence: </w:t>
            </w:r>
            <w:r w:rsidR="00C944CA">
              <w:t>intentionally advocating the doing of a terrorist offence</w:t>
            </w:r>
            <w:r w:rsidR="00991A9C">
              <w:t xml:space="preserve"> (s 80.2C(2) of Criminal Code)</w:t>
            </w:r>
            <w:r w:rsidR="004424BB">
              <w:t>.</w:t>
            </w:r>
          </w:p>
          <w:p w14:paraId="703EF1AB" w14:textId="77777777" w:rsidR="004424BB" w:rsidRDefault="004424BB" w:rsidP="008B025A">
            <w:pPr>
              <w:spacing w:before="0" w:after="0"/>
            </w:pPr>
          </w:p>
          <w:p w14:paraId="5E2A21F4" w14:textId="3E8737C6" w:rsidR="004424BB" w:rsidRDefault="004424BB" w:rsidP="008B025A">
            <w:pPr>
              <w:spacing w:before="0" w:after="0"/>
            </w:pPr>
            <w:r>
              <w:t>Interim control order revoked on 16 March 2023 on the basis that it was no longer justified.</w:t>
            </w:r>
          </w:p>
        </w:tc>
      </w:tr>
    </w:tbl>
    <w:p w14:paraId="1F99A6BB" w14:textId="7D24183D" w:rsidR="00F24BF6" w:rsidRDefault="00F24BF6" w:rsidP="00F24BF6">
      <w:pPr>
        <w:spacing w:before="120" w:after="0"/>
      </w:pPr>
    </w:p>
    <w:p w14:paraId="649E1F29" w14:textId="77777777" w:rsidR="00F24BF6" w:rsidRDefault="00F24BF6" w:rsidP="00F24BF6">
      <w:pPr>
        <w:spacing w:before="120" w:after="0"/>
        <w:sectPr w:rsidR="00F24BF6" w:rsidSect="004F2CA3">
          <w:headerReference w:type="default" r:id="rId26"/>
          <w:headerReference w:type="first" r:id="rId27"/>
          <w:endnotePr>
            <w:numFmt w:val="decimal"/>
          </w:endnotePr>
          <w:pgSz w:w="16838" w:h="11906" w:orient="landscape" w:code="9"/>
          <w:pgMar w:top="1418" w:right="2438" w:bottom="1418" w:left="1134" w:header="907" w:footer="284" w:gutter="0"/>
          <w:cols w:space="708"/>
          <w:titlePg/>
          <w:docGrid w:linePitch="360"/>
        </w:sectPr>
      </w:pPr>
    </w:p>
    <w:p w14:paraId="1762FB9E" w14:textId="43EFD4D0" w:rsidR="00551899" w:rsidRPr="005A1BFD" w:rsidRDefault="005A1BFD" w:rsidP="000705F2">
      <w:pPr>
        <w:pStyle w:val="ListNumber"/>
        <w:numPr>
          <w:ilvl w:val="0"/>
          <w:numId w:val="0"/>
        </w:numPr>
        <w:rPr>
          <w:b/>
          <w:bCs/>
          <w:sz w:val="28"/>
          <w:szCs w:val="28"/>
        </w:rPr>
      </w:pPr>
      <w:r w:rsidRPr="005A1BFD">
        <w:rPr>
          <w:b/>
          <w:bCs/>
          <w:sz w:val="28"/>
          <w:szCs w:val="28"/>
        </w:rPr>
        <w:lastRenderedPageBreak/>
        <w:t>Endnotes</w:t>
      </w:r>
    </w:p>
    <w:sectPr w:rsidR="00551899" w:rsidRPr="005A1BFD" w:rsidSect="004F2CA3">
      <w:headerReference w:type="first" r:id="rId28"/>
      <w:endnotePr>
        <w:numFmt w:val="decimal"/>
      </w:endnotePr>
      <w:pgSz w:w="11906" w:h="16838" w:code="9"/>
      <w:pgMar w:top="2438" w:right="1418" w:bottom="1134" w:left="1418" w:header="90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3BD93" w14:textId="77777777" w:rsidR="00CA0B10" w:rsidRDefault="00CA0B10" w:rsidP="00F14C6D">
      <w:r>
        <w:separator/>
      </w:r>
    </w:p>
  </w:endnote>
  <w:endnote w:type="continuationSeparator" w:id="0">
    <w:p w14:paraId="40D6AA14" w14:textId="77777777" w:rsidR="00CA0B10" w:rsidRDefault="00CA0B10" w:rsidP="00F14C6D">
      <w:r>
        <w:continuationSeparator/>
      </w:r>
    </w:p>
  </w:endnote>
  <w:endnote w:type="continuationNotice" w:id="1">
    <w:p w14:paraId="0258A088" w14:textId="77777777" w:rsidR="00CA0B10" w:rsidRDefault="00CA0B10">
      <w:pPr>
        <w:spacing w:before="0" w:after="0"/>
      </w:pPr>
    </w:p>
  </w:endnote>
  <w:endnote w:id="2">
    <w:p w14:paraId="50060353" w14:textId="77777777" w:rsidR="00342D7D" w:rsidRPr="00A16A82" w:rsidRDefault="00342D7D" w:rsidP="00342D7D">
      <w:pPr>
        <w:pStyle w:val="EndnoteText"/>
        <w:ind w:left="270" w:hanging="288"/>
        <w:rPr>
          <w:lang w:val="en-US"/>
        </w:rPr>
      </w:pPr>
      <w:r>
        <w:rPr>
          <w:rStyle w:val="EndnoteReference"/>
        </w:rPr>
        <w:endnoteRef/>
      </w:r>
      <w:r>
        <w:t xml:space="preserve"> </w:t>
      </w:r>
      <w:r>
        <w:rPr>
          <w:lang w:val="en-US"/>
        </w:rPr>
        <w:tab/>
        <w:t xml:space="preserve">Senate Legal and Constitutional Affairs Legislation Committee, </w:t>
      </w:r>
      <w:r w:rsidRPr="00EF2897">
        <w:rPr>
          <w:i/>
          <w:iCs/>
          <w:lang w:val="en-US"/>
        </w:rPr>
        <w:t>Anti-Terrorism Bill (No 2) 2005</w:t>
      </w:r>
      <w:r>
        <w:rPr>
          <w:lang w:val="en-US"/>
        </w:rPr>
        <w:t xml:space="preserve"> (November 2005) at [2.7].  At </w:t>
      </w:r>
      <w:hyperlink r:id="rId1" w:history="1">
        <w:r w:rsidRPr="00CE762E">
          <w:rPr>
            <w:rStyle w:val="Hyperlink"/>
            <w:lang w:val="en-US"/>
          </w:rPr>
          <w:t>https://www.aph.gov.au/~/media/wopapub/senate/committee/legcon_ctte/completed_inquiries/2004_07/terrorism/report/report_pdf.ashx</w:t>
        </w:r>
      </w:hyperlink>
      <w:r>
        <w:rPr>
          <w:lang w:val="en-US"/>
        </w:rPr>
        <w:t>.</w:t>
      </w:r>
    </w:p>
  </w:endnote>
  <w:endnote w:id="3">
    <w:p w14:paraId="11BA5C6D" w14:textId="77777777" w:rsidR="00342D7D" w:rsidRPr="00875FA0" w:rsidRDefault="00342D7D" w:rsidP="00342D7D">
      <w:pPr>
        <w:pStyle w:val="EndnoteText"/>
        <w:ind w:left="270" w:hanging="288"/>
        <w:rPr>
          <w:lang w:val="en-US"/>
        </w:rPr>
      </w:pPr>
      <w:r>
        <w:rPr>
          <w:rStyle w:val="EndnoteReference"/>
        </w:rPr>
        <w:endnoteRef/>
      </w:r>
      <w:r>
        <w:t xml:space="preserve"> </w:t>
      </w:r>
      <w:r>
        <w:rPr>
          <w:lang w:val="en-US"/>
        </w:rPr>
        <w:tab/>
        <w:t xml:space="preserve">Senate Legal and Constitutional Affairs Legislation Committee, </w:t>
      </w:r>
      <w:r w:rsidRPr="00EF2897">
        <w:rPr>
          <w:i/>
          <w:iCs/>
          <w:lang w:val="en-US"/>
        </w:rPr>
        <w:t>Anti-Terrorism Bill (No 2) 2005</w:t>
      </w:r>
      <w:r>
        <w:rPr>
          <w:lang w:val="en-US"/>
        </w:rPr>
        <w:t xml:space="preserve"> (November 2005) at [2.27].  </w:t>
      </w:r>
    </w:p>
  </w:endnote>
  <w:endnote w:id="4">
    <w:p w14:paraId="357869D6" w14:textId="77777777" w:rsidR="00342D7D" w:rsidRPr="00A71D94" w:rsidRDefault="00342D7D" w:rsidP="00342D7D">
      <w:pPr>
        <w:pStyle w:val="EndnoteText"/>
        <w:ind w:left="270" w:hanging="288"/>
        <w:rPr>
          <w:lang w:val="en-US"/>
        </w:rPr>
      </w:pPr>
      <w:r>
        <w:rPr>
          <w:rStyle w:val="EndnoteReference"/>
        </w:rPr>
        <w:endnoteRef/>
      </w:r>
      <w:r>
        <w:t xml:space="preserve"> </w:t>
      </w:r>
      <w:r>
        <w:rPr>
          <w:lang w:val="en-US"/>
        </w:rPr>
        <w:tab/>
      </w:r>
      <w:r w:rsidRPr="004B1C50">
        <w:rPr>
          <w:i/>
          <w:iCs/>
        </w:rPr>
        <w:t>Counter-Terrorism Legislation Amendment (Foreign Fighters) Act 2014</w:t>
      </w:r>
      <w:r>
        <w:t xml:space="preserve"> (Cth), Sch 1, items 43–45, 86, 87, 107 and 108.</w:t>
      </w:r>
    </w:p>
  </w:endnote>
  <w:endnote w:id="5">
    <w:p w14:paraId="1C6F2FCE" w14:textId="77777777" w:rsidR="00342D7D" w:rsidRPr="00A4265F" w:rsidRDefault="00342D7D" w:rsidP="00342D7D">
      <w:pPr>
        <w:pStyle w:val="EndnoteText"/>
        <w:ind w:left="270" w:hanging="288"/>
        <w:rPr>
          <w:lang w:val="en-US"/>
        </w:rPr>
      </w:pPr>
      <w:r>
        <w:rPr>
          <w:rStyle w:val="EndnoteReference"/>
        </w:rPr>
        <w:endnoteRef/>
      </w:r>
      <w:r>
        <w:t xml:space="preserve"> </w:t>
      </w:r>
      <w:r>
        <w:rPr>
          <w:lang w:val="en-US"/>
        </w:rPr>
        <w:tab/>
      </w:r>
      <w:r w:rsidRPr="005C095B">
        <w:rPr>
          <w:i/>
          <w:iCs/>
        </w:rPr>
        <w:t>Counter</w:t>
      </w:r>
      <w:r w:rsidRPr="005C095B">
        <w:rPr>
          <w:i/>
          <w:iCs/>
        </w:rPr>
        <w:noBreakHyphen/>
        <w:t>Terrorism Legislation Amendment Act (No. 1) 2018</w:t>
      </w:r>
      <w:r>
        <w:t xml:space="preserve"> (Cth), Sch 1, items 7, 11 and 17.</w:t>
      </w:r>
    </w:p>
  </w:endnote>
  <w:endnote w:id="6">
    <w:p w14:paraId="35A6487B" w14:textId="630BB3CB" w:rsidR="008C5EEE" w:rsidRDefault="008C5EEE" w:rsidP="0080497A">
      <w:pPr>
        <w:pStyle w:val="EndnoteText"/>
        <w:ind w:left="284" w:hanging="284"/>
      </w:pPr>
      <w:r>
        <w:rPr>
          <w:rStyle w:val="EndnoteReference"/>
        </w:rPr>
        <w:endnoteRef/>
      </w:r>
      <w:r>
        <w:t xml:space="preserve"> </w:t>
      </w:r>
      <w:r>
        <w:tab/>
      </w:r>
      <w:r w:rsidRPr="0080497A">
        <w:rPr>
          <w:i/>
          <w:iCs/>
        </w:rPr>
        <w:t>Counter</w:t>
      </w:r>
      <w:r w:rsidRPr="0080497A">
        <w:rPr>
          <w:rFonts w:ascii="Cambria Math" w:hAnsi="Cambria Math" w:cs="Cambria Math"/>
          <w:i/>
          <w:iCs/>
        </w:rPr>
        <w:t>‑</w:t>
      </w:r>
      <w:r w:rsidRPr="0080497A">
        <w:rPr>
          <w:i/>
          <w:iCs/>
        </w:rPr>
        <w:t>Terrorism Legislation Amendment (Sunsetting Review and Other Measures) Act 2021</w:t>
      </w:r>
      <w:r w:rsidR="0080497A">
        <w:t xml:space="preserve"> (Cth), </w:t>
      </w:r>
      <w:r w:rsidR="007642A2">
        <w:t xml:space="preserve">Sch 1, </w:t>
      </w:r>
      <w:r w:rsidR="00804DA2">
        <w:t>items 5, 6 and 7.</w:t>
      </w:r>
    </w:p>
  </w:endnote>
  <w:endnote w:id="7">
    <w:p w14:paraId="490765F8" w14:textId="509D626B" w:rsidR="0080497A" w:rsidRDefault="0080497A" w:rsidP="008910D7">
      <w:pPr>
        <w:pStyle w:val="EndnoteText"/>
        <w:ind w:left="284" w:hanging="284"/>
      </w:pPr>
      <w:r>
        <w:rPr>
          <w:rStyle w:val="EndnoteReference"/>
        </w:rPr>
        <w:endnoteRef/>
      </w:r>
      <w:r>
        <w:t xml:space="preserve"> </w:t>
      </w:r>
      <w:r>
        <w:tab/>
      </w:r>
      <w:r w:rsidR="008910D7" w:rsidRPr="008910D7">
        <w:rPr>
          <w:i/>
          <w:iCs/>
        </w:rPr>
        <w:t>Counter</w:t>
      </w:r>
      <w:r w:rsidR="008910D7" w:rsidRPr="008910D7">
        <w:rPr>
          <w:rFonts w:ascii="Cambria Math" w:hAnsi="Cambria Math" w:cs="Cambria Math"/>
          <w:i/>
          <w:iCs/>
        </w:rPr>
        <w:t>‑</w:t>
      </w:r>
      <w:r w:rsidR="008910D7" w:rsidRPr="008910D7">
        <w:rPr>
          <w:i/>
          <w:iCs/>
        </w:rPr>
        <w:t>Terrorism Legislation Amendment (AFP Powers and Other Matters) Act 2022</w:t>
      </w:r>
      <w:r w:rsidR="008910D7">
        <w:t xml:space="preserve"> (Cth), </w:t>
      </w:r>
      <w:r w:rsidR="00AE0831">
        <w:t>Sch 1, items 1, 2 and 3.</w:t>
      </w:r>
    </w:p>
  </w:endnote>
  <w:endnote w:id="8">
    <w:p w14:paraId="0D3B414F" w14:textId="403CE04F" w:rsidR="0098021A" w:rsidRDefault="0098021A" w:rsidP="00BE2EF9">
      <w:pPr>
        <w:pStyle w:val="EndnoteText"/>
        <w:ind w:left="284" w:hanging="284"/>
      </w:pPr>
      <w:r>
        <w:rPr>
          <w:rStyle w:val="EndnoteReference"/>
        </w:rPr>
        <w:endnoteRef/>
      </w:r>
      <w:r>
        <w:t xml:space="preserve"> </w:t>
      </w:r>
      <w:r>
        <w:tab/>
        <w:t xml:space="preserve">The Hon Clare O’Neil MP, Minister for Home Affairs, ‘National terrorism threat level’ </w:t>
      </w:r>
      <w:r w:rsidRPr="00BE2EF9">
        <w:rPr>
          <w:i/>
          <w:iCs/>
        </w:rPr>
        <w:t>Media release</w:t>
      </w:r>
      <w:r>
        <w:t xml:space="preserve">, </w:t>
      </w:r>
      <w:r w:rsidR="00BE2EF9">
        <w:t xml:space="preserve">28 November 2022, at </w:t>
      </w:r>
      <w:hyperlink r:id="rId2" w:history="1">
        <w:r w:rsidR="00BE2EF9" w:rsidRPr="00DD5EFC">
          <w:rPr>
            <w:rStyle w:val="Hyperlink"/>
          </w:rPr>
          <w:t>https://minister.homeaffairs.gov.au/ClareONeil/Pages/national-terrorism-threat-level.aspx</w:t>
        </w:r>
      </w:hyperlink>
      <w:r w:rsidR="00BE2EF9">
        <w:t xml:space="preserve">. </w:t>
      </w:r>
    </w:p>
  </w:endnote>
  <w:endnote w:id="9">
    <w:p w14:paraId="44ED00AE" w14:textId="0D5EBD0D" w:rsidR="001405E6" w:rsidRDefault="001405E6" w:rsidP="00557984">
      <w:pPr>
        <w:pStyle w:val="EndnoteText"/>
        <w:ind w:left="284" w:hanging="284"/>
      </w:pPr>
      <w:r>
        <w:rPr>
          <w:rStyle w:val="EndnoteReference"/>
        </w:rPr>
        <w:endnoteRef/>
      </w:r>
      <w:r>
        <w:t xml:space="preserve"> </w:t>
      </w:r>
      <w:r>
        <w:tab/>
        <w:t xml:space="preserve">Australian Government, Australian National Security, </w:t>
      </w:r>
      <w:r w:rsidR="00557984" w:rsidRPr="00557984">
        <w:rPr>
          <w:i/>
          <w:iCs/>
        </w:rPr>
        <w:t>Current National Terrorism Threat Level</w:t>
      </w:r>
      <w:r w:rsidR="00557984">
        <w:t xml:space="preserve">, at </w:t>
      </w:r>
      <w:hyperlink r:id="rId3" w:history="1">
        <w:r w:rsidR="00557984" w:rsidRPr="00DD5EFC">
          <w:rPr>
            <w:rStyle w:val="Hyperlink"/>
          </w:rPr>
          <w:t>https://www.nationalsecurity.gov.au/national-threat-level/current-national-terrorism-threat-level</w:t>
        </w:r>
      </w:hyperlink>
      <w:r w:rsidR="00557984">
        <w:t xml:space="preserve">. </w:t>
      </w:r>
    </w:p>
  </w:endnote>
  <w:endnote w:id="10">
    <w:p w14:paraId="4DF14014" w14:textId="77777777" w:rsidR="00330DA1" w:rsidRPr="00455520" w:rsidRDefault="00330DA1" w:rsidP="00330DA1">
      <w:pPr>
        <w:pStyle w:val="EndnoteText"/>
        <w:ind w:left="270" w:hanging="288"/>
        <w:rPr>
          <w:lang w:val="en-US"/>
        </w:rPr>
      </w:pPr>
      <w:r>
        <w:rPr>
          <w:rStyle w:val="EndnoteReference"/>
        </w:rPr>
        <w:endnoteRef/>
      </w:r>
      <w:r>
        <w:t xml:space="preserve"> </w:t>
      </w:r>
      <w:r>
        <w:rPr>
          <w:lang w:val="en-US"/>
        </w:rPr>
        <w:tab/>
      </w:r>
      <w:r w:rsidRPr="00455520">
        <w:rPr>
          <w:i/>
          <w:iCs/>
          <w:lang w:val="en-US"/>
        </w:rPr>
        <w:t>Crimes Act 1914</w:t>
      </w:r>
      <w:r>
        <w:rPr>
          <w:lang w:val="en-US"/>
        </w:rPr>
        <w:t xml:space="preserve"> (Cth), s 3UA, definition of ‘police officer’.</w:t>
      </w:r>
    </w:p>
  </w:endnote>
  <w:endnote w:id="11">
    <w:p w14:paraId="3B340F5D" w14:textId="77777777" w:rsidR="00330DA1" w:rsidRPr="005309AB" w:rsidRDefault="00330DA1" w:rsidP="00330DA1">
      <w:pPr>
        <w:pStyle w:val="EndnoteText"/>
        <w:ind w:left="270" w:hanging="288"/>
        <w:rPr>
          <w:lang w:val="en-US"/>
        </w:rPr>
      </w:pPr>
      <w:r>
        <w:rPr>
          <w:rStyle w:val="EndnoteReference"/>
        </w:rPr>
        <w:endnoteRef/>
      </w:r>
      <w:r>
        <w:t xml:space="preserve"> </w:t>
      </w:r>
      <w:r>
        <w:rPr>
          <w:lang w:val="en-US"/>
        </w:rPr>
        <w:tab/>
        <w:t xml:space="preserve">The exception is the power in </w:t>
      </w:r>
      <w:r>
        <w:t>s 3UEA of emergency entry to premises without a warrant.</w:t>
      </w:r>
    </w:p>
  </w:endnote>
  <w:endnote w:id="12">
    <w:p w14:paraId="573E434B" w14:textId="77777777" w:rsidR="00330DA1" w:rsidRPr="00BC3BF4" w:rsidRDefault="00330DA1" w:rsidP="00330DA1">
      <w:pPr>
        <w:pStyle w:val="EndnoteText"/>
        <w:ind w:left="270" w:hanging="288"/>
        <w:rPr>
          <w:lang w:val="en-US"/>
        </w:rPr>
      </w:pPr>
      <w:r>
        <w:rPr>
          <w:rStyle w:val="EndnoteReference"/>
        </w:rPr>
        <w:endnoteRef/>
      </w:r>
      <w:r>
        <w:t xml:space="preserve"> </w:t>
      </w:r>
      <w:r>
        <w:rPr>
          <w:lang w:val="en-US"/>
        </w:rPr>
        <w:tab/>
      </w:r>
      <w:r w:rsidRPr="00EE03E1">
        <w:rPr>
          <w:i/>
        </w:rPr>
        <w:t>Crimes Act 1914</w:t>
      </w:r>
      <w:r w:rsidRPr="00EE03E1">
        <w:t xml:space="preserve"> (Cth),</w:t>
      </w:r>
      <w:r>
        <w:t xml:space="preserve"> s 3UB(1)(a).</w:t>
      </w:r>
    </w:p>
  </w:endnote>
  <w:endnote w:id="13">
    <w:p w14:paraId="0AA86C4A" w14:textId="77777777" w:rsidR="00330DA1" w:rsidRPr="00887C81" w:rsidRDefault="00330DA1" w:rsidP="00330DA1">
      <w:pPr>
        <w:pStyle w:val="EndnoteText"/>
        <w:ind w:left="270" w:hanging="288"/>
        <w:rPr>
          <w:lang w:val="en-US"/>
        </w:rPr>
      </w:pPr>
      <w:r>
        <w:rPr>
          <w:rStyle w:val="EndnoteReference"/>
        </w:rPr>
        <w:endnoteRef/>
      </w:r>
      <w:r>
        <w:t xml:space="preserve"> </w:t>
      </w:r>
      <w:r>
        <w:rPr>
          <w:lang w:val="en-US"/>
        </w:rPr>
        <w:tab/>
        <w:t xml:space="preserve">Independent National Security Legislation Monitor, </w:t>
      </w:r>
      <w:r w:rsidRPr="00536F99">
        <w:rPr>
          <w:i/>
          <w:iCs/>
          <w:lang w:val="en-US"/>
        </w:rPr>
        <w:t>Review of Division 3A of Part IAA of the Crimes Act 1914: Stop, Search and Seize Powers</w:t>
      </w:r>
      <w:r>
        <w:rPr>
          <w:lang w:val="en-US"/>
        </w:rPr>
        <w:t xml:space="preserve">, 7 September 2017, at [3.4].  Pursuant to s 3 of the </w:t>
      </w:r>
      <w:r w:rsidRPr="00A75663">
        <w:rPr>
          <w:i/>
          <w:iCs/>
          <w:lang w:val="en-US"/>
        </w:rPr>
        <w:t>Commonwealth Places (Application of Laws) Act 1970</w:t>
      </w:r>
      <w:r>
        <w:rPr>
          <w:lang w:val="en-US"/>
        </w:rPr>
        <w:t xml:space="preserve"> (Cth), a ‘Commonwealth place’ </w:t>
      </w:r>
      <w:r>
        <w:t>is</w:t>
      </w:r>
      <w:r w:rsidRPr="00C00A53">
        <w:t xml:space="preserve"> </w:t>
      </w:r>
      <w:r>
        <w:t>‘</w:t>
      </w:r>
      <w:r w:rsidRPr="00C00A53">
        <w:t>a place (not being the seat of government) with respect to which the Parliament, by virtue of section</w:t>
      </w:r>
      <w:r>
        <w:t xml:space="preserve"> </w:t>
      </w:r>
      <w:r w:rsidRPr="00C00A53">
        <w:t>52 of the Constitution, has, subject to the Constitution, exclusive power to make laws for the peace, order, and good government of the Commonwealt</w:t>
      </w:r>
      <w:r>
        <w:t>h’.</w:t>
      </w:r>
      <w:r w:rsidRPr="00887C81">
        <w:rPr>
          <w:lang w:val="en-US"/>
        </w:rPr>
        <w:t xml:space="preserve"> </w:t>
      </w:r>
    </w:p>
  </w:endnote>
  <w:endnote w:id="14">
    <w:p w14:paraId="7A4F16C4" w14:textId="77777777" w:rsidR="00330DA1" w:rsidRPr="00BC3BF4" w:rsidRDefault="00330DA1" w:rsidP="00330DA1">
      <w:pPr>
        <w:pStyle w:val="EndnoteText"/>
        <w:ind w:left="270" w:hanging="288"/>
        <w:rPr>
          <w:lang w:val="en-US"/>
        </w:rPr>
      </w:pPr>
      <w:r>
        <w:rPr>
          <w:rStyle w:val="EndnoteReference"/>
        </w:rPr>
        <w:endnoteRef/>
      </w:r>
      <w:r>
        <w:t xml:space="preserve"> </w:t>
      </w:r>
      <w:r>
        <w:rPr>
          <w:lang w:val="en-US"/>
        </w:rPr>
        <w:tab/>
      </w:r>
      <w:r w:rsidRPr="00EE03E1">
        <w:rPr>
          <w:i/>
        </w:rPr>
        <w:t>Crimes Act 1914</w:t>
      </w:r>
      <w:r w:rsidRPr="00EE03E1">
        <w:t xml:space="preserve"> (Cth),</w:t>
      </w:r>
      <w:r>
        <w:t xml:space="preserve"> s 3UB(1)(b).</w:t>
      </w:r>
    </w:p>
  </w:endnote>
  <w:endnote w:id="15">
    <w:p w14:paraId="47294CC5" w14:textId="77777777" w:rsidR="00330DA1" w:rsidRPr="00EE03E1" w:rsidRDefault="00330DA1" w:rsidP="00330DA1">
      <w:pPr>
        <w:pStyle w:val="EndnoteText"/>
        <w:ind w:left="270" w:hanging="288"/>
      </w:pPr>
      <w:r w:rsidRPr="00EE03E1">
        <w:rPr>
          <w:rStyle w:val="EndnoteReference"/>
        </w:rPr>
        <w:endnoteRef/>
      </w:r>
      <w:r w:rsidRPr="00EE03E1">
        <w:t xml:space="preserve"> </w:t>
      </w:r>
      <w:r>
        <w:tab/>
      </w:r>
      <w:r w:rsidRPr="00EE03E1">
        <w:rPr>
          <w:i/>
        </w:rPr>
        <w:t>Crimes Act 1914</w:t>
      </w:r>
      <w:r w:rsidRPr="00EE03E1">
        <w:t xml:space="preserve"> (Cth), s 3UJ.</w:t>
      </w:r>
    </w:p>
  </w:endnote>
  <w:endnote w:id="16">
    <w:p w14:paraId="16730D3E" w14:textId="77777777" w:rsidR="00330DA1" w:rsidRPr="00AB5B57" w:rsidRDefault="00330DA1" w:rsidP="00330DA1">
      <w:pPr>
        <w:pStyle w:val="EndnoteText"/>
        <w:ind w:left="270" w:hanging="288"/>
        <w:rPr>
          <w:lang w:val="en-US"/>
        </w:rPr>
      </w:pPr>
      <w:r>
        <w:rPr>
          <w:rStyle w:val="EndnoteReference"/>
        </w:rPr>
        <w:endnoteRef/>
      </w:r>
      <w:r>
        <w:t xml:space="preserve"> </w:t>
      </w:r>
      <w:r>
        <w:rPr>
          <w:lang w:val="en-US"/>
        </w:rPr>
        <w:tab/>
      </w:r>
      <w:r w:rsidRPr="008C6BED">
        <w:rPr>
          <w:i/>
          <w:iCs/>
          <w:lang w:val="en-US"/>
        </w:rPr>
        <w:t>Crimes Act 1914</w:t>
      </w:r>
      <w:r>
        <w:rPr>
          <w:lang w:val="en-US"/>
        </w:rPr>
        <w:t xml:space="preserve"> (Cth), s 3UC.</w:t>
      </w:r>
    </w:p>
  </w:endnote>
  <w:endnote w:id="17">
    <w:p w14:paraId="56CFB7AC" w14:textId="77777777" w:rsidR="00330DA1" w:rsidRPr="00AB5B57" w:rsidRDefault="00330DA1" w:rsidP="00330DA1">
      <w:pPr>
        <w:pStyle w:val="EndnoteText"/>
        <w:ind w:left="270" w:hanging="288"/>
        <w:rPr>
          <w:lang w:val="en-US"/>
        </w:rPr>
      </w:pPr>
      <w:r>
        <w:rPr>
          <w:rStyle w:val="EndnoteReference"/>
        </w:rPr>
        <w:endnoteRef/>
      </w:r>
      <w:r>
        <w:t xml:space="preserve"> </w:t>
      </w:r>
      <w:r>
        <w:rPr>
          <w:lang w:val="en-US"/>
        </w:rPr>
        <w:tab/>
      </w:r>
      <w:r w:rsidRPr="008C6BED">
        <w:rPr>
          <w:i/>
          <w:iCs/>
          <w:lang w:val="en-US"/>
        </w:rPr>
        <w:t>Crimes Act 1914</w:t>
      </w:r>
      <w:r>
        <w:rPr>
          <w:lang w:val="en-US"/>
        </w:rPr>
        <w:t xml:space="preserve"> (Cth), s 3UD.</w:t>
      </w:r>
    </w:p>
  </w:endnote>
  <w:endnote w:id="18">
    <w:p w14:paraId="79C62B81" w14:textId="77777777" w:rsidR="00330DA1" w:rsidRPr="00AB5B57" w:rsidRDefault="00330DA1" w:rsidP="00330DA1">
      <w:pPr>
        <w:pStyle w:val="EndnoteText"/>
        <w:ind w:left="270" w:hanging="288"/>
        <w:rPr>
          <w:lang w:val="en-US"/>
        </w:rPr>
      </w:pPr>
      <w:r>
        <w:rPr>
          <w:rStyle w:val="EndnoteReference"/>
        </w:rPr>
        <w:endnoteRef/>
      </w:r>
      <w:r>
        <w:t xml:space="preserve"> </w:t>
      </w:r>
      <w:r>
        <w:rPr>
          <w:lang w:val="en-US"/>
        </w:rPr>
        <w:tab/>
      </w:r>
      <w:r w:rsidRPr="008C6BED">
        <w:rPr>
          <w:i/>
          <w:iCs/>
          <w:lang w:val="en-US"/>
        </w:rPr>
        <w:t>Crimes Act 1914</w:t>
      </w:r>
      <w:r>
        <w:rPr>
          <w:lang w:val="en-US"/>
        </w:rPr>
        <w:t xml:space="preserve"> (Cth), s 3UE.</w:t>
      </w:r>
    </w:p>
  </w:endnote>
  <w:endnote w:id="19">
    <w:p w14:paraId="427FF4E4" w14:textId="77777777" w:rsidR="00330DA1" w:rsidRPr="004437C1" w:rsidRDefault="00330DA1" w:rsidP="00330DA1">
      <w:pPr>
        <w:pStyle w:val="EndnoteText"/>
        <w:ind w:left="270" w:hanging="288"/>
        <w:rPr>
          <w:lang w:val="en-US"/>
        </w:rPr>
      </w:pPr>
      <w:r>
        <w:rPr>
          <w:rStyle w:val="EndnoteReference"/>
        </w:rPr>
        <w:endnoteRef/>
      </w:r>
      <w:r>
        <w:t xml:space="preserve"> </w:t>
      </w:r>
      <w:r>
        <w:rPr>
          <w:lang w:val="en-US"/>
        </w:rPr>
        <w:tab/>
      </w:r>
      <w:r w:rsidRPr="004437C1">
        <w:rPr>
          <w:i/>
          <w:iCs/>
          <w:lang w:val="en-US"/>
        </w:rPr>
        <w:t>National Security Legislation Amendment Act 2010</w:t>
      </w:r>
      <w:r>
        <w:rPr>
          <w:lang w:val="en-US"/>
        </w:rPr>
        <w:t xml:space="preserve"> (Cth).</w:t>
      </w:r>
    </w:p>
  </w:endnote>
  <w:endnote w:id="20">
    <w:p w14:paraId="41E2A093" w14:textId="77777777" w:rsidR="00330DA1" w:rsidRPr="00A44E49" w:rsidRDefault="00330DA1" w:rsidP="00330DA1">
      <w:pPr>
        <w:pStyle w:val="EndnoteText"/>
        <w:ind w:left="270" w:hanging="288"/>
        <w:rPr>
          <w:lang w:val="en-US"/>
        </w:rPr>
      </w:pPr>
      <w:r>
        <w:rPr>
          <w:rStyle w:val="EndnoteReference"/>
        </w:rPr>
        <w:endnoteRef/>
      </w:r>
      <w:r>
        <w:t xml:space="preserve"> </w:t>
      </w:r>
      <w:r>
        <w:rPr>
          <w:lang w:val="en-US"/>
        </w:rPr>
        <w:tab/>
      </w:r>
      <w:r w:rsidRPr="005C095B">
        <w:rPr>
          <w:i/>
          <w:iCs/>
        </w:rPr>
        <w:t>Counter</w:t>
      </w:r>
      <w:r w:rsidRPr="005C095B">
        <w:rPr>
          <w:i/>
          <w:iCs/>
        </w:rPr>
        <w:noBreakHyphen/>
        <w:t>Terrorism Legislation Amendment Act (No. 1) 2018</w:t>
      </w:r>
      <w:r>
        <w:t xml:space="preserve"> (Cth), which added ss 3UJA and 3UJB.</w:t>
      </w:r>
    </w:p>
  </w:endnote>
  <w:endnote w:id="21">
    <w:p w14:paraId="2E3707C3" w14:textId="77777777" w:rsidR="00330DA1" w:rsidRPr="0031209B" w:rsidRDefault="00330DA1" w:rsidP="00330DA1">
      <w:pPr>
        <w:pStyle w:val="EndnoteText"/>
        <w:ind w:left="270" w:hanging="288"/>
        <w:rPr>
          <w:lang w:val="en-US"/>
        </w:rPr>
      </w:pPr>
      <w:r>
        <w:rPr>
          <w:rStyle w:val="EndnoteReference"/>
        </w:rPr>
        <w:endnoteRef/>
      </w:r>
      <w:r>
        <w:t xml:space="preserve"> </w:t>
      </w:r>
      <w:r>
        <w:rPr>
          <w:lang w:val="en-US"/>
        </w:rPr>
        <w:tab/>
        <w:t xml:space="preserve">Independent National Security Legislation Monitor, </w:t>
      </w:r>
      <w:r w:rsidRPr="00536F99">
        <w:rPr>
          <w:i/>
          <w:iCs/>
          <w:lang w:val="en-US"/>
        </w:rPr>
        <w:t>Review of Division 3A of Part IAA of the Crimes Act 1914: Stop, Search and Seize Powers</w:t>
      </w:r>
      <w:r>
        <w:rPr>
          <w:lang w:val="en-US"/>
        </w:rPr>
        <w:t xml:space="preserve">, 7 September 2017, at [9.2].  </w:t>
      </w:r>
    </w:p>
  </w:endnote>
  <w:endnote w:id="22">
    <w:p w14:paraId="10318DF2" w14:textId="77777777" w:rsidR="00330DA1" w:rsidRPr="00164DEA" w:rsidRDefault="00330DA1" w:rsidP="00330DA1">
      <w:pPr>
        <w:pStyle w:val="EndnoteText"/>
        <w:ind w:left="270" w:hanging="288"/>
        <w:rPr>
          <w:lang w:val="en-US"/>
        </w:rPr>
      </w:pPr>
      <w:r>
        <w:rPr>
          <w:rStyle w:val="EndnoteReference"/>
        </w:rPr>
        <w:endnoteRef/>
      </w:r>
      <w:r>
        <w:t xml:space="preserve"> </w:t>
      </w:r>
      <w:r>
        <w:rPr>
          <w:lang w:val="en-US"/>
        </w:rPr>
        <w:tab/>
        <w:t xml:space="preserve">Parliamentary Joint Committee on Intelligence and Security, </w:t>
      </w:r>
      <w:r w:rsidRPr="004B14A5">
        <w:rPr>
          <w:i/>
          <w:iCs/>
          <w:lang w:val="en-US"/>
        </w:rPr>
        <w:t>Review of police stop, search and seizure powers, the control order regime and the preventative detention order regime</w:t>
      </w:r>
      <w:r>
        <w:rPr>
          <w:lang w:val="en-US"/>
        </w:rPr>
        <w:t xml:space="preserve"> (February 2018), at [2.91].  At </w:t>
      </w:r>
      <w:hyperlink r:id="rId4" w:history="1">
        <w:r>
          <w:rPr>
            <w:rStyle w:val="Hyperlink"/>
          </w:rPr>
          <w:t>https://www.aph.gov.au/Parliamentary_Business/Committees/Joint/Intelligence_and_Security/AFPpowersreview/Report</w:t>
        </w:r>
      </w:hyperlink>
      <w:r>
        <w:rPr>
          <w:lang w:val="en-US"/>
        </w:rPr>
        <w:t>.</w:t>
      </w:r>
    </w:p>
  </w:endnote>
  <w:endnote w:id="23">
    <w:p w14:paraId="581F490A" w14:textId="77777777" w:rsidR="00330DA1" w:rsidRPr="00FC3CCD" w:rsidRDefault="00330DA1" w:rsidP="00330DA1">
      <w:pPr>
        <w:pStyle w:val="EndnoteText"/>
        <w:ind w:left="270" w:hanging="288"/>
        <w:rPr>
          <w:lang w:val="en-US"/>
        </w:rPr>
      </w:pPr>
      <w:r>
        <w:rPr>
          <w:rStyle w:val="EndnoteReference"/>
        </w:rPr>
        <w:endnoteRef/>
      </w:r>
      <w:r>
        <w:t xml:space="preserve"> </w:t>
      </w:r>
      <w:r>
        <w:rPr>
          <w:lang w:val="en-US"/>
        </w:rPr>
        <w:tab/>
      </w:r>
      <w:r w:rsidRPr="00FC3CCD">
        <w:rPr>
          <w:i/>
          <w:iCs/>
          <w:lang w:val="en-US"/>
        </w:rPr>
        <w:t xml:space="preserve">Intelligence Services Act 2001 </w:t>
      </w:r>
      <w:r>
        <w:rPr>
          <w:lang w:val="en-US"/>
        </w:rPr>
        <w:t>(Cth), s 29(1)(bba).</w:t>
      </w:r>
    </w:p>
  </w:endnote>
  <w:endnote w:id="24">
    <w:p w14:paraId="4341F374" w14:textId="2D792E9B" w:rsidR="00330DA1" w:rsidRDefault="00330DA1" w:rsidP="00330DA1">
      <w:pPr>
        <w:pStyle w:val="EndnoteText"/>
        <w:ind w:left="284" w:hanging="284"/>
      </w:pPr>
      <w:r>
        <w:rPr>
          <w:rStyle w:val="EndnoteReference"/>
        </w:rPr>
        <w:endnoteRef/>
      </w:r>
      <w:r>
        <w:t xml:space="preserve"> </w:t>
      </w:r>
      <w:r>
        <w:tab/>
      </w:r>
      <w:r>
        <w:rPr>
          <w:lang w:val="en-US"/>
        </w:rPr>
        <w:t xml:space="preserve">Department of Home Affairs, Attorney-General’s Department and Australian Federal Police, </w:t>
      </w:r>
      <w:r w:rsidRPr="00292515">
        <w:rPr>
          <w:i/>
          <w:iCs/>
          <w:lang w:val="en-US"/>
        </w:rPr>
        <w:t xml:space="preserve">Joint-agency submission </w:t>
      </w:r>
      <w:r>
        <w:rPr>
          <w:i/>
          <w:iCs/>
          <w:lang w:val="en-US"/>
        </w:rPr>
        <w:t>–</w:t>
      </w:r>
      <w:r w:rsidRPr="00292515">
        <w:rPr>
          <w:i/>
          <w:iCs/>
          <w:lang w:val="en-US"/>
        </w:rPr>
        <w:t xml:space="preserve"> Review of the police stop, search and seizure powers, the control order regime and the preventative detention order regime (Review of AFP Powers)</w:t>
      </w:r>
      <w:r>
        <w:rPr>
          <w:lang w:val="en-US"/>
        </w:rPr>
        <w:t xml:space="preserve">, submission to the PJCIS, 4 September 2020, p 6.  </w:t>
      </w:r>
    </w:p>
  </w:endnote>
  <w:endnote w:id="25">
    <w:p w14:paraId="5FA32D0D" w14:textId="1637D8AE" w:rsidR="008F7302" w:rsidRDefault="008F7302" w:rsidP="00A8257F">
      <w:pPr>
        <w:pStyle w:val="EndnoteText"/>
        <w:ind w:left="284" w:hanging="284"/>
      </w:pPr>
      <w:r>
        <w:rPr>
          <w:rStyle w:val="EndnoteReference"/>
        </w:rPr>
        <w:endnoteRef/>
      </w:r>
      <w:r>
        <w:t xml:space="preserve"> </w:t>
      </w:r>
      <w:r>
        <w:tab/>
      </w:r>
      <w:r>
        <w:rPr>
          <w:lang w:val="en-US"/>
        </w:rPr>
        <w:t xml:space="preserve">Australian Government, Department of Home Affairs, </w:t>
      </w:r>
      <w:r w:rsidRPr="004D74D1">
        <w:rPr>
          <w:i/>
          <w:iCs/>
        </w:rPr>
        <w:t xml:space="preserve">Control Orders, Preventative Detention Orders, Continuing Detention Orders, </w:t>
      </w:r>
      <w:r>
        <w:rPr>
          <w:i/>
          <w:iCs/>
        </w:rPr>
        <w:t xml:space="preserve">Temporary Exclusion Orders </w:t>
      </w:r>
      <w:r w:rsidRPr="004D74D1">
        <w:rPr>
          <w:i/>
          <w:iCs/>
        </w:rPr>
        <w:t xml:space="preserve">and Powers in Relation to Terrorist Acts and Terrorism Offences, Annual Report </w:t>
      </w:r>
      <w:r>
        <w:rPr>
          <w:i/>
          <w:iCs/>
        </w:rPr>
        <w:t>2020-21</w:t>
      </w:r>
      <w:r w:rsidR="005A610F">
        <w:t>,</w:t>
      </w:r>
      <w:r>
        <w:rPr>
          <w:i/>
          <w:iCs/>
        </w:rPr>
        <w:t xml:space="preserve"> </w:t>
      </w:r>
      <w:r>
        <w:rPr>
          <w:lang w:val="en-US"/>
        </w:rPr>
        <w:t xml:space="preserve">at </w:t>
      </w:r>
      <w:hyperlink r:id="rId5" w:history="1">
        <w:r w:rsidRPr="00DD5EFC">
          <w:rPr>
            <w:rStyle w:val="Hyperlink"/>
            <w:lang w:val="en-US"/>
          </w:rPr>
          <w:t>https://www.homeaffairs.gov.au/reports-and-pubs/files/reports-to-parliament/20-21-counter-terrorism-powers-annual-report.pdf</w:t>
        </w:r>
      </w:hyperlink>
      <w:r w:rsidR="00B46387">
        <w:t xml:space="preserve">; </w:t>
      </w:r>
      <w:r w:rsidR="00B46387">
        <w:rPr>
          <w:lang w:val="en-US"/>
        </w:rPr>
        <w:t>Australian Government,</w:t>
      </w:r>
      <w:r w:rsidR="00A8257F">
        <w:rPr>
          <w:lang w:val="en-US"/>
        </w:rPr>
        <w:t xml:space="preserve"> Attorney-General’s Department, </w:t>
      </w:r>
      <w:r w:rsidR="00A8257F" w:rsidRPr="005A610F">
        <w:rPr>
          <w:i/>
          <w:iCs/>
          <w:lang w:val="en-US"/>
        </w:rPr>
        <w:t>Control orders, preventative detention orders, continuing detention orders and powers in relation to terrorist acts and terrorism offences</w:t>
      </w:r>
      <w:r w:rsidR="005A610F" w:rsidRPr="005A610F">
        <w:rPr>
          <w:i/>
          <w:iCs/>
          <w:lang w:val="en-US"/>
        </w:rPr>
        <w:t>, Annual Report 2021-22</w:t>
      </w:r>
      <w:r w:rsidR="005A610F">
        <w:rPr>
          <w:lang w:val="en-US"/>
        </w:rPr>
        <w:t xml:space="preserve">, at </w:t>
      </w:r>
      <w:hyperlink r:id="rId6" w:history="1">
        <w:r w:rsidR="008B7324" w:rsidRPr="00DD5EFC">
          <w:rPr>
            <w:rStyle w:val="Hyperlink"/>
            <w:lang w:val="en-US"/>
          </w:rPr>
          <w:t>https://www.ag.gov.au/sites/default/files/2022-11/annual-report-on-counter-terrorism-powers-2021-22.PDF</w:t>
        </w:r>
      </w:hyperlink>
      <w:r w:rsidR="008B7324">
        <w:rPr>
          <w:lang w:val="en-US"/>
        </w:rPr>
        <w:t xml:space="preserve">. </w:t>
      </w:r>
    </w:p>
  </w:endnote>
  <w:endnote w:id="26">
    <w:p w14:paraId="518DAC58" w14:textId="3791F2A4" w:rsidR="005639FD" w:rsidRPr="00CE61DE" w:rsidRDefault="005639FD" w:rsidP="00CE61DE">
      <w:pPr>
        <w:pStyle w:val="EndnoteText"/>
        <w:ind w:left="284" w:hanging="284"/>
      </w:pPr>
      <w:r>
        <w:rPr>
          <w:rStyle w:val="EndnoteReference"/>
        </w:rPr>
        <w:endnoteRef/>
      </w:r>
      <w:r>
        <w:t xml:space="preserve"> </w:t>
      </w:r>
      <w:r>
        <w:tab/>
      </w:r>
      <w:r w:rsidR="00FA0B78">
        <w:rPr>
          <w:lang w:val="en-US"/>
        </w:rPr>
        <w:t xml:space="preserve">Parliamentary Joint Committee on Intelligence and Security, </w:t>
      </w:r>
      <w:r w:rsidR="00FA0B78" w:rsidRPr="004B14A5">
        <w:rPr>
          <w:i/>
          <w:iCs/>
          <w:lang w:val="en-US"/>
        </w:rPr>
        <w:t>Review of</w:t>
      </w:r>
      <w:r w:rsidR="00CE61DE">
        <w:rPr>
          <w:i/>
          <w:iCs/>
          <w:lang w:val="en-US"/>
        </w:rPr>
        <w:t xml:space="preserve"> </w:t>
      </w:r>
      <w:r w:rsidR="00CE61DE" w:rsidRPr="00CE61DE">
        <w:rPr>
          <w:i/>
          <w:iCs/>
          <w:lang w:val="en-US"/>
        </w:rPr>
        <w:t>police powers in</w:t>
      </w:r>
      <w:r w:rsidR="00CE61DE">
        <w:rPr>
          <w:i/>
          <w:iCs/>
          <w:lang w:val="en-US"/>
        </w:rPr>
        <w:t xml:space="preserve"> </w:t>
      </w:r>
      <w:r w:rsidR="00CE61DE" w:rsidRPr="00CE61DE">
        <w:rPr>
          <w:i/>
          <w:iCs/>
          <w:lang w:val="en-US"/>
        </w:rPr>
        <w:t>relation to terrorism, the control</w:t>
      </w:r>
      <w:r w:rsidR="00CE61DE">
        <w:rPr>
          <w:i/>
          <w:iCs/>
          <w:lang w:val="en-US"/>
        </w:rPr>
        <w:t xml:space="preserve"> </w:t>
      </w:r>
      <w:r w:rsidR="00CE61DE" w:rsidRPr="00CE61DE">
        <w:rPr>
          <w:i/>
          <w:iCs/>
          <w:lang w:val="en-US"/>
        </w:rPr>
        <w:t>order regime, the preventative</w:t>
      </w:r>
      <w:r w:rsidR="00CE61DE">
        <w:rPr>
          <w:i/>
          <w:iCs/>
          <w:lang w:val="en-US"/>
        </w:rPr>
        <w:t xml:space="preserve"> </w:t>
      </w:r>
      <w:r w:rsidR="00CE61DE" w:rsidRPr="00CE61DE">
        <w:rPr>
          <w:i/>
          <w:iCs/>
          <w:lang w:val="en-US"/>
        </w:rPr>
        <w:t>detention order regime and the</w:t>
      </w:r>
      <w:r w:rsidR="00CE61DE">
        <w:rPr>
          <w:i/>
          <w:iCs/>
          <w:lang w:val="en-US"/>
        </w:rPr>
        <w:t xml:space="preserve"> </w:t>
      </w:r>
      <w:r w:rsidR="00CE61DE" w:rsidRPr="00CE61DE">
        <w:rPr>
          <w:i/>
          <w:iCs/>
          <w:lang w:val="en-US"/>
        </w:rPr>
        <w:t>continuing detention order regime</w:t>
      </w:r>
      <w:r w:rsidR="00CE61DE">
        <w:rPr>
          <w:lang w:val="en-US"/>
        </w:rPr>
        <w:t xml:space="preserve">, October 2021, at </w:t>
      </w:r>
      <w:hyperlink r:id="rId7" w:history="1">
        <w:r w:rsidR="009A4AB1" w:rsidRPr="00DD5EFC">
          <w:rPr>
            <w:rStyle w:val="Hyperlink"/>
            <w:lang w:val="en-US"/>
          </w:rPr>
          <w:t>https://www.aph.gov.au/Parliamentary_Business/Committees/Joint/Intelligence_and_Security/ReviewofAFPPowers/Report</w:t>
        </w:r>
      </w:hyperlink>
      <w:r w:rsidR="00EF2118">
        <w:rPr>
          <w:lang w:val="en-US"/>
        </w:rPr>
        <w:t>.</w:t>
      </w:r>
      <w:r w:rsidR="009A4AB1">
        <w:rPr>
          <w:lang w:val="en-US"/>
        </w:rPr>
        <w:t xml:space="preserve"> </w:t>
      </w:r>
    </w:p>
  </w:endnote>
  <w:endnote w:id="27">
    <w:p w14:paraId="495341FD" w14:textId="77777777" w:rsidR="00F73D4A" w:rsidRDefault="00F73D4A" w:rsidP="00F73D4A">
      <w:pPr>
        <w:pStyle w:val="EndnoteText"/>
        <w:ind w:left="284" w:hanging="284"/>
      </w:pPr>
      <w:r>
        <w:rPr>
          <w:rStyle w:val="EndnoteReference"/>
        </w:rPr>
        <w:endnoteRef/>
      </w:r>
      <w:r>
        <w:t xml:space="preserve"> </w:t>
      </w:r>
      <w:r>
        <w:tab/>
        <w:t xml:space="preserve">Proposed ss 3UD(1A) and (1B) of the </w:t>
      </w:r>
      <w:r w:rsidRPr="002122A6">
        <w:rPr>
          <w:i/>
          <w:iCs/>
        </w:rPr>
        <w:t>Crimes Act 1914</w:t>
      </w:r>
      <w:r>
        <w:t xml:space="preserve"> (Cth).</w:t>
      </w:r>
    </w:p>
  </w:endnote>
  <w:endnote w:id="28">
    <w:p w14:paraId="2B6FC82A" w14:textId="5295CEEA" w:rsidR="00F6117D" w:rsidRDefault="00F6117D" w:rsidP="001D49DA">
      <w:pPr>
        <w:pStyle w:val="EndnoteText"/>
        <w:ind w:left="284" w:hanging="284"/>
      </w:pPr>
      <w:r>
        <w:rPr>
          <w:rStyle w:val="EndnoteReference"/>
        </w:rPr>
        <w:endnoteRef/>
      </w:r>
      <w:r>
        <w:t xml:space="preserve"> </w:t>
      </w:r>
      <w:r>
        <w:tab/>
      </w:r>
      <w:r w:rsidRPr="001D49DA">
        <w:rPr>
          <w:i/>
          <w:iCs/>
        </w:rPr>
        <w:t>Intelligence Services Act 2001</w:t>
      </w:r>
      <w:r>
        <w:t xml:space="preserve"> (Cth), s </w:t>
      </w:r>
      <w:r w:rsidR="001D49DA">
        <w:t>29(1)(bba)(ii).</w:t>
      </w:r>
    </w:p>
  </w:endnote>
  <w:endnote w:id="29">
    <w:p w14:paraId="54DB00FE" w14:textId="333013BF" w:rsidR="004358B1" w:rsidRDefault="004358B1" w:rsidP="00C459A0">
      <w:pPr>
        <w:pStyle w:val="EndnoteText"/>
        <w:ind w:left="284" w:hanging="284"/>
      </w:pPr>
      <w:r>
        <w:rPr>
          <w:rStyle w:val="EndnoteReference"/>
        </w:rPr>
        <w:endnoteRef/>
      </w:r>
      <w:r>
        <w:t xml:space="preserve"> </w:t>
      </w:r>
      <w:r>
        <w:tab/>
      </w:r>
      <w:r w:rsidR="00C347AE">
        <w:t xml:space="preserve">Commonwealth of Australia, </w:t>
      </w:r>
      <w:r w:rsidR="00C347AE" w:rsidRPr="00C347AE">
        <w:rPr>
          <w:i/>
          <w:iCs/>
        </w:rPr>
        <w:t>Parliamentary Debates</w:t>
      </w:r>
      <w:r w:rsidR="00C347AE">
        <w:t xml:space="preserve">, House of Representatives, </w:t>
      </w:r>
      <w:r w:rsidR="001E6BD3">
        <w:t>10 August 2023, p </w:t>
      </w:r>
      <w:r w:rsidR="00A91131">
        <w:t>3</w:t>
      </w:r>
      <w:r w:rsidR="001E6BD3">
        <w:t xml:space="preserve"> (</w:t>
      </w:r>
      <w:r w:rsidR="001E6BD3" w:rsidRPr="00BC47D3">
        <w:rPr>
          <w:i/>
          <w:iCs/>
        </w:rPr>
        <w:t>Counter-Terrorism and Other Legislation Amendment Bill 2023</w:t>
      </w:r>
      <w:r w:rsidR="001E6BD3">
        <w:t xml:space="preserve">, Attorney-General and </w:t>
      </w:r>
      <w:r w:rsidR="00C459A0">
        <w:t>Cabinet Secretary).</w:t>
      </w:r>
    </w:p>
  </w:endnote>
  <w:endnote w:id="30">
    <w:p w14:paraId="6227733F" w14:textId="77777777" w:rsidR="003C04AD" w:rsidRPr="00CC7709" w:rsidRDefault="003C04AD" w:rsidP="003C04AD">
      <w:pPr>
        <w:pStyle w:val="EndnoteText"/>
        <w:ind w:left="270" w:hanging="288"/>
        <w:rPr>
          <w:lang w:val="en-US"/>
        </w:rPr>
      </w:pPr>
      <w:r>
        <w:rPr>
          <w:rStyle w:val="EndnoteReference"/>
        </w:rPr>
        <w:endnoteRef/>
      </w:r>
      <w:r>
        <w:t xml:space="preserve"> </w:t>
      </w:r>
      <w:r>
        <w:rPr>
          <w:lang w:val="en-US"/>
        </w:rPr>
        <w:tab/>
      </w:r>
      <w:r w:rsidRPr="00CC7709">
        <w:rPr>
          <w:i/>
          <w:iCs/>
          <w:lang w:val="en-US"/>
        </w:rPr>
        <w:t>Criminal Code</w:t>
      </w:r>
      <w:r>
        <w:rPr>
          <w:lang w:val="en-US"/>
        </w:rPr>
        <w:t xml:space="preserve"> (Cth), s 104.1.</w:t>
      </w:r>
    </w:p>
  </w:endnote>
  <w:endnote w:id="31">
    <w:p w14:paraId="1E7D10E7" w14:textId="77777777" w:rsidR="003C04AD" w:rsidRPr="00CC7709" w:rsidRDefault="003C04AD" w:rsidP="003C04AD">
      <w:pPr>
        <w:pStyle w:val="EndnoteText"/>
        <w:ind w:left="270" w:hanging="288"/>
        <w:rPr>
          <w:lang w:val="en-US"/>
        </w:rPr>
      </w:pPr>
      <w:r>
        <w:rPr>
          <w:rStyle w:val="EndnoteReference"/>
        </w:rPr>
        <w:endnoteRef/>
      </w:r>
      <w:r>
        <w:t xml:space="preserve"> </w:t>
      </w:r>
      <w:r>
        <w:rPr>
          <w:lang w:val="en-US"/>
        </w:rPr>
        <w:tab/>
      </w:r>
      <w:r w:rsidRPr="00CC7709">
        <w:rPr>
          <w:i/>
          <w:iCs/>
          <w:lang w:val="en-US"/>
        </w:rPr>
        <w:t>Criminal Code</w:t>
      </w:r>
      <w:r>
        <w:rPr>
          <w:lang w:val="en-US"/>
        </w:rPr>
        <w:t xml:space="preserve"> (Cth), s 104.5(3).</w:t>
      </w:r>
    </w:p>
  </w:endnote>
  <w:endnote w:id="32">
    <w:p w14:paraId="3ADD3D1E" w14:textId="77777777" w:rsidR="003C04AD" w:rsidRPr="00472C57" w:rsidRDefault="003C04AD" w:rsidP="003C04AD">
      <w:pPr>
        <w:pStyle w:val="EndnoteText"/>
        <w:ind w:left="270" w:hanging="288"/>
        <w:rPr>
          <w:lang w:val="en-US"/>
        </w:rPr>
      </w:pPr>
      <w:r>
        <w:rPr>
          <w:rStyle w:val="EndnoteReference"/>
        </w:rPr>
        <w:endnoteRef/>
      </w:r>
      <w:r>
        <w:t xml:space="preserve"> </w:t>
      </w:r>
      <w:r>
        <w:rPr>
          <w:lang w:val="en-US"/>
        </w:rPr>
        <w:tab/>
      </w:r>
      <w:r w:rsidRPr="00CC7709">
        <w:rPr>
          <w:i/>
          <w:iCs/>
          <w:lang w:val="en-US"/>
        </w:rPr>
        <w:t>Criminal Code</w:t>
      </w:r>
      <w:r>
        <w:rPr>
          <w:lang w:val="en-US"/>
        </w:rPr>
        <w:t xml:space="preserve"> (Cth), s 104.5(1)(f).</w:t>
      </w:r>
    </w:p>
  </w:endnote>
  <w:endnote w:id="33">
    <w:p w14:paraId="547E7200" w14:textId="77777777" w:rsidR="003C04AD" w:rsidRPr="00A14569" w:rsidRDefault="003C04AD" w:rsidP="003C04AD">
      <w:pPr>
        <w:pStyle w:val="EndnoteText"/>
        <w:ind w:left="270" w:hanging="288"/>
        <w:rPr>
          <w:lang w:val="en-US"/>
        </w:rPr>
      </w:pPr>
      <w:r>
        <w:rPr>
          <w:rStyle w:val="EndnoteReference"/>
        </w:rPr>
        <w:endnoteRef/>
      </w:r>
      <w:r>
        <w:t xml:space="preserve"> </w:t>
      </w:r>
      <w:r>
        <w:rPr>
          <w:lang w:val="en-US"/>
        </w:rPr>
        <w:tab/>
      </w:r>
      <w:r w:rsidRPr="00E60E96">
        <w:rPr>
          <w:i/>
          <w:iCs/>
          <w:lang w:val="en-US"/>
        </w:rPr>
        <w:t>Criminal Code</w:t>
      </w:r>
      <w:r>
        <w:rPr>
          <w:lang w:val="en-US"/>
        </w:rPr>
        <w:t xml:space="preserve"> (Cth), s 104.28(2).</w:t>
      </w:r>
    </w:p>
  </w:endnote>
  <w:endnote w:id="34">
    <w:p w14:paraId="11E85C7E" w14:textId="77777777" w:rsidR="003C04AD" w:rsidRPr="00856CE6" w:rsidRDefault="003C04AD" w:rsidP="003C04AD">
      <w:pPr>
        <w:pStyle w:val="EndnoteText"/>
        <w:ind w:left="270" w:hanging="288"/>
        <w:rPr>
          <w:lang w:val="en-US"/>
        </w:rPr>
      </w:pPr>
      <w:r>
        <w:rPr>
          <w:rStyle w:val="EndnoteReference"/>
        </w:rPr>
        <w:endnoteRef/>
      </w:r>
      <w:r>
        <w:t xml:space="preserve"> </w:t>
      </w:r>
      <w:r>
        <w:rPr>
          <w:lang w:val="en-US"/>
        </w:rPr>
        <w:tab/>
      </w:r>
      <w:r w:rsidRPr="00A75F9C">
        <w:rPr>
          <w:i/>
          <w:iCs/>
          <w:lang w:val="en-US"/>
        </w:rPr>
        <w:t>Criminal Code</w:t>
      </w:r>
      <w:r>
        <w:rPr>
          <w:lang w:val="en-US"/>
        </w:rPr>
        <w:t xml:space="preserve"> (Cth), ss 104.5(2), 104.28(3).</w:t>
      </w:r>
    </w:p>
  </w:endnote>
  <w:endnote w:id="35">
    <w:p w14:paraId="5FFE9982" w14:textId="77777777" w:rsidR="003C04AD" w:rsidRPr="00A75F9C" w:rsidRDefault="003C04AD" w:rsidP="003C04AD">
      <w:pPr>
        <w:pStyle w:val="EndnoteText"/>
        <w:ind w:left="270" w:hanging="288"/>
        <w:rPr>
          <w:lang w:val="en-US"/>
        </w:rPr>
      </w:pPr>
      <w:r>
        <w:rPr>
          <w:rStyle w:val="EndnoteReference"/>
        </w:rPr>
        <w:endnoteRef/>
      </w:r>
      <w:r>
        <w:t xml:space="preserve"> </w:t>
      </w:r>
      <w:r>
        <w:rPr>
          <w:lang w:val="en-US"/>
        </w:rPr>
        <w:tab/>
      </w:r>
      <w:r w:rsidRPr="00CC7709">
        <w:rPr>
          <w:i/>
          <w:iCs/>
          <w:lang w:val="en-US"/>
        </w:rPr>
        <w:t>Criminal Code</w:t>
      </w:r>
      <w:r>
        <w:rPr>
          <w:lang w:val="en-US"/>
        </w:rPr>
        <w:t xml:space="preserve"> (Cth), s 104.27.</w:t>
      </w:r>
    </w:p>
  </w:endnote>
  <w:endnote w:id="36">
    <w:p w14:paraId="2B35EEF5" w14:textId="77777777" w:rsidR="00567B60" w:rsidRPr="00472B65" w:rsidRDefault="00567B60" w:rsidP="00567B60">
      <w:pPr>
        <w:pStyle w:val="EndnoteText"/>
        <w:ind w:left="284" w:hanging="284"/>
        <w:rPr>
          <w:lang w:val="en-US"/>
        </w:rPr>
      </w:pPr>
      <w:r>
        <w:rPr>
          <w:rStyle w:val="EndnoteReference"/>
        </w:rPr>
        <w:endnoteRef/>
      </w:r>
      <w:r>
        <w:t xml:space="preserve"> </w:t>
      </w:r>
      <w:r>
        <w:rPr>
          <w:lang w:val="en-US"/>
        </w:rPr>
        <w:tab/>
        <w:t xml:space="preserve">Australian Human Rights Commission, </w:t>
      </w:r>
      <w:r w:rsidRPr="00907FDE">
        <w:rPr>
          <w:i/>
          <w:iCs/>
          <w:lang w:val="en-US"/>
        </w:rPr>
        <w:t>Review of Australian Federal Police Powers</w:t>
      </w:r>
      <w:r>
        <w:rPr>
          <w:lang w:val="en-US"/>
        </w:rPr>
        <w:t xml:space="preserve">, submission to the PJCIS, 10 September 2020, at [97]-[192] </w:t>
      </w:r>
      <w:hyperlink r:id="rId8" w:history="1">
        <w:r w:rsidRPr="009F061D">
          <w:rPr>
            <w:rStyle w:val="Hyperlink"/>
            <w:lang w:val="en-US"/>
          </w:rPr>
          <w:t>https://www.aph.gov.au/DocumentStore.ashx?id=b2a784cc-435f-4cbd-b5c7-6831eeb05e81&amp;subId=691580</w:t>
        </w:r>
      </w:hyperlink>
      <w:r>
        <w:rPr>
          <w:lang w:val="en-US"/>
        </w:rPr>
        <w:t>.</w:t>
      </w:r>
    </w:p>
  </w:endnote>
  <w:endnote w:id="37">
    <w:p w14:paraId="6573DE25" w14:textId="77777777" w:rsidR="009A2EEA" w:rsidRDefault="009A2EEA" w:rsidP="009A2EEA">
      <w:pPr>
        <w:pStyle w:val="EndnoteText"/>
        <w:ind w:left="284" w:hanging="284"/>
      </w:pPr>
      <w:r>
        <w:rPr>
          <w:rStyle w:val="EndnoteReference"/>
        </w:rPr>
        <w:endnoteRef/>
      </w:r>
      <w:r>
        <w:t xml:space="preserve"> </w:t>
      </w:r>
      <w:r>
        <w:tab/>
      </w:r>
      <w:r w:rsidRPr="009E64E7">
        <w:rPr>
          <w:i/>
          <w:iCs/>
        </w:rPr>
        <w:t>Counter-Terrorism Legislation Amendment (High Risk Terrorist Offenders) Act 2021</w:t>
      </w:r>
      <w:r>
        <w:t xml:space="preserve"> (Cth).</w:t>
      </w:r>
    </w:p>
  </w:endnote>
  <w:endnote w:id="38">
    <w:p w14:paraId="517D1C48" w14:textId="77777777" w:rsidR="005577D6" w:rsidRDefault="005577D6" w:rsidP="005577D6">
      <w:pPr>
        <w:pStyle w:val="EndnoteText"/>
        <w:ind w:left="284" w:hanging="284"/>
      </w:pPr>
      <w:r>
        <w:rPr>
          <w:rStyle w:val="EndnoteReference"/>
        </w:rPr>
        <w:endnoteRef/>
      </w:r>
      <w:r>
        <w:t xml:space="preserve"> </w:t>
      </w:r>
      <w:r>
        <w:tab/>
      </w:r>
      <w:r w:rsidRPr="005A5B06">
        <w:rPr>
          <w:i/>
          <w:iCs/>
        </w:rPr>
        <w:t>Nicolson v Naizmand</w:t>
      </w:r>
      <w:r>
        <w:t xml:space="preserve"> [2022] FCA 1108 at [15]; cf </w:t>
      </w:r>
      <w:r w:rsidRPr="00A42D2B">
        <w:rPr>
          <w:i/>
          <w:iCs/>
        </w:rPr>
        <w:t>Booth v Naizmand</w:t>
      </w:r>
      <w:r w:rsidRPr="00D62E09">
        <w:t xml:space="preserve"> [2020] FCA 244 </w:t>
      </w:r>
      <w:r>
        <w:t>at [8].</w:t>
      </w:r>
    </w:p>
  </w:endnote>
  <w:endnote w:id="39">
    <w:p w14:paraId="2B5101C5" w14:textId="49571E08" w:rsidR="00E4050B" w:rsidRDefault="00E4050B" w:rsidP="00E4050B">
      <w:pPr>
        <w:pStyle w:val="EndnoteText"/>
        <w:ind w:left="284" w:hanging="284"/>
      </w:pPr>
      <w:r>
        <w:rPr>
          <w:rStyle w:val="EndnoteReference"/>
        </w:rPr>
        <w:endnoteRef/>
      </w:r>
      <w:r>
        <w:t xml:space="preserve"> </w:t>
      </w:r>
      <w:r>
        <w:tab/>
      </w:r>
      <w:r w:rsidRPr="005A5B06">
        <w:rPr>
          <w:i/>
          <w:iCs/>
        </w:rPr>
        <w:t>Nicolson v Naizmand</w:t>
      </w:r>
      <w:r>
        <w:t xml:space="preserve"> [2022] FCA 1108 at [15(f)].</w:t>
      </w:r>
    </w:p>
  </w:endnote>
  <w:endnote w:id="40">
    <w:p w14:paraId="614839AE" w14:textId="02F5126B" w:rsidR="00102FBF" w:rsidRDefault="00102FBF" w:rsidP="00A827B2">
      <w:pPr>
        <w:pStyle w:val="EndnoteText"/>
        <w:ind w:left="284" w:hanging="284"/>
      </w:pPr>
      <w:r>
        <w:rPr>
          <w:rStyle w:val="EndnoteReference"/>
        </w:rPr>
        <w:endnoteRef/>
      </w:r>
      <w:r>
        <w:t xml:space="preserve"> </w:t>
      </w:r>
      <w:r>
        <w:tab/>
        <w:t>Criminal Code, s 105A.3</w:t>
      </w:r>
      <w:r w:rsidR="00A827B2">
        <w:t>(1)(a).</w:t>
      </w:r>
    </w:p>
  </w:endnote>
  <w:endnote w:id="41">
    <w:p w14:paraId="0F613C6E" w14:textId="121C9244" w:rsidR="00936C8F" w:rsidRDefault="00936C8F" w:rsidP="003F027F">
      <w:pPr>
        <w:pStyle w:val="EndnoteText"/>
        <w:ind w:left="284" w:hanging="284"/>
      </w:pPr>
      <w:r>
        <w:rPr>
          <w:rStyle w:val="EndnoteReference"/>
        </w:rPr>
        <w:endnoteRef/>
      </w:r>
      <w:r>
        <w:t xml:space="preserve"> </w:t>
      </w:r>
      <w:r>
        <w:tab/>
      </w:r>
      <w:r w:rsidR="003F027F" w:rsidRPr="0012614B">
        <w:rPr>
          <w:i/>
          <w:iCs/>
        </w:rPr>
        <w:t>Fogarty v Jakovac</w:t>
      </w:r>
      <w:r w:rsidR="003F027F" w:rsidRPr="0012614B">
        <w:t xml:space="preserve"> [2022] FCA 1454</w:t>
      </w:r>
      <w:r w:rsidR="003F027F">
        <w:t xml:space="preserve"> at [3].</w:t>
      </w:r>
    </w:p>
  </w:endnote>
  <w:endnote w:id="42">
    <w:p w14:paraId="4129EBBF" w14:textId="7EBAC921" w:rsidR="00882F35" w:rsidRDefault="00882F35" w:rsidP="0012614B">
      <w:pPr>
        <w:pStyle w:val="EndnoteText"/>
        <w:ind w:left="284" w:hanging="284"/>
      </w:pPr>
      <w:r>
        <w:rPr>
          <w:rStyle w:val="EndnoteReference"/>
        </w:rPr>
        <w:endnoteRef/>
      </w:r>
      <w:r>
        <w:t xml:space="preserve"> </w:t>
      </w:r>
      <w:r>
        <w:tab/>
      </w:r>
      <w:r w:rsidR="0012614B" w:rsidRPr="0012614B">
        <w:rPr>
          <w:i/>
          <w:iCs/>
        </w:rPr>
        <w:t>Fogarty v Jakovac</w:t>
      </w:r>
      <w:r w:rsidR="0012614B" w:rsidRPr="0012614B">
        <w:t xml:space="preserve"> [2022] FCA 1454</w:t>
      </w:r>
      <w:r w:rsidR="0012614B">
        <w:t xml:space="preserve"> at </w:t>
      </w:r>
      <w:r w:rsidR="00C05A0C">
        <w:t>[14].</w:t>
      </w:r>
    </w:p>
  </w:endnote>
  <w:endnote w:id="43">
    <w:p w14:paraId="4AAE179F" w14:textId="4C3153C9" w:rsidR="00494845" w:rsidRDefault="00494845" w:rsidP="00B817F2">
      <w:pPr>
        <w:pStyle w:val="EndnoteText"/>
        <w:ind w:left="284" w:hanging="284"/>
      </w:pPr>
      <w:r>
        <w:rPr>
          <w:rStyle w:val="EndnoteReference"/>
        </w:rPr>
        <w:endnoteRef/>
      </w:r>
      <w:r>
        <w:t xml:space="preserve"> </w:t>
      </w:r>
      <w:r>
        <w:tab/>
      </w:r>
      <w:r w:rsidR="00B817F2" w:rsidRPr="00B817F2">
        <w:rPr>
          <w:i/>
          <w:iCs/>
        </w:rPr>
        <w:t>Fogarty v Jakovac (No 2)</w:t>
      </w:r>
      <w:r w:rsidR="00B817F2" w:rsidRPr="00B817F2">
        <w:t xml:space="preserve"> [2023] FCA 234</w:t>
      </w:r>
      <w:r w:rsidR="00B817F2">
        <w:t xml:space="preserve"> at [10].</w:t>
      </w:r>
    </w:p>
  </w:endnote>
  <w:endnote w:id="44">
    <w:p w14:paraId="3AF0D8C4" w14:textId="291E38F7" w:rsidR="00DD7F9C" w:rsidRDefault="00DD7F9C" w:rsidP="002F0428">
      <w:pPr>
        <w:pStyle w:val="EndnoteText"/>
        <w:ind w:left="284" w:hanging="284"/>
      </w:pPr>
      <w:r>
        <w:rPr>
          <w:rStyle w:val="EndnoteReference"/>
        </w:rPr>
        <w:endnoteRef/>
      </w:r>
      <w:r>
        <w:t xml:space="preserve"> </w:t>
      </w:r>
      <w:r>
        <w:tab/>
      </w:r>
      <w:r w:rsidR="008F73E2">
        <w:rPr>
          <w:lang w:val="en-US"/>
        </w:rPr>
        <w:t>Parliamentary Joint Committee on Intelligence and Security</w:t>
      </w:r>
      <w:r w:rsidR="002F0428">
        <w:rPr>
          <w:lang w:val="en-US"/>
        </w:rPr>
        <w:t xml:space="preserve">, </w:t>
      </w:r>
      <w:r w:rsidR="002F0428" w:rsidRPr="004B14A5">
        <w:rPr>
          <w:i/>
          <w:iCs/>
          <w:lang w:val="en-US"/>
        </w:rPr>
        <w:t>Review of</w:t>
      </w:r>
      <w:r w:rsidR="002F0428">
        <w:rPr>
          <w:i/>
          <w:iCs/>
          <w:lang w:val="en-US"/>
        </w:rPr>
        <w:t xml:space="preserve"> </w:t>
      </w:r>
      <w:r w:rsidR="002F0428" w:rsidRPr="00CE61DE">
        <w:rPr>
          <w:i/>
          <w:iCs/>
          <w:lang w:val="en-US"/>
        </w:rPr>
        <w:t>police powers in</w:t>
      </w:r>
      <w:r w:rsidR="002F0428">
        <w:rPr>
          <w:i/>
          <w:iCs/>
          <w:lang w:val="en-US"/>
        </w:rPr>
        <w:t xml:space="preserve"> </w:t>
      </w:r>
      <w:r w:rsidR="002F0428" w:rsidRPr="00CE61DE">
        <w:rPr>
          <w:i/>
          <w:iCs/>
          <w:lang w:val="en-US"/>
        </w:rPr>
        <w:t>relation to terrorism, the control</w:t>
      </w:r>
      <w:r w:rsidR="002F0428">
        <w:rPr>
          <w:i/>
          <w:iCs/>
          <w:lang w:val="en-US"/>
        </w:rPr>
        <w:t xml:space="preserve"> </w:t>
      </w:r>
      <w:r w:rsidR="002F0428" w:rsidRPr="00CE61DE">
        <w:rPr>
          <w:i/>
          <w:iCs/>
          <w:lang w:val="en-US"/>
        </w:rPr>
        <w:t>order regime, the preventative</w:t>
      </w:r>
      <w:r w:rsidR="002F0428">
        <w:rPr>
          <w:i/>
          <w:iCs/>
          <w:lang w:val="en-US"/>
        </w:rPr>
        <w:t xml:space="preserve"> </w:t>
      </w:r>
      <w:r w:rsidR="002F0428" w:rsidRPr="00CE61DE">
        <w:rPr>
          <w:i/>
          <w:iCs/>
          <w:lang w:val="en-US"/>
        </w:rPr>
        <w:t>detention order regime and the</w:t>
      </w:r>
      <w:r w:rsidR="002F0428">
        <w:rPr>
          <w:i/>
          <w:iCs/>
          <w:lang w:val="en-US"/>
        </w:rPr>
        <w:t xml:space="preserve"> </w:t>
      </w:r>
      <w:r w:rsidR="002F0428" w:rsidRPr="00CE61DE">
        <w:rPr>
          <w:i/>
          <w:iCs/>
          <w:lang w:val="en-US"/>
        </w:rPr>
        <w:t>continuing detention order regime</w:t>
      </w:r>
      <w:r w:rsidR="002F0428">
        <w:rPr>
          <w:lang w:val="en-US"/>
        </w:rPr>
        <w:t>, October 2021, at [3.66].</w:t>
      </w:r>
    </w:p>
  </w:endnote>
  <w:endnote w:id="45">
    <w:p w14:paraId="37AED70C" w14:textId="432B7332" w:rsidR="00361072" w:rsidRDefault="00361072" w:rsidP="00361072">
      <w:pPr>
        <w:pStyle w:val="EndnoteText"/>
        <w:ind w:left="284" w:hanging="284"/>
      </w:pPr>
      <w:r>
        <w:rPr>
          <w:rStyle w:val="EndnoteReference"/>
        </w:rPr>
        <w:endnoteRef/>
      </w:r>
      <w:r>
        <w:t xml:space="preserve"> </w:t>
      </w:r>
      <w:r>
        <w:tab/>
      </w:r>
      <w:r w:rsidR="008F73E2">
        <w:rPr>
          <w:lang w:val="en-US"/>
        </w:rPr>
        <w:t>Parliamentary Joint Committee on Intelligence and Security</w:t>
      </w:r>
      <w:r>
        <w:t xml:space="preserve">, </w:t>
      </w:r>
      <w:r w:rsidRPr="004A2AEF">
        <w:rPr>
          <w:i/>
          <w:iCs/>
        </w:rPr>
        <w:t>Advisory Report on the Criminal Code Amendment (High Risk Terrorist Offenders) Bill 2016</w:t>
      </w:r>
      <w:r>
        <w:t xml:space="preserve"> (November 2016) at [3.182].</w:t>
      </w:r>
    </w:p>
  </w:endnote>
  <w:endnote w:id="46">
    <w:p w14:paraId="299BD1D4" w14:textId="5D4322EA" w:rsidR="00314C11" w:rsidRDefault="00314C11" w:rsidP="0038594E">
      <w:pPr>
        <w:pStyle w:val="EndnoteText"/>
        <w:ind w:left="284" w:hanging="284"/>
      </w:pPr>
      <w:r>
        <w:rPr>
          <w:rStyle w:val="EndnoteReference"/>
        </w:rPr>
        <w:endnoteRef/>
      </w:r>
      <w:r>
        <w:t xml:space="preserve"> </w:t>
      </w:r>
      <w:r>
        <w:tab/>
        <w:t xml:space="preserve">Australian Human Rights Commission, </w:t>
      </w:r>
      <w:r w:rsidRPr="0038594E">
        <w:rPr>
          <w:i/>
          <w:iCs/>
        </w:rPr>
        <w:t xml:space="preserve">submission to the PJCIS in relation to the </w:t>
      </w:r>
      <w:r w:rsidR="00714729" w:rsidRPr="0038594E">
        <w:rPr>
          <w:i/>
          <w:iCs/>
        </w:rPr>
        <w:t>Counter-Terrorism Legislation Amendment (High Risk Terrorist Offenders) Bill 2020</w:t>
      </w:r>
      <w:r w:rsidR="0083667F">
        <w:t xml:space="preserve">, </w:t>
      </w:r>
      <w:r w:rsidR="000B0EB4">
        <w:t xml:space="preserve">29 October 2020, at </w:t>
      </w:r>
      <w:r w:rsidR="0038594E">
        <w:t xml:space="preserve">[83]–[133], </w:t>
      </w:r>
      <w:r w:rsidR="0083667F">
        <w:t xml:space="preserve">at </w:t>
      </w:r>
      <w:hyperlink r:id="rId9" w:history="1">
        <w:r w:rsidR="0083667F" w:rsidRPr="00DD5EFC">
          <w:rPr>
            <w:rStyle w:val="Hyperlink"/>
          </w:rPr>
          <w:t>https://www.aph.gov.au/DocumentStore.ashx?id=dccdea26-8e64-433f-8cdd-51430e028cf3&amp;subId=695306</w:t>
        </w:r>
      </w:hyperlink>
      <w:r w:rsidR="00365311">
        <w:t>.</w:t>
      </w:r>
    </w:p>
  </w:endnote>
  <w:endnote w:id="47">
    <w:p w14:paraId="652855F0" w14:textId="2B26B9F6" w:rsidR="00365311" w:rsidRDefault="00365311" w:rsidP="00365311">
      <w:pPr>
        <w:pStyle w:val="EndnoteText"/>
        <w:ind w:left="284" w:hanging="284"/>
      </w:pPr>
      <w:r>
        <w:rPr>
          <w:rStyle w:val="EndnoteReference"/>
        </w:rPr>
        <w:endnoteRef/>
      </w:r>
      <w:r>
        <w:t xml:space="preserve"> </w:t>
      </w:r>
      <w:r>
        <w:tab/>
        <w:t xml:space="preserve">Australian Human Rights Commission, </w:t>
      </w:r>
      <w:r w:rsidRPr="0038594E">
        <w:rPr>
          <w:i/>
          <w:iCs/>
        </w:rPr>
        <w:t>submission to the PJCIS in relation to the Counter-Terrorism Legislation Amendment (High Risk Terrorist Offenders) Bill 2020</w:t>
      </w:r>
      <w:r>
        <w:t>, 29 October 2020, at [</w:t>
      </w:r>
      <w:r w:rsidR="00595CE2">
        <w:t>101</w:t>
      </w:r>
      <w:r>
        <w:t>]–[1</w:t>
      </w:r>
      <w:r w:rsidR="0084434D">
        <w:t>09</w:t>
      </w:r>
      <w:r>
        <w:t xml:space="preserve">], at </w:t>
      </w:r>
      <w:hyperlink r:id="rId10" w:history="1">
        <w:r w:rsidRPr="00DD5EFC">
          <w:rPr>
            <w:rStyle w:val="Hyperlink"/>
          </w:rPr>
          <w:t>https://www.aph.gov.au/DocumentStore.ashx?id=dccdea26-8e64-433f-8cdd-51430e028cf3&amp;subId=695306</w:t>
        </w:r>
      </w:hyperlink>
      <w:r>
        <w:t>.</w:t>
      </w:r>
    </w:p>
  </w:endnote>
  <w:endnote w:id="48">
    <w:p w14:paraId="040081AC" w14:textId="11FB9844" w:rsidR="00301468" w:rsidRPr="00676F08" w:rsidRDefault="00301468" w:rsidP="00301468">
      <w:pPr>
        <w:pStyle w:val="EndnoteText"/>
        <w:ind w:left="284" w:hanging="284"/>
        <w:rPr>
          <w:lang w:val="en-US"/>
        </w:rPr>
      </w:pPr>
      <w:r>
        <w:rPr>
          <w:rStyle w:val="EndnoteReference"/>
        </w:rPr>
        <w:endnoteRef/>
      </w:r>
      <w:r>
        <w:t xml:space="preserve"> </w:t>
      </w:r>
      <w:r>
        <w:rPr>
          <w:lang w:val="en-US"/>
        </w:rPr>
        <w:tab/>
      </w:r>
      <w:r w:rsidR="008F73E2">
        <w:rPr>
          <w:lang w:val="en-US"/>
        </w:rPr>
        <w:t>Parliamentary Joint Committee on Intelligence and Security</w:t>
      </w:r>
      <w:r>
        <w:rPr>
          <w:lang w:val="en-US"/>
        </w:rPr>
        <w:t xml:space="preserve">, </w:t>
      </w:r>
      <w:r w:rsidRPr="004B14A5">
        <w:rPr>
          <w:i/>
          <w:iCs/>
          <w:lang w:val="en-US"/>
        </w:rPr>
        <w:t>Review of police stop, search and seizure powers, the control order regime and the preventative detention order regime</w:t>
      </w:r>
      <w:r>
        <w:rPr>
          <w:lang w:val="en-US"/>
        </w:rPr>
        <w:t xml:space="preserve"> (February 2018), at [3.92]-[3.97].</w:t>
      </w:r>
    </w:p>
  </w:endnote>
  <w:endnote w:id="49">
    <w:p w14:paraId="19DE578A" w14:textId="7AE12BF9" w:rsidR="00991956" w:rsidRDefault="00991956" w:rsidP="005107F2">
      <w:pPr>
        <w:pStyle w:val="EndnoteText"/>
        <w:ind w:left="284" w:hanging="284"/>
      </w:pPr>
      <w:r>
        <w:rPr>
          <w:rStyle w:val="EndnoteReference"/>
        </w:rPr>
        <w:endnoteRef/>
      </w:r>
      <w:r>
        <w:t xml:space="preserve"> </w:t>
      </w:r>
      <w:r>
        <w:tab/>
        <w:t xml:space="preserve">Explanatory Memorandum, </w:t>
      </w:r>
      <w:r w:rsidR="005107F2" w:rsidRPr="005107F2">
        <w:t>Counter-Terrorism Legislation Amendment Bill (No. 1) 2018</w:t>
      </w:r>
      <w:r w:rsidR="005107F2">
        <w:t xml:space="preserve"> (Cth) </w:t>
      </w:r>
      <w:r w:rsidR="004E71A4">
        <w:t>at [57].</w:t>
      </w:r>
    </w:p>
  </w:endnote>
  <w:endnote w:id="50">
    <w:p w14:paraId="02991757" w14:textId="2C1C8899" w:rsidR="00364E13" w:rsidRDefault="00364E13" w:rsidP="00A923CB">
      <w:pPr>
        <w:pStyle w:val="EndnoteText"/>
        <w:ind w:left="284" w:hanging="284"/>
      </w:pPr>
      <w:r>
        <w:rPr>
          <w:rStyle w:val="EndnoteReference"/>
        </w:rPr>
        <w:endnoteRef/>
      </w:r>
      <w:r>
        <w:t xml:space="preserve"> </w:t>
      </w:r>
      <w:r>
        <w:tab/>
        <w:t xml:space="preserve">See the cases referred to in </w:t>
      </w:r>
      <w:r w:rsidR="00343150" w:rsidRPr="00343150">
        <w:t xml:space="preserve">M Nowak, </w:t>
      </w:r>
      <w:r w:rsidR="00343150" w:rsidRPr="00045B75">
        <w:rPr>
          <w:i/>
          <w:iCs/>
        </w:rPr>
        <w:t>UN Covenant on Civil and Political Rights CCPR Commentary</w:t>
      </w:r>
      <w:r w:rsidR="00343150" w:rsidRPr="00343150">
        <w:t xml:space="preserve"> (2nd ed, 2005)</w:t>
      </w:r>
      <w:r>
        <w:t xml:space="preserve">, </w:t>
      </w:r>
      <w:r w:rsidR="00E76F5B">
        <w:t>245</w:t>
      </w:r>
      <w:r w:rsidR="002F5F50">
        <w:t xml:space="preserve"> </w:t>
      </w:r>
      <w:r w:rsidR="00ED0BFA">
        <w:t>[10]</w:t>
      </w:r>
      <w:r w:rsidR="00E76F5B">
        <w:t>.</w:t>
      </w:r>
    </w:p>
  </w:endnote>
  <w:endnote w:id="51">
    <w:p w14:paraId="2FDC4FFC" w14:textId="77777777" w:rsidR="00A80ADA" w:rsidRPr="00CF112B" w:rsidRDefault="00A80ADA" w:rsidP="00A80ADA">
      <w:pPr>
        <w:pStyle w:val="EndnoteText"/>
        <w:ind w:left="270" w:hanging="288"/>
        <w:rPr>
          <w:lang w:val="en-US"/>
        </w:rPr>
      </w:pPr>
      <w:r>
        <w:rPr>
          <w:rStyle w:val="EndnoteReference"/>
        </w:rPr>
        <w:endnoteRef/>
      </w:r>
      <w:r>
        <w:t xml:space="preserve"> </w:t>
      </w:r>
      <w:r>
        <w:rPr>
          <w:lang w:val="en-US"/>
        </w:rPr>
        <w:tab/>
      </w:r>
      <w:r w:rsidRPr="00E767CB">
        <w:rPr>
          <w:i/>
          <w:iCs/>
          <w:lang w:val="en-US"/>
        </w:rPr>
        <w:t>Counter-Terrorism Legislation Amendment Act (No 1) 2016</w:t>
      </w:r>
      <w:r>
        <w:rPr>
          <w:lang w:val="en-US"/>
        </w:rPr>
        <w:t xml:space="preserve"> (Cth).</w:t>
      </w:r>
    </w:p>
  </w:endnote>
  <w:endnote w:id="52">
    <w:p w14:paraId="31F545F9" w14:textId="77777777" w:rsidR="00A80ADA" w:rsidRPr="000D307C" w:rsidRDefault="00A80ADA" w:rsidP="00A80ADA">
      <w:pPr>
        <w:pStyle w:val="EndnoteText"/>
        <w:ind w:left="270" w:hanging="288"/>
        <w:rPr>
          <w:lang w:val="en-US"/>
        </w:rPr>
      </w:pPr>
      <w:r>
        <w:rPr>
          <w:rStyle w:val="EndnoteReference"/>
        </w:rPr>
        <w:endnoteRef/>
      </w:r>
      <w:r>
        <w:t xml:space="preserve"> </w:t>
      </w:r>
      <w:r>
        <w:rPr>
          <w:lang w:val="en-US"/>
        </w:rPr>
        <w:tab/>
      </w:r>
      <w:r w:rsidRPr="00183CE6">
        <w:rPr>
          <w:i/>
          <w:iCs/>
          <w:lang w:val="en-US"/>
        </w:rPr>
        <w:t>Criminal Code</w:t>
      </w:r>
      <w:r>
        <w:rPr>
          <w:lang w:val="en-US"/>
        </w:rPr>
        <w:t xml:space="preserve"> (Cth), s 105.4(4).</w:t>
      </w:r>
    </w:p>
  </w:endnote>
  <w:endnote w:id="53">
    <w:p w14:paraId="298A299D" w14:textId="77777777" w:rsidR="00A80ADA" w:rsidRPr="00AE09FE" w:rsidRDefault="00A80ADA" w:rsidP="00A80ADA">
      <w:pPr>
        <w:pStyle w:val="EndnoteText"/>
        <w:ind w:left="270" w:hanging="288"/>
        <w:rPr>
          <w:lang w:val="en-US"/>
        </w:rPr>
      </w:pPr>
      <w:r>
        <w:rPr>
          <w:rStyle w:val="EndnoteReference"/>
        </w:rPr>
        <w:endnoteRef/>
      </w:r>
      <w:r>
        <w:t xml:space="preserve"> </w:t>
      </w:r>
      <w:r>
        <w:rPr>
          <w:lang w:val="en-US"/>
        </w:rPr>
        <w:tab/>
      </w:r>
      <w:r w:rsidRPr="00B72AFF">
        <w:rPr>
          <w:i/>
          <w:iCs/>
          <w:lang w:val="en-US"/>
        </w:rPr>
        <w:t>Criminal Code</w:t>
      </w:r>
      <w:r>
        <w:rPr>
          <w:lang w:val="en-US"/>
        </w:rPr>
        <w:t xml:space="preserve"> (Cth), ss 11.5, 101.1 and 101.6.</w:t>
      </w:r>
    </w:p>
  </w:endnote>
  <w:endnote w:id="54">
    <w:p w14:paraId="346B42CE" w14:textId="77777777" w:rsidR="00A80ADA" w:rsidRPr="00FA4B99" w:rsidRDefault="00A80ADA" w:rsidP="00A80ADA">
      <w:pPr>
        <w:pStyle w:val="EndnoteText"/>
        <w:ind w:left="270" w:hanging="288"/>
        <w:rPr>
          <w:lang w:val="en-US"/>
        </w:rPr>
      </w:pPr>
      <w:r>
        <w:rPr>
          <w:rStyle w:val="EndnoteReference"/>
        </w:rPr>
        <w:endnoteRef/>
      </w:r>
      <w:r>
        <w:t xml:space="preserve"> </w:t>
      </w:r>
      <w:r>
        <w:rPr>
          <w:lang w:val="en-US"/>
        </w:rPr>
        <w:tab/>
      </w:r>
      <w:r w:rsidRPr="00FA4B99">
        <w:rPr>
          <w:i/>
          <w:iCs/>
          <w:lang w:val="en-US"/>
        </w:rPr>
        <w:t>Criminal Code</w:t>
      </w:r>
      <w:r>
        <w:rPr>
          <w:lang w:val="en-US"/>
        </w:rPr>
        <w:t xml:space="preserve"> (Cth), s 101.4.</w:t>
      </w:r>
    </w:p>
  </w:endnote>
  <w:endnote w:id="55">
    <w:p w14:paraId="11EE995A" w14:textId="77777777" w:rsidR="00A80ADA" w:rsidRPr="005B330E" w:rsidRDefault="00A80ADA" w:rsidP="00A80ADA">
      <w:pPr>
        <w:pStyle w:val="EndnoteText"/>
        <w:ind w:left="270" w:hanging="288"/>
        <w:rPr>
          <w:lang w:val="en-US"/>
        </w:rPr>
      </w:pPr>
      <w:r>
        <w:rPr>
          <w:rStyle w:val="EndnoteReference"/>
        </w:rPr>
        <w:endnoteRef/>
      </w:r>
      <w:r>
        <w:t xml:space="preserve"> </w:t>
      </w:r>
      <w:r>
        <w:rPr>
          <w:lang w:val="en-US"/>
        </w:rPr>
        <w:tab/>
      </w:r>
      <w:r w:rsidRPr="005B330E">
        <w:rPr>
          <w:i/>
          <w:iCs/>
          <w:lang w:val="en-US"/>
        </w:rPr>
        <w:t>Criminal Code</w:t>
      </w:r>
      <w:r>
        <w:rPr>
          <w:lang w:val="en-US"/>
        </w:rPr>
        <w:t xml:space="preserve"> (Cth), s 105.4(6).</w:t>
      </w:r>
    </w:p>
  </w:endnote>
  <w:endnote w:id="56">
    <w:p w14:paraId="097DD43C" w14:textId="77777777" w:rsidR="00A80ADA" w:rsidRPr="00107D54" w:rsidRDefault="00A80ADA" w:rsidP="00A80ADA">
      <w:pPr>
        <w:pStyle w:val="EndnoteText"/>
        <w:ind w:left="270" w:hanging="288"/>
        <w:rPr>
          <w:lang w:val="en-US"/>
        </w:rPr>
      </w:pPr>
      <w:r>
        <w:rPr>
          <w:rStyle w:val="EndnoteReference"/>
        </w:rPr>
        <w:endnoteRef/>
      </w:r>
      <w:r>
        <w:t xml:space="preserve"> </w:t>
      </w:r>
      <w:r>
        <w:rPr>
          <w:lang w:val="en-US"/>
        </w:rPr>
        <w:tab/>
      </w:r>
      <w:r w:rsidRPr="00107D54">
        <w:rPr>
          <w:i/>
          <w:iCs/>
          <w:lang w:val="en-US"/>
        </w:rPr>
        <w:t>Crimes Act 1914</w:t>
      </w:r>
      <w:r>
        <w:rPr>
          <w:lang w:val="en-US"/>
        </w:rPr>
        <w:t xml:space="preserve"> (Cth), s 3F.</w:t>
      </w:r>
    </w:p>
  </w:endnote>
  <w:endnote w:id="57">
    <w:p w14:paraId="11C0E98C" w14:textId="59EC5C8A" w:rsidR="009D19CC" w:rsidRDefault="009D19CC" w:rsidP="001C55E0">
      <w:pPr>
        <w:pStyle w:val="EndnoteText"/>
        <w:ind w:left="284" w:hanging="284"/>
      </w:pPr>
      <w:r>
        <w:rPr>
          <w:rStyle w:val="EndnoteReference"/>
        </w:rPr>
        <w:endnoteRef/>
      </w:r>
      <w:r>
        <w:t xml:space="preserve"> </w:t>
      </w:r>
      <w:r>
        <w:tab/>
      </w:r>
      <w:r w:rsidR="003272F8">
        <w:t xml:space="preserve">See </w:t>
      </w:r>
      <w:r w:rsidR="001C55E0">
        <w:rPr>
          <w:lang w:val="en-US"/>
        </w:rPr>
        <w:t xml:space="preserve">Department of Home Affairs, Attorney-General’s Department and Australian Federal Police, </w:t>
      </w:r>
      <w:r w:rsidR="001C55E0" w:rsidRPr="00292515">
        <w:rPr>
          <w:i/>
          <w:iCs/>
          <w:lang w:val="en-US"/>
        </w:rPr>
        <w:t xml:space="preserve">Joint-agency submission </w:t>
      </w:r>
      <w:r w:rsidR="001C55E0">
        <w:rPr>
          <w:i/>
          <w:iCs/>
          <w:lang w:val="en-US"/>
        </w:rPr>
        <w:t>–</w:t>
      </w:r>
      <w:r w:rsidR="001C55E0" w:rsidRPr="00292515">
        <w:rPr>
          <w:i/>
          <w:iCs/>
          <w:lang w:val="en-US"/>
        </w:rPr>
        <w:t xml:space="preserve"> Review of the police stop, search and seizure powers, the control order regime and the preventative detention order regime (Review of AFP Powers)</w:t>
      </w:r>
      <w:r w:rsidR="001C55E0">
        <w:rPr>
          <w:lang w:val="en-US"/>
        </w:rPr>
        <w:t>, submission to the PJCIS, 4 September 2020, p </w:t>
      </w:r>
      <w:r w:rsidR="00A57738">
        <w:rPr>
          <w:lang w:val="en-US"/>
        </w:rPr>
        <w:t>11</w:t>
      </w:r>
      <w:r w:rsidR="001C55E0">
        <w:rPr>
          <w:lang w:val="en-US"/>
        </w:rPr>
        <w:t xml:space="preserve">; </w:t>
      </w:r>
      <w:r w:rsidR="003272F8">
        <w:rPr>
          <w:lang w:val="en-US"/>
        </w:rPr>
        <w:t xml:space="preserve">Australian Government, Department of Home Affairs, </w:t>
      </w:r>
      <w:r w:rsidR="003272F8" w:rsidRPr="004D74D1">
        <w:rPr>
          <w:i/>
          <w:iCs/>
        </w:rPr>
        <w:t xml:space="preserve">Control Orders, Preventative Detention Orders, Continuing Detention Orders, </w:t>
      </w:r>
      <w:r w:rsidR="003272F8">
        <w:rPr>
          <w:i/>
          <w:iCs/>
        </w:rPr>
        <w:t xml:space="preserve">Temporary Exclusion Orders </w:t>
      </w:r>
      <w:r w:rsidR="003272F8" w:rsidRPr="004D74D1">
        <w:rPr>
          <w:i/>
          <w:iCs/>
        </w:rPr>
        <w:t xml:space="preserve">and Powers in Relation to Terrorist Acts and Terrorism Offences, Annual Report </w:t>
      </w:r>
      <w:r w:rsidR="003272F8">
        <w:rPr>
          <w:i/>
          <w:iCs/>
        </w:rPr>
        <w:t>2020-21</w:t>
      </w:r>
      <w:r w:rsidR="003272F8">
        <w:t>,</w:t>
      </w:r>
      <w:r w:rsidR="003272F8">
        <w:rPr>
          <w:i/>
          <w:iCs/>
        </w:rPr>
        <w:t xml:space="preserve"> </w:t>
      </w:r>
      <w:r w:rsidR="003272F8">
        <w:rPr>
          <w:lang w:val="en-US"/>
        </w:rPr>
        <w:t xml:space="preserve">at </w:t>
      </w:r>
      <w:hyperlink r:id="rId11" w:history="1">
        <w:r w:rsidR="003272F8" w:rsidRPr="00DD5EFC">
          <w:rPr>
            <w:rStyle w:val="Hyperlink"/>
            <w:lang w:val="en-US"/>
          </w:rPr>
          <w:t>https://www.homeaffairs.gov.au/reports-and-pubs/files/reports-to-parliament/20-21-counter-terrorism-powers-annual-report.pdf</w:t>
        </w:r>
      </w:hyperlink>
      <w:r w:rsidR="003272F8">
        <w:t xml:space="preserve">; </w:t>
      </w:r>
      <w:r w:rsidR="003272F8">
        <w:rPr>
          <w:lang w:val="en-US"/>
        </w:rPr>
        <w:t xml:space="preserve">Australian Government, Attorney-General’s Department, </w:t>
      </w:r>
      <w:r w:rsidR="003272F8" w:rsidRPr="005A610F">
        <w:rPr>
          <w:i/>
          <w:iCs/>
          <w:lang w:val="en-US"/>
        </w:rPr>
        <w:t>Control orders, preventative detention orders, continuing detention orders and powers in relation to terrorist acts and terrorism offences, Annual Report 2021-22</w:t>
      </w:r>
      <w:r w:rsidR="003272F8">
        <w:rPr>
          <w:lang w:val="en-US"/>
        </w:rPr>
        <w:t xml:space="preserve">, at </w:t>
      </w:r>
      <w:hyperlink r:id="rId12" w:history="1">
        <w:r w:rsidR="003272F8" w:rsidRPr="00DD5EFC">
          <w:rPr>
            <w:rStyle w:val="Hyperlink"/>
            <w:lang w:val="en-US"/>
          </w:rPr>
          <w:t>https://www.ag.gov.au/sites/default/files/2022-11/annual-report-on-counter-terrorism-powers-2021-22.PDF</w:t>
        </w:r>
      </w:hyperlink>
      <w:r w:rsidR="003272F8">
        <w:rPr>
          <w:lang w:val="en-US"/>
        </w:rPr>
        <w:t>.</w:t>
      </w:r>
    </w:p>
  </w:endnote>
  <w:endnote w:id="58">
    <w:p w14:paraId="25AB0087" w14:textId="1F85D0CC" w:rsidR="00EA17F9" w:rsidRDefault="00EA17F9" w:rsidP="00332570">
      <w:pPr>
        <w:pStyle w:val="EndnoteText"/>
        <w:ind w:left="284" w:hanging="284"/>
      </w:pPr>
      <w:r>
        <w:rPr>
          <w:rStyle w:val="EndnoteReference"/>
        </w:rPr>
        <w:endnoteRef/>
      </w:r>
      <w:r>
        <w:t xml:space="preserve"> </w:t>
      </w:r>
      <w:r w:rsidR="00332570">
        <w:tab/>
      </w:r>
      <w:r w:rsidR="008F73E2">
        <w:rPr>
          <w:lang w:val="en-US"/>
        </w:rPr>
        <w:t>Parliamentary Joint Committee on Intelligence and Security</w:t>
      </w:r>
      <w:r w:rsidR="00332570">
        <w:rPr>
          <w:lang w:val="en-US"/>
        </w:rPr>
        <w:t xml:space="preserve">, </w:t>
      </w:r>
      <w:r w:rsidR="00332570" w:rsidRPr="004B14A5">
        <w:rPr>
          <w:i/>
          <w:iCs/>
          <w:lang w:val="en-US"/>
        </w:rPr>
        <w:t>Review of</w:t>
      </w:r>
      <w:r w:rsidR="00332570">
        <w:rPr>
          <w:i/>
          <w:iCs/>
          <w:lang w:val="en-US"/>
        </w:rPr>
        <w:t xml:space="preserve"> </w:t>
      </w:r>
      <w:r w:rsidR="00332570" w:rsidRPr="00CE61DE">
        <w:rPr>
          <w:i/>
          <w:iCs/>
          <w:lang w:val="en-US"/>
        </w:rPr>
        <w:t>police powers in</w:t>
      </w:r>
      <w:r w:rsidR="00332570">
        <w:rPr>
          <w:i/>
          <w:iCs/>
          <w:lang w:val="en-US"/>
        </w:rPr>
        <w:t xml:space="preserve"> </w:t>
      </w:r>
      <w:r w:rsidR="00332570" w:rsidRPr="00CE61DE">
        <w:rPr>
          <w:i/>
          <w:iCs/>
          <w:lang w:val="en-US"/>
        </w:rPr>
        <w:t>relation to terrorism, the control</w:t>
      </w:r>
      <w:r w:rsidR="00332570">
        <w:rPr>
          <w:i/>
          <w:iCs/>
          <w:lang w:val="en-US"/>
        </w:rPr>
        <w:t xml:space="preserve"> </w:t>
      </w:r>
      <w:r w:rsidR="00332570" w:rsidRPr="00CE61DE">
        <w:rPr>
          <w:i/>
          <w:iCs/>
          <w:lang w:val="en-US"/>
        </w:rPr>
        <w:t>order regime, the preventative</w:t>
      </w:r>
      <w:r w:rsidR="00332570">
        <w:rPr>
          <w:i/>
          <w:iCs/>
          <w:lang w:val="en-US"/>
        </w:rPr>
        <w:t xml:space="preserve"> </w:t>
      </w:r>
      <w:r w:rsidR="00332570" w:rsidRPr="00CE61DE">
        <w:rPr>
          <w:i/>
          <w:iCs/>
          <w:lang w:val="en-US"/>
        </w:rPr>
        <w:t>detention order regime and the</w:t>
      </w:r>
      <w:r w:rsidR="00332570">
        <w:rPr>
          <w:i/>
          <w:iCs/>
          <w:lang w:val="en-US"/>
        </w:rPr>
        <w:t xml:space="preserve"> </w:t>
      </w:r>
      <w:r w:rsidR="00332570" w:rsidRPr="00CE61DE">
        <w:rPr>
          <w:i/>
          <w:iCs/>
          <w:lang w:val="en-US"/>
        </w:rPr>
        <w:t>continuing detention order regime</w:t>
      </w:r>
      <w:r w:rsidR="00332570">
        <w:rPr>
          <w:lang w:val="en-US"/>
        </w:rPr>
        <w:t>, October 2021, at [4.47].</w:t>
      </w:r>
    </w:p>
  </w:endnote>
  <w:endnote w:id="59">
    <w:p w14:paraId="120A5E32" w14:textId="22ED13D1" w:rsidR="006F3F14" w:rsidRDefault="006F3F14" w:rsidP="006F3F14">
      <w:pPr>
        <w:pStyle w:val="EndnoteText"/>
        <w:ind w:left="284" w:hanging="284"/>
      </w:pPr>
      <w:r>
        <w:rPr>
          <w:rStyle w:val="EndnoteReference"/>
        </w:rPr>
        <w:endnoteRef/>
      </w:r>
      <w:r>
        <w:t xml:space="preserve"> </w:t>
      </w:r>
      <w:r>
        <w:tab/>
      </w:r>
      <w:r w:rsidR="008F73E2">
        <w:rPr>
          <w:lang w:val="en-US"/>
        </w:rPr>
        <w:t>Parliamentary Joint Committee on Intelligence and Security</w:t>
      </w:r>
      <w:r>
        <w:rPr>
          <w:lang w:val="en-US"/>
        </w:rPr>
        <w:t xml:space="preserve">, </w:t>
      </w:r>
      <w:r w:rsidRPr="004B14A5">
        <w:rPr>
          <w:i/>
          <w:iCs/>
          <w:lang w:val="en-US"/>
        </w:rPr>
        <w:t>Review of</w:t>
      </w:r>
      <w:r>
        <w:rPr>
          <w:i/>
          <w:iCs/>
          <w:lang w:val="en-US"/>
        </w:rPr>
        <w:t xml:space="preserve"> </w:t>
      </w:r>
      <w:r w:rsidRPr="00CE61DE">
        <w:rPr>
          <w:i/>
          <w:iCs/>
          <w:lang w:val="en-US"/>
        </w:rPr>
        <w:t>police powers in</w:t>
      </w:r>
      <w:r>
        <w:rPr>
          <w:i/>
          <w:iCs/>
          <w:lang w:val="en-US"/>
        </w:rPr>
        <w:t xml:space="preserve"> </w:t>
      </w:r>
      <w:r w:rsidRPr="00CE61DE">
        <w:rPr>
          <w:i/>
          <w:iCs/>
          <w:lang w:val="en-US"/>
        </w:rPr>
        <w:t>relation to terrorism, the control</w:t>
      </w:r>
      <w:r>
        <w:rPr>
          <w:i/>
          <w:iCs/>
          <w:lang w:val="en-US"/>
        </w:rPr>
        <w:t xml:space="preserve"> </w:t>
      </w:r>
      <w:r w:rsidRPr="00CE61DE">
        <w:rPr>
          <w:i/>
          <w:iCs/>
          <w:lang w:val="en-US"/>
        </w:rPr>
        <w:t>order regime, the preventative</w:t>
      </w:r>
      <w:r>
        <w:rPr>
          <w:i/>
          <w:iCs/>
          <w:lang w:val="en-US"/>
        </w:rPr>
        <w:t xml:space="preserve"> </w:t>
      </w:r>
      <w:r w:rsidRPr="00CE61DE">
        <w:rPr>
          <w:i/>
          <w:iCs/>
          <w:lang w:val="en-US"/>
        </w:rPr>
        <w:t>detention order regime and the</w:t>
      </w:r>
      <w:r>
        <w:rPr>
          <w:i/>
          <w:iCs/>
          <w:lang w:val="en-US"/>
        </w:rPr>
        <w:t xml:space="preserve"> </w:t>
      </w:r>
      <w:r w:rsidRPr="00CE61DE">
        <w:rPr>
          <w:i/>
          <w:iCs/>
          <w:lang w:val="en-US"/>
        </w:rPr>
        <w:t>continuing detention order regime</w:t>
      </w:r>
      <w:r>
        <w:rPr>
          <w:lang w:val="en-US"/>
        </w:rPr>
        <w:t>, October 2021, at [4.</w:t>
      </w:r>
      <w:r w:rsidR="005C5603">
        <w:rPr>
          <w:lang w:val="en-US"/>
        </w:rPr>
        <w:t>23</w:t>
      </w:r>
      <w:r>
        <w:rPr>
          <w:lang w:val="en-US"/>
        </w:rPr>
        <w:t>].</w:t>
      </w:r>
    </w:p>
  </w:endnote>
  <w:endnote w:id="60">
    <w:p w14:paraId="76682F60" w14:textId="2866BF04" w:rsidR="006F3F14" w:rsidRDefault="006F3F14" w:rsidP="006F3F14">
      <w:pPr>
        <w:pStyle w:val="EndnoteText"/>
        <w:ind w:left="284" w:hanging="284"/>
      </w:pPr>
      <w:r>
        <w:rPr>
          <w:rStyle w:val="EndnoteReference"/>
        </w:rPr>
        <w:endnoteRef/>
      </w:r>
      <w:r>
        <w:t xml:space="preserve"> </w:t>
      </w:r>
      <w:r>
        <w:tab/>
      </w:r>
      <w:r w:rsidR="008F73E2">
        <w:rPr>
          <w:lang w:val="en-US"/>
        </w:rPr>
        <w:t>Parliamentary Joint Committee on Intelligence and Security</w:t>
      </w:r>
      <w:r>
        <w:rPr>
          <w:lang w:val="en-US"/>
        </w:rPr>
        <w:t xml:space="preserve">, </w:t>
      </w:r>
      <w:r w:rsidRPr="004B14A5">
        <w:rPr>
          <w:i/>
          <w:iCs/>
          <w:lang w:val="en-US"/>
        </w:rPr>
        <w:t>Review of</w:t>
      </w:r>
      <w:r>
        <w:rPr>
          <w:i/>
          <w:iCs/>
          <w:lang w:val="en-US"/>
        </w:rPr>
        <w:t xml:space="preserve"> </w:t>
      </w:r>
      <w:r w:rsidRPr="00CE61DE">
        <w:rPr>
          <w:i/>
          <w:iCs/>
          <w:lang w:val="en-US"/>
        </w:rPr>
        <w:t>police powers in</w:t>
      </w:r>
      <w:r>
        <w:rPr>
          <w:i/>
          <w:iCs/>
          <w:lang w:val="en-US"/>
        </w:rPr>
        <w:t xml:space="preserve"> </w:t>
      </w:r>
      <w:r w:rsidRPr="00CE61DE">
        <w:rPr>
          <w:i/>
          <w:iCs/>
          <w:lang w:val="en-US"/>
        </w:rPr>
        <w:t>relation to terrorism, the control</w:t>
      </w:r>
      <w:r>
        <w:rPr>
          <w:i/>
          <w:iCs/>
          <w:lang w:val="en-US"/>
        </w:rPr>
        <w:t xml:space="preserve"> </w:t>
      </w:r>
      <w:r w:rsidRPr="00CE61DE">
        <w:rPr>
          <w:i/>
          <w:iCs/>
          <w:lang w:val="en-US"/>
        </w:rPr>
        <w:t>order regime, the preventative</w:t>
      </w:r>
      <w:r>
        <w:rPr>
          <w:i/>
          <w:iCs/>
          <w:lang w:val="en-US"/>
        </w:rPr>
        <w:t xml:space="preserve"> </w:t>
      </w:r>
      <w:r w:rsidRPr="00CE61DE">
        <w:rPr>
          <w:i/>
          <w:iCs/>
          <w:lang w:val="en-US"/>
        </w:rPr>
        <w:t>detention order regime and the</w:t>
      </w:r>
      <w:r>
        <w:rPr>
          <w:i/>
          <w:iCs/>
          <w:lang w:val="en-US"/>
        </w:rPr>
        <w:t xml:space="preserve"> </w:t>
      </w:r>
      <w:r w:rsidRPr="00CE61DE">
        <w:rPr>
          <w:i/>
          <w:iCs/>
          <w:lang w:val="en-US"/>
        </w:rPr>
        <w:t>continuing detention order regime</w:t>
      </w:r>
      <w:r>
        <w:rPr>
          <w:lang w:val="en-US"/>
        </w:rPr>
        <w:t>, October 2021, at [4.</w:t>
      </w:r>
      <w:r w:rsidR="00AE5218">
        <w:rPr>
          <w:lang w:val="en-US"/>
        </w:rPr>
        <w:t>51</w:t>
      </w:r>
      <w:r>
        <w:rPr>
          <w:lang w:val="en-US"/>
        </w:rPr>
        <w:t>].</w:t>
      </w:r>
    </w:p>
  </w:endnote>
  <w:endnote w:id="61">
    <w:p w14:paraId="1485518E" w14:textId="33091F9B" w:rsidR="008301A6" w:rsidRDefault="008301A6" w:rsidP="00D71E24">
      <w:pPr>
        <w:pStyle w:val="EndnoteText"/>
        <w:ind w:left="284" w:hanging="284"/>
      </w:pPr>
      <w:r>
        <w:rPr>
          <w:rStyle w:val="EndnoteReference"/>
        </w:rPr>
        <w:endnoteRef/>
      </w:r>
      <w:r>
        <w:t xml:space="preserve"> </w:t>
      </w:r>
      <w:r>
        <w:tab/>
      </w:r>
      <w:r w:rsidR="00D71E24">
        <w:t xml:space="preserve">Commonwealth of Australia, </w:t>
      </w:r>
      <w:r w:rsidR="00D71E24" w:rsidRPr="00C347AE">
        <w:rPr>
          <w:i/>
          <w:iCs/>
        </w:rPr>
        <w:t>Parliamentary Debates</w:t>
      </w:r>
      <w:r w:rsidR="00D71E24">
        <w:t>, House of Representatives, 10 August 2023, p 3 (</w:t>
      </w:r>
      <w:r w:rsidR="00D71E24" w:rsidRPr="00BC47D3">
        <w:rPr>
          <w:i/>
          <w:iCs/>
        </w:rPr>
        <w:t>Counter-Terrorism and Other Legislation Amendment Bill 2023</w:t>
      </w:r>
      <w:r w:rsidR="00D71E24">
        <w:t>, Attorney-General and Cabinet Secretary).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739EC" w14:textId="77777777" w:rsidR="00BD7B5B" w:rsidRDefault="00BD7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3B840" w14:textId="77777777" w:rsidR="00BD7B5B" w:rsidRDefault="00BD7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BA6A8" w14:textId="77777777" w:rsidR="001A1790" w:rsidRPr="000465F1" w:rsidRDefault="001A1790" w:rsidP="000465F1">
    <w:pPr>
      <w:pStyle w:val="Footer"/>
    </w:pPr>
    <w:r w:rsidRPr="000465F1">
      <w:t>ABN 47 996 232 602</w:t>
    </w:r>
  </w:p>
  <w:p w14:paraId="33E55D30" w14:textId="77777777" w:rsidR="001A1790" w:rsidRPr="000465F1" w:rsidRDefault="001A1790" w:rsidP="000465F1">
    <w:pPr>
      <w:pStyle w:val="Footer"/>
    </w:pPr>
    <w:r w:rsidRPr="000465F1">
      <w:t>Level 3, 175 Pitt Street, Sydney NSW 2000</w:t>
    </w:r>
  </w:p>
  <w:p w14:paraId="0134D255" w14:textId="77777777" w:rsidR="001A1790" w:rsidRPr="000465F1" w:rsidRDefault="001A1790" w:rsidP="000465F1">
    <w:pPr>
      <w:pStyle w:val="Footer"/>
    </w:pPr>
    <w:r w:rsidRPr="000465F1">
      <w:t>GPO Box 5218, Sydney NSW 2001</w:t>
    </w:r>
  </w:p>
  <w:p w14:paraId="6275BCD3" w14:textId="77777777" w:rsidR="001A1790" w:rsidRPr="000465F1" w:rsidRDefault="001A1790" w:rsidP="000465F1">
    <w:pPr>
      <w:pStyle w:val="Footer"/>
    </w:pPr>
    <w:r w:rsidRPr="000465F1">
      <w:t>General enquiries 1300 369 711</w:t>
    </w:r>
  </w:p>
  <w:p w14:paraId="59D9E276" w14:textId="77777777" w:rsidR="001A1790" w:rsidRPr="000465F1" w:rsidRDefault="001A1790" w:rsidP="000465F1">
    <w:pPr>
      <w:pStyle w:val="Footer"/>
    </w:pPr>
    <w:r>
      <w:t xml:space="preserve">National Information Service </w:t>
    </w:r>
    <w:r w:rsidRPr="000465F1">
      <w:t>1300 656 419</w:t>
    </w:r>
  </w:p>
  <w:p w14:paraId="16D1BF2F" w14:textId="77777777" w:rsidR="001A1790" w:rsidRPr="000465F1" w:rsidRDefault="001A1790" w:rsidP="000465F1">
    <w:pPr>
      <w:pStyle w:val="Footer"/>
    </w:pPr>
    <w:r w:rsidRPr="000465F1">
      <w:t>TTY 1800 620 241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FCB4D" w14:textId="77777777" w:rsidR="001A1790" w:rsidRDefault="001A1790">
    <w:pPr>
      <w:pStyle w:val="Footer"/>
    </w:pPr>
    <w:r w:rsidRPr="00622508">
      <w:fldChar w:fldCharType="begin"/>
    </w:r>
    <w:r>
      <w:instrText xml:space="preserve"> PAGE   \* MERGEFORMAT </w:instrText>
    </w:r>
    <w:r w:rsidRPr="00622508">
      <w:fldChar w:fldCharType="separate"/>
    </w:r>
    <w:r w:rsidRPr="00AB7C8F">
      <w:t>4</w:t>
    </w:r>
    <w:r w:rsidRPr="00622508">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D449C" w14:textId="77777777" w:rsidR="001A1790" w:rsidRDefault="001A1790" w:rsidP="00E53546">
    <w:pPr>
      <w:pStyle w:val="FooterOddPageNumber"/>
    </w:pPr>
    <w:r w:rsidRPr="00AB7C8F">
      <w:fldChar w:fldCharType="begin"/>
    </w:r>
    <w:r>
      <w:instrText xml:space="preserve"> PAGE   \* MERGEFORMAT </w:instrText>
    </w:r>
    <w:r w:rsidRPr="00AB7C8F">
      <w:fldChar w:fldCharType="separate"/>
    </w:r>
    <w:r>
      <w:rPr>
        <w:noProof/>
      </w:rPr>
      <w:t>4</w:t>
    </w:r>
    <w:r w:rsidRPr="00AB7C8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A84CC" w14:textId="77777777" w:rsidR="001A1790" w:rsidRDefault="001A1790" w:rsidP="00E53546">
    <w:pPr>
      <w:pStyle w:val="FooterEvenPageNumber"/>
    </w:pPr>
    <w:r w:rsidRPr="00F127A8">
      <w:fldChar w:fldCharType="begin"/>
    </w:r>
    <w:r>
      <w:instrText xml:space="preserve"> PAGE   \* MERGEFORMAT </w:instrText>
    </w:r>
    <w:r w:rsidRPr="00F127A8">
      <w:fldChar w:fldCharType="separate"/>
    </w:r>
    <w:r>
      <w:rPr>
        <w:noProof/>
      </w:rPr>
      <w:t>2</w:t>
    </w:r>
    <w:r w:rsidRPr="00F127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C640E" w14:textId="77777777" w:rsidR="00CA0B10" w:rsidRDefault="00CA0B10" w:rsidP="00F14C6D">
      <w:r>
        <w:separator/>
      </w:r>
    </w:p>
  </w:footnote>
  <w:footnote w:type="continuationSeparator" w:id="0">
    <w:p w14:paraId="235139C6" w14:textId="77777777" w:rsidR="00CA0B10" w:rsidRDefault="00CA0B10" w:rsidP="00F14C6D">
      <w:r>
        <w:continuationSeparator/>
      </w:r>
    </w:p>
  </w:footnote>
  <w:footnote w:type="continuationNotice" w:id="1">
    <w:p w14:paraId="7EE56F63" w14:textId="77777777" w:rsidR="00CA0B10" w:rsidRDefault="00CA0B1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84BBA" w14:textId="77777777" w:rsidR="001A1790" w:rsidRPr="000465F1" w:rsidRDefault="00D2135B" w:rsidP="000465F1">
    <w:pPr>
      <w:pStyle w:val="Header"/>
    </w:pPr>
    <w:r>
      <w:pict w14:anchorId="014C8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28" type="#_x0000_t75" alt="report watermark" style="position:absolute;left:0;text-align:left;margin-left:0;margin-top:0;width:930.9pt;height:1359.95pt;z-index:-251658239;mso-wrap-edited:f;mso-width-percent:0;mso-height-percent:0;mso-position-horizontal:center;mso-position-horizontal-relative:margin;mso-position-vertical:center;mso-position-vertical-relative:margin;mso-width-percent:0;mso-height-percent:0" o:allowincell="f">
          <v:imagedata r:id="rId1" o:title="report watermark"/>
          <w10:wrap anchorx="margin" anchory="margin"/>
        </v:shape>
      </w:pict>
    </w:r>
    <w:r w:rsidR="001A1790" w:rsidRPr="000465F1">
      <w:t>Australian Human Rights Commission</w:t>
    </w:r>
  </w:p>
  <w:p w14:paraId="13BDF09F" w14:textId="77777777" w:rsidR="001A1790" w:rsidRPr="00622508" w:rsidRDefault="001A1790" w:rsidP="00622508">
    <w:pPr>
      <w:pStyle w:val="Footer"/>
    </w:pPr>
    <w:r w:rsidRPr="001F62CC">
      <w:rPr>
        <w:rStyle w:val="HeaderDocumentTitle"/>
      </w:rPr>
      <w:t>Short title</w:t>
    </w:r>
    <w:r w:rsidRPr="00622508">
      <w:rPr>
        <w:rStyle w:val="HeaderDocumentTitle"/>
      </w:rPr>
      <w:t>, report name,</w:t>
    </w:r>
    <w:r w:rsidRPr="00622508">
      <w:t xml:space="preserve">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E17B0" w14:textId="77777777" w:rsidR="001A1790" w:rsidRPr="000465F1" w:rsidRDefault="00D2135B" w:rsidP="000465F1">
    <w:r>
      <w:pict w14:anchorId="449D1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27" type="#_x0000_t75" alt="report watermark" style="position:absolute;margin-left:0;margin-top:0;width:930.9pt;height:1359.95pt;z-index:-251658238;mso-wrap-edited:f;mso-width-percent:0;mso-height-percent:0;mso-position-horizontal:center;mso-position-horizontal-relative:margin;mso-position-vertical:center;mso-position-vertical-relative:margin;mso-width-percent:0;mso-height-percent:0" o:allowincell="f">
          <v:imagedata r:id="rId1" o:title="report watermark"/>
          <w10:wrap anchorx="margin" anchory="margin"/>
        </v:shape>
      </w:pict>
    </w:r>
    <w:r w:rsidR="001A1790" w:rsidRPr="000465F1">
      <w:t>Australian Human Rights Commission</w:t>
    </w:r>
  </w:p>
  <w:p w14:paraId="767F88A3" w14:textId="77777777" w:rsidR="001A1790" w:rsidRPr="000465F1" w:rsidRDefault="001A1790" w:rsidP="000465F1">
    <w:pPr>
      <w:pStyle w:val="Footer"/>
    </w:pPr>
    <w:r w:rsidRPr="000465F1">
      <w:t xml:space="preserve">Short document title, </w:t>
    </w:r>
    <w:proofErr w:type="gramStart"/>
    <w:r w:rsidRPr="000465F1">
      <w:t>Short</w:t>
    </w:r>
    <w:proofErr w:type="gramEnd"/>
    <w:r w:rsidRPr="000465F1">
      <w:t xml:space="preserve">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145D6" w14:textId="77777777" w:rsidR="001A1790" w:rsidRDefault="00D2135B" w:rsidP="002012F7">
    <w:pPr>
      <w:pStyle w:val="Header"/>
    </w:pPr>
    <w:r>
      <w:pict w14:anchorId="769A6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26" type="#_x0000_t75" alt="MS word cover1" style="position:absolute;left:0;text-align:left;margin-left:-71.05pt;margin-top:-108.5pt;width:595.65pt;height:870.15pt;z-index:-251658237;mso-wrap-edited:f;mso-width-percent:0;mso-height-percent:0;mso-position-horizontal-relative:margin;mso-position-vertical-relative:margin;mso-width-percent:0;mso-height-percent:0" o:allowincell="f">
          <v:imagedata r:id="rId1" o:title="MS word cover1"/>
          <w10:wrap anchorx="margin" anchory="margin"/>
        </v:shape>
      </w:pict>
    </w:r>
    <w:r>
      <w:pict w14:anchorId="29CE6DDF">
        <v:shape id="WordPictureWatermark1034832" o:spid="_x0000_s1025" type="#_x0000_t75" alt="report watermark" style="position:absolute;left:0;text-align:left;margin-left:-70.9pt;margin-top:-109.05pt;width:595.1pt;height:869.4pt;z-index:-251658240;mso-wrap-edited:f;mso-width-percent:0;mso-height-percent:0;mso-position-horizontal-relative:margin;mso-position-vertical-relative:margin;mso-width-percent:0;mso-height-percent:0" o:allowincell="f">
          <v:imagedata r:id="rId2" o:title="report watermark"/>
          <w10:wrap anchorx="margin" anchory="margin"/>
        </v:shape>
      </w:pict>
    </w:r>
  </w:p>
  <w:p w14:paraId="30A0DAA4" w14:textId="77777777" w:rsidR="001A1790" w:rsidRDefault="001A1790" w:rsidP="002012F7">
    <w:pPr>
      <w:pStyle w:val="Header"/>
    </w:pPr>
  </w:p>
  <w:p w14:paraId="25F08C63" w14:textId="77777777" w:rsidR="001A1790" w:rsidRDefault="001A1790"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D1C71" w14:textId="77777777" w:rsidR="001A1790" w:rsidRPr="000465F1" w:rsidRDefault="001A1790" w:rsidP="0015239E">
    <w:pPr>
      <w:pStyle w:val="Header"/>
    </w:pPr>
    <w:r w:rsidRPr="000465F1">
      <w:t>Australian Human Rights Commission</w:t>
    </w:r>
  </w:p>
  <w:p w14:paraId="0BD8DE31" w14:textId="77777777" w:rsidR="001A1790" w:rsidRPr="000465F1" w:rsidRDefault="001A1790" w:rsidP="0015239E">
    <w:pPr>
      <w:pStyle w:val="HeaderDocumentDate"/>
    </w:pPr>
    <w:r w:rsidRPr="001F62CC">
      <w:rPr>
        <w:rStyle w:val="HeaderDocumentTitle"/>
      </w:rPr>
      <w:t>Short title, report name,</w:t>
    </w:r>
    <w:r>
      <w:t xml:space="preserve"> </w:t>
    </w:r>
    <w:r w:rsidRPr="002850B0">
      <w:t>Date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DD304" w14:textId="77777777" w:rsidR="001A1790" w:rsidRPr="000465F1" w:rsidRDefault="001A1790" w:rsidP="00CA5D90">
    <w:pPr>
      <w:pStyle w:val="Header"/>
    </w:pPr>
    <w:r w:rsidRPr="000465F1">
      <w:t>Australian Human Rights Commission</w:t>
    </w:r>
  </w:p>
  <w:p w14:paraId="3155369E" w14:textId="5886D68B" w:rsidR="001A1790" w:rsidRPr="000465F1" w:rsidRDefault="005D37A3" w:rsidP="002F5E96">
    <w:pPr>
      <w:pStyle w:val="HeaderDocumentDate"/>
    </w:pPr>
    <w:r w:rsidRPr="005D37A3">
      <w:rPr>
        <w:rStyle w:val="HeaderDocumentTitle"/>
      </w:rPr>
      <w:t>Counter-Terrorism and Other Legislation Amendment Bill 2023</w:t>
    </w:r>
    <w:r w:rsidR="001A1790" w:rsidRPr="001F62CC">
      <w:rPr>
        <w:rStyle w:val="HeaderDocumentTitle"/>
      </w:rPr>
      <w:t>,</w:t>
    </w:r>
    <w:r w:rsidR="001A1790">
      <w:t xml:space="preserve"> </w:t>
    </w:r>
    <w:r w:rsidR="00BD7B5B">
      <w:t>9</w:t>
    </w:r>
    <w:r>
      <w:t xml:space="preserve"> October </w:t>
    </w:r>
    <w:r w:rsidR="00FD0B70">
      <w:t>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086DD" w14:textId="77777777" w:rsidR="001A1790" w:rsidRPr="000465F1" w:rsidRDefault="001A1790" w:rsidP="0063009F">
    <w:pPr>
      <w:pStyle w:val="Header"/>
    </w:pPr>
    <w:r w:rsidRPr="000465F1">
      <w:t>Australian Human Rights Commission</w:t>
    </w:r>
  </w:p>
  <w:p w14:paraId="21C28FA6" w14:textId="0B617B53" w:rsidR="001A1790" w:rsidRPr="000465F1" w:rsidRDefault="00FD0B70" w:rsidP="0063009F">
    <w:pPr>
      <w:pStyle w:val="HeaderDocumentDate"/>
    </w:pPr>
    <w:r w:rsidRPr="005D37A3">
      <w:rPr>
        <w:rStyle w:val="HeaderDocumentTitle"/>
      </w:rPr>
      <w:t>Counter-Terrorism and Other Legislation Amendment Bill 2023</w:t>
    </w:r>
    <w:r w:rsidRPr="001F62CC">
      <w:rPr>
        <w:rStyle w:val="HeaderDocumentTitle"/>
      </w:rPr>
      <w:t>,</w:t>
    </w:r>
    <w:r>
      <w:t xml:space="preserve"> </w:t>
    </w:r>
    <w:r w:rsidR="00BD7B5B">
      <w:t>9</w:t>
    </w:r>
    <w:r>
      <w:t xml:space="preserve"> October 2023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E4FD3" w14:textId="77777777" w:rsidR="00F24BF6" w:rsidRPr="000465F1" w:rsidRDefault="00F24BF6" w:rsidP="00CA5D90">
    <w:pPr>
      <w:pStyle w:val="Header"/>
    </w:pPr>
    <w:r w:rsidRPr="000465F1">
      <w:t>Australian Human Rights Commission</w:t>
    </w:r>
  </w:p>
  <w:p w14:paraId="22E902A8" w14:textId="73A4B5AB" w:rsidR="00F24BF6" w:rsidRDefault="002611F5" w:rsidP="002F5E96">
    <w:pPr>
      <w:pStyle w:val="HeaderDocumentDate"/>
    </w:pPr>
    <w:r w:rsidRPr="005D37A3">
      <w:rPr>
        <w:rStyle w:val="HeaderDocumentTitle"/>
      </w:rPr>
      <w:t>Counter-Terrorism and Other Legislation Amendment Bill 2023</w:t>
    </w:r>
    <w:r w:rsidRPr="001F62CC">
      <w:rPr>
        <w:rStyle w:val="HeaderDocumentTitle"/>
      </w:rPr>
      <w:t>,</w:t>
    </w:r>
    <w:r>
      <w:t xml:space="preserve"> </w:t>
    </w:r>
    <w:r w:rsidR="005479F3">
      <w:t>9</w:t>
    </w:r>
    <w:r>
      <w:t xml:space="preserve"> October 2023</w:t>
    </w:r>
  </w:p>
  <w:p w14:paraId="6017B8ED" w14:textId="77777777" w:rsidR="00F24BF6" w:rsidRDefault="00F24BF6" w:rsidP="002F5E96">
    <w:pPr>
      <w:pStyle w:val="HeaderDocumentDa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8C68D" w14:textId="77777777" w:rsidR="00F24BF6" w:rsidRPr="000465F1" w:rsidRDefault="00F24BF6" w:rsidP="0063009F">
    <w:pPr>
      <w:pStyle w:val="Header"/>
    </w:pPr>
    <w:r w:rsidRPr="000465F1">
      <w:t>Australian Human Rights Commission</w:t>
    </w:r>
  </w:p>
  <w:p w14:paraId="571950A4" w14:textId="17458E45" w:rsidR="00F24BF6" w:rsidRDefault="002611F5" w:rsidP="0063009F">
    <w:pPr>
      <w:pStyle w:val="HeaderDocumentDate"/>
    </w:pPr>
    <w:r w:rsidRPr="005D37A3">
      <w:rPr>
        <w:rStyle w:val="HeaderDocumentTitle"/>
      </w:rPr>
      <w:t>Counter-Terrorism and Other Legislation Amendment Bill 2023</w:t>
    </w:r>
    <w:r w:rsidRPr="001F62CC">
      <w:rPr>
        <w:rStyle w:val="HeaderDocumentTitle"/>
      </w:rPr>
      <w:t>,</w:t>
    </w:r>
    <w:r>
      <w:t xml:space="preserve"> </w:t>
    </w:r>
    <w:r w:rsidR="005479F3">
      <w:t>9</w:t>
    </w:r>
    <w:r>
      <w:t xml:space="preserve"> October 2023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C94D1" w14:textId="77777777" w:rsidR="001A1790" w:rsidRPr="000465F1" w:rsidRDefault="001A1790" w:rsidP="0063009F">
    <w:pPr>
      <w:pStyle w:val="Header"/>
    </w:pPr>
    <w:r w:rsidRPr="000465F1">
      <w:t>Australian Human Rights Commission</w:t>
    </w:r>
  </w:p>
  <w:p w14:paraId="1125F4DD" w14:textId="2322725B" w:rsidR="001A1790" w:rsidRDefault="002611F5" w:rsidP="0063009F">
    <w:pPr>
      <w:pStyle w:val="HeaderDocumentDate"/>
    </w:pPr>
    <w:r w:rsidRPr="005D37A3">
      <w:rPr>
        <w:rStyle w:val="HeaderDocumentTitle"/>
      </w:rPr>
      <w:t>Counter-Terrorism and Other Legislation Amendment Bill 2023</w:t>
    </w:r>
    <w:r w:rsidRPr="001F62CC">
      <w:rPr>
        <w:rStyle w:val="HeaderDocumentTitle"/>
      </w:rPr>
      <w:t>,</w:t>
    </w:r>
    <w:r>
      <w:t xml:space="preserve"> </w:t>
    </w:r>
    <w:r w:rsidR="005479F3">
      <w:t>9</w:t>
    </w:r>
    <w:r>
      <w:t xml:space="preserve"> October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722DAA0"/>
    <w:lvl w:ilvl="0">
      <w:start w:val="1"/>
      <w:numFmt w:val="decimal"/>
      <w:pStyle w:val="ListNumber2"/>
      <w:lvlText w:val="%1."/>
      <w:lvlJc w:val="left"/>
      <w:pPr>
        <w:tabs>
          <w:tab w:val="num" w:pos="643"/>
        </w:tabs>
        <w:ind w:left="643" w:hanging="360"/>
      </w:pPr>
    </w:lvl>
  </w:abstractNum>
  <w:abstractNum w:abstractNumId="2"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7" w15:restartNumberingAfterBreak="0">
    <w:nsid w:val="018333D2"/>
    <w:multiLevelType w:val="hybridMultilevel"/>
    <w:tmpl w:val="9E9A1856"/>
    <w:lvl w:ilvl="0" w:tplc="04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629" w:hanging="360"/>
      </w:pPr>
      <w:rPr>
        <w:rFonts w:ascii="Courier New" w:hAnsi="Courier New" w:cs="Courier New" w:hint="default"/>
      </w:rPr>
    </w:lvl>
    <w:lvl w:ilvl="2" w:tplc="0C090005" w:tentative="1">
      <w:start w:val="1"/>
      <w:numFmt w:val="bullet"/>
      <w:lvlText w:val=""/>
      <w:lvlJc w:val="left"/>
      <w:pPr>
        <w:ind w:left="1349" w:hanging="360"/>
      </w:pPr>
      <w:rPr>
        <w:rFonts w:ascii="Wingdings" w:hAnsi="Wingdings" w:hint="default"/>
      </w:rPr>
    </w:lvl>
    <w:lvl w:ilvl="3" w:tplc="0C090001" w:tentative="1">
      <w:start w:val="1"/>
      <w:numFmt w:val="bullet"/>
      <w:lvlText w:val=""/>
      <w:lvlJc w:val="left"/>
      <w:pPr>
        <w:ind w:left="2069" w:hanging="360"/>
      </w:pPr>
      <w:rPr>
        <w:rFonts w:ascii="Symbol" w:hAnsi="Symbol" w:hint="default"/>
      </w:rPr>
    </w:lvl>
    <w:lvl w:ilvl="4" w:tplc="0C090003" w:tentative="1">
      <w:start w:val="1"/>
      <w:numFmt w:val="bullet"/>
      <w:lvlText w:val="o"/>
      <w:lvlJc w:val="left"/>
      <w:pPr>
        <w:ind w:left="2789" w:hanging="360"/>
      </w:pPr>
      <w:rPr>
        <w:rFonts w:ascii="Courier New" w:hAnsi="Courier New" w:cs="Courier New" w:hint="default"/>
      </w:rPr>
    </w:lvl>
    <w:lvl w:ilvl="5" w:tplc="0C090005" w:tentative="1">
      <w:start w:val="1"/>
      <w:numFmt w:val="bullet"/>
      <w:lvlText w:val=""/>
      <w:lvlJc w:val="left"/>
      <w:pPr>
        <w:ind w:left="3509" w:hanging="360"/>
      </w:pPr>
      <w:rPr>
        <w:rFonts w:ascii="Wingdings" w:hAnsi="Wingdings" w:hint="default"/>
      </w:rPr>
    </w:lvl>
    <w:lvl w:ilvl="6" w:tplc="0C090001" w:tentative="1">
      <w:start w:val="1"/>
      <w:numFmt w:val="bullet"/>
      <w:lvlText w:val=""/>
      <w:lvlJc w:val="left"/>
      <w:pPr>
        <w:ind w:left="4229" w:hanging="360"/>
      </w:pPr>
      <w:rPr>
        <w:rFonts w:ascii="Symbol" w:hAnsi="Symbol" w:hint="default"/>
      </w:rPr>
    </w:lvl>
    <w:lvl w:ilvl="7" w:tplc="0C090003" w:tentative="1">
      <w:start w:val="1"/>
      <w:numFmt w:val="bullet"/>
      <w:lvlText w:val="o"/>
      <w:lvlJc w:val="left"/>
      <w:pPr>
        <w:ind w:left="4949" w:hanging="360"/>
      </w:pPr>
      <w:rPr>
        <w:rFonts w:ascii="Courier New" w:hAnsi="Courier New" w:cs="Courier New" w:hint="default"/>
      </w:rPr>
    </w:lvl>
    <w:lvl w:ilvl="8" w:tplc="0C090005" w:tentative="1">
      <w:start w:val="1"/>
      <w:numFmt w:val="bullet"/>
      <w:lvlText w:val=""/>
      <w:lvlJc w:val="left"/>
      <w:pPr>
        <w:ind w:left="5669" w:hanging="360"/>
      </w:pPr>
      <w:rPr>
        <w:rFonts w:ascii="Wingdings" w:hAnsi="Wingdings" w:hint="default"/>
      </w:rPr>
    </w:lvl>
  </w:abstractNum>
  <w:abstractNum w:abstractNumId="8" w15:restartNumberingAfterBreak="0">
    <w:nsid w:val="12865B45"/>
    <w:multiLevelType w:val="hybridMultilevel"/>
    <w:tmpl w:val="42BA4A74"/>
    <w:lvl w:ilvl="0" w:tplc="04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629" w:hanging="360"/>
      </w:pPr>
      <w:rPr>
        <w:rFonts w:ascii="Courier New" w:hAnsi="Courier New" w:cs="Courier New" w:hint="default"/>
      </w:rPr>
    </w:lvl>
    <w:lvl w:ilvl="2" w:tplc="0C090005" w:tentative="1">
      <w:start w:val="1"/>
      <w:numFmt w:val="bullet"/>
      <w:lvlText w:val=""/>
      <w:lvlJc w:val="left"/>
      <w:pPr>
        <w:ind w:left="1349" w:hanging="360"/>
      </w:pPr>
      <w:rPr>
        <w:rFonts w:ascii="Wingdings" w:hAnsi="Wingdings" w:hint="default"/>
      </w:rPr>
    </w:lvl>
    <w:lvl w:ilvl="3" w:tplc="0C090001" w:tentative="1">
      <w:start w:val="1"/>
      <w:numFmt w:val="bullet"/>
      <w:lvlText w:val=""/>
      <w:lvlJc w:val="left"/>
      <w:pPr>
        <w:ind w:left="2069" w:hanging="360"/>
      </w:pPr>
      <w:rPr>
        <w:rFonts w:ascii="Symbol" w:hAnsi="Symbol" w:hint="default"/>
      </w:rPr>
    </w:lvl>
    <w:lvl w:ilvl="4" w:tplc="0C090003" w:tentative="1">
      <w:start w:val="1"/>
      <w:numFmt w:val="bullet"/>
      <w:lvlText w:val="o"/>
      <w:lvlJc w:val="left"/>
      <w:pPr>
        <w:ind w:left="2789" w:hanging="360"/>
      </w:pPr>
      <w:rPr>
        <w:rFonts w:ascii="Courier New" w:hAnsi="Courier New" w:cs="Courier New" w:hint="default"/>
      </w:rPr>
    </w:lvl>
    <w:lvl w:ilvl="5" w:tplc="0C090005" w:tentative="1">
      <w:start w:val="1"/>
      <w:numFmt w:val="bullet"/>
      <w:lvlText w:val=""/>
      <w:lvlJc w:val="left"/>
      <w:pPr>
        <w:ind w:left="3509" w:hanging="360"/>
      </w:pPr>
      <w:rPr>
        <w:rFonts w:ascii="Wingdings" w:hAnsi="Wingdings" w:hint="default"/>
      </w:rPr>
    </w:lvl>
    <w:lvl w:ilvl="6" w:tplc="0C090001" w:tentative="1">
      <w:start w:val="1"/>
      <w:numFmt w:val="bullet"/>
      <w:lvlText w:val=""/>
      <w:lvlJc w:val="left"/>
      <w:pPr>
        <w:ind w:left="4229" w:hanging="360"/>
      </w:pPr>
      <w:rPr>
        <w:rFonts w:ascii="Symbol" w:hAnsi="Symbol" w:hint="default"/>
      </w:rPr>
    </w:lvl>
    <w:lvl w:ilvl="7" w:tplc="0C090003" w:tentative="1">
      <w:start w:val="1"/>
      <w:numFmt w:val="bullet"/>
      <w:lvlText w:val="o"/>
      <w:lvlJc w:val="left"/>
      <w:pPr>
        <w:ind w:left="4949" w:hanging="360"/>
      </w:pPr>
      <w:rPr>
        <w:rFonts w:ascii="Courier New" w:hAnsi="Courier New" w:cs="Courier New" w:hint="default"/>
      </w:rPr>
    </w:lvl>
    <w:lvl w:ilvl="8" w:tplc="0C090005" w:tentative="1">
      <w:start w:val="1"/>
      <w:numFmt w:val="bullet"/>
      <w:lvlText w:val=""/>
      <w:lvlJc w:val="left"/>
      <w:pPr>
        <w:ind w:left="5669" w:hanging="360"/>
      </w:pPr>
      <w:rPr>
        <w:rFonts w:ascii="Wingdings" w:hAnsi="Wingdings" w:hint="default"/>
      </w:rPr>
    </w:lvl>
  </w:abstractNum>
  <w:abstractNum w:abstractNumId="9" w15:restartNumberingAfterBreak="0">
    <w:nsid w:val="14263BBC"/>
    <w:multiLevelType w:val="hybridMultilevel"/>
    <w:tmpl w:val="C498A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264513"/>
    <w:multiLevelType w:val="hybridMultilevel"/>
    <w:tmpl w:val="5ED45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DD0756F"/>
    <w:multiLevelType w:val="hybridMultilevel"/>
    <w:tmpl w:val="FCBAF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1B71560"/>
    <w:multiLevelType w:val="singleLevel"/>
    <w:tmpl w:val="4E301292"/>
    <w:styleLink w:val="ArticleSection"/>
    <w:lvl w:ilvl="0">
      <w:start w:val="1"/>
      <w:numFmt w:val="decimal"/>
      <w:pStyle w:val="ListNumber5"/>
      <w:lvlText w:val="%1."/>
      <w:lvlJc w:val="left"/>
      <w:pPr>
        <w:tabs>
          <w:tab w:val="num" w:pos="1492"/>
        </w:tabs>
        <w:ind w:left="1492" w:hanging="360"/>
      </w:pPr>
    </w:lvl>
  </w:abstractNum>
  <w:abstractNum w:abstractNumId="14" w15:restartNumberingAfterBreak="0">
    <w:nsid w:val="37C77DA3"/>
    <w:multiLevelType w:val="hybridMultilevel"/>
    <w:tmpl w:val="850CC4FE"/>
    <w:lvl w:ilvl="0" w:tplc="67BCFEC6">
      <w:numFmt w:val="bullet"/>
      <w:lvlText w:val="-"/>
      <w:lvlJc w:val="left"/>
      <w:pPr>
        <w:ind w:left="1440" w:hanging="360"/>
      </w:pPr>
      <w:rPr>
        <w:rFonts w:ascii="Open Sans" w:eastAsia="MS Mincho" w:hAnsi="Open Sans" w:cs="Open San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C42FE8"/>
    <w:multiLevelType w:val="singleLevel"/>
    <w:tmpl w:val="6F36045A"/>
    <w:styleLink w:val="1ai"/>
    <w:lvl w:ilvl="0">
      <w:start w:val="1"/>
      <w:numFmt w:val="decimal"/>
      <w:pStyle w:val="ListNumber4"/>
      <w:lvlText w:val="%1."/>
      <w:lvlJc w:val="left"/>
      <w:pPr>
        <w:tabs>
          <w:tab w:val="num" w:pos="1209"/>
        </w:tabs>
        <w:ind w:left="1209" w:hanging="360"/>
      </w:pPr>
    </w:lvl>
  </w:abstractNum>
  <w:abstractNum w:abstractNumId="16" w15:restartNumberingAfterBreak="0">
    <w:nsid w:val="44A95103"/>
    <w:multiLevelType w:val="hybridMultilevel"/>
    <w:tmpl w:val="309E89FE"/>
    <w:lvl w:ilvl="0" w:tplc="0409001B">
      <w:start w:val="1"/>
      <w:numFmt w:val="lowerRoman"/>
      <w:lvlText w:val="%1."/>
      <w:lvlJc w:val="right"/>
      <w:pPr>
        <w:ind w:left="1454" w:hanging="360"/>
      </w:pPr>
      <w:rPr>
        <w:rFonts w:hint="default"/>
      </w:rPr>
    </w:lvl>
    <w:lvl w:ilvl="1" w:tplc="04090003">
      <w:start w:val="1"/>
      <w:numFmt w:val="bullet"/>
      <w:lvlText w:val="o"/>
      <w:lvlJc w:val="left"/>
      <w:pPr>
        <w:ind w:left="2174" w:hanging="360"/>
      </w:pPr>
      <w:rPr>
        <w:rFonts w:ascii="Courier New" w:hAnsi="Courier New" w:cs="Courier New" w:hint="default"/>
      </w:rPr>
    </w:lvl>
    <w:lvl w:ilvl="2" w:tplc="04090005">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17" w15:restartNumberingAfterBreak="0">
    <w:nsid w:val="45BF7DB4"/>
    <w:multiLevelType w:val="hybridMultilevel"/>
    <w:tmpl w:val="7B5CE302"/>
    <w:lvl w:ilvl="0" w:tplc="04090001">
      <w:start w:val="1"/>
      <w:numFmt w:val="bullet"/>
      <w:lvlText w:val=""/>
      <w:lvlJc w:val="left"/>
      <w:pPr>
        <w:ind w:left="1454" w:hanging="360"/>
      </w:pPr>
      <w:rPr>
        <w:rFonts w:ascii="Symbol" w:hAnsi="Symbol" w:hint="default"/>
      </w:rPr>
    </w:lvl>
    <w:lvl w:ilvl="1" w:tplc="04090003">
      <w:start w:val="1"/>
      <w:numFmt w:val="bullet"/>
      <w:lvlText w:val="o"/>
      <w:lvlJc w:val="left"/>
      <w:pPr>
        <w:ind w:left="2174" w:hanging="360"/>
      </w:pPr>
      <w:rPr>
        <w:rFonts w:ascii="Courier New" w:hAnsi="Courier New" w:cs="Courier New" w:hint="default"/>
      </w:rPr>
    </w:lvl>
    <w:lvl w:ilvl="2" w:tplc="04090005">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18"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15:restartNumberingAfterBreak="0">
    <w:nsid w:val="4E4322A8"/>
    <w:multiLevelType w:val="singleLevel"/>
    <w:tmpl w:val="1986A9A6"/>
    <w:styleLink w:val="111111"/>
    <w:lvl w:ilvl="0">
      <w:start w:val="1"/>
      <w:numFmt w:val="decimal"/>
      <w:pStyle w:val="ListNumber"/>
      <w:lvlText w:val="%1."/>
      <w:lvlJc w:val="left"/>
      <w:pPr>
        <w:tabs>
          <w:tab w:val="num" w:pos="360"/>
        </w:tabs>
        <w:ind w:left="360" w:hanging="360"/>
      </w:pPr>
    </w:lvl>
  </w:abstractNum>
  <w:abstractNum w:abstractNumId="20" w15:restartNumberingAfterBreak="0">
    <w:nsid w:val="555201A5"/>
    <w:multiLevelType w:val="hybridMultilevel"/>
    <w:tmpl w:val="E2D48062"/>
    <w:lvl w:ilvl="0" w:tplc="D79E8814">
      <w:start w:val="29"/>
      <w:numFmt w:val="bullet"/>
      <w:lvlText w:val=""/>
      <w:lvlJc w:val="left"/>
      <w:pPr>
        <w:ind w:left="1440" w:hanging="360"/>
      </w:pPr>
      <w:rPr>
        <w:rFonts w:ascii="Symbol" w:eastAsia="MS Mincho" w:hAnsi="Symbol"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88F3679"/>
    <w:multiLevelType w:val="hybridMultilevel"/>
    <w:tmpl w:val="10306276"/>
    <w:lvl w:ilvl="0" w:tplc="A2342D9C">
      <w:start w:val="1"/>
      <w:numFmt w:val="bullet"/>
      <w:lvlText w:val="•"/>
      <w:lvlJc w:val="left"/>
      <w:pPr>
        <w:tabs>
          <w:tab w:val="num" w:pos="720"/>
        </w:tabs>
        <w:ind w:left="720" w:hanging="360"/>
      </w:pPr>
      <w:rPr>
        <w:rFonts w:ascii="Arial" w:hAnsi="Arial" w:hint="default"/>
      </w:rPr>
    </w:lvl>
    <w:lvl w:ilvl="1" w:tplc="1750D6E0" w:tentative="1">
      <w:start w:val="1"/>
      <w:numFmt w:val="bullet"/>
      <w:lvlText w:val="•"/>
      <w:lvlJc w:val="left"/>
      <w:pPr>
        <w:tabs>
          <w:tab w:val="num" w:pos="1440"/>
        </w:tabs>
        <w:ind w:left="1440" w:hanging="360"/>
      </w:pPr>
      <w:rPr>
        <w:rFonts w:ascii="Arial" w:hAnsi="Arial" w:hint="default"/>
      </w:rPr>
    </w:lvl>
    <w:lvl w:ilvl="2" w:tplc="F5D811FA" w:tentative="1">
      <w:start w:val="1"/>
      <w:numFmt w:val="bullet"/>
      <w:lvlText w:val="•"/>
      <w:lvlJc w:val="left"/>
      <w:pPr>
        <w:tabs>
          <w:tab w:val="num" w:pos="2160"/>
        </w:tabs>
        <w:ind w:left="2160" w:hanging="360"/>
      </w:pPr>
      <w:rPr>
        <w:rFonts w:ascii="Arial" w:hAnsi="Arial" w:hint="default"/>
      </w:rPr>
    </w:lvl>
    <w:lvl w:ilvl="3" w:tplc="F2C4E366" w:tentative="1">
      <w:start w:val="1"/>
      <w:numFmt w:val="bullet"/>
      <w:lvlText w:val="•"/>
      <w:lvlJc w:val="left"/>
      <w:pPr>
        <w:tabs>
          <w:tab w:val="num" w:pos="2880"/>
        </w:tabs>
        <w:ind w:left="2880" w:hanging="360"/>
      </w:pPr>
      <w:rPr>
        <w:rFonts w:ascii="Arial" w:hAnsi="Arial" w:hint="default"/>
      </w:rPr>
    </w:lvl>
    <w:lvl w:ilvl="4" w:tplc="51E8C528" w:tentative="1">
      <w:start w:val="1"/>
      <w:numFmt w:val="bullet"/>
      <w:lvlText w:val="•"/>
      <w:lvlJc w:val="left"/>
      <w:pPr>
        <w:tabs>
          <w:tab w:val="num" w:pos="3600"/>
        </w:tabs>
        <w:ind w:left="3600" w:hanging="360"/>
      </w:pPr>
      <w:rPr>
        <w:rFonts w:ascii="Arial" w:hAnsi="Arial" w:hint="default"/>
      </w:rPr>
    </w:lvl>
    <w:lvl w:ilvl="5" w:tplc="322888CE" w:tentative="1">
      <w:start w:val="1"/>
      <w:numFmt w:val="bullet"/>
      <w:lvlText w:val="•"/>
      <w:lvlJc w:val="left"/>
      <w:pPr>
        <w:tabs>
          <w:tab w:val="num" w:pos="4320"/>
        </w:tabs>
        <w:ind w:left="4320" w:hanging="360"/>
      </w:pPr>
      <w:rPr>
        <w:rFonts w:ascii="Arial" w:hAnsi="Arial" w:hint="default"/>
      </w:rPr>
    </w:lvl>
    <w:lvl w:ilvl="6" w:tplc="C8BEB5DA" w:tentative="1">
      <w:start w:val="1"/>
      <w:numFmt w:val="bullet"/>
      <w:lvlText w:val="•"/>
      <w:lvlJc w:val="left"/>
      <w:pPr>
        <w:tabs>
          <w:tab w:val="num" w:pos="5040"/>
        </w:tabs>
        <w:ind w:left="5040" w:hanging="360"/>
      </w:pPr>
      <w:rPr>
        <w:rFonts w:ascii="Arial" w:hAnsi="Arial" w:hint="default"/>
      </w:rPr>
    </w:lvl>
    <w:lvl w:ilvl="7" w:tplc="F0E04FD8" w:tentative="1">
      <w:start w:val="1"/>
      <w:numFmt w:val="bullet"/>
      <w:lvlText w:val="•"/>
      <w:lvlJc w:val="left"/>
      <w:pPr>
        <w:tabs>
          <w:tab w:val="num" w:pos="5760"/>
        </w:tabs>
        <w:ind w:left="5760" w:hanging="360"/>
      </w:pPr>
      <w:rPr>
        <w:rFonts w:ascii="Arial" w:hAnsi="Arial" w:hint="default"/>
      </w:rPr>
    </w:lvl>
    <w:lvl w:ilvl="8" w:tplc="A2C881D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B505EC5"/>
    <w:multiLevelType w:val="hybridMultilevel"/>
    <w:tmpl w:val="E83E1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9500FD"/>
    <w:multiLevelType w:val="hybridMultilevel"/>
    <w:tmpl w:val="38C64DF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4" w15:restartNumberingAfterBreak="0">
    <w:nsid w:val="79F3317F"/>
    <w:multiLevelType w:val="hybridMultilevel"/>
    <w:tmpl w:val="1B8630DA"/>
    <w:lvl w:ilvl="0" w:tplc="6ADE26D2">
      <w:start w:val="1"/>
      <w:numFmt w:val="bullet"/>
      <w:lvlText w:val="•"/>
      <w:lvlJc w:val="left"/>
      <w:pPr>
        <w:tabs>
          <w:tab w:val="num" w:pos="720"/>
        </w:tabs>
        <w:ind w:left="720" w:hanging="360"/>
      </w:pPr>
      <w:rPr>
        <w:rFonts w:ascii="Arial" w:hAnsi="Arial" w:hint="default"/>
      </w:rPr>
    </w:lvl>
    <w:lvl w:ilvl="1" w:tplc="C7DAA3A0" w:tentative="1">
      <w:start w:val="1"/>
      <w:numFmt w:val="bullet"/>
      <w:lvlText w:val="•"/>
      <w:lvlJc w:val="left"/>
      <w:pPr>
        <w:tabs>
          <w:tab w:val="num" w:pos="1440"/>
        </w:tabs>
        <w:ind w:left="1440" w:hanging="360"/>
      </w:pPr>
      <w:rPr>
        <w:rFonts w:ascii="Arial" w:hAnsi="Arial" w:hint="default"/>
      </w:rPr>
    </w:lvl>
    <w:lvl w:ilvl="2" w:tplc="A3CEAD90" w:tentative="1">
      <w:start w:val="1"/>
      <w:numFmt w:val="bullet"/>
      <w:lvlText w:val="•"/>
      <w:lvlJc w:val="left"/>
      <w:pPr>
        <w:tabs>
          <w:tab w:val="num" w:pos="2160"/>
        </w:tabs>
        <w:ind w:left="2160" w:hanging="360"/>
      </w:pPr>
      <w:rPr>
        <w:rFonts w:ascii="Arial" w:hAnsi="Arial" w:hint="default"/>
      </w:rPr>
    </w:lvl>
    <w:lvl w:ilvl="3" w:tplc="F3E2C5D8" w:tentative="1">
      <w:start w:val="1"/>
      <w:numFmt w:val="bullet"/>
      <w:lvlText w:val="•"/>
      <w:lvlJc w:val="left"/>
      <w:pPr>
        <w:tabs>
          <w:tab w:val="num" w:pos="2880"/>
        </w:tabs>
        <w:ind w:left="2880" w:hanging="360"/>
      </w:pPr>
      <w:rPr>
        <w:rFonts w:ascii="Arial" w:hAnsi="Arial" w:hint="default"/>
      </w:rPr>
    </w:lvl>
    <w:lvl w:ilvl="4" w:tplc="828E0902" w:tentative="1">
      <w:start w:val="1"/>
      <w:numFmt w:val="bullet"/>
      <w:lvlText w:val="•"/>
      <w:lvlJc w:val="left"/>
      <w:pPr>
        <w:tabs>
          <w:tab w:val="num" w:pos="3600"/>
        </w:tabs>
        <w:ind w:left="3600" w:hanging="360"/>
      </w:pPr>
      <w:rPr>
        <w:rFonts w:ascii="Arial" w:hAnsi="Arial" w:hint="default"/>
      </w:rPr>
    </w:lvl>
    <w:lvl w:ilvl="5" w:tplc="ED34679C" w:tentative="1">
      <w:start w:val="1"/>
      <w:numFmt w:val="bullet"/>
      <w:lvlText w:val="•"/>
      <w:lvlJc w:val="left"/>
      <w:pPr>
        <w:tabs>
          <w:tab w:val="num" w:pos="4320"/>
        </w:tabs>
        <w:ind w:left="4320" w:hanging="360"/>
      </w:pPr>
      <w:rPr>
        <w:rFonts w:ascii="Arial" w:hAnsi="Arial" w:hint="default"/>
      </w:rPr>
    </w:lvl>
    <w:lvl w:ilvl="6" w:tplc="4B0C9402" w:tentative="1">
      <w:start w:val="1"/>
      <w:numFmt w:val="bullet"/>
      <w:lvlText w:val="•"/>
      <w:lvlJc w:val="left"/>
      <w:pPr>
        <w:tabs>
          <w:tab w:val="num" w:pos="5040"/>
        </w:tabs>
        <w:ind w:left="5040" w:hanging="360"/>
      </w:pPr>
      <w:rPr>
        <w:rFonts w:ascii="Arial" w:hAnsi="Arial" w:hint="default"/>
      </w:rPr>
    </w:lvl>
    <w:lvl w:ilvl="7" w:tplc="785E44AC" w:tentative="1">
      <w:start w:val="1"/>
      <w:numFmt w:val="bullet"/>
      <w:lvlText w:val="•"/>
      <w:lvlJc w:val="left"/>
      <w:pPr>
        <w:tabs>
          <w:tab w:val="num" w:pos="5760"/>
        </w:tabs>
        <w:ind w:left="5760" w:hanging="360"/>
      </w:pPr>
      <w:rPr>
        <w:rFonts w:ascii="Arial" w:hAnsi="Arial" w:hint="default"/>
      </w:rPr>
    </w:lvl>
    <w:lvl w:ilvl="8" w:tplc="E304C2C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AB416B3"/>
    <w:multiLevelType w:val="hybridMultilevel"/>
    <w:tmpl w:val="2772B0AA"/>
    <w:lvl w:ilvl="0" w:tplc="04090001">
      <w:start w:val="1"/>
      <w:numFmt w:val="bullet"/>
      <w:lvlText w:val=""/>
      <w:lvlJc w:val="left"/>
      <w:pPr>
        <w:ind w:left="2534"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2113622947">
    <w:abstractNumId w:val="18"/>
  </w:num>
  <w:num w:numId="2" w16cid:durableId="1226987055">
    <w:abstractNumId w:val="6"/>
  </w:num>
  <w:num w:numId="3" w16cid:durableId="1341006215">
    <w:abstractNumId w:val="5"/>
  </w:num>
  <w:num w:numId="4" w16cid:durableId="283847265">
    <w:abstractNumId w:val="4"/>
  </w:num>
  <w:num w:numId="5" w16cid:durableId="2100589905">
    <w:abstractNumId w:val="3"/>
  </w:num>
  <w:num w:numId="6" w16cid:durableId="775448861">
    <w:abstractNumId w:val="2"/>
  </w:num>
  <w:num w:numId="7" w16cid:durableId="985620075">
    <w:abstractNumId w:val="1"/>
  </w:num>
  <w:num w:numId="8" w16cid:durableId="221327920">
    <w:abstractNumId w:val="0"/>
  </w:num>
  <w:num w:numId="9" w16cid:durableId="498814458">
    <w:abstractNumId w:val="19"/>
  </w:num>
  <w:num w:numId="10" w16cid:durableId="1649747091">
    <w:abstractNumId w:val="15"/>
  </w:num>
  <w:num w:numId="11" w16cid:durableId="2019189658">
    <w:abstractNumId w:val="13"/>
  </w:num>
  <w:num w:numId="12" w16cid:durableId="1545673718">
    <w:abstractNumId w:val="11"/>
  </w:num>
  <w:num w:numId="13" w16cid:durableId="989483780">
    <w:abstractNumId w:val="12"/>
  </w:num>
  <w:num w:numId="14" w16cid:durableId="229315240">
    <w:abstractNumId w:val="17"/>
  </w:num>
  <w:num w:numId="15" w16cid:durableId="1162156261">
    <w:abstractNumId w:val="22"/>
  </w:num>
  <w:num w:numId="16" w16cid:durableId="1913002269">
    <w:abstractNumId w:val="23"/>
  </w:num>
  <w:num w:numId="17" w16cid:durableId="926117924">
    <w:abstractNumId w:val="16"/>
  </w:num>
  <w:num w:numId="18" w16cid:durableId="780106066">
    <w:abstractNumId w:val="14"/>
  </w:num>
  <w:num w:numId="19" w16cid:durableId="1304385116">
    <w:abstractNumId w:val="8"/>
  </w:num>
  <w:num w:numId="20" w16cid:durableId="1711102597">
    <w:abstractNumId w:val="7"/>
  </w:num>
  <w:num w:numId="21" w16cid:durableId="1906184886">
    <w:abstractNumId w:val="9"/>
  </w:num>
  <w:num w:numId="22" w16cid:durableId="624777699">
    <w:abstractNumId w:val="1"/>
    <w:lvlOverride w:ilvl="0">
      <w:startOverride w:val="1"/>
    </w:lvlOverride>
  </w:num>
  <w:num w:numId="23" w16cid:durableId="509368761">
    <w:abstractNumId w:val="1"/>
  </w:num>
  <w:num w:numId="24" w16cid:durableId="691999379">
    <w:abstractNumId w:val="1"/>
  </w:num>
  <w:num w:numId="25" w16cid:durableId="1321806185">
    <w:abstractNumId w:val="11"/>
  </w:num>
  <w:num w:numId="26" w16cid:durableId="1797017715">
    <w:abstractNumId w:val="11"/>
  </w:num>
  <w:num w:numId="27" w16cid:durableId="1067069351">
    <w:abstractNumId w:val="11"/>
  </w:num>
  <w:num w:numId="28" w16cid:durableId="1099564198">
    <w:abstractNumId w:val="10"/>
  </w:num>
  <w:num w:numId="29" w16cid:durableId="7568659">
    <w:abstractNumId w:val="1"/>
  </w:num>
  <w:num w:numId="30" w16cid:durableId="1272516864">
    <w:abstractNumId w:val="1"/>
  </w:num>
  <w:num w:numId="31" w16cid:durableId="1797262371">
    <w:abstractNumId w:val="1"/>
  </w:num>
  <w:num w:numId="32" w16cid:durableId="2109763851">
    <w:abstractNumId w:val="21"/>
  </w:num>
  <w:num w:numId="33" w16cid:durableId="1140534488">
    <w:abstractNumId w:val="24"/>
  </w:num>
  <w:num w:numId="34" w16cid:durableId="614366231">
    <w:abstractNumId w:val="1"/>
  </w:num>
  <w:num w:numId="35" w16cid:durableId="1372531153">
    <w:abstractNumId w:val="1"/>
  </w:num>
  <w:num w:numId="36" w16cid:durableId="1037697522">
    <w:abstractNumId w:val="1"/>
  </w:num>
  <w:num w:numId="37" w16cid:durableId="1653558689">
    <w:abstractNumId w:val="1"/>
  </w:num>
  <w:num w:numId="38" w16cid:durableId="1466895610">
    <w:abstractNumId w:val="1"/>
  </w:num>
  <w:num w:numId="39" w16cid:durableId="298998440">
    <w:abstractNumId w:val="1"/>
  </w:num>
  <w:num w:numId="40" w16cid:durableId="49811252">
    <w:abstractNumId w:val="1"/>
  </w:num>
  <w:num w:numId="41" w16cid:durableId="699204554">
    <w:abstractNumId w:val="25"/>
  </w:num>
  <w:num w:numId="42" w16cid:durableId="207568117">
    <w:abstractNumId w:val="1"/>
  </w:num>
  <w:num w:numId="43" w16cid:durableId="2109932736">
    <w:abstractNumId w:val="20"/>
  </w:num>
  <w:num w:numId="44" w16cid:durableId="227811903">
    <w:abstractNumId w:val="1"/>
  </w:num>
  <w:num w:numId="45" w16cid:durableId="360017429">
    <w:abstractNumId w:val="1"/>
  </w:num>
  <w:num w:numId="46" w16cid:durableId="1944654425">
    <w:abstractNumId w:val="1"/>
  </w:num>
  <w:num w:numId="47" w16cid:durableId="975336737">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8F"/>
    <w:rsid w:val="0000003C"/>
    <w:rsid w:val="000006A2"/>
    <w:rsid w:val="0000107B"/>
    <w:rsid w:val="000015EC"/>
    <w:rsid w:val="000016FD"/>
    <w:rsid w:val="00001BEB"/>
    <w:rsid w:val="00002866"/>
    <w:rsid w:val="000030DE"/>
    <w:rsid w:val="000031AF"/>
    <w:rsid w:val="00003C09"/>
    <w:rsid w:val="00003E4E"/>
    <w:rsid w:val="00003EA5"/>
    <w:rsid w:val="000049C4"/>
    <w:rsid w:val="00004A41"/>
    <w:rsid w:val="00004BF4"/>
    <w:rsid w:val="00004E9A"/>
    <w:rsid w:val="0000500C"/>
    <w:rsid w:val="000050E6"/>
    <w:rsid w:val="00005194"/>
    <w:rsid w:val="00005817"/>
    <w:rsid w:val="00005B44"/>
    <w:rsid w:val="00006C05"/>
    <w:rsid w:val="00007CDC"/>
    <w:rsid w:val="00007EB3"/>
    <w:rsid w:val="0001095E"/>
    <w:rsid w:val="0001102D"/>
    <w:rsid w:val="000115B1"/>
    <w:rsid w:val="00011F9C"/>
    <w:rsid w:val="00012B3F"/>
    <w:rsid w:val="000137DD"/>
    <w:rsid w:val="00014DEE"/>
    <w:rsid w:val="00015083"/>
    <w:rsid w:val="00015334"/>
    <w:rsid w:val="00015774"/>
    <w:rsid w:val="00015B6F"/>
    <w:rsid w:val="00015ECC"/>
    <w:rsid w:val="000161C2"/>
    <w:rsid w:val="00016375"/>
    <w:rsid w:val="00016836"/>
    <w:rsid w:val="000168FF"/>
    <w:rsid w:val="00020109"/>
    <w:rsid w:val="00020399"/>
    <w:rsid w:val="0002063F"/>
    <w:rsid w:val="00021060"/>
    <w:rsid w:val="00021C45"/>
    <w:rsid w:val="00022968"/>
    <w:rsid w:val="000230B5"/>
    <w:rsid w:val="0002369E"/>
    <w:rsid w:val="00023A9A"/>
    <w:rsid w:val="00024323"/>
    <w:rsid w:val="0002448F"/>
    <w:rsid w:val="0002476A"/>
    <w:rsid w:val="00024A94"/>
    <w:rsid w:val="00025F2C"/>
    <w:rsid w:val="00025FDB"/>
    <w:rsid w:val="00026045"/>
    <w:rsid w:val="000266F7"/>
    <w:rsid w:val="000269E8"/>
    <w:rsid w:val="00026A7F"/>
    <w:rsid w:val="00026D3C"/>
    <w:rsid w:val="00027260"/>
    <w:rsid w:val="000274D1"/>
    <w:rsid w:val="00027C99"/>
    <w:rsid w:val="000302AE"/>
    <w:rsid w:val="000304CF"/>
    <w:rsid w:val="00030517"/>
    <w:rsid w:val="00030D58"/>
    <w:rsid w:val="00030E75"/>
    <w:rsid w:val="0003142B"/>
    <w:rsid w:val="000316D4"/>
    <w:rsid w:val="00031F6E"/>
    <w:rsid w:val="00032C1E"/>
    <w:rsid w:val="00032E1C"/>
    <w:rsid w:val="000335CB"/>
    <w:rsid w:val="0003372C"/>
    <w:rsid w:val="00033DF5"/>
    <w:rsid w:val="000340B4"/>
    <w:rsid w:val="000343DE"/>
    <w:rsid w:val="00034C81"/>
    <w:rsid w:val="00035313"/>
    <w:rsid w:val="00035BE8"/>
    <w:rsid w:val="000361BA"/>
    <w:rsid w:val="0003659C"/>
    <w:rsid w:val="000367C1"/>
    <w:rsid w:val="00036BE4"/>
    <w:rsid w:val="00036FCE"/>
    <w:rsid w:val="000403DA"/>
    <w:rsid w:val="000405E6"/>
    <w:rsid w:val="000408BD"/>
    <w:rsid w:val="00040F58"/>
    <w:rsid w:val="00040FDF"/>
    <w:rsid w:val="00041383"/>
    <w:rsid w:val="0004138E"/>
    <w:rsid w:val="00041B52"/>
    <w:rsid w:val="00041FCF"/>
    <w:rsid w:val="0004211B"/>
    <w:rsid w:val="000424FB"/>
    <w:rsid w:val="00042588"/>
    <w:rsid w:val="00042B31"/>
    <w:rsid w:val="00042D32"/>
    <w:rsid w:val="000430B8"/>
    <w:rsid w:val="00043582"/>
    <w:rsid w:val="00045017"/>
    <w:rsid w:val="00045712"/>
    <w:rsid w:val="00045748"/>
    <w:rsid w:val="00045A75"/>
    <w:rsid w:val="00045B75"/>
    <w:rsid w:val="00045C4B"/>
    <w:rsid w:val="0004633C"/>
    <w:rsid w:val="000465F1"/>
    <w:rsid w:val="000467CC"/>
    <w:rsid w:val="000467E5"/>
    <w:rsid w:val="0004719A"/>
    <w:rsid w:val="00047EF7"/>
    <w:rsid w:val="0005026F"/>
    <w:rsid w:val="00050558"/>
    <w:rsid w:val="000507FA"/>
    <w:rsid w:val="0005089F"/>
    <w:rsid w:val="00050DA5"/>
    <w:rsid w:val="00051639"/>
    <w:rsid w:val="00051B25"/>
    <w:rsid w:val="00052274"/>
    <w:rsid w:val="0005248F"/>
    <w:rsid w:val="00052D4B"/>
    <w:rsid w:val="000533AF"/>
    <w:rsid w:val="00053775"/>
    <w:rsid w:val="00053B05"/>
    <w:rsid w:val="00053B21"/>
    <w:rsid w:val="00053ED6"/>
    <w:rsid w:val="00054016"/>
    <w:rsid w:val="000543E9"/>
    <w:rsid w:val="00055688"/>
    <w:rsid w:val="000557D5"/>
    <w:rsid w:val="00055D70"/>
    <w:rsid w:val="00055E93"/>
    <w:rsid w:val="0005700E"/>
    <w:rsid w:val="0005748A"/>
    <w:rsid w:val="000579B1"/>
    <w:rsid w:val="00057F7A"/>
    <w:rsid w:val="0006038E"/>
    <w:rsid w:val="000608FB"/>
    <w:rsid w:val="00061367"/>
    <w:rsid w:val="000617FC"/>
    <w:rsid w:val="00061BBB"/>
    <w:rsid w:val="00061C36"/>
    <w:rsid w:val="00061C6C"/>
    <w:rsid w:val="00061FBA"/>
    <w:rsid w:val="00062163"/>
    <w:rsid w:val="0006399D"/>
    <w:rsid w:val="00063D8E"/>
    <w:rsid w:val="00063DB5"/>
    <w:rsid w:val="00065B06"/>
    <w:rsid w:val="00065E46"/>
    <w:rsid w:val="000663D2"/>
    <w:rsid w:val="00066421"/>
    <w:rsid w:val="00066786"/>
    <w:rsid w:val="0006741A"/>
    <w:rsid w:val="000675B4"/>
    <w:rsid w:val="000676EA"/>
    <w:rsid w:val="000705F2"/>
    <w:rsid w:val="00070A24"/>
    <w:rsid w:val="00070A3B"/>
    <w:rsid w:val="00071BAD"/>
    <w:rsid w:val="000723E0"/>
    <w:rsid w:val="000729B7"/>
    <w:rsid w:val="00072C64"/>
    <w:rsid w:val="00072EDA"/>
    <w:rsid w:val="000745BB"/>
    <w:rsid w:val="000755B7"/>
    <w:rsid w:val="000755C9"/>
    <w:rsid w:val="00075B8B"/>
    <w:rsid w:val="000760EC"/>
    <w:rsid w:val="0007682B"/>
    <w:rsid w:val="00076966"/>
    <w:rsid w:val="00076BF1"/>
    <w:rsid w:val="00076D07"/>
    <w:rsid w:val="00076D1E"/>
    <w:rsid w:val="00076EF3"/>
    <w:rsid w:val="00077565"/>
    <w:rsid w:val="000776A0"/>
    <w:rsid w:val="00077758"/>
    <w:rsid w:val="00077AC8"/>
    <w:rsid w:val="00077E63"/>
    <w:rsid w:val="000810A4"/>
    <w:rsid w:val="000810D8"/>
    <w:rsid w:val="000813FD"/>
    <w:rsid w:val="000816FA"/>
    <w:rsid w:val="00082108"/>
    <w:rsid w:val="00082120"/>
    <w:rsid w:val="00082B17"/>
    <w:rsid w:val="00082B75"/>
    <w:rsid w:val="00082EA6"/>
    <w:rsid w:val="00082FA0"/>
    <w:rsid w:val="00083EFB"/>
    <w:rsid w:val="00084822"/>
    <w:rsid w:val="00084A50"/>
    <w:rsid w:val="000855BE"/>
    <w:rsid w:val="0008633A"/>
    <w:rsid w:val="00086DDE"/>
    <w:rsid w:val="0008761D"/>
    <w:rsid w:val="00087768"/>
    <w:rsid w:val="00090A07"/>
    <w:rsid w:val="000910A8"/>
    <w:rsid w:val="0009165E"/>
    <w:rsid w:val="00091968"/>
    <w:rsid w:val="00091CAA"/>
    <w:rsid w:val="000921EC"/>
    <w:rsid w:val="00092313"/>
    <w:rsid w:val="00092D3C"/>
    <w:rsid w:val="00093791"/>
    <w:rsid w:val="0009407F"/>
    <w:rsid w:val="0009481A"/>
    <w:rsid w:val="0009484C"/>
    <w:rsid w:val="0009491E"/>
    <w:rsid w:val="00094B65"/>
    <w:rsid w:val="00094CE8"/>
    <w:rsid w:val="0009504A"/>
    <w:rsid w:val="00095107"/>
    <w:rsid w:val="00095288"/>
    <w:rsid w:val="00095DE5"/>
    <w:rsid w:val="00096663"/>
    <w:rsid w:val="000969FC"/>
    <w:rsid w:val="00096DD9"/>
    <w:rsid w:val="00097BF3"/>
    <w:rsid w:val="00097EB5"/>
    <w:rsid w:val="000A02B3"/>
    <w:rsid w:val="000A0331"/>
    <w:rsid w:val="000A081A"/>
    <w:rsid w:val="000A12A2"/>
    <w:rsid w:val="000A1D1A"/>
    <w:rsid w:val="000A1DB8"/>
    <w:rsid w:val="000A1F9E"/>
    <w:rsid w:val="000A249F"/>
    <w:rsid w:val="000A3296"/>
    <w:rsid w:val="000A32C8"/>
    <w:rsid w:val="000A3C62"/>
    <w:rsid w:val="000A3E01"/>
    <w:rsid w:val="000A449D"/>
    <w:rsid w:val="000A476A"/>
    <w:rsid w:val="000A48AC"/>
    <w:rsid w:val="000A4E2A"/>
    <w:rsid w:val="000A520E"/>
    <w:rsid w:val="000A623C"/>
    <w:rsid w:val="000A66E5"/>
    <w:rsid w:val="000A67E4"/>
    <w:rsid w:val="000A69BA"/>
    <w:rsid w:val="000A6EE3"/>
    <w:rsid w:val="000A7C04"/>
    <w:rsid w:val="000B0309"/>
    <w:rsid w:val="000B0603"/>
    <w:rsid w:val="000B098C"/>
    <w:rsid w:val="000B0A5D"/>
    <w:rsid w:val="000B0CD5"/>
    <w:rsid w:val="000B0EB4"/>
    <w:rsid w:val="000B10F7"/>
    <w:rsid w:val="000B12B4"/>
    <w:rsid w:val="000B1A5D"/>
    <w:rsid w:val="000B1BDF"/>
    <w:rsid w:val="000B1C38"/>
    <w:rsid w:val="000B2053"/>
    <w:rsid w:val="000B2406"/>
    <w:rsid w:val="000B28ED"/>
    <w:rsid w:val="000B340A"/>
    <w:rsid w:val="000B3B24"/>
    <w:rsid w:val="000B4313"/>
    <w:rsid w:val="000B43CC"/>
    <w:rsid w:val="000B4C78"/>
    <w:rsid w:val="000B506E"/>
    <w:rsid w:val="000B51BD"/>
    <w:rsid w:val="000B547E"/>
    <w:rsid w:val="000B561C"/>
    <w:rsid w:val="000B571C"/>
    <w:rsid w:val="000B5811"/>
    <w:rsid w:val="000B5B68"/>
    <w:rsid w:val="000B60DC"/>
    <w:rsid w:val="000B638E"/>
    <w:rsid w:val="000B6644"/>
    <w:rsid w:val="000B67AA"/>
    <w:rsid w:val="000B6AE0"/>
    <w:rsid w:val="000B6E69"/>
    <w:rsid w:val="000B6F76"/>
    <w:rsid w:val="000B77A6"/>
    <w:rsid w:val="000B7D86"/>
    <w:rsid w:val="000C11FD"/>
    <w:rsid w:val="000C17DE"/>
    <w:rsid w:val="000C189C"/>
    <w:rsid w:val="000C191E"/>
    <w:rsid w:val="000C1B87"/>
    <w:rsid w:val="000C1F10"/>
    <w:rsid w:val="000C26BC"/>
    <w:rsid w:val="000C30A0"/>
    <w:rsid w:val="000C30B8"/>
    <w:rsid w:val="000C310E"/>
    <w:rsid w:val="000C3E77"/>
    <w:rsid w:val="000C4135"/>
    <w:rsid w:val="000C49D6"/>
    <w:rsid w:val="000C4AFB"/>
    <w:rsid w:val="000C54AC"/>
    <w:rsid w:val="000C5608"/>
    <w:rsid w:val="000C5DA6"/>
    <w:rsid w:val="000C5FAF"/>
    <w:rsid w:val="000C6062"/>
    <w:rsid w:val="000C6423"/>
    <w:rsid w:val="000C6797"/>
    <w:rsid w:val="000C68ED"/>
    <w:rsid w:val="000C69F4"/>
    <w:rsid w:val="000C6A41"/>
    <w:rsid w:val="000C6A8D"/>
    <w:rsid w:val="000C711B"/>
    <w:rsid w:val="000C79EA"/>
    <w:rsid w:val="000C7A4E"/>
    <w:rsid w:val="000D0110"/>
    <w:rsid w:val="000D0371"/>
    <w:rsid w:val="000D05FA"/>
    <w:rsid w:val="000D099C"/>
    <w:rsid w:val="000D0EC9"/>
    <w:rsid w:val="000D1606"/>
    <w:rsid w:val="000D1861"/>
    <w:rsid w:val="000D18B2"/>
    <w:rsid w:val="000D20ED"/>
    <w:rsid w:val="000D21E1"/>
    <w:rsid w:val="000D27FF"/>
    <w:rsid w:val="000D2855"/>
    <w:rsid w:val="000D307C"/>
    <w:rsid w:val="000D3100"/>
    <w:rsid w:val="000D324A"/>
    <w:rsid w:val="000D3250"/>
    <w:rsid w:val="000D45D1"/>
    <w:rsid w:val="000D4625"/>
    <w:rsid w:val="000D4705"/>
    <w:rsid w:val="000D4C8D"/>
    <w:rsid w:val="000D4FA1"/>
    <w:rsid w:val="000D59DC"/>
    <w:rsid w:val="000D5AE4"/>
    <w:rsid w:val="000D635B"/>
    <w:rsid w:val="000D6754"/>
    <w:rsid w:val="000D74B6"/>
    <w:rsid w:val="000D74B8"/>
    <w:rsid w:val="000E0614"/>
    <w:rsid w:val="000E0925"/>
    <w:rsid w:val="000E0D66"/>
    <w:rsid w:val="000E10F6"/>
    <w:rsid w:val="000E130A"/>
    <w:rsid w:val="000E15BF"/>
    <w:rsid w:val="000E1D77"/>
    <w:rsid w:val="000E2D9A"/>
    <w:rsid w:val="000E3F1A"/>
    <w:rsid w:val="000E45A4"/>
    <w:rsid w:val="000E4837"/>
    <w:rsid w:val="000E5061"/>
    <w:rsid w:val="000E5100"/>
    <w:rsid w:val="000E510A"/>
    <w:rsid w:val="000E5ABB"/>
    <w:rsid w:val="000E5C09"/>
    <w:rsid w:val="000E60C1"/>
    <w:rsid w:val="000E62E5"/>
    <w:rsid w:val="000E6325"/>
    <w:rsid w:val="000E6C1C"/>
    <w:rsid w:val="000E7169"/>
    <w:rsid w:val="000E7AAA"/>
    <w:rsid w:val="000F03E6"/>
    <w:rsid w:val="000F08EE"/>
    <w:rsid w:val="000F18EA"/>
    <w:rsid w:val="000F1AAD"/>
    <w:rsid w:val="000F1CA8"/>
    <w:rsid w:val="000F1D23"/>
    <w:rsid w:val="000F1D72"/>
    <w:rsid w:val="000F200F"/>
    <w:rsid w:val="000F2179"/>
    <w:rsid w:val="000F271C"/>
    <w:rsid w:val="000F2F7E"/>
    <w:rsid w:val="000F331C"/>
    <w:rsid w:val="000F35D4"/>
    <w:rsid w:val="000F3E56"/>
    <w:rsid w:val="000F4A26"/>
    <w:rsid w:val="000F4A31"/>
    <w:rsid w:val="000F5B55"/>
    <w:rsid w:val="000F5C83"/>
    <w:rsid w:val="000F5C98"/>
    <w:rsid w:val="000F6D29"/>
    <w:rsid w:val="000F7A9D"/>
    <w:rsid w:val="001009C6"/>
    <w:rsid w:val="001014E7"/>
    <w:rsid w:val="001016AE"/>
    <w:rsid w:val="00101B57"/>
    <w:rsid w:val="00102FBF"/>
    <w:rsid w:val="00103351"/>
    <w:rsid w:val="00103820"/>
    <w:rsid w:val="00103C18"/>
    <w:rsid w:val="00104660"/>
    <w:rsid w:val="00104E3A"/>
    <w:rsid w:val="00105194"/>
    <w:rsid w:val="0010541A"/>
    <w:rsid w:val="0010611C"/>
    <w:rsid w:val="00106370"/>
    <w:rsid w:val="001067B6"/>
    <w:rsid w:val="001072EA"/>
    <w:rsid w:val="001073D9"/>
    <w:rsid w:val="001076CE"/>
    <w:rsid w:val="00107D54"/>
    <w:rsid w:val="001100F3"/>
    <w:rsid w:val="001101C6"/>
    <w:rsid w:val="00110605"/>
    <w:rsid w:val="00110D4B"/>
    <w:rsid w:val="00110E20"/>
    <w:rsid w:val="00110F7C"/>
    <w:rsid w:val="0011122D"/>
    <w:rsid w:val="00113A40"/>
    <w:rsid w:val="00113E49"/>
    <w:rsid w:val="00114714"/>
    <w:rsid w:val="001147CE"/>
    <w:rsid w:val="0011487D"/>
    <w:rsid w:val="00114E7C"/>
    <w:rsid w:val="00115C90"/>
    <w:rsid w:val="00116342"/>
    <w:rsid w:val="001167C3"/>
    <w:rsid w:val="0011684F"/>
    <w:rsid w:val="00117A28"/>
    <w:rsid w:val="00117ECD"/>
    <w:rsid w:val="00120454"/>
    <w:rsid w:val="00120FC9"/>
    <w:rsid w:val="00121514"/>
    <w:rsid w:val="00121768"/>
    <w:rsid w:val="00121C5D"/>
    <w:rsid w:val="00121C8C"/>
    <w:rsid w:val="00121D33"/>
    <w:rsid w:val="00122954"/>
    <w:rsid w:val="00122BC0"/>
    <w:rsid w:val="0012375D"/>
    <w:rsid w:val="00123BDE"/>
    <w:rsid w:val="00123F18"/>
    <w:rsid w:val="001240B0"/>
    <w:rsid w:val="0012412A"/>
    <w:rsid w:val="001243E8"/>
    <w:rsid w:val="00124485"/>
    <w:rsid w:val="00124C56"/>
    <w:rsid w:val="00124D36"/>
    <w:rsid w:val="00124DBC"/>
    <w:rsid w:val="00125E97"/>
    <w:rsid w:val="0012614B"/>
    <w:rsid w:val="0012671F"/>
    <w:rsid w:val="00126E22"/>
    <w:rsid w:val="00127F28"/>
    <w:rsid w:val="00127F79"/>
    <w:rsid w:val="0013034F"/>
    <w:rsid w:val="00130412"/>
    <w:rsid w:val="0013205F"/>
    <w:rsid w:val="001327FB"/>
    <w:rsid w:val="00132810"/>
    <w:rsid w:val="00132ACF"/>
    <w:rsid w:val="00133265"/>
    <w:rsid w:val="001338E5"/>
    <w:rsid w:val="00133BE4"/>
    <w:rsid w:val="00133C92"/>
    <w:rsid w:val="00134097"/>
    <w:rsid w:val="00134196"/>
    <w:rsid w:val="00134774"/>
    <w:rsid w:val="0013498F"/>
    <w:rsid w:val="00136106"/>
    <w:rsid w:val="00136380"/>
    <w:rsid w:val="00136401"/>
    <w:rsid w:val="0013683C"/>
    <w:rsid w:val="001368DF"/>
    <w:rsid w:val="00136915"/>
    <w:rsid w:val="00136C16"/>
    <w:rsid w:val="00136C86"/>
    <w:rsid w:val="00137525"/>
    <w:rsid w:val="00137B37"/>
    <w:rsid w:val="001400B3"/>
    <w:rsid w:val="00140172"/>
    <w:rsid w:val="00140274"/>
    <w:rsid w:val="0014057A"/>
    <w:rsid w:val="001405E6"/>
    <w:rsid w:val="001408B0"/>
    <w:rsid w:val="00141016"/>
    <w:rsid w:val="00141033"/>
    <w:rsid w:val="00141371"/>
    <w:rsid w:val="001413D8"/>
    <w:rsid w:val="0014161F"/>
    <w:rsid w:val="00141A08"/>
    <w:rsid w:val="00141C86"/>
    <w:rsid w:val="00141D52"/>
    <w:rsid w:val="00141F28"/>
    <w:rsid w:val="0014290B"/>
    <w:rsid w:val="001429A8"/>
    <w:rsid w:val="00142B5B"/>
    <w:rsid w:val="00143E90"/>
    <w:rsid w:val="00143ED6"/>
    <w:rsid w:val="00144388"/>
    <w:rsid w:val="00144491"/>
    <w:rsid w:val="00144600"/>
    <w:rsid w:val="00144AE1"/>
    <w:rsid w:val="00144B53"/>
    <w:rsid w:val="00144F76"/>
    <w:rsid w:val="001452CF"/>
    <w:rsid w:val="00145485"/>
    <w:rsid w:val="00145961"/>
    <w:rsid w:val="00145FEC"/>
    <w:rsid w:val="00146280"/>
    <w:rsid w:val="00146512"/>
    <w:rsid w:val="0014651B"/>
    <w:rsid w:val="00146877"/>
    <w:rsid w:val="00146E4D"/>
    <w:rsid w:val="00147F19"/>
    <w:rsid w:val="001503F7"/>
    <w:rsid w:val="0015094F"/>
    <w:rsid w:val="0015098C"/>
    <w:rsid w:val="00151061"/>
    <w:rsid w:val="001510A2"/>
    <w:rsid w:val="00151263"/>
    <w:rsid w:val="00151357"/>
    <w:rsid w:val="00152268"/>
    <w:rsid w:val="0015239E"/>
    <w:rsid w:val="00152A8F"/>
    <w:rsid w:val="00152D7E"/>
    <w:rsid w:val="00153599"/>
    <w:rsid w:val="001545A0"/>
    <w:rsid w:val="00154B11"/>
    <w:rsid w:val="00155B37"/>
    <w:rsid w:val="001560CE"/>
    <w:rsid w:val="0015631F"/>
    <w:rsid w:val="00156817"/>
    <w:rsid w:val="00156A27"/>
    <w:rsid w:val="00157733"/>
    <w:rsid w:val="001578E5"/>
    <w:rsid w:val="0016012E"/>
    <w:rsid w:val="00160253"/>
    <w:rsid w:val="001608EA"/>
    <w:rsid w:val="00161659"/>
    <w:rsid w:val="00161857"/>
    <w:rsid w:val="00161903"/>
    <w:rsid w:val="00161F15"/>
    <w:rsid w:val="001622C5"/>
    <w:rsid w:val="0016266F"/>
    <w:rsid w:val="00162A8D"/>
    <w:rsid w:val="00162DF6"/>
    <w:rsid w:val="00163347"/>
    <w:rsid w:val="00163F66"/>
    <w:rsid w:val="001642BC"/>
    <w:rsid w:val="00164DEA"/>
    <w:rsid w:val="00164F03"/>
    <w:rsid w:val="00165BCF"/>
    <w:rsid w:val="00165E3C"/>
    <w:rsid w:val="0016622F"/>
    <w:rsid w:val="001664B0"/>
    <w:rsid w:val="0016670E"/>
    <w:rsid w:val="00166799"/>
    <w:rsid w:val="001668AC"/>
    <w:rsid w:val="001671AD"/>
    <w:rsid w:val="0017002A"/>
    <w:rsid w:val="001702E4"/>
    <w:rsid w:val="0017154B"/>
    <w:rsid w:val="001716E4"/>
    <w:rsid w:val="001719F5"/>
    <w:rsid w:val="0017261E"/>
    <w:rsid w:val="001728F0"/>
    <w:rsid w:val="00172D79"/>
    <w:rsid w:val="00172EF1"/>
    <w:rsid w:val="00173268"/>
    <w:rsid w:val="0017383D"/>
    <w:rsid w:val="00173868"/>
    <w:rsid w:val="00173B49"/>
    <w:rsid w:val="00173FB5"/>
    <w:rsid w:val="001740AE"/>
    <w:rsid w:val="0017440C"/>
    <w:rsid w:val="00174A54"/>
    <w:rsid w:val="00174B95"/>
    <w:rsid w:val="00174D9A"/>
    <w:rsid w:val="00175345"/>
    <w:rsid w:val="0017551D"/>
    <w:rsid w:val="0017575F"/>
    <w:rsid w:val="001757AE"/>
    <w:rsid w:val="00175896"/>
    <w:rsid w:val="00175A66"/>
    <w:rsid w:val="0017623E"/>
    <w:rsid w:val="0017643F"/>
    <w:rsid w:val="00176A07"/>
    <w:rsid w:val="00176CAB"/>
    <w:rsid w:val="00177396"/>
    <w:rsid w:val="001773A7"/>
    <w:rsid w:val="001773C3"/>
    <w:rsid w:val="001776E1"/>
    <w:rsid w:val="00180120"/>
    <w:rsid w:val="00180333"/>
    <w:rsid w:val="001804DA"/>
    <w:rsid w:val="00180549"/>
    <w:rsid w:val="00180F28"/>
    <w:rsid w:val="00180FEC"/>
    <w:rsid w:val="00181271"/>
    <w:rsid w:val="001816BF"/>
    <w:rsid w:val="00181EC8"/>
    <w:rsid w:val="0018220B"/>
    <w:rsid w:val="001827A1"/>
    <w:rsid w:val="00182EC2"/>
    <w:rsid w:val="0018353B"/>
    <w:rsid w:val="00183CE6"/>
    <w:rsid w:val="00183E2F"/>
    <w:rsid w:val="00184460"/>
    <w:rsid w:val="00185155"/>
    <w:rsid w:val="00185454"/>
    <w:rsid w:val="00186588"/>
    <w:rsid w:val="001865DE"/>
    <w:rsid w:val="00186FA7"/>
    <w:rsid w:val="001870A2"/>
    <w:rsid w:val="001901B5"/>
    <w:rsid w:val="00190745"/>
    <w:rsid w:val="00190C7C"/>
    <w:rsid w:val="0019122E"/>
    <w:rsid w:val="001912CD"/>
    <w:rsid w:val="00191A6D"/>
    <w:rsid w:val="00191B99"/>
    <w:rsid w:val="00192577"/>
    <w:rsid w:val="00193AE9"/>
    <w:rsid w:val="00193CC0"/>
    <w:rsid w:val="00193E9B"/>
    <w:rsid w:val="00194336"/>
    <w:rsid w:val="001944CD"/>
    <w:rsid w:val="00194935"/>
    <w:rsid w:val="001952FE"/>
    <w:rsid w:val="00195EDE"/>
    <w:rsid w:val="00196CF7"/>
    <w:rsid w:val="00196EED"/>
    <w:rsid w:val="00197495"/>
    <w:rsid w:val="001A0B30"/>
    <w:rsid w:val="001A0B72"/>
    <w:rsid w:val="001A115A"/>
    <w:rsid w:val="001A12A6"/>
    <w:rsid w:val="001A144A"/>
    <w:rsid w:val="001A1790"/>
    <w:rsid w:val="001A17E6"/>
    <w:rsid w:val="001A198E"/>
    <w:rsid w:val="001A22F2"/>
    <w:rsid w:val="001A2EE9"/>
    <w:rsid w:val="001A3B0D"/>
    <w:rsid w:val="001A3E47"/>
    <w:rsid w:val="001A429C"/>
    <w:rsid w:val="001A5568"/>
    <w:rsid w:val="001A563E"/>
    <w:rsid w:val="001A56BF"/>
    <w:rsid w:val="001A5CBA"/>
    <w:rsid w:val="001A7633"/>
    <w:rsid w:val="001A7B28"/>
    <w:rsid w:val="001B024B"/>
    <w:rsid w:val="001B0353"/>
    <w:rsid w:val="001B04E0"/>
    <w:rsid w:val="001B1291"/>
    <w:rsid w:val="001B1368"/>
    <w:rsid w:val="001B1556"/>
    <w:rsid w:val="001B1AAC"/>
    <w:rsid w:val="001B26CE"/>
    <w:rsid w:val="001B2B39"/>
    <w:rsid w:val="001B2DAD"/>
    <w:rsid w:val="001B309F"/>
    <w:rsid w:val="001B3BD6"/>
    <w:rsid w:val="001B478A"/>
    <w:rsid w:val="001B47B1"/>
    <w:rsid w:val="001B4B57"/>
    <w:rsid w:val="001B511C"/>
    <w:rsid w:val="001B577E"/>
    <w:rsid w:val="001B5DEE"/>
    <w:rsid w:val="001B5FC9"/>
    <w:rsid w:val="001B6044"/>
    <w:rsid w:val="001B70ED"/>
    <w:rsid w:val="001B732C"/>
    <w:rsid w:val="001B75F6"/>
    <w:rsid w:val="001C0037"/>
    <w:rsid w:val="001C02D9"/>
    <w:rsid w:val="001C02F8"/>
    <w:rsid w:val="001C04F6"/>
    <w:rsid w:val="001C1CFB"/>
    <w:rsid w:val="001C1E47"/>
    <w:rsid w:val="001C1F8B"/>
    <w:rsid w:val="001C204A"/>
    <w:rsid w:val="001C27E0"/>
    <w:rsid w:val="001C2801"/>
    <w:rsid w:val="001C331C"/>
    <w:rsid w:val="001C3F75"/>
    <w:rsid w:val="001C46C1"/>
    <w:rsid w:val="001C4854"/>
    <w:rsid w:val="001C493F"/>
    <w:rsid w:val="001C50EC"/>
    <w:rsid w:val="001C5195"/>
    <w:rsid w:val="001C5271"/>
    <w:rsid w:val="001C55E0"/>
    <w:rsid w:val="001C5717"/>
    <w:rsid w:val="001C6931"/>
    <w:rsid w:val="001C720F"/>
    <w:rsid w:val="001C764F"/>
    <w:rsid w:val="001C784D"/>
    <w:rsid w:val="001D02D9"/>
    <w:rsid w:val="001D03B6"/>
    <w:rsid w:val="001D05CC"/>
    <w:rsid w:val="001D0629"/>
    <w:rsid w:val="001D0858"/>
    <w:rsid w:val="001D122B"/>
    <w:rsid w:val="001D184F"/>
    <w:rsid w:val="001D1854"/>
    <w:rsid w:val="001D1B36"/>
    <w:rsid w:val="001D1C6E"/>
    <w:rsid w:val="001D2331"/>
    <w:rsid w:val="001D2964"/>
    <w:rsid w:val="001D2B7B"/>
    <w:rsid w:val="001D2CC0"/>
    <w:rsid w:val="001D2CE8"/>
    <w:rsid w:val="001D3384"/>
    <w:rsid w:val="001D34B8"/>
    <w:rsid w:val="001D3AAD"/>
    <w:rsid w:val="001D3EA1"/>
    <w:rsid w:val="001D44F7"/>
    <w:rsid w:val="001D49DA"/>
    <w:rsid w:val="001D4E1F"/>
    <w:rsid w:val="001D50A9"/>
    <w:rsid w:val="001D57E0"/>
    <w:rsid w:val="001D5A5F"/>
    <w:rsid w:val="001D5EC4"/>
    <w:rsid w:val="001D6673"/>
    <w:rsid w:val="001D673B"/>
    <w:rsid w:val="001D6984"/>
    <w:rsid w:val="001D71FD"/>
    <w:rsid w:val="001D77B8"/>
    <w:rsid w:val="001D7C9B"/>
    <w:rsid w:val="001D7EFD"/>
    <w:rsid w:val="001E0327"/>
    <w:rsid w:val="001E0CE3"/>
    <w:rsid w:val="001E0E70"/>
    <w:rsid w:val="001E134A"/>
    <w:rsid w:val="001E138F"/>
    <w:rsid w:val="001E1489"/>
    <w:rsid w:val="001E170C"/>
    <w:rsid w:val="001E1DE0"/>
    <w:rsid w:val="001E291F"/>
    <w:rsid w:val="001E2D12"/>
    <w:rsid w:val="001E328F"/>
    <w:rsid w:val="001E3E16"/>
    <w:rsid w:val="001E4170"/>
    <w:rsid w:val="001E44F4"/>
    <w:rsid w:val="001E481C"/>
    <w:rsid w:val="001E493E"/>
    <w:rsid w:val="001E5021"/>
    <w:rsid w:val="001E5326"/>
    <w:rsid w:val="001E5676"/>
    <w:rsid w:val="001E58CD"/>
    <w:rsid w:val="001E5B61"/>
    <w:rsid w:val="001E5C7F"/>
    <w:rsid w:val="001E5F5A"/>
    <w:rsid w:val="001E6206"/>
    <w:rsid w:val="001E621A"/>
    <w:rsid w:val="001E632B"/>
    <w:rsid w:val="001E66F4"/>
    <w:rsid w:val="001E69F8"/>
    <w:rsid w:val="001E6ACB"/>
    <w:rsid w:val="001E6BD3"/>
    <w:rsid w:val="001E6DCB"/>
    <w:rsid w:val="001E6F14"/>
    <w:rsid w:val="001E7B90"/>
    <w:rsid w:val="001F048B"/>
    <w:rsid w:val="001F05CA"/>
    <w:rsid w:val="001F1167"/>
    <w:rsid w:val="001F15D4"/>
    <w:rsid w:val="001F1793"/>
    <w:rsid w:val="001F1E82"/>
    <w:rsid w:val="001F2375"/>
    <w:rsid w:val="001F264D"/>
    <w:rsid w:val="001F2923"/>
    <w:rsid w:val="001F2BBB"/>
    <w:rsid w:val="001F2DE2"/>
    <w:rsid w:val="001F3507"/>
    <w:rsid w:val="001F35FA"/>
    <w:rsid w:val="001F3904"/>
    <w:rsid w:val="001F39E4"/>
    <w:rsid w:val="001F3CD5"/>
    <w:rsid w:val="001F3FB2"/>
    <w:rsid w:val="001F47FE"/>
    <w:rsid w:val="001F52FD"/>
    <w:rsid w:val="001F57DA"/>
    <w:rsid w:val="001F5858"/>
    <w:rsid w:val="001F62CC"/>
    <w:rsid w:val="001F62E8"/>
    <w:rsid w:val="001F6803"/>
    <w:rsid w:val="001F6BD5"/>
    <w:rsid w:val="001F6C13"/>
    <w:rsid w:val="001F77FD"/>
    <w:rsid w:val="001F7988"/>
    <w:rsid w:val="001F7B25"/>
    <w:rsid w:val="00200677"/>
    <w:rsid w:val="00200B97"/>
    <w:rsid w:val="002012F7"/>
    <w:rsid w:val="0020220E"/>
    <w:rsid w:val="0020226A"/>
    <w:rsid w:val="002027F6"/>
    <w:rsid w:val="00202978"/>
    <w:rsid w:val="00202A88"/>
    <w:rsid w:val="0020327D"/>
    <w:rsid w:val="00203299"/>
    <w:rsid w:val="00203584"/>
    <w:rsid w:val="002036F6"/>
    <w:rsid w:val="0020376E"/>
    <w:rsid w:val="00203986"/>
    <w:rsid w:val="00204128"/>
    <w:rsid w:val="0020423D"/>
    <w:rsid w:val="00204786"/>
    <w:rsid w:val="00204BD9"/>
    <w:rsid w:val="00204E95"/>
    <w:rsid w:val="00204FD5"/>
    <w:rsid w:val="00205834"/>
    <w:rsid w:val="00205C76"/>
    <w:rsid w:val="00206151"/>
    <w:rsid w:val="0020620F"/>
    <w:rsid w:val="002065BE"/>
    <w:rsid w:val="0020673F"/>
    <w:rsid w:val="002068EB"/>
    <w:rsid w:val="00206B2C"/>
    <w:rsid w:val="002073B3"/>
    <w:rsid w:val="00207751"/>
    <w:rsid w:val="002077DC"/>
    <w:rsid w:val="002078A1"/>
    <w:rsid w:val="00210023"/>
    <w:rsid w:val="0021061F"/>
    <w:rsid w:val="00210C43"/>
    <w:rsid w:val="00210FA6"/>
    <w:rsid w:val="00211DF2"/>
    <w:rsid w:val="002122A6"/>
    <w:rsid w:val="00212863"/>
    <w:rsid w:val="00212E69"/>
    <w:rsid w:val="00212F4E"/>
    <w:rsid w:val="00213BE6"/>
    <w:rsid w:val="00214B34"/>
    <w:rsid w:val="00214EF9"/>
    <w:rsid w:val="0021523F"/>
    <w:rsid w:val="0021579B"/>
    <w:rsid w:val="00215983"/>
    <w:rsid w:val="002166A5"/>
    <w:rsid w:val="00216A7F"/>
    <w:rsid w:val="0021776E"/>
    <w:rsid w:val="00220139"/>
    <w:rsid w:val="002201B8"/>
    <w:rsid w:val="002204AC"/>
    <w:rsid w:val="002205F8"/>
    <w:rsid w:val="002212E8"/>
    <w:rsid w:val="00221437"/>
    <w:rsid w:val="00221B48"/>
    <w:rsid w:val="00222453"/>
    <w:rsid w:val="0022299B"/>
    <w:rsid w:val="00223119"/>
    <w:rsid w:val="0022350F"/>
    <w:rsid w:val="002241C4"/>
    <w:rsid w:val="0022471C"/>
    <w:rsid w:val="00225299"/>
    <w:rsid w:val="00225EF5"/>
    <w:rsid w:val="00226019"/>
    <w:rsid w:val="00226BFA"/>
    <w:rsid w:val="00226CE4"/>
    <w:rsid w:val="002279C5"/>
    <w:rsid w:val="00227BC1"/>
    <w:rsid w:val="00230656"/>
    <w:rsid w:val="002308A6"/>
    <w:rsid w:val="0023161F"/>
    <w:rsid w:val="00231673"/>
    <w:rsid w:val="0023184B"/>
    <w:rsid w:val="00231A5F"/>
    <w:rsid w:val="00231ED1"/>
    <w:rsid w:val="00232155"/>
    <w:rsid w:val="0023262F"/>
    <w:rsid w:val="00232631"/>
    <w:rsid w:val="002335FA"/>
    <w:rsid w:val="00233604"/>
    <w:rsid w:val="00233F19"/>
    <w:rsid w:val="00234134"/>
    <w:rsid w:val="0023453D"/>
    <w:rsid w:val="002349CC"/>
    <w:rsid w:val="00234DDF"/>
    <w:rsid w:val="00234EE0"/>
    <w:rsid w:val="002353A2"/>
    <w:rsid w:val="00235995"/>
    <w:rsid w:val="002359D1"/>
    <w:rsid w:val="0023617F"/>
    <w:rsid w:val="002365FF"/>
    <w:rsid w:val="002367AE"/>
    <w:rsid w:val="002371EB"/>
    <w:rsid w:val="0023769B"/>
    <w:rsid w:val="00237D3C"/>
    <w:rsid w:val="0024010E"/>
    <w:rsid w:val="00240882"/>
    <w:rsid w:val="00240966"/>
    <w:rsid w:val="002409D9"/>
    <w:rsid w:val="0024110B"/>
    <w:rsid w:val="00241523"/>
    <w:rsid w:val="00241FCA"/>
    <w:rsid w:val="00242624"/>
    <w:rsid w:val="00242C3F"/>
    <w:rsid w:val="00243185"/>
    <w:rsid w:val="00243438"/>
    <w:rsid w:val="0024343E"/>
    <w:rsid w:val="00243769"/>
    <w:rsid w:val="00243BBE"/>
    <w:rsid w:val="00243E57"/>
    <w:rsid w:val="002445C3"/>
    <w:rsid w:val="00244737"/>
    <w:rsid w:val="00244BC8"/>
    <w:rsid w:val="00244C6E"/>
    <w:rsid w:val="00245119"/>
    <w:rsid w:val="0024536A"/>
    <w:rsid w:val="0024557E"/>
    <w:rsid w:val="00246404"/>
    <w:rsid w:val="00246538"/>
    <w:rsid w:val="002469CF"/>
    <w:rsid w:val="002471AB"/>
    <w:rsid w:val="002471FD"/>
    <w:rsid w:val="0024734B"/>
    <w:rsid w:val="002473AE"/>
    <w:rsid w:val="0024768E"/>
    <w:rsid w:val="002479FD"/>
    <w:rsid w:val="00247D3B"/>
    <w:rsid w:val="00247EF1"/>
    <w:rsid w:val="00250596"/>
    <w:rsid w:val="00250A37"/>
    <w:rsid w:val="00251F28"/>
    <w:rsid w:val="00251F2F"/>
    <w:rsid w:val="0025233B"/>
    <w:rsid w:val="002523A9"/>
    <w:rsid w:val="0025262D"/>
    <w:rsid w:val="00252D73"/>
    <w:rsid w:val="00252F40"/>
    <w:rsid w:val="002534F8"/>
    <w:rsid w:val="00253612"/>
    <w:rsid w:val="0025365B"/>
    <w:rsid w:val="00253AA4"/>
    <w:rsid w:val="00253E4C"/>
    <w:rsid w:val="00253FEA"/>
    <w:rsid w:val="00254E48"/>
    <w:rsid w:val="00254E6A"/>
    <w:rsid w:val="002551A5"/>
    <w:rsid w:val="002559C7"/>
    <w:rsid w:val="00255A1C"/>
    <w:rsid w:val="0025616A"/>
    <w:rsid w:val="00256ADA"/>
    <w:rsid w:val="00256CBB"/>
    <w:rsid w:val="002611F5"/>
    <w:rsid w:val="002614AC"/>
    <w:rsid w:val="00261694"/>
    <w:rsid w:val="00261D31"/>
    <w:rsid w:val="00262355"/>
    <w:rsid w:val="00262414"/>
    <w:rsid w:val="00262DF3"/>
    <w:rsid w:val="002632EA"/>
    <w:rsid w:val="00263339"/>
    <w:rsid w:val="00263CF8"/>
    <w:rsid w:val="00263D69"/>
    <w:rsid w:val="00264854"/>
    <w:rsid w:val="00264D49"/>
    <w:rsid w:val="00264F98"/>
    <w:rsid w:val="00265484"/>
    <w:rsid w:val="00265877"/>
    <w:rsid w:val="002670EF"/>
    <w:rsid w:val="00267A4C"/>
    <w:rsid w:val="0027046B"/>
    <w:rsid w:val="00270EF8"/>
    <w:rsid w:val="002716BC"/>
    <w:rsid w:val="002716CC"/>
    <w:rsid w:val="002717C6"/>
    <w:rsid w:val="0027191B"/>
    <w:rsid w:val="00272010"/>
    <w:rsid w:val="00272026"/>
    <w:rsid w:val="00272198"/>
    <w:rsid w:val="00272D9D"/>
    <w:rsid w:val="00272E5A"/>
    <w:rsid w:val="00273DCB"/>
    <w:rsid w:val="00274615"/>
    <w:rsid w:val="00274859"/>
    <w:rsid w:val="002753EE"/>
    <w:rsid w:val="00275608"/>
    <w:rsid w:val="00276250"/>
    <w:rsid w:val="00277C15"/>
    <w:rsid w:val="002800FB"/>
    <w:rsid w:val="002804A4"/>
    <w:rsid w:val="00280915"/>
    <w:rsid w:val="00280995"/>
    <w:rsid w:val="00280AEA"/>
    <w:rsid w:val="002818A5"/>
    <w:rsid w:val="00281C49"/>
    <w:rsid w:val="00282D68"/>
    <w:rsid w:val="002830EB"/>
    <w:rsid w:val="00283ABB"/>
    <w:rsid w:val="00283ACE"/>
    <w:rsid w:val="00284843"/>
    <w:rsid w:val="00284ABA"/>
    <w:rsid w:val="00284BD1"/>
    <w:rsid w:val="0028506A"/>
    <w:rsid w:val="00285091"/>
    <w:rsid w:val="002850B0"/>
    <w:rsid w:val="00285354"/>
    <w:rsid w:val="00285E23"/>
    <w:rsid w:val="00285EA1"/>
    <w:rsid w:val="00286094"/>
    <w:rsid w:val="002863D7"/>
    <w:rsid w:val="00286664"/>
    <w:rsid w:val="00286889"/>
    <w:rsid w:val="00286ADE"/>
    <w:rsid w:val="00287264"/>
    <w:rsid w:val="002873B4"/>
    <w:rsid w:val="0028775D"/>
    <w:rsid w:val="00287EF2"/>
    <w:rsid w:val="00287EFB"/>
    <w:rsid w:val="00287F28"/>
    <w:rsid w:val="002912EF"/>
    <w:rsid w:val="0029175E"/>
    <w:rsid w:val="0029180A"/>
    <w:rsid w:val="00291895"/>
    <w:rsid w:val="00291E1C"/>
    <w:rsid w:val="00292515"/>
    <w:rsid w:val="00292AB5"/>
    <w:rsid w:val="0029348A"/>
    <w:rsid w:val="00293590"/>
    <w:rsid w:val="002950A7"/>
    <w:rsid w:val="002950D8"/>
    <w:rsid w:val="00295242"/>
    <w:rsid w:val="00295BB1"/>
    <w:rsid w:val="00296066"/>
    <w:rsid w:val="002964A2"/>
    <w:rsid w:val="00296CAE"/>
    <w:rsid w:val="002A027B"/>
    <w:rsid w:val="002A0310"/>
    <w:rsid w:val="002A062F"/>
    <w:rsid w:val="002A0C21"/>
    <w:rsid w:val="002A0F0F"/>
    <w:rsid w:val="002A1292"/>
    <w:rsid w:val="002A12D9"/>
    <w:rsid w:val="002A15A4"/>
    <w:rsid w:val="002A1B76"/>
    <w:rsid w:val="002A24EA"/>
    <w:rsid w:val="002A25FA"/>
    <w:rsid w:val="002A2729"/>
    <w:rsid w:val="002A2B79"/>
    <w:rsid w:val="002A2D1A"/>
    <w:rsid w:val="002A2D83"/>
    <w:rsid w:val="002A2F50"/>
    <w:rsid w:val="002A35F6"/>
    <w:rsid w:val="002A38F4"/>
    <w:rsid w:val="002A3A36"/>
    <w:rsid w:val="002A3AC4"/>
    <w:rsid w:val="002A3AC9"/>
    <w:rsid w:val="002A3DE0"/>
    <w:rsid w:val="002A43C2"/>
    <w:rsid w:val="002A4422"/>
    <w:rsid w:val="002A4489"/>
    <w:rsid w:val="002A44F4"/>
    <w:rsid w:val="002A47C2"/>
    <w:rsid w:val="002A5631"/>
    <w:rsid w:val="002A5AA7"/>
    <w:rsid w:val="002A5B0F"/>
    <w:rsid w:val="002A5DD2"/>
    <w:rsid w:val="002A5E72"/>
    <w:rsid w:val="002A5F17"/>
    <w:rsid w:val="002A5FA3"/>
    <w:rsid w:val="002A60EA"/>
    <w:rsid w:val="002A64F5"/>
    <w:rsid w:val="002A6FAA"/>
    <w:rsid w:val="002A7CD8"/>
    <w:rsid w:val="002A7FC7"/>
    <w:rsid w:val="002B0317"/>
    <w:rsid w:val="002B0976"/>
    <w:rsid w:val="002B1B65"/>
    <w:rsid w:val="002B21AA"/>
    <w:rsid w:val="002B27B5"/>
    <w:rsid w:val="002B2898"/>
    <w:rsid w:val="002B2B0D"/>
    <w:rsid w:val="002B3084"/>
    <w:rsid w:val="002B338E"/>
    <w:rsid w:val="002B3F3A"/>
    <w:rsid w:val="002B4620"/>
    <w:rsid w:val="002B49C0"/>
    <w:rsid w:val="002B4EB9"/>
    <w:rsid w:val="002B5054"/>
    <w:rsid w:val="002B5730"/>
    <w:rsid w:val="002B5A78"/>
    <w:rsid w:val="002B64E7"/>
    <w:rsid w:val="002C008F"/>
    <w:rsid w:val="002C02DB"/>
    <w:rsid w:val="002C0312"/>
    <w:rsid w:val="002C0466"/>
    <w:rsid w:val="002C0B99"/>
    <w:rsid w:val="002C14F3"/>
    <w:rsid w:val="002C1866"/>
    <w:rsid w:val="002C2453"/>
    <w:rsid w:val="002C26F7"/>
    <w:rsid w:val="002C2C5B"/>
    <w:rsid w:val="002C44DE"/>
    <w:rsid w:val="002C4595"/>
    <w:rsid w:val="002C4664"/>
    <w:rsid w:val="002C526D"/>
    <w:rsid w:val="002C526E"/>
    <w:rsid w:val="002C5602"/>
    <w:rsid w:val="002C57DE"/>
    <w:rsid w:val="002C67DB"/>
    <w:rsid w:val="002C6D2C"/>
    <w:rsid w:val="002C70A0"/>
    <w:rsid w:val="002C7200"/>
    <w:rsid w:val="002C72CD"/>
    <w:rsid w:val="002C7668"/>
    <w:rsid w:val="002C7F1E"/>
    <w:rsid w:val="002D01F4"/>
    <w:rsid w:val="002D0557"/>
    <w:rsid w:val="002D0AD5"/>
    <w:rsid w:val="002D0F3D"/>
    <w:rsid w:val="002D19EA"/>
    <w:rsid w:val="002D24C2"/>
    <w:rsid w:val="002D287E"/>
    <w:rsid w:val="002D2D23"/>
    <w:rsid w:val="002D2D61"/>
    <w:rsid w:val="002D306E"/>
    <w:rsid w:val="002D3D34"/>
    <w:rsid w:val="002D407C"/>
    <w:rsid w:val="002D47B5"/>
    <w:rsid w:val="002D49CE"/>
    <w:rsid w:val="002D5040"/>
    <w:rsid w:val="002D5170"/>
    <w:rsid w:val="002D5EBB"/>
    <w:rsid w:val="002D6B97"/>
    <w:rsid w:val="002D6FB2"/>
    <w:rsid w:val="002D72FC"/>
    <w:rsid w:val="002D772A"/>
    <w:rsid w:val="002D77BF"/>
    <w:rsid w:val="002D7F3F"/>
    <w:rsid w:val="002E0508"/>
    <w:rsid w:val="002E282A"/>
    <w:rsid w:val="002E2B87"/>
    <w:rsid w:val="002E2ECF"/>
    <w:rsid w:val="002E3BA9"/>
    <w:rsid w:val="002E3CDC"/>
    <w:rsid w:val="002E40FA"/>
    <w:rsid w:val="002E4AE6"/>
    <w:rsid w:val="002E509C"/>
    <w:rsid w:val="002E5A1B"/>
    <w:rsid w:val="002E5AF9"/>
    <w:rsid w:val="002E6231"/>
    <w:rsid w:val="002E6238"/>
    <w:rsid w:val="002E6A3A"/>
    <w:rsid w:val="002E7507"/>
    <w:rsid w:val="002E7963"/>
    <w:rsid w:val="002E7E73"/>
    <w:rsid w:val="002F0428"/>
    <w:rsid w:val="002F0815"/>
    <w:rsid w:val="002F0D6E"/>
    <w:rsid w:val="002F0EE5"/>
    <w:rsid w:val="002F13DE"/>
    <w:rsid w:val="002F14CD"/>
    <w:rsid w:val="002F1E3E"/>
    <w:rsid w:val="002F276D"/>
    <w:rsid w:val="002F2B4E"/>
    <w:rsid w:val="002F3379"/>
    <w:rsid w:val="002F3CF7"/>
    <w:rsid w:val="002F4645"/>
    <w:rsid w:val="002F4CE1"/>
    <w:rsid w:val="002F50C4"/>
    <w:rsid w:val="002F55FE"/>
    <w:rsid w:val="002F57A1"/>
    <w:rsid w:val="002F5E2B"/>
    <w:rsid w:val="002F5E96"/>
    <w:rsid w:val="002F5F50"/>
    <w:rsid w:val="002F634A"/>
    <w:rsid w:val="002F6BE1"/>
    <w:rsid w:val="002F7764"/>
    <w:rsid w:val="002F7FB2"/>
    <w:rsid w:val="003003AD"/>
    <w:rsid w:val="003004D8"/>
    <w:rsid w:val="0030053D"/>
    <w:rsid w:val="00300893"/>
    <w:rsid w:val="00300D3D"/>
    <w:rsid w:val="00300F22"/>
    <w:rsid w:val="003010BD"/>
    <w:rsid w:val="0030136F"/>
    <w:rsid w:val="003013DF"/>
    <w:rsid w:val="00301468"/>
    <w:rsid w:val="00301485"/>
    <w:rsid w:val="0030285E"/>
    <w:rsid w:val="003028B0"/>
    <w:rsid w:val="00302971"/>
    <w:rsid w:val="00302A6E"/>
    <w:rsid w:val="00302AC9"/>
    <w:rsid w:val="00302F71"/>
    <w:rsid w:val="003035E6"/>
    <w:rsid w:val="00303689"/>
    <w:rsid w:val="00303793"/>
    <w:rsid w:val="00303E0D"/>
    <w:rsid w:val="00303F3F"/>
    <w:rsid w:val="00303F59"/>
    <w:rsid w:val="003040C8"/>
    <w:rsid w:val="0030412D"/>
    <w:rsid w:val="003041FA"/>
    <w:rsid w:val="0030465E"/>
    <w:rsid w:val="003048AB"/>
    <w:rsid w:val="00304A37"/>
    <w:rsid w:val="00304C84"/>
    <w:rsid w:val="00304DA5"/>
    <w:rsid w:val="00304EC5"/>
    <w:rsid w:val="003050F3"/>
    <w:rsid w:val="003060A7"/>
    <w:rsid w:val="003064F7"/>
    <w:rsid w:val="0030650A"/>
    <w:rsid w:val="003073FF"/>
    <w:rsid w:val="0030767D"/>
    <w:rsid w:val="00307E40"/>
    <w:rsid w:val="0031011F"/>
    <w:rsid w:val="003103CA"/>
    <w:rsid w:val="0031040E"/>
    <w:rsid w:val="0031073C"/>
    <w:rsid w:val="00310922"/>
    <w:rsid w:val="00310E22"/>
    <w:rsid w:val="00310ED4"/>
    <w:rsid w:val="00310FE2"/>
    <w:rsid w:val="00311047"/>
    <w:rsid w:val="003113D5"/>
    <w:rsid w:val="00311DA0"/>
    <w:rsid w:val="0031209B"/>
    <w:rsid w:val="00312301"/>
    <w:rsid w:val="0031305C"/>
    <w:rsid w:val="00313856"/>
    <w:rsid w:val="003139F2"/>
    <w:rsid w:val="00313DD2"/>
    <w:rsid w:val="003140EF"/>
    <w:rsid w:val="003147AA"/>
    <w:rsid w:val="0031492A"/>
    <w:rsid w:val="00314AC2"/>
    <w:rsid w:val="00314B1A"/>
    <w:rsid w:val="00314C11"/>
    <w:rsid w:val="00314DBA"/>
    <w:rsid w:val="00315344"/>
    <w:rsid w:val="0031556D"/>
    <w:rsid w:val="003159B0"/>
    <w:rsid w:val="00316550"/>
    <w:rsid w:val="0031669F"/>
    <w:rsid w:val="00316969"/>
    <w:rsid w:val="00316B63"/>
    <w:rsid w:val="00316C1A"/>
    <w:rsid w:val="0031712B"/>
    <w:rsid w:val="0031785B"/>
    <w:rsid w:val="00317E03"/>
    <w:rsid w:val="00317F51"/>
    <w:rsid w:val="00320009"/>
    <w:rsid w:val="0032000A"/>
    <w:rsid w:val="00320A3D"/>
    <w:rsid w:val="00320B9C"/>
    <w:rsid w:val="00320E56"/>
    <w:rsid w:val="003212EC"/>
    <w:rsid w:val="003217D9"/>
    <w:rsid w:val="00321E22"/>
    <w:rsid w:val="00322262"/>
    <w:rsid w:val="00322294"/>
    <w:rsid w:val="00322889"/>
    <w:rsid w:val="00322D4F"/>
    <w:rsid w:val="00322D7A"/>
    <w:rsid w:val="0032328E"/>
    <w:rsid w:val="00323533"/>
    <w:rsid w:val="00323B24"/>
    <w:rsid w:val="00323C2D"/>
    <w:rsid w:val="00323C55"/>
    <w:rsid w:val="00323C60"/>
    <w:rsid w:val="00323C73"/>
    <w:rsid w:val="00324729"/>
    <w:rsid w:val="00324738"/>
    <w:rsid w:val="00324ADC"/>
    <w:rsid w:val="00325185"/>
    <w:rsid w:val="00325529"/>
    <w:rsid w:val="00325634"/>
    <w:rsid w:val="00326243"/>
    <w:rsid w:val="00326C18"/>
    <w:rsid w:val="00326FA5"/>
    <w:rsid w:val="003272F8"/>
    <w:rsid w:val="0032793D"/>
    <w:rsid w:val="003300E6"/>
    <w:rsid w:val="0033067C"/>
    <w:rsid w:val="0033075E"/>
    <w:rsid w:val="00330DA1"/>
    <w:rsid w:val="00330E7F"/>
    <w:rsid w:val="00331141"/>
    <w:rsid w:val="0033162E"/>
    <w:rsid w:val="00331F7B"/>
    <w:rsid w:val="00332570"/>
    <w:rsid w:val="0033288E"/>
    <w:rsid w:val="00332A13"/>
    <w:rsid w:val="003330BF"/>
    <w:rsid w:val="00333590"/>
    <w:rsid w:val="00333ACF"/>
    <w:rsid w:val="00333DA9"/>
    <w:rsid w:val="00334907"/>
    <w:rsid w:val="00334C05"/>
    <w:rsid w:val="00334C1A"/>
    <w:rsid w:val="00334DCE"/>
    <w:rsid w:val="00335238"/>
    <w:rsid w:val="00335599"/>
    <w:rsid w:val="003357E2"/>
    <w:rsid w:val="00335A60"/>
    <w:rsid w:val="00336539"/>
    <w:rsid w:val="003365F4"/>
    <w:rsid w:val="003369F8"/>
    <w:rsid w:val="00336F00"/>
    <w:rsid w:val="00337D4A"/>
    <w:rsid w:val="00337DE4"/>
    <w:rsid w:val="0034013E"/>
    <w:rsid w:val="00340260"/>
    <w:rsid w:val="003407C3"/>
    <w:rsid w:val="003407CB"/>
    <w:rsid w:val="0034099A"/>
    <w:rsid w:val="0034110C"/>
    <w:rsid w:val="003417DE"/>
    <w:rsid w:val="00341AF2"/>
    <w:rsid w:val="003423F4"/>
    <w:rsid w:val="00342D7D"/>
    <w:rsid w:val="00342E90"/>
    <w:rsid w:val="003430D8"/>
    <w:rsid w:val="00343150"/>
    <w:rsid w:val="003437FD"/>
    <w:rsid w:val="00343E87"/>
    <w:rsid w:val="00344758"/>
    <w:rsid w:val="003448FA"/>
    <w:rsid w:val="0034510D"/>
    <w:rsid w:val="003451F9"/>
    <w:rsid w:val="003466AA"/>
    <w:rsid w:val="003469D4"/>
    <w:rsid w:val="00347142"/>
    <w:rsid w:val="0034756C"/>
    <w:rsid w:val="0034787D"/>
    <w:rsid w:val="00350003"/>
    <w:rsid w:val="003506E2"/>
    <w:rsid w:val="00350945"/>
    <w:rsid w:val="00350B4D"/>
    <w:rsid w:val="00350D1B"/>
    <w:rsid w:val="00350D42"/>
    <w:rsid w:val="00350E70"/>
    <w:rsid w:val="00350FAA"/>
    <w:rsid w:val="00351FE5"/>
    <w:rsid w:val="003521FC"/>
    <w:rsid w:val="00352714"/>
    <w:rsid w:val="0035272D"/>
    <w:rsid w:val="003529F0"/>
    <w:rsid w:val="00352CAF"/>
    <w:rsid w:val="00352DA9"/>
    <w:rsid w:val="00352E78"/>
    <w:rsid w:val="003533F7"/>
    <w:rsid w:val="0035379A"/>
    <w:rsid w:val="00353E89"/>
    <w:rsid w:val="0035410A"/>
    <w:rsid w:val="0035453C"/>
    <w:rsid w:val="00354FC0"/>
    <w:rsid w:val="00355B03"/>
    <w:rsid w:val="00355C62"/>
    <w:rsid w:val="003561B1"/>
    <w:rsid w:val="003562D1"/>
    <w:rsid w:val="003565A8"/>
    <w:rsid w:val="003566EA"/>
    <w:rsid w:val="003567ED"/>
    <w:rsid w:val="00356B97"/>
    <w:rsid w:val="00356EA0"/>
    <w:rsid w:val="0035702E"/>
    <w:rsid w:val="003572A8"/>
    <w:rsid w:val="00357C7C"/>
    <w:rsid w:val="00361072"/>
    <w:rsid w:val="003614F4"/>
    <w:rsid w:val="003621F4"/>
    <w:rsid w:val="00362F82"/>
    <w:rsid w:val="00363331"/>
    <w:rsid w:val="003637C7"/>
    <w:rsid w:val="003639A0"/>
    <w:rsid w:val="00363E35"/>
    <w:rsid w:val="00364E02"/>
    <w:rsid w:val="00364E13"/>
    <w:rsid w:val="00364E1A"/>
    <w:rsid w:val="0036511F"/>
    <w:rsid w:val="00365311"/>
    <w:rsid w:val="0036597C"/>
    <w:rsid w:val="00365A42"/>
    <w:rsid w:val="00365F65"/>
    <w:rsid w:val="003669F9"/>
    <w:rsid w:val="00366DF4"/>
    <w:rsid w:val="00370431"/>
    <w:rsid w:val="00370E9F"/>
    <w:rsid w:val="0037109C"/>
    <w:rsid w:val="0037186B"/>
    <w:rsid w:val="00372424"/>
    <w:rsid w:val="0037299B"/>
    <w:rsid w:val="003729A5"/>
    <w:rsid w:val="00372C1D"/>
    <w:rsid w:val="00372C79"/>
    <w:rsid w:val="003739BE"/>
    <w:rsid w:val="003739CD"/>
    <w:rsid w:val="00373B2A"/>
    <w:rsid w:val="003742C3"/>
    <w:rsid w:val="0037458E"/>
    <w:rsid w:val="00374740"/>
    <w:rsid w:val="00375507"/>
    <w:rsid w:val="00375F2A"/>
    <w:rsid w:val="0037646D"/>
    <w:rsid w:val="003764BA"/>
    <w:rsid w:val="003764EB"/>
    <w:rsid w:val="00376525"/>
    <w:rsid w:val="003774C4"/>
    <w:rsid w:val="00377540"/>
    <w:rsid w:val="003778C2"/>
    <w:rsid w:val="00380399"/>
    <w:rsid w:val="003805DA"/>
    <w:rsid w:val="00380E49"/>
    <w:rsid w:val="003812F2"/>
    <w:rsid w:val="0038135D"/>
    <w:rsid w:val="003813DD"/>
    <w:rsid w:val="003815A9"/>
    <w:rsid w:val="00381A50"/>
    <w:rsid w:val="00381A9B"/>
    <w:rsid w:val="0038267C"/>
    <w:rsid w:val="00382976"/>
    <w:rsid w:val="00382C54"/>
    <w:rsid w:val="00382F0F"/>
    <w:rsid w:val="003830A0"/>
    <w:rsid w:val="0038311E"/>
    <w:rsid w:val="0038398A"/>
    <w:rsid w:val="00383ACB"/>
    <w:rsid w:val="003840C7"/>
    <w:rsid w:val="00384508"/>
    <w:rsid w:val="00384D68"/>
    <w:rsid w:val="00385536"/>
    <w:rsid w:val="003855A0"/>
    <w:rsid w:val="0038594E"/>
    <w:rsid w:val="00385D82"/>
    <w:rsid w:val="00386060"/>
    <w:rsid w:val="00386126"/>
    <w:rsid w:val="0038636D"/>
    <w:rsid w:val="003863DC"/>
    <w:rsid w:val="00386C4C"/>
    <w:rsid w:val="00386EE7"/>
    <w:rsid w:val="00386FF0"/>
    <w:rsid w:val="00387AC7"/>
    <w:rsid w:val="00390469"/>
    <w:rsid w:val="003904AD"/>
    <w:rsid w:val="00390A56"/>
    <w:rsid w:val="00391139"/>
    <w:rsid w:val="00391180"/>
    <w:rsid w:val="003915A1"/>
    <w:rsid w:val="0039247E"/>
    <w:rsid w:val="00392728"/>
    <w:rsid w:val="0039291A"/>
    <w:rsid w:val="00392CDB"/>
    <w:rsid w:val="00393B89"/>
    <w:rsid w:val="00393C0F"/>
    <w:rsid w:val="00393D53"/>
    <w:rsid w:val="0039422E"/>
    <w:rsid w:val="00394254"/>
    <w:rsid w:val="00395807"/>
    <w:rsid w:val="00395E98"/>
    <w:rsid w:val="00396206"/>
    <w:rsid w:val="003967F1"/>
    <w:rsid w:val="00397303"/>
    <w:rsid w:val="0039735A"/>
    <w:rsid w:val="00397809"/>
    <w:rsid w:val="00397820"/>
    <w:rsid w:val="00397ABF"/>
    <w:rsid w:val="003A029E"/>
    <w:rsid w:val="003A108A"/>
    <w:rsid w:val="003A12D2"/>
    <w:rsid w:val="003A1459"/>
    <w:rsid w:val="003A1473"/>
    <w:rsid w:val="003A14A8"/>
    <w:rsid w:val="003A168E"/>
    <w:rsid w:val="003A16E0"/>
    <w:rsid w:val="003A1CED"/>
    <w:rsid w:val="003A1FDD"/>
    <w:rsid w:val="003A200B"/>
    <w:rsid w:val="003A3901"/>
    <w:rsid w:val="003A3C21"/>
    <w:rsid w:val="003A3EFF"/>
    <w:rsid w:val="003A4328"/>
    <w:rsid w:val="003A48B7"/>
    <w:rsid w:val="003A6035"/>
    <w:rsid w:val="003A6099"/>
    <w:rsid w:val="003B0001"/>
    <w:rsid w:val="003B01BF"/>
    <w:rsid w:val="003B0540"/>
    <w:rsid w:val="003B101A"/>
    <w:rsid w:val="003B15FF"/>
    <w:rsid w:val="003B17E4"/>
    <w:rsid w:val="003B1957"/>
    <w:rsid w:val="003B21EE"/>
    <w:rsid w:val="003B2672"/>
    <w:rsid w:val="003B2F9D"/>
    <w:rsid w:val="003B3440"/>
    <w:rsid w:val="003B38ED"/>
    <w:rsid w:val="003B3B51"/>
    <w:rsid w:val="003B3D87"/>
    <w:rsid w:val="003B3E94"/>
    <w:rsid w:val="003B4355"/>
    <w:rsid w:val="003B4E90"/>
    <w:rsid w:val="003B5354"/>
    <w:rsid w:val="003B53D4"/>
    <w:rsid w:val="003B55C7"/>
    <w:rsid w:val="003B5606"/>
    <w:rsid w:val="003B5933"/>
    <w:rsid w:val="003B5CB0"/>
    <w:rsid w:val="003B5DE3"/>
    <w:rsid w:val="003B5F5D"/>
    <w:rsid w:val="003B646B"/>
    <w:rsid w:val="003B6516"/>
    <w:rsid w:val="003B65AB"/>
    <w:rsid w:val="003B67A4"/>
    <w:rsid w:val="003B6869"/>
    <w:rsid w:val="003B694C"/>
    <w:rsid w:val="003B6CF3"/>
    <w:rsid w:val="003B6D1C"/>
    <w:rsid w:val="003B6D6B"/>
    <w:rsid w:val="003B6E82"/>
    <w:rsid w:val="003B726C"/>
    <w:rsid w:val="003C0002"/>
    <w:rsid w:val="003C00B9"/>
    <w:rsid w:val="003C04AD"/>
    <w:rsid w:val="003C0543"/>
    <w:rsid w:val="003C05AA"/>
    <w:rsid w:val="003C0F98"/>
    <w:rsid w:val="003C1658"/>
    <w:rsid w:val="003C1784"/>
    <w:rsid w:val="003C19AA"/>
    <w:rsid w:val="003C1CE0"/>
    <w:rsid w:val="003C1DF4"/>
    <w:rsid w:val="003C21EC"/>
    <w:rsid w:val="003C24DC"/>
    <w:rsid w:val="003C2886"/>
    <w:rsid w:val="003C2935"/>
    <w:rsid w:val="003C2AE8"/>
    <w:rsid w:val="003C2BD0"/>
    <w:rsid w:val="003C336B"/>
    <w:rsid w:val="003C3757"/>
    <w:rsid w:val="003C3B40"/>
    <w:rsid w:val="003C4E96"/>
    <w:rsid w:val="003C5072"/>
    <w:rsid w:val="003C5E42"/>
    <w:rsid w:val="003C63DA"/>
    <w:rsid w:val="003C66CC"/>
    <w:rsid w:val="003C6CF5"/>
    <w:rsid w:val="003C7479"/>
    <w:rsid w:val="003C7776"/>
    <w:rsid w:val="003C7E30"/>
    <w:rsid w:val="003D18E8"/>
    <w:rsid w:val="003D1913"/>
    <w:rsid w:val="003D1BA2"/>
    <w:rsid w:val="003D280D"/>
    <w:rsid w:val="003D296C"/>
    <w:rsid w:val="003D2B5B"/>
    <w:rsid w:val="003D3207"/>
    <w:rsid w:val="003D331F"/>
    <w:rsid w:val="003D3381"/>
    <w:rsid w:val="003D392D"/>
    <w:rsid w:val="003D40BE"/>
    <w:rsid w:val="003D42A4"/>
    <w:rsid w:val="003D483D"/>
    <w:rsid w:val="003D4D11"/>
    <w:rsid w:val="003D54F4"/>
    <w:rsid w:val="003D741A"/>
    <w:rsid w:val="003D7A0C"/>
    <w:rsid w:val="003E0469"/>
    <w:rsid w:val="003E0839"/>
    <w:rsid w:val="003E0954"/>
    <w:rsid w:val="003E13AA"/>
    <w:rsid w:val="003E14BE"/>
    <w:rsid w:val="003E1670"/>
    <w:rsid w:val="003E18B3"/>
    <w:rsid w:val="003E1A67"/>
    <w:rsid w:val="003E2E72"/>
    <w:rsid w:val="003E32F7"/>
    <w:rsid w:val="003E338D"/>
    <w:rsid w:val="003E35E4"/>
    <w:rsid w:val="003E3918"/>
    <w:rsid w:val="003E3F4D"/>
    <w:rsid w:val="003E482C"/>
    <w:rsid w:val="003E484B"/>
    <w:rsid w:val="003E4A94"/>
    <w:rsid w:val="003E4BF2"/>
    <w:rsid w:val="003E5146"/>
    <w:rsid w:val="003E5289"/>
    <w:rsid w:val="003E5DEF"/>
    <w:rsid w:val="003E66A0"/>
    <w:rsid w:val="003E67A6"/>
    <w:rsid w:val="003E6AFB"/>
    <w:rsid w:val="003E6C4A"/>
    <w:rsid w:val="003E6C73"/>
    <w:rsid w:val="003E74AE"/>
    <w:rsid w:val="003E75BD"/>
    <w:rsid w:val="003E7C32"/>
    <w:rsid w:val="003F027F"/>
    <w:rsid w:val="003F04B9"/>
    <w:rsid w:val="003F111A"/>
    <w:rsid w:val="003F1163"/>
    <w:rsid w:val="003F12BB"/>
    <w:rsid w:val="003F14DD"/>
    <w:rsid w:val="003F1723"/>
    <w:rsid w:val="003F2950"/>
    <w:rsid w:val="003F2D94"/>
    <w:rsid w:val="003F3285"/>
    <w:rsid w:val="003F3387"/>
    <w:rsid w:val="003F3512"/>
    <w:rsid w:val="003F37A4"/>
    <w:rsid w:val="003F4116"/>
    <w:rsid w:val="003F4485"/>
    <w:rsid w:val="003F449E"/>
    <w:rsid w:val="003F44FF"/>
    <w:rsid w:val="003F488F"/>
    <w:rsid w:val="003F4F4B"/>
    <w:rsid w:val="003F5FDB"/>
    <w:rsid w:val="003F611E"/>
    <w:rsid w:val="003F64D8"/>
    <w:rsid w:val="003F68FF"/>
    <w:rsid w:val="003F7743"/>
    <w:rsid w:val="003F7967"/>
    <w:rsid w:val="003F7A97"/>
    <w:rsid w:val="004003DD"/>
    <w:rsid w:val="00400C14"/>
    <w:rsid w:val="00400CE5"/>
    <w:rsid w:val="00400E88"/>
    <w:rsid w:val="00401236"/>
    <w:rsid w:val="00401355"/>
    <w:rsid w:val="00401847"/>
    <w:rsid w:val="00401C04"/>
    <w:rsid w:val="00401F64"/>
    <w:rsid w:val="00402A61"/>
    <w:rsid w:val="00402B1E"/>
    <w:rsid w:val="00402D00"/>
    <w:rsid w:val="00402D03"/>
    <w:rsid w:val="00402FE1"/>
    <w:rsid w:val="0040497E"/>
    <w:rsid w:val="00404C26"/>
    <w:rsid w:val="0040507B"/>
    <w:rsid w:val="00405556"/>
    <w:rsid w:val="00406070"/>
    <w:rsid w:val="00406394"/>
    <w:rsid w:val="00406F90"/>
    <w:rsid w:val="00407217"/>
    <w:rsid w:val="004073DA"/>
    <w:rsid w:val="00407595"/>
    <w:rsid w:val="00407AA2"/>
    <w:rsid w:val="004105B4"/>
    <w:rsid w:val="00410784"/>
    <w:rsid w:val="0041096F"/>
    <w:rsid w:val="004111D4"/>
    <w:rsid w:val="00411868"/>
    <w:rsid w:val="00411F51"/>
    <w:rsid w:val="004126BF"/>
    <w:rsid w:val="004129D6"/>
    <w:rsid w:val="004129E4"/>
    <w:rsid w:val="0041318D"/>
    <w:rsid w:val="00413672"/>
    <w:rsid w:val="00413CC9"/>
    <w:rsid w:val="0041413E"/>
    <w:rsid w:val="0041438B"/>
    <w:rsid w:val="00415623"/>
    <w:rsid w:val="0041662F"/>
    <w:rsid w:val="00416C91"/>
    <w:rsid w:val="00417A4B"/>
    <w:rsid w:val="00420027"/>
    <w:rsid w:val="0042042C"/>
    <w:rsid w:val="004209D7"/>
    <w:rsid w:val="004211AD"/>
    <w:rsid w:val="004212B0"/>
    <w:rsid w:val="00421653"/>
    <w:rsid w:val="004218BB"/>
    <w:rsid w:val="00421923"/>
    <w:rsid w:val="004221E9"/>
    <w:rsid w:val="00422417"/>
    <w:rsid w:val="004224B5"/>
    <w:rsid w:val="00422D48"/>
    <w:rsid w:val="00423DD1"/>
    <w:rsid w:val="0042416D"/>
    <w:rsid w:val="00424233"/>
    <w:rsid w:val="004243F6"/>
    <w:rsid w:val="0042475B"/>
    <w:rsid w:val="00424F72"/>
    <w:rsid w:val="004255F8"/>
    <w:rsid w:val="0042752D"/>
    <w:rsid w:val="0042760E"/>
    <w:rsid w:val="00427E3C"/>
    <w:rsid w:val="00427F66"/>
    <w:rsid w:val="00431988"/>
    <w:rsid w:val="00431BE2"/>
    <w:rsid w:val="00431E55"/>
    <w:rsid w:val="00432A54"/>
    <w:rsid w:val="00432DE1"/>
    <w:rsid w:val="00433B7E"/>
    <w:rsid w:val="004345C3"/>
    <w:rsid w:val="00434D08"/>
    <w:rsid w:val="004358B1"/>
    <w:rsid w:val="00435B77"/>
    <w:rsid w:val="00435BC7"/>
    <w:rsid w:val="00435FC0"/>
    <w:rsid w:val="0043657E"/>
    <w:rsid w:val="004366BE"/>
    <w:rsid w:val="0043691A"/>
    <w:rsid w:val="00436E3E"/>
    <w:rsid w:val="00437464"/>
    <w:rsid w:val="00437855"/>
    <w:rsid w:val="00437894"/>
    <w:rsid w:val="004379BD"/>
    <w:rsid w:val="00437BA9"/>
    <w:rsid w:val="00437E87"/>
    <w:rsid w:val="00440B77"/>
    <w:rsid w:val="004410E1"/>
    <w:rsid w:val="004411E2"/>
    <w:rsid w:val="004421AA"/>
    <w:rsid w:val="004422A6"/>
    <w:rsid w:val="004424BB"/>
    <w:rsid w:val="004426FD"/>
    <w:rsid w:val="00442723"/>
    <w:rsid w:val="00442895"/>
    <w:rsid w:val="00442D15"/>
    <w:rsid w:val="004433A5"/>
    <w:rsid w:val="0044347B"/>
    <w:rsid w:val="004437C1"/>
    <w:rsid w:val="0044380F"/>
    <w:rsid w:val="00443D34"/>
    <w:rsid w:val="004444CD"/>
    <w:rsid w:val="004452CC"/>
    <w:rsid w:val="00445325"/>
    <w:rsid w:val="00445B3E"/>
    <w:rsid w:val="00445CB5"/>
    <w:rsid w:val="00445DE9"/>
    <w:rsid w:val="00446B58"/>
    <w:rsid w:val="00446BAD"/>
    <w:rsid w:val="00446CD8"/>
    <w:rsid w:val="00450D08"/>
    <w:rsid w:val="00450E26"/>
    <w:rsid w:val="00452E2C"/>
    <w:rsid w:val="00453157"/>
    <w:rsid w:val="00454427"/>
    <w:rsid w:val="004544D2"/>
    <w:rsid w:val="004546DA"/>
    <w:rsid w:val="004546F2"/>
    <w:rsid w:val="00454A96"/>
    <w:rsid w:val="00454E39"/>
    <w:rsid w:val="00455520"/>
    <w:rsid w:val="00455A5D"/>
    <w:rsid w:val="00456239"/>
    <w:rsid w:val="00456705"/>
    <w:rsid w:val="00457E50"/>
    <w:rsid w:val="00460B81"/>
    <w:rsid w:val="00460CBA"/>
    <w:rsid w:val="00460EE0"/>
    <w:rsid w:val="004618FA"/>
    <w:rsid w:val="004619E3"/>
    <w:rsid w:val="0046240E"/>
    <w:rsid w:val="00462601"/>
    <w:rsid w:val="004627E9"/>
    <w:rsid w:val="00462D9C"/>
    <w:rsid w:val="0046339E"/>
    <w:rsid w:val="00463605"/>
    <w:rsid w:val="00463B42"/>
    <w:rsid w:val="00464569"/>
    <w:rsid w:val="00464584"/>
    <w:rsid w:val="004645D3"/>
    <w:rsid w:val="00464762"/>
    <w:rsid w:val="00464856"/>
    <w:rsid w:val="00464EA3"/>
    <w:rsid w:val="0046523F"/>
    <w:rsid w:val="004659F2"/>
    <w:rsid w:val="00465BE6"/>
    <w:rsid w:val="00465D6B"/>
    <w:rsid w:val="00466123"/>
    <w:rsid w:val="004661B3"/>
    <w:rsid w:val="004664CF"/>
    <w:rsid w:val="00466FEE"/>
    <w:rsid w:val="0047068F"/>
    <w:rsid w:val="0047072A"/>
    <w:rsid w:val="0047085D"/>
    <w:rsid w:val="0047086C"/>
    <w:rsid w:val="00470ECF"/>
    <w:rsid w:val="004711AB"/>
    <w:rsid w:val="004711D8"/>
    <w:rsid w:val="0047128D"/>
    <w:rsid w:val="004712FB"/>
    <w:rsid w:val="0047138B"/>
    <w:rsid w:val="00471624"/>
    <w:rsid w:val="00471BB7"/>
    <w:rsid w:val="00471C34"/>
    <w:rsid w:val="004724CC"/>
    <w:rsid w:val="00472762"/>
    <w:rsid w:val="00472795"/>
    <w:rsid w:val="00472C57"/>
    <w:rsid w:val="00472DAE"/>
    <w:rsid w:val="00472EFF"/>
    <w:rsid w:val="00472F77"/>
    <w:rsid w:val="004734FA"/>
    <w:rsid w:val="00473800"/>
    <w:rsid w:val="0047398F"/>
    <w:rsid w:val="00473C2E"/>
    <w:rsid w:val="00474063"/>
    <w:rsid w:val="0047423F"/>
    <w:rsid w:val="004753D4"/>
    <w:rsid w:val="00475DF2"/>
    <w:rsid w:val="00476793"/>
    <w:rsid w:val="004767F4"/>
    <w:rsid w:val="0047723D"/>
    <w:rsid w:val="00477292"/>
    <w:rsid w:val="00477634"/>
    <w:rsid w:val="004804B7"/>
    <w:rsid w:val="00480B60"/>
    <w:rsid w:val="00480FFF"/>
    <w:rsid w:val="0048175A"/>
    <w:rsid w:val="00481B2A"/>
    <w:rsid w:val="00482091"/>
    <w:rsid w:val="00482B8A"/>
    <w:rsid w:val="00482BB5"/>
    <w:rsid w:val="00482FCD"/>
    <w:rsid w:val="00483A58"/>
    <w:rsid w:val="00483F35"/>
    <w:rsid w:val="0048416D"/>
    <w:rsid w:val="00484581"/>
    <w:rsid w:val="0048494B"/>
    <w:rsid w:val="00485135"/>
    <w:rsid w:val="004854FE"/>
    <w:rsid w:val="0048551E"/>
    <w:rsid w:val="00486042"/>
    <w:rsid w:val="0048611E"/>
    <w:rsid w:val="004869C6"/>
    <w:rsid w:val="00487802"/>
    <w:rsid w:val="00487B05"/>
    <w:rsid w:val="00492A9F"/>
    <w:rsid w:val="00492B93"/>
    <w:rsid w:val="00492CF6"/>
    <w:rsid w:val="0049311B"/>
    <w:rsid w:val="00493629"/>
    <w:rsid w:val="004937A2"/>
    <w:rsid w:val="00493A30"/>
    <w:rsid w:val="004940D9"/>
    <w:rsid w:val="004947C1"/>
    <w:rsid w:val="00494845"/>
    <w:rsid w:val="0049484B"/>
    <w:rsid w:val="004950E0"/>
    <w:rsid w:val="00495350"/>
    <w:rsid w:val="00495D56"/>
    <w:rsid w:val="004973CD"/>
    <w:rsid w:val="0049756A"/>
    <w:rsid w:val="004A00ED"/>
    <w:rsid w:val="004A016E"/>
    <w:rsid w:val="004A027F"/>
    <w:rsid w:val="004A05FF"/>
    <w:rsid w:val="004A07DF"/>
    <w:rsid w:val="004A094E"/>
    <w:rsid w:val="004A0A2F"/>
    <w:rsid w:val="004A0C63"/>
    <w:rsid w:val="004A131E"/>
    <w:rsid w:val="004A187B"/>
    <w:rsid w:val="004A1F4D"/>
    <w:rsid w:val="004A2094"/>
    <w:rsid w:val="004A25F8"/>
    <w:rsid w:val="004A261C"/>
    <w:rsid w:val="004A29A7"/>
    <w:rsid w:val="004A2D33"/>
    <w:rsid w:val="004A2D3C"/>
    <w:rsid w:val="004A324A"/>
    <w:rsid w:val="004A33E0"/>
    <w:rsid w:val="004A351F"/>
    <w:rsid w:val="004A3630"/>
    <w:rsid w:val="004A3739"/>
    <w:rsid w:val="004A3AE3"/>
    <w:rsid w:val="004A4091"/>
    <w:rsid w:val="004A43FC"/>
    <w:rsid w:val="004A4595"/>
    <w:rsid w:val="004A4A14"/>
    <w:rsid w:val="004A4D53"/>
    <w:rsid w:val="004A5CE3"/>
    <w:rsid w:val="004A6837"/>
    <w:rsid w:val="004A6A44"/>
    <w:rsid w:val="004A6A88"/>
    <w:rsid w:val="004A6EE0"/>
    <w:rsid w:val="004A77D5"/>
    <w:rsid w:val="004A7AA9"/>
    <w:rsid w:val="004B0728"/>
    <w:rsid w:val="004B096A"/>
    <w:rsid w:val="004B13B6"/>
    <w:rsid w:val="004B14A5"/>
    <w:rsid w:val="004B15CF"/>
    <w:rsid w:val="004B168E"/>
    <w:rsid w:val="004B19C8"/>
    <w:rsid w:val="004B1C50"/>
    <w:rsid w:val="004B1DD8"/>
    <w:rsid w:val="004B2BBE"/>
    <w:rsid w:val="004B2D23"/>
    <w:rsid w:val="004B2EAC"/>
    <w:rsid w:val="004B30D2"/>
    <w:rsid w:val="004B34D9"/>
    <w:rsid w:val="004B39BE"/>
    <w:rsid w:val="004B3F3A"/>
    <w:rsid w:val="004B3F60"/>
    <w:rsid w:val="004B6550"/>
    <w:rsid w:val="004B6807"/>
    <w:rsid w:val="004B68A5"/>
    <w:rsid w:val="004B68D4"/>
    <w:rsid w:val="004B6F97"/>
    <w:rsid w:val="004B6FAC"/>
    <w:rsid w:val="004B71B8"/>
    <w:rsid w:val="004C038C"/>
    <w:rsid w:val="004C0532"/>
    <w:rsid w:val="004C1282"/>
    <w:rsid w:val="004C132B"/>
    <w:rsid w:val="004C1582"/>
    <w:rsid w:val="004C1670"/>
    <w:rsid w:val="004C1E94"/>
    <w:rsid w:val="004C215A"/>
    <w:rsid w:val="004C22E2"/>
    <w:rsid w:val="004C2751"/>
    <w:rsid w:val="004C3642"/>
    <w:rsid w:val="004C43DC"/>
    <w:rsid w:val="004C4C87"/>
    <w:rsid w:val="004C4FB8"/>
    <w:rsid w:val="004C5AC8"/>
    <w:rsid w:val="004C5EBC"/>
    <w:rsid w:val="004C614A"/>
    <w:rsid w:val="004C6155"/>
    <w:rsid w:val="004C61FE"/>
    <w:rsid w:val="004C6242"/>
    <w:rsid w:val="004C627D"/>
    <w:rsid w:val="004C6508"/>
    <w:rsid w:val="004C66B9"/>
    <w:rsid w:val="004C6EAA"/>
    <w:rsid w:val="004C7391"/>
    <w:rsid w:val="004C7412"/>
    <w:rsid w:val="004D0151"/>
    <w:rsid w:val="004D04BF"/>
    <w:rsid w:val="004D09FC"/>
    <w:rsid w:val="004D1298"/>
    <w:rsid w:val="004D189B"/>
    <w:rsid w:val="004D1A80"/>
    <w:rsid w:val="004D1D17"/>
    <w:rsid w:val="004D2521"/>
    <w:rsid w:val="004D3646"/>
    <w:rsid w:val="004D3AC6"/>
    <w:rsid w:val="004D466F"/>
    <w:rsid w:val="004D47FA"/>
    <w:rsid w:val="004D4A88"/>
    <w:rsid w:val="004D4C68"/>
    <w:rsid w:val="004D5489"/>
    <w:rsid w:val="004D5941"/>
    <w:rsid w:val="004D5CBE"/>
    <w:rsid w:val="004D5FA3"/>
    <w:rsid w:val="004D602D"/>
    <w:rsid w:val="004D6320"/>
    <w:rsid w:val="004D74D1"/>
    <w:rsid w:val="004D74E3"/>
    <w:rsid w:val="004D76F5"/>
    <w:rsid w:val="004D79D3"/>
    <w:rsid w:val="004E020D"/>
    <w:rsid w:val="004E03D9"/>
    <w:rsid w:val="004E06B7"/>
    <w:rsid w:val="004E06EE"/>
    <w:rsid w:val="004E0C1D"/>
    <w:rsid w:val="004E0DFF"/>
    <w:rsid w:val="004E1093"/>
    <w:rsid w:val="004E16B8"/>
    <w:rsid w:val="004E2271"/>
    <w:rsid w:val="004E25F8"/>
    <w:rsid w:val="004E3539"/>
    <w:rsid w:val="004E35BC"/>
    <w:rsid w:val="004E36A3"/>
    <w:rsid w:val="004E3B43"/>
    <w:rsid w:val="004E3C6B"/>
    <w:rsid w:val="004E407E"/>
    <w:rsid w:val="004E4A26"/>
    <w:rsid w:val="004E511C"/>
    <w:rsid w:val="004E5148"/>
    <w:rsid w:val="004E587F"/>
    <w:rsid w:val="004E5A5C"/>
    <w:rsid w:val="004E5BB0"/>
    <w:rsid w:val="004E6120"/>
    <w:rsid w:val="004E6201"/>
    <w:rsid w:val="004E71A4"/>
    <w:rsid w:val="004E74F9"/>
    <w:rsid w:val="004E79F3"/>
    <w:rsid w:val="004E7C5E"/>
    <w:rsid w:val="004E7E14"/>
    <w:rsid w:val="004E7E22"/>
    <w:rsid w:val="004F0691"/>
    <w:rsid w:val="004F07C7"/>
    <w:rsid w:val="004F0D4E"/>
    <w:rsid w:val="004F10EB"/>
    <w:rsid w:val="004F1724"/>
    <w:rsid w:val="004F1C7C"/>
    <w:rsid w:val="004F1C7F"/>
    <w:rsid w:val="004F205F"/>
    <w:rsid w:val="004F25A8"/>
    <w:rsid w:val="004F25D1"/>
    <w:rsid w:val="004F27C7"/>
    <w:rsid w:val="004F2CA3"/>
    <w:rsid w:val="004F2EB8"/>
    <w:rsid w:val="004F30F6"/>
    <w:rsid w:val="004F39BF"/>
    <w:rsid w:val="004F3FED"/>
    <w:rsid w:val="004F44E0"/>
    <w:rsid w:val="004F551F"/>
    <w:rsid w:val="004F63BE"/>
    <w:rsid w:val="004F6B93"/>
    <w:rsid w:val="004F7101"/>
    <w:rsid w:val="005008AE"/>
    <w:rsid w:val="00500FC0"/>
    <w:rsid w:val="0050126B"/>
    <w:rsid w:val="005016D0"/>
    <w:rsid w:val="00503C4B"/>
    <w:rsid w:val="00503D89"/>
    <w:rsid w:val="005043E1"/>
    <w:rsid w:val="00504789"/>
    <w:rsid w:val="00504ED3"/>
    <w:rsid w:val="0050528E"/>
    <w:rsid w:val="00505349"/>
    <w:rsid w:val="00505D9D"/>
    <w:rsid w:val="005066F2"/>
    <w:rsid w:val="0050671F"/>
    <w:rsid w:val="005068E7"/>
    <w:rsid w:val="00506F4F"/>
    <w:rsid w:val="0050701C"/>
    <w:rsid w:val="0050709C"/>
    <w:rsid w:val="00507AD9"/>
    <w:rsid w:val="00507DA2"/>
    <w:rsid w:val="00510390"/>
    <w:rsid w:val="005107F2"/>
    <w:rsid w:val="00510B81"/>
    <w:rsid w:val="005112FC"/>
    <w:rsid w:val="005114D8"/>
    <w:rsid w:val="005115C1"/>
    <w:rsid w:val="00511B68"/>
    <w:rsid w:val="005123F0"/>
    <w:rsid w:val="00512C46"/>
    <w:rsid w:val="0051301D"/>
    <w:rsid w:val="00513540"/>
    <w:rsid w:val="005138C4"/>
    <w:rsid w:val="00513941"/>
    <w:rsid w:val="005143C7"/>
    <w:rsid w:val="0051469B"/>
    <w:rsid w:val="005146E8"/>
    <w:rsid w:val="00514B0C"/>
    <w:rsid w:val="00515706"/>
    <w:rsid w:val="0051582B"/>
    <w:rsid w:val="00515DE5"/>
    <w:rsid w:val="00516D65"/>
    <w:rsid w:val="00517BD9"/>
    <w:rsid w:val="00517F70"/>
    <w:rsid w:val="005200A7"/>
    <w:rsid w:val="005204FB"/>
    <w:rsid w:val="0052077A"/>
    <w:rsid w:val="00520C54"/>
    <w:rsid w:val="005211AE"/>
    <w:rsid w:val="005211FA"/>
    <w:rsid w:val="00521504"/>
    <w:rsid w:val="00521614"/>
    <w:rsid w:val="00521ADF"/>
    <w:rsid w:val="00523159"/>
    <w:rsid w:val="00523263"/>
    <w:rsid w:val="005234CE"/>
    <w:rsid w:val="00523632"/>
    <w:rsid w:val="00523D81"/>
    <w:rsid w:val="00523FB6"/>
    <w:rsid w:val="00523FD3"/>
    <w:rsid w:val="0052414C"/>
    <w:rsid w:val="005241D0"/>
    <w:rsid w:val="0052435E"/>
    <w:rsid w:val="005243AB"/>
    <w:rsid w:val="00525203"/>
    <w:rsid w:val="00525DAD"/>
    <w:rsid w:val="005267F6"/>
    <w:rsid w:val="005269F3"/>
    <w:rsid w:val="00527481"/>
    <w:rsid w:val="005276CD"/>
    <w:rsid w:val="00527892"/>
    <w:rsid w:val="00527C1E"/>
    <w:rsid w:val="005301BA"/>
    <w:rsid w:val="0053026D"/>
    <w:rsid w:val="0053051D"/>
    <w:rsid w:val="005308D0"/>
    <w:rsid w:val="005309AB"/>
    <w:rsid w:val="005309DF"/>
    <w:rsid w:val="005314D6"/>
    <w:rsid w:val="005317AB"/>
    <w:rsid w:val="0053187A"/>
    <w:rsid w:val="00531A37"/>
    <w:rsid w:val="005320A2"/>
    <w:rsid w:val="00532449"/>
    <w:rsid w:val="005324B4"/>
    <w:rsid w:val="005324E0"/>
    <w:rsid w:val="0053282C"/>
    <w:rsid w:val="00532A31"/>
    <w:rsid w:val="005333A8"/>
    <w:rsid w:val="005341A7"/>
    <w:rsid w:val="00534B66"/>
    <w:rsid w:val="00534C49"/>
    <w:rsid w:val="00534D02"/>
    <w:rsid w:val="00535295"/>
    <w:rsid w:val="00535D51"/>
    <w:rsid w:val="0053603B"/>
    <w:rsid w:val="00536943"/>
    <w:rsid w:val="00536BBB"/>
    <w:rsid w:val="00536D9C"/>
    <w:rsid w:val="00536E6A"/>
    <w:rsid w:val="00536F99"/>
    <w:rsid w:val="00536FB3"/>
    <w:rsid w:val="00537417"/>
    <w:rsid w:val="0053794C"/>
    <w:rsid w:val="00537E3E"/>
    <w:rsid w:val="00537EAA"/>
    <w:rsid w:val="00540773"/>
    <w:rsid w:val="00540970"/>
    <w:rsid w:val="005409E7"/>
    <w:rsid w:val="00540D80"/>
    <w:rsid w:val="00540E42"/>
    <w:rsid w:val="00540FD6"/>
    <w:rsid w:val="00541C44"/>
    <w:rsid w:val="005426FF"/>
    <w:rsid w:val="00542710"/>
    <w:rsid w:val="005429D7"/>
    <w:rsid w:val="00542D99"/>
    <w:rsid w:val="00542EB9"/>
    <w:rsid w:val="00543BBC"/>
    <w:rsid w:val="00543CCB"/>
    <w:rsid w:val="0054484E"/>
    <w:rsid w:val="00544B07"/>
    <w:rsid w:val="005450A2"/>
    <w:rsid w:val="005452F3"/>
    <w:rsid w:val="00545D19"/>
    <w:rsid w:val="00545E19"/>
    <w:rsid w:val="005469D5"/>
    <w:rsid w:val="00546B47"/>
    <w:rsid w:val="00546D6C"/>
    <w:rsid w:val="0054710F"/>
    <w:rsid w:val="005472B0"/>
    <w:rsid w:val="0054732F"/>
    <w:rsid w:val="0054759D"/>
    <w:rsid w:val="005479F3"/>
    <w:rsid w:val="005500AE"/>
    <w:rsid w:val="00550982"/>
    <w:rsid w:val="00550B38"/>
    <w:rsid w:val="00551598"/>
    <w:rsid w:val="00551602"/>
    <w:rsid w:val="00551899"/>
    <w:rsid w:val="00552316"/>
    <w:rsid w:val="005529BF"/>
    <w:rsid w:val="00552DC0"/>
    <w:rsid w:val="00553013"/>
    <w:rsid w:val="005534AE"/>
    <w:rsid w:val="0055355C"/>
    <w:rsid w:val="005536FB"/>
    <w:rsid w:val="005546AF"/>
    <w:rsid w:val="00554FEE"/>
    <w:rsid w:val="005560C3"/>
    <w:rsid w:val="005561EB"/>
    <w:rsid w:val="00556310"/>
    <w:rsid w:val="00557549"/>
    <w:rsid w:val="005577D6"/>
    <w:rsid w:val="00557984"/>
    <w:rsid w:val="00557B62"/>
    <w:rsid w:val="00560894"/>
    <w:rsid w:val="00561183"/>
    <w:rsid w:val="005622EE"/>
    <w:rsid w:val="00562668"/>
    <w:rsid w:val="00562A68"/>
    <w:rsid w:val="005635D3"/>
    <w:rsid w:val="005639FD"/>
    <w:rsid w:val="00563B03"/>
    <w:rsid w:val="00564208"/>
    <w:rsid w:val="005643D3"/>
    <w:rsid w:val="00564424"/>
    <w:rsid w:val="0056458E"/>
    <w:rsid w:val="005646F9"/>
    <w:rsid w:val="0056595F"/>
    <w:rsid w:val="00565AC2"/>
    <w:rsid w:val="00565C05"/>
    <w:rsid w:val="00565FA7"/>
    <w:rsid w:val="00565FDD"/>
    <w:rsid w:val="00566415"/>
    <w:rsid w:val="005665A9"/>
    <w:rsid w:val="00566710"/>
    <w:rsid w:val="00566A62"/>
    <w:rsid w:val="005671A1"/>
    <w:rsid w:val="00567B60"/>
    <w:rsid w:val="00570468"/>
    <w:rsid w:val="00570A42"/>
    <w:rsid w:val="00570E72"/>
    <w:rsid w:val="00571751"/>
    <w:rsid w:val="00571B6F"/>
    <w:rsid w:val="00571CA1"/>
    <w:rsid w:val="00571CEB"/>
    <w:rsid w:val="00572AE3"/>
    <w:rsid w:val="00572B03"/>
    <w:rsid w:val="00573BF2"/>
    <w:rsid w:val="00573C04"/>
    <w:rsid w:val="00574BE2"/>
    <w:rsid w:val="00575864"/>
    <w:rsid w:val="00575BC1"/>
    <w:rsid w:val="00575D24"/>
    <w:rsid w:val="00575D5E"/>
    <w:rsid w:val="00576014"/>
    <w:rsid w:val="00576474"/>
    <w:rsid w:val="0057692B"/>
    <w:rsid w:val="00576C4B"/>
    <w:rsid w:val="00576D04"/>
    <w:rsid w:val="00576FBB"/>
    <w:rsid w:val="00576FEE"/>
    <w:rsid w:val="00577E12"/>
    <w:rsid w:val="00580C09"/>
    <w:rsid w:val="00580C28"/>
    <w:rsid w:val="00580CE9"/>
    <w:rsid w:val="00580D36"/>
    <w:rsid w:val="00580E9B"/>
    <w:rsid w:val="00581881"/>
    <w:rsid w:val="0058195D"/>
    <w:rsid w:val="0058214D"/>
    <w:rsid w:val="00582451"/>
    <w:rsid w:val="0058265C"/>
    <w:rsid w:val="00582EF0"/>
    <w:rsid w:val="00582F0F"/>
    <w:rsid w:val="00584233"/>
    <w:rsid w:val="00586610"/>
    <w:rsid w:val="0058675F"/>
    <w:rsid w:val="00587C50"/>
    <w:rsid w:val="00587EC5"/>
    <w:rsid w:val="0059082F"/>
    <w:rsid w:val="00590B4E"/>
    <w:rsid w:val="0059121C"/>
    <w:rsid w:val="00591951"/>
    <w:rsid w:val="00592A54"/>
    <w:rsid w:val="00592D2B"/>
    <w:rsid w:val="00593806"/>
    <w:rsid w:val="0059391F"/>
    <w:rsid w:val="00593D77"/>
    <w:rsid w:val="00594557"/>
    <w:rsid w:val="00595CE2"/>
    <w:rsid w:val="0059601E"/>
    <w:rsid w:val="005967EA"/>
    <w:rsid w:val="005975B0"/>
    <w:rsid w:val="005978BA"/>
    <w:rsid w:val="005A041F"/>
    <w:rsid w:val="005A0964"/>
    <w:rsid w:val="005A1242"/>
    <w:rsid w:val="005A1532"/>
    <w:rsid w:val="005A19FA"/>
    <w:rsid w:val="005A1BFD"/>
    <w:rsid w:val="005A1F30"/>
    <w:rsid w:val="005A1FA8"/>
    <w:rsid w:val="005A2089"/>
    <w:rsid w:val="005A2822"/>
    <w:rsid w:val="005A2887"/>
    <w:rsid w:val="005A3790"/>
    <w:rsid w:val="005A4169"/>
    <w:rsid w:val="005A43E2"/>
    <w:rsid w:val="005A49DA"/>
    <w:rsid w:val="005A4C08"/>
    <w:rsid w:val="005A4F07"/>
    <w:rsid w:val="005A5144"/>
    <w:rsid w:val="005A54AB"/>
    <w:rsid w:val="005A5606"/>
    <w:rsid w:val="005A57C3"/>
    <w:rsid w:val="005A5B06"/>
    <w:rsid w:val="005A5C7E"/>
    <w:rsid w:val="005A5DD0"/>
    <w:rsid w:val="005A610F"/>
    <w:rsid w:val="005A627C"/>
    <w:rsid w:val="005A642B"/>
    <w:rsid w:val="005A6499"/>
    <w:rsid w:val="005A6B13"/>
    <w:rsid w:val="005A6F3F"/>
    <w:rsid w:val="005A7425"/>
    <w:rsid w:val="005A7C49"/>
    <w:rsid w:val="005B00F2"/>
    <w:rsid w:val="005B042F"/>
    <w:rsid w:val="005B0D72"/>
    <w:rsid w:val="005B1DFE"/>
    <w:rsid w:val="005B210D"/>
    <w:rsid w:val="005B294C"/>
    <w:rsid w:val="005B330E"/>
    <w:rsid w:val="005B340A"/>
    <w:rsid w:val="005B3687"/>
    <w:rsid w:val="005B369A"/>
    <w:rsid w:val="005B36F6"/>
    <w:rsid w:val="005B372C"/>
    <w:rsid w:val="005B4266"/>
    <w:rsid w:val="005B4487"/>
    <w:rsid w:val="005B4839"/>
    <w:rsid w:val="005B4D83"/>
    <w:rsid w:val="005B5110"/>
    <w:rsid w:val="005B51C3"/>
    <w:rsid w:val="005B5660"/>
    <w:rsid w:val="005B5DFF"/>
    <w:rsid w:val="005B5EF6"/>
    <w:rsid w:val="005B630D"/>
    <w:rsid w:val="005B653A"/>
    <w:rsid w:val="005B6C62"/>
    <w:rsid w:val="005B7439"/>
    <w:rsid w:val="005B7563"/>
    <w:rsid w:val="005B7DAD"/>
    <w:rsid w:val="005C05D5"/>
    <w:rsid w:val="005C095B"/>
    <w:rsid w:val="005C0B0B"/>
    <w:rsid w:val="005C0C21"/>
    <w:rsid w:val="005C0DC2"/>
    <w:rsid w:val="005C20E4"/>
    <w:rsid w:val="005C2ECF"/>
    <w:rsid w:val="005C3B59"/>
    <w:rsid w:val="005C3C22"/>
    <w:rsid w:val="005C4858"/>
    <w:rsid w:val="005C4E87"/>
    <w:rsid w:val="005C4FB9"/>
    <w:rsid w:val="005C5603"/>
    <w:rsid w:val="005C5D41"/>
    <w:rsid w:val="005C7303"/>
    <w:rsid w:val="005C78A4"/>
    <w:rsid w:val="005C7B98"/>
    <w:rsid w:val="005C7CD6"/>
    <w:rsid w:val="005D0482"/>
    <w:rsid w:val="005D10EE"/>
    <w:rsid w:val="005D14DA"/>
    <w:rsid w:val="005D19B2"/>
    <w:rsid w:val="005D1D88"/>
    <w:rsid w:val="005D1F34"/>
    <w:rsid w:val="005D1F8C"/>
    <w:rsid w:val="005D1FAE"/>
    <w:rsid w:val="005D2517"/>
    <w:rsid w:val="005D26A1"/>
    <w:rsid w:val="005D277D"/>
    <w:rsid w:val="005D280F"/>
    <w:rsid w:val="005D2AE7"/>
    <w:rsid w:val="005D2B56"/>
    <w:rsid w:val="005D3615"/>
    <w:rsid w:val="005D37A3"/>
    <w:rsid w:val="005D3815"/>
    <w:rsid w:val="005D383D"/>
    <w:rsid w:val="005D3F97"/>
    <w:rsid w:val="005D4022"/>
    <w:rsid w:val="005D4263"/>
    <w:rsid w:val="005D4816"/>
    <w:rsid w:val="005D4938"/>
    <w:rsid w:val="005D5426"/>
    <w:rsid w:val="005D57AA"/>
    <w:rsid w:val="005D5F05"/>
    <w:rsid w:val="005D6531"/>
    <w:rsid w:val="005D678C"/>
    <w:rsid w:val="005D71EA"/>
    <w:rsid w:val="005D78FA"/>
    <w:rsid w:val="005D7D1E"/>
    <w:rsid w:val="005E0106"/>
    <w:rsid w:val="005E0661"/>
    <w:rsid w:val="005E0812"/>
    <w:rsid w:val="005E127E"/>
    <w:rsid w:val="005E1ACF"/>
    <w:rsid w:val="005E1F7D"/>
    <w:rsid w:val="005E21DF"/>
    <w:rsid w:val="005E2E66"/>
    <w:rsid w:val="005E2FD9"/>
    <w:rsid w:val="005E31E2"/>
    <w:rsid w:val="005E3B77"/>
    <w:rsid w:val="005E3E9A"/>
    <w:rsid w:val="005E44C6"/>
    <w:rsid w:val="005E4F8B"/>
    <w:rsid w:val="005E4F91"/>
    <w:rsid w:val="005E52F5"/>
    <w:rsid w:val="005E57CA"/>
    <w:rsid w:val="005E5C16"/>
    <w:rsid w:val="005E5CA7"/>
    <w:rsid w:val="005E6C64"/>
    <w:rsid w:val="005E70A6"/>
    <w:rsid w:val="005E710C"/>
    <w:rsid w:val="005E736F"/>
    <w:rsid w:val="005E79C1"/>
    <w:rsid w:val="005E7DDB"/>
    <w:rsid w:val="005F030C"/>
    <w:rsid w:val="005F0328"/>
    <w:rsid w:val="005F0779"/>
    <w:rsid w:val="005F0D01"/>
    <w:rsid w:val="005F0E5A"/>
    <w:rsid w:val="005F116E"/>
    <w:rsid w:val="005F119B"/>
    <w:rsid w:val="005F1CF6"/>
    <w:rsid w:val="005F2797"/>
    <w:rsid w:val="005F27B7"/>
    <w:rsid w:val="005F281F"/>
    <w:rsid w:val="005F3077"/>
    <w:rsid w:val="005F317D"/>
    <w:rsid w:val="005F379C"/>
    <w:rsid w:val="005F3926"/>
    <w:rsid w:val="005F4099"/>
    <w:rsid w:val="005F4C72"/>
    <w:rsid w:val="005F4D87"/>
    <w:rsid w:val="005F4E56"/>
    <w:rsid w:val="005F51CD"/>
    <w:rsid w:val="005F59CF"/>
    <w:rsid w:val="005F7989"/>
    <w:rsid w:val="006003B9"/>
    <w:rsid w:val="0060056E"/>
    <w:rsid w:val="00600E72"/>
    <w:rsid w:val="0060104C"/>
    <w:rsid w:val="0060192E"/>
    <w:rsid w:val="00602586"/>
    <w:rsid w:val="00602731"/>
    <w:rsid w:val="00603569"/>
    <w:rsid w:val="00604382"/>
    <w:rsid w:val="00604DD7"/>
    <w:rsid w:val="00604FA9"/>
    <w:rsid w:val="006056DC"/>
    <w:rsid w:val="0060584D"/>
    <w:rsid w:val="00605927"/>
    <w:rsid w:val="00605E2F"/>
    <w:rsid w:val="00606A2E"/>
    <w:rsid w:val="00606B73"/>
    <w:rsid w:val="00606D93"/>
    <w:rsid w:val="006071DF"/>
    <w:rsid w:val="00607AE9"/>
    <w:rsid w:val="00610F62"/>
    <w:rsid w:val="00611997"/>
    <w:rsid w:val="00611B9E"/>
    <w:rsid w:val="00611C38"/>
    <w:rsid w:val="00611F13"/>
    <w:rsid w:val="006120C2"/>
    <w:rsid w:val="006127F6"/>
    <w:rsid w:val="00613375"/>
    <w:rsid w:val="00613388"/>
    <w:rsid w:val="006134AF"/>
    <w:rsid w:val="00613C1C"/>
    <w:rsid w:val="00615120"/>
    <w:rsid w:val="00615301"/>
    <w:rsid w:val="0061625F"/>
    <w:rsid w:val="0061631F"/>
    <w:rsid w:val="0061667D"/>
    <w:rsid w:val="00616F88"/>
    <w:rsid w:val="006175CE"/>
    <w:rsid w:val="006201D5"/>
    <w:rsid w:val="006205AC"/>
    <w:rsid w:val="00620E1F"/>
    <w:rsid w:val="00621507"/>
    <w:rsid w:val="0062174F"/>
    <w:rsid w:val="00621963"/>
    <w:rsid w:val="006219C8"/>
    <w:rsid w:val="00621AE3"/>
    <w:rsid w:val="00622226"/>
    <w:rsid w:val="00622508"/>
    <w:rsid w:val="0062255A"/>
    <w:rsid w:val="00622BC5"/>
    <w:rsid w:val="0062385E"/>
    <w:rsid w:val="00624ECE"/>
    <w:rsid w:val="0062523C"/>
    <w:rsid w:val="006259B6"/>
    <w:rsid w:val="00625A91"/>
    <w:rsid w:val="00625BC2"/>
    <w:rsid w:val="00625D0E"/>
    <w:rsid w:val="00625D31"/>
    <w:rsid w:val="00626274"/>
    <w:rsid w:val="00626548"/>
    <w:rsid w:val="00627819"/>
    <w:rsid w:val="00627E3D"/>
    <w:rsid w:val="0063009F"/>
    <w:rsid w:val="006300B6"/>
    <w:rsid w:val="00630253"/>
    <w:rsid w:val="006302C2"/>
    <w:rsid w:val="0063055D"/>
    <w:rsid w:val="00630B7B"/>
    <w:rsid w:val="0063159F"/>
    <w:rsid w:val="00631B52"/>
    <w:rsid w:val="00632472"/>
    <w:rsid w:val="00632A25"/>
    <w:rsid w:val="00633900"/>
    <w:rsid w:val="00633B34"/>
    <w:rsid w:val="00633C08"/>
    <w:rsid w:val="00633E68"/>
    <w:rsid w:val="00634C3B"/>
    <w:rsid w:val="0063563D"/>
    <w:rsid w:val="006356C5"/>
    <w:rsid w:val="0063614D"/>
    <w:rsid w:val="0063716B"/>
    <w:rsid w:val="00637240"/>
    <w:rsid w:val="006400C3"/>
    <w:rsid w:val="00640B74"/>
    <w:rsid w:val="00640D39"/>
    <w:rsid w:val="006420C1"/>
    <w:rsid w:val="006421BD"/>
    <w:rsid w:val="006426A1"/>
    <w:rsid w:val="00642CC9"/>
    <w:rsid w:val="00643347"/>
    <w:rsid w:val="00643589"/>
    <w:rsid w:val="00644D38"/>
    <w:rsid w:val="00644DEE"/>
    <w:rsid w:val="0064592B"/>
    <w:rsid w:val="00645CB4"/>
    <w:rsid w:val="00647385"/>
    <w:rsid w:val="00647527"/>
    <w:rsid w:val="00647542"/>
    <w:rsid w:val="006475E8"/>
    <w:rsid w:val="0065009C"/>
    <w:rsid w:val="00650B81"/>
    <w:rsid w:val="00650E26"/>
    <w:rsid w:val="006519B6"/>
    <w:rsid w:val="00651CF6"/>
    <w:rsid w:val="00651FC8"/>
    <w:rsid w:val="006520D2"/>
    <w:rsid w:val="006525F4"/>
    <w:rsid w:val="006535E8"/>
    <w:rsid w:val="0065456E"/>
    <w:rsid w:val="00654793"/>
    <w:rsid w:val="0065529B"/>
    <w:rsid w:val="00655A15"/>
    <w:rsid w:val="00656020"/>
    <w:rsid w:val="0065609B"/>
    <w:rsid w:val="00656178"/>
    <w:rsid w:val="00656A7B"/>
    <w:rsid w:val="0066003F"/>
    <w:rsid w:val="00660322"/>
    <w:rsid w:val="00660984"/>
    <w:rsid w:val="00660C1F"/>
    <w:rsid w:val="00660DAE"/>
    <w:rsid w:val="00661273"/>
    <w:rsid w:val="006613F9"/>
    <w:rsid w:val="00661C9E"/>
    <w:rsid w:val="006630E0"/>
    <w:rsid w:val="0066316A"/>
    <w:rsid w:val="0066339F"/>
    <w:rsid w:val="00663421"/>
    <w:rsid w:val="006638A5"/>
    <w:rsid w:val="00664676"/>
    <w:rsid w:val="00664898"/>
    <w:rsid w:val="00664946"/>
    <w:rsid w:val="00664E6D"/>
    <w:rsid w:val="00665531"/>
    <w:rsid w:val="00665BB0"/>
    <w:rsid w:val="00666A6E"/>
    <w:rsid w:val="00666C51"/>
    <w:rsid w:val="0066708B"/>
    <w:rsid w:val="0066756C"/>
    <w:rsid w:val="00667669"/>
    <w:rsid w:val="00670264"/>
    <w:rsid w:val="00670812"/>
    <w:rsid w:val="006709C2"/>
    <w:rsid w:val="00670A82"/>
    <w:rsid w:val="00670A97"/>
    <w:rsid w:val="00670B23"/>
    <w:rsid w:val="00671964"/>
    <w:rsid w:val="00672A66"/>
    <w:rsid w:val="00673316"/>
    <w:rsid w:val="006736EE"/>
    <w:rsid w:val="006737A9"/>
    <w:rsid w:val="00673895"/>
    <w:rsid w:val="00673901"/>
    <w:rsid w:val="0067409B"/>
    <w:rsid w:val="00674ADB"/>
    <w:rsid w:val="006757DF"/>
    <w:rsid w:val="0067580C"/>
    <w:rsid w:val="00675912"/>
    <w:rsid w:val="006759E4"/>
    <w:rsid w:val="0067635B"/>
    <w:rsid w:val="00676705"/>
    <w:rsid w:val="006772E2"/>
    <w:rsid w:val="0067771A"/>
    <w:rsid w:val="00680057"/>
    <w:rsid w:val="00680E2E"/>
    <w:rsid w:val="006812AA"/>
    <w:rsid w:val="00681343"/>
    <w:rsid w:val="00681557"/>
    <w:rsid w:val="006816A0"/>
    <w:rsid w:val="00682312"/>
    <w:rsid w:val="00682E76"/>
    <w:rsid w:val="006833DA"/>
    <w:rsid w:val="00683A98"/>
    <w:rsid w:val="00683B4A"/>
    <w:rsid w:val="00684C50"/>
    <w:rsid w:val="006856CE"/>
    <w:rsid w:val="006864F2"/>
    <w:rsid w:val="00686E84"/>
    <w:rsid w:val="006875D4"/>
    <w:rsid w:val="0069066E"/>
    <w:rsid w:val="00690D09"/>
    <w:rsid w:val="006917FA"/>
    <w:rsid w:val="006918D8"/>
    <w:rsid w:val="00692404"/>
    <w:rsid w:val="0069252A"/>
    <w:rsid w:val="0069278F"/>
    <w:rsid w:val="00692A23"/>
    <w:rsid w:val="00692D77"/>
    <w:rsid w:val="006933B0"/>
    <w:rsid w:val="00693A17"/>
    <w:rsid w:val="00693B4F"/>
    <w:rsid w:val="00693EA8"/>
    <w:rsid w:val="006941AC"/>
    <w:rsid w:val="00694DD7"/>
    <w:rsid w:val="00694EC8"/>
    <w:rsid w:val="0069517D"/>
    <w:rsid w:val="006954F7"/>
    <w:rsid w:val="00695823"/>
    <w:rsid w:val="00695946"/>
    <w:rsid w:val="00695A0D"/>
    <w:rsid w:val="00695BC8"/>
    <w:rsid w:val="00696721"/>
    <w:rsid w:val="00697039"/>
    <w:rsid w:val="006970E4"/>
    <w:rsid w:val="006970E6"/>
    <w:rsid w:val="006A006D"/>
    <w:rsid w:val="006A0107"/>
    <w:rsid w:val="006A0D86"/>
    <w:rsid w:val="006A1CB2"/>
    <w:rsid w:val="006A22A1"/>
    <w:rsid w:val="006A29E3"/>
    <w:rsid w:val="006A2C61"/>
    <w:rsid w:val="006A2CFD"/>
    <w:rsid w:val="006A2E73"/>
    <w:rsid w:val="006A33EA"/>
    <w:rsid w:val="006A37DC"/>
    <w:rsid w:val="006A3EFF"/>
    <w:rsid w:val="006A45F5"/>
    <w:rsid w:val="006A4A1F"/>
    <w:rsid w:val="006A4E57"/>
    <w:rsid w:val="006A4F4A"/>
    <w:rsid w:val="006A5D1A"/>
    <w:rsid w:val="006A6037"/>
    <w:rsid w:val="006A6108"/>
    <w:rsid w:val="006A62D6"/>
    <w:rsid w:val="006A68DE"/>
    <w:rsid w:val="006A6A07"/>
    <w:rsid w:val="006A6BB3"/>
    <w:rsid w:val="006A6CB7"/>
    <w:rsid w:val="006A71FB"/>
    <w:rsid w:val="006A720C"/>
    <w:rsid w:val="006A78A6"/>
    <w:rsid w:val="006A791A"/>
    <w:rsid w:val="006A7FFA"/>
    <w:rsid w:val="006B0187"/>
    <w:rsid w:val="006B0F75"/>
    <w:rsid w:val="006B13B1"/>
    <w:rsid w:val="006B1B1C"/>
    <w:rsid w:val="006B1B38"/>
    <w:rsid w:val="006B25ED"/>
    <w:rsid w:val="006B389E"/>
    <w:rsid w:val="006B3DE1"/>
    <w:rsid w:val="006B4402"/>
    <w:rsid w:val="006B5749"/>
    <w:rsid w:val="006B57BA"/>
    <w:rsid w:val="006B63ED"/>
    <w:rsid w:val="006B6ED9"/>
    <w:rsid w:val="006B7452"/>
    <w:rsid w:val="006B7939"/>
    <w:rsid w:val="006B7C68"/>
    <w:rsid w:val="006C01D2"/>
    <w:rsid w:val="006C02AD"/>
    <w:rsid w:val="006C04AC"/>
    <w:rsid w:val="006C0642"/>
    <w:rsid w:val="006C0E5B"/>
    <w:rsid w:val="006C0F3A"/>
    <w:rsid w:val="006C1571"/>
    <w:rsid w:val="006C1BEB"/>
    <w:rsid w:val="006C1FD6"/>
    <w:rsid w:val="006C21FB"/>
    <w:rsid w:val="006C2553"/>
    <w:rsid w:val="006C2A51"/>
    <w:rsid w:val="006C2BCD"/>
    <w:rsid w:val="006C3A11"/>
    <w:rsid w:val="006C4414"/>
    <w:rsid w:val="006C4DC2"/>
    <w:rsid w:val="006C4E81"/>
    <w:rsid w:val="006C4F9B"/>
    <w:rsid w:val="006C56CC"/>
    <w:rsid w:val="006C5DF2"/>
    <w:rsid w:val="006C5E44"/>
    <w:rsid w:val="006C6017"/>
    <w:rsid w:val="006C67E7"/>
    <w:rsid w:val="006C685A"/>
    <w:rsid w:val="006C6CA3"/>
    <w:rsid w:val="006C6DCA"/>
    <w:rsid w:val="006C72A9"/>
    <w:rsid w:val="006C7678"/>
    <w:rsid w:val="006C7DB7"/>
    <w:rsid w:val="006C7DDB"/>
    <w:rsid w:val="006D007B"/>
    <w:rsid w:val="006D0407"/>
    <w:rsid w:val="006D0CC4"/>
    <w:rsid w:val="006D122F"/>
    <w:rsid w:val="006D1C48"/>
    <w:rsid w:val="006D2395"/>
    <w:rsid w:val="006D2EB1"/>
    <w:rsid w:val="006D3206"/>
    <w:rsid w:val="006D3730"/>
    <w:rsid w:val="006D456B"/>
    <w:rsid w:val="006D4CDD"/>
    <w:rsid w:val="006D4F65"/>
    <w:rsid w:val="006D55F0"/>
    <w:rsid w:val="006D5DD6"/>
    <w:rsid w:val="006D5EE5"/>
    <w:rsid w:val="006D5F4C"/>
    <w:rsid w:val="006D6848"/>
    <w:rsid w:val="006D7327"/>
    <w:rsid w:val="006D7A87"/>
    <w:rsid w:val="006E05CE"/>
    <w:rsid w:val="006E0759"/>
    <w:rsid w:val="006E0F42"/>
    <w:rsid w:val="006E11BB"/>
    <w:rsid w:val="006E1838"/>
    <w:rsid w:val="006E225A"/>
    <w:rsid w:val="006E26BB"/>
    <w:rsid w:val="006E2830"/>
    <w:rsid w:val="006E32E9"/>
    <w:rsid w:val="006E3B5E"/>
    <w:rsid w:val="006E3DBA"/>
    <w:rsid w:val="006E4193"/>
    <w:rsid w:val="006E47A9"/>
    <w:rsid w:val="006E49B7"/>
    <w:rsid w:val="006E4CFA"/>
    <w:rsid w:val="006E4D11"/>
    <w:rsid w:val="006E5DAD"/>
    <w:rsid w:val="006E6218"/>
    <w:rsid w:val="006E631A"/>
    <w:rsid w:val="006E6C73"/>
    <w:rsid w:val="006E6CD3"/>
    <w:rsid w:val="006E6D3B"/>
    <w:rsid w:val="006E6E0C"/>
    <w:rsid w:val="006E7307"/>
    <w:rsid w:val="006E7CAC"/>
    <w:rsid w:val="006F0478"/>
    <w:rsid w:val="006F0D72"/>
    <w:rsid w:val="006F0F0F"/>
    <w:rsid w:val="006F11E1"/>
    <w:rsid w:val="006F139D"/>
    <w:rsid w:val="006F14F6"/>
    <w:rsid w:val="006F178C"/>
    <w:rsid w:val="006F17F5"/>
    <w:rsid w:val="006F2150"/>
    <w:rsid w:val="006F2F4F"/>
    <w:rsid w:val="006F35E6"/>
    <w:rsid w:val="006F365B"/>
    <w:rsid w:val="006F381F"/>
    <w:rsid w:val="006F399F"/>
    <w:rsid w:val="006F3C18"/>
    <w:rsid w:val="006F3F0C"/>
    <w:rsid w:val="006F3F14"/>
    <w:rsid w:val="006F3F73"/>
    <w:rsid w:val="006F4571"/>
    <w:rsid w:val="006F4687"/>
    <w:rsid w:val="006F48F3"/>
    <w:rsid w:val="006F4948"/>
    <w:rsid w:val="006F4DA2"/>
    <w:rsid w:val="006F5BA8"/>
    <w:rsid w:val="006F5D36"/>
    <w:rsid w:val="006F6B05"/>
    <w:rsid w:val="006F79C7"/>
    <w:rsid w:val="006F7A84"/>
    <w:rsid w:val="006F7FC7"/>
    <w:rsid w:val="00700757"/>
    <w:rsid w:val="00700C7E"/>
    <w:rsid w:val="007010A0"/>
    <w:rsid w:val="00701257"/>
    <w:rsid w:val="007014A6"/>
    <w:rsid w:val="007015FA"/>
    <w:rsid w:val="00701EC4"/>
    <w:rsid w:val="007027F4"/>
    <w:rsid w:val="00702901"/>
    <w:rsid w:val="00702B11"/>
    <w:rsid w:val="00702DB6"/>
    <w:rsid w:val="007035CA"/>
    <w:rsid w:val="0070398E"/>
    <w:rsid w:val="00703AB9"/>
    <w:rsid w:val="00703C1B"/>
    <w:rsid w:val="00704226"/>
    <w:rsid w:val="00704873"/>
    <w:rsid w:val="00705174"/>
    <w:rsid w:val="00705733"/>
    <w:rsid w:val="00705A59"/>
    <w:rsid w:val="00706059"/>
    <w:rsid w:val="00706906"/>
    <w:rsid w:val="00706C61"/>
    <w:rsid w:val="00710783"/>
    <w:rsid w:val="007109E8"/>
    <w:rsid w:val="0071125B"/>
    <w:rsid w:val="00711B22"/>
    <w:rsid w:val="00711DFF"/>
    <w:rsid w:val="00712861"/>
    <w:rsid w:val="00712F50"/>
    <w:rsid w:val="007143FA"/>
    <w:rsid w:val="00714729"/>
    <w:rsid w:val="00714785"/>
    <w:rsid w:val="00714788"/>
    <w:rsid w:val="007147C9"/>
    <w:rsid w:val="00714FEF"/>
    <w:rsid w:val="00714FF5"/>
    <w:rsid w:val="0071503E"/>
    <w:rsid w:val="00715078"/>
    <w:rsid w:val="00715219"/>
    <w:rsid w:val="0071587B"/>
    <w:rsid w:val="00715D04"/>
    <w:rsid w:val="00715EB0"/>
    <w:rsid w:val="007161AB"/>
    <w:rsid w:val="007166DB"/>
    <w:rsid w:val="00716BAC"/>
    <w:rsid w:val="00716FCD"/>
    <w:rsid w:val="00717716"/>
    <w:rsid w:val="00717B7E"/>
    <w:rsid w:val="00717F77"/>
    <w:rsid w:val="00720763"/>
    <w:rsid w:val="00720CF6"/>
    <w:rsid w:val="00720D39"/>
    <w:rsid w:val="007210DD"/>
    <w:rsid w:val="007221B5"/>
    <w:rsid w:val="007222F4"/>
    <w:rsid w:val="0072266F"/>
    <w:rsid w:val="00723247"/>
    <w:rsid w:val="007236AA"/>
    <w:rsid w:val="0072394F"/>
    <w:rsid w:val="007239EF"/>
    <w:rsid w:val="00723CA4"/>
    <w:rsid w:val="007240AB"/>
    <w:rsid w:val="007242FC"/>
    <w:rsid w:val="00724427"/>
    <w:rsid w:val="00724E53"/>
    <w:rsid w:val="00724F9F"/>
    <w:rsid w:val="0072554A"/>
    <w:rsid w:val="00725AE8"/>
    <w:rsid w:val="00725DAB"/>
    <w:rsid w:val="00726235"/>
    <w:rsid w:val="007263C5"/>
    <w:rsid w:val="007267A8"/>
    <w:rsid w:val="00727153"/>
    <w:rsid w:val="007272CA"/>
    <w:rsid w:val="00727882"/>
    <w:rsid w:val="00727B30"/>
    <w:rsid w:val="00727F8F"/>
    <w:rsid w:val="00730743"/>
    <w:rsid w:val="00730AAA"/>
    <w:rsid w:val="00730BD2"/>
    <w:rsid w:val="00730C14"/>
    <w:rsid w:val="0073107B"/>
    <w:rsid w:val="007317FF"/>
    <w:rsid w:val="00731899"/>
    <w:rsid w:val="00731A6C"/>
    <w:rsid w:val="0073223B"/>
    <w:rsid w:val="00732F3E"/>
    <w:rsid w:val="00733A05"/>
    <w:rsid w:val="00734056"/>
    <w:rsid w:val="00735406"/>
    <w:rsid w:val="007358F0"/>
    <w:rsid w:val="00736454"/>
    <w:rsid w:val="007364E0"/>
    <w:rsid w:val="0073775A"/>
    <w:rsid w:val="00737821"/>
    <w:rsid w:val="00737FF5"/>
    <w:rsid w:val="00740404"/>
    <w:rsid w:val="007406BC"/>
    <w:rsid w:val="0074173F"/>
    <w:rsid w:val="007417BE"/>
    <w:rsid w:val="0074199E"/>
    <w:rsid w:val="00741C00"/>
    <w:rsid w:val="00741C22"/>
    <w:rsid w:val="00741EB9"/>
    <w:rsid w:val="00741FB5"/>
    <w:rsid w:val="00742653"/>
    <w:rsid w:val="007428B3"/>
    <w:rsid w:val="00742AD0"/>
    <w:rsid w:val="00743227"/>
    <w:rsid w:val="0074328F"/>
    <w:rsid w:val="0074366C"/>
    <w:rsid w:val="007438EB"/>
    <w:rsid w:val="00743FD1"/>
    <w:rsid w:val="00744408"/>
    <w:rsid w:val="00744931"/>
    <w:rsid w:val="00746478"/>
    <w:rsid w:val="00747045"/>
    <w:rsid w:val="00747329"/>
    <w:rsid w:val="007478AF"/>
    <w:rsid w:val="0075118A"/>
    <w:rsid w:val="00751AAB"/>
    <w:rsid w:val="00751C15"/>
    <w:rsid w:val="00751E87"/>
    <w:rsid w:val="007521FD"/>
    <w:rsid w:val="0075249B"/>
    <w:rsid w:val="007525E7"/>
    <w:rsid w:val="007529A4"/>
    <w:rsid w:val="007529AD"/>
    <w:rsid w:val="00752F06"/>
    <w:rsid w:val="007531C1"/>
    <w:rsid w:val="00753231"/>
    <w:rsid w:val="00753ACF"/>
    <w:rsid w:val="00753CD0"/>
    <w:rsid w:val="007540BF"/>
    <w:rsid w:val="00754274"/>
    <w:rsid w:val="007542C7"/>
    <w:rsid w:val="00754632"/>
    <w:rsid w:val="00754782"/>
    <w:rsid w:val="00754B62"/>
    <w:rsid w:val="00754C73"/>
    <w:rsid w:val="00754D8C"/>
    <w:rsid w:val="00754EF2"/>
    <w:rsid w:val="007550DF"/>
    <w:rsid w:val="007559CE"/>
    <w:rsid w:val="00755C71"/>
    <w:rsid w:val="00755D84"/>
    <w:rsid w:val="007560C6"/>
    <w:rsid w:val="007565B8"/>
    <w:rsid w:val="0075723E"/>
    <w:rsid w:val="0075797D"/>
    <w:rsid w:val="00757F26"/>
    <w:rsid w:val="00760943"/>
    <w:rsid w:val="007609A2"/>
    <w:rsid w:val="00760AB1"/>
    <w:rsid w:val="0076145A"/>
    <w:rsid w:val="00761512"/>
    <w:rsid w:val="0076152F"/>
    <w:rsid w:val="00761BBF"/>
    <w:rsid w:val="00761D66"/>
    <w:rsid w:val="00761E50"/>
    <w:rsid w:val="007624F6"/>
    <w:rsid w:val="0076278F"/>
    <w:rsid w:val="00762845"/>
    <w:rsid w:val="0076340C"/>
    <w:rsid w:val="0076353E"/>
    <w:rsid w:val="007637A8"/>
    <w:rsid w:val="0076398A"/>
    <w:rsid w:val="007642A2"/>
    <w:rsid w:val="0076454D"/>
    <w:rsid w:val="00764657"/>
    <w:rsid w:val="00764A5A"/>
    <w:rsid w:val="00764BD2"/>
    <w:rsid w:val="00765B58"/>
    <w:rsid w:val="00765B96"/>
    <w:rsid w:val="00765CC8"/>
    <w:rsid w:val="00765F09"/>
    <w:rsid w:val="007660F9"/>
    <w:rsid w:val="00766B34"/>
    <w:rsid w:val="00767555"/>
    <w:rsid w:val="00767A0B"/>
    <w:rsid w:val="00770746"/>
    <w:rsid w:val="00770B14"/>
    <w:rsid w:val="00770B50"/>
    <w:rsid w:val="00770DCB"/>
    <w:rsid w:val="00770EAD"/>
    <w:rsid w:val="00771784"/>
    <w:rsid w:val="00773212"/>
    <w:rsid w:val="007733A5"/>
    <w:rsid w:val="00773EC6"/>
    <w:rsid w:val="00774497"/>
    <w:rsid w:val="00774543"/>
    <w:rsid w:val="00774593"/>
    <w:rsid w:val="00774F5D"/>
    <w:rsid w:val="0077534E"/>
    <w:rsid w:val="00775485"/>
    <w:rsid w:val="00775976"/>
    <w:rsid w:val="00775D86"/>
    <w:rsid w:val="00776177"/>
    <w:rsid w:val="00776832"/>
    <w:rsid w:val="007773C5"/>
    <w:rsid w:val="00777485"/>
    <w:rsid w:val="0077754E"/>
    <w:rsid w:val="00777794"/>
    <w:rsid w:val="007800A2"/>
    <w:rsid w:val="00780138"/>
    <w:rsid w:val="007803D3"/>
    <w:rsid w:val="007806C4"/>
    <w:rsid w:val="0078075E"/>
    <w:rsid w:val="00780763"/>
    <w:rsid w:val="00780A61"/>
    <w:rsid w:val="00780C66"/>
    <w:rsid w:val="00780D1F"/>
    <w:rsid w:val="00781B5A"/>
    <w:rsid w:val="00781B9A"/>
    <w:rsid w:val="0078219B"/>
    <w:rsid w:val="00782288"/>
    <w:rsid w:val="007831DE"/>
    <w:rsid w:val="0078338F"/>
    <w:rsid w:val="0078351B"/>
    <w:rsid w:val="00783532"/>
    <w:rsid w:val="007840A0"/>
    <w:rsid w:val="007840BF"/>
    <w:rsid w:val="007846B5"/>
    <w:rsid w:val="00784B0E"/>
    <w:rsid w:val="00784EDD"/>
    <w:rsid w:val="007858F4"/>
    <w:rsid w:val="00786069"/>
    <w:rsid w:val="00786429"/>
    <w:rsid w:val="00786455"/>
    <w:rsid w:val="007868A4"/>
    <w:rsid w:val="00786A13"/>
    <w:rsid w:val="00786A4E"/>
    <w:rsid w:val="00786BDD"/>
    <w:rsid w:val="00786F27"/>
    <w:rsid w:val="00786FC6"/>
    <w:rsid w:val="00787A00"/>
    <w:rsid w:val="00787CC5"/>
    <w:rsid w:val="00787F9A"/>
    <w:rsid w:val="007900E9"/>
    <w:rsid w:val="00790E15"/>
    <w:rsid w:val="007910B7"/>
    <w:rsid w:val="0079110F"/>
    <w:rsid w:val="00791658"/>
    <w:rsid w:val="00791BE0"/>
    <w:rsid w:val="007920FB"/>
    <w:rsid w:val="00792873"/>
    <w:rsid w:val="00792AB1"/>
    <w:rsid w:val="00793702"/>
    <w:rsid w:val="00793781"/>
    <w:rsid w:val="00793FF9"/>
    <w:rsid w:val="007943BE"/>
    <w:rsid w:val="00794E17"/>
    <w:rsid w:val="00795CFC"/>
    <w:rsid w:val="00795E10"/>
    <w:rsid w:val="00795E5B"/>
    <w:rsid w:val="007967BC"/>
    <w:rsid w:val="00796F51"/>
    <w:rsid w:val="00797125"/>
    <w:rsid w:val="00797FF5"/>
    <w:rsid w:val="007A01AA"/>
    <w:rsid w:val="007A0563"/>
    <w:rsid w:val="007A0989"/>
    <w:rsid w:val="007A1106"/>
    <w:rsid w:val="007A1A2E"/>
    <w:rsid w:val="007A2296"/>
    <w:rsid w:val="007A24F0"/>
    <w:rsid w:val="007A29EC"/>
    <w:rsid w:val="007A31D2"/>
    <w:rsid w:val="007A408B"/>
    <w:rsid w:val="007A44AA"/>
    <w:rsid w:val="007A470C"/>
    <w:rsid w:val="007A48C1"/>
    <w:rsid w:val="007A4A4E"/>
    <w:rsid w:val="007A5490"/>
    <w:rsid w:val="007A60E3"/>
    <w:rsid w:val="007A6777"/>
    <w:rsid w:val="007A67DB"/>
    <w:rsid w:val="007A67EC"/>
    <w:rsid w:val="007A6AE5"/>
    <w:rsid w:val="007A6C75"/>
    <w:rsid w:val="007A7447"/>
    <w:rsid w:val="007B017E"/>
    <w:rsid w:val="007B01E4"/>
    <w:rsid w:val="007B0337"/>
    <w:rsid w:val="007B06EA"/>
    <w:rsid w:val="007B07D8"/>
    <w:rsid w:val="007B0C2D"/>
    <w:rsid w:val="007B0F35"/>
    <w:rsid w:val="007B0F95"/>
    <w:rsid w:val="007B1969"/>
    <w:rsid w:val="007B2912"/>
    <w:rsid w:val="007B2BF7"/>
    <w:rsid w:val="007B2E1D"/>
    <w:rsid w:val="007B2F94"/>
    <w:rsid w:val="007B3160"/>
    <w:rsid w:val="007B3CE4"/>
    <w:rsid w:val="007B4081"/>
    <w:rsid w:val="007B42F8"/>
    <w:rsid w:val="007B52A1"/>
    <w:rsid w:val="007B564A"/>
    <w:rsid w:val="007B5AD6"/>
    <w:rsid w:val="007B63AB"/>
    <w:rsid w:val="007B65D4"/>
    <w:rsid w:val="007B6808"/>
    <w:rsid w:val="007B6AC9"/>
    <w:rsid w:val="007B6BD0"/>
    <w:rsid w:val="007B7041"/>
    <w:rsid w:val="007C0448"/>
    <w:rsid w:val="007C0907"/>
    <w:rsid w:val="007C0BB8"/>
    <w:rsid w:val="007C1007"/>
    <w:rsid w:val="007C1050"/>
    <w:rsid w:val="007C106E"/>
    <w:rsid w:val="007C1B2B"/>
    <w:rsid w:val="007C1CBD"/>
    <w:rsid w:val="007C2226"/>
    <w:rsid w:val="007C2311"/>
    <w:rsid w:val="007C2AFA"/>
    <w:rsid w:val="007C2FE7"/>
    <w:rsid w:val="007C30EA"/>
    <w:rsid w:val="007C3975"/>
    <w:rsid w:val="007C3C3E"/>
    <w:rsid w:val="007C4347"/>
    <w:rsid w:val="007C48E5"/>
    <w:rsid w:val="007C532E"/>
    <w:rsid w:val="007C57D3"/>
    <w:rsid w:val="007C58FA"/>
    <w:rsid w:val="007C5E63"/>
    <w:rsid w:val="007C6156"/>
    <w:rsid w:val="007C61BF"/>
    <w:rsid w:val="007C6A7D"/>
    <w:rsid w:val="007C70E8"/>
    <w:rsid w:val="007C783B"/>
    <w:rsid w:val="007C7A55"/>
    <w:rsid w:val="007C7A9C"/>
    <w:rsid w:val="007D0253"/>
    <w:rsid w:val="007D0348"/>
    <w:rsid w:val="007D034E"/>
    <w:rsid w:val="007D080C"/>
    <w:rsid w:val="007D1039"/>
    <w:rsid w:val="007D161D"/>
    <w:rsid w:val="007D1CDB"/>
    <w:rsid w:val="007D290B"/>
    <w:rsid w:val="007D2B6B"/>
    <w:rsid w:val="007D2F00"/>
    <w:rsid w:val="007D3196"/>
    <w:rsid w:val="007D3325"/>
    <w:rsid w:val="007D37D9"/>
    <w:rsid w:val="007D3FB7"/>
    <w:rsid w:val="007D437E"/>
    <w:rsid w:val="007D4556"/>
    <w:rsid w:val="007D4600"/>
    <w:rsid w:val="007D4D3F"/>
    <w:rsid w:val="007D4E38"/>
    <w:rsid w:val="007D52C8"/>
    <w:rsid w:val="007D5706"/>
    <w:rsid w:val="007D58B3"/>
    <w:rsid w:val="007D599D"/>
    <w:rsid w:val="007D5B5A"/>
    <w:rsid w:val="007D646D"/>
    <w:rsid w:val="007D6A0D"/>
    <w:rsid w:val="007D6FEA"/>
    <w:rsid w:val="007D745B"/>
    <w:rsid w:val="007D7AFB"/>
    <w:rsid w:val="007D7B22"/>
    <w:rsid w:val="007D7B97"/>
    <w:rsid w:val="007E02F7"/>
    <w:rsid w:val="007E0392"/>
    <w:rsid w:val="007E05E6"/>
    <w:rsid w:val="007E0C7B"/>
    <w:rsid w:val="007E0DC0"/>
    <w:rsid w:val="007E1271"/>
    <w:rsid w:val="007E1C48"/>
    <w:rsid w:val="007E2353"/>
    <w:rsid w:val="007E2B94"/>
    <w:rsid w:val="007E37F6"/>
    <w:rsid w:val="007E3A1A"/>
    <w:rsid w:val="007E3C00"/>
    <w:rsid w:val="007E4498"/>
    <w:rsid w:val="007E465C"/>
    <w:rsid w:val="007E5B88"/>
    <w:rsid w:val="007E683E"/>
    <w:rsid w:val="007E703A"/>
    <w:rsid w:val="007E75C6"/>
    <w:rsid w:val="007F0C1B"/>
    <w:rsid w:val="007F0D0B"/>
    <w:rsid w:val="007F0E29"/>
    <w:rsid w:val="007F11E4"/>
    <w:rsid w:val="007F125B"/>
    <w:rsid w:val="007F16D7"/>
    <w:rsid w:val="007F204F"/>
    <w:rsid w:val="007F2395"/>
    <w:rsid w:val="007F3545"/>
    <w:rsid w:val="007F44C8"/>
    <w:rsid w:val="007F4577"/>
    <w:rsid w:val="007F46B1"/>
    <w:rsid w:val="007F54E0"/>
    <w:rsid w:val="007F5563"/>
    <w:rsid w:val="007F5639"/>
    <w:rsid w:val="007F7154"/>
    <w:rsid w:val="007F7432"/>
    <w:rsid w:val="00800426"/>
    <w:rsid w:val="008007A8"/>
    <w:rsid w:val="008010F8"/>
    <w:rsid w:val="0080157C"/>
    <w:rsid w:val="00801C7F"/>
    <w:rsid w:val="00801EDC"/>
    <w:rsid w:val="008020DB"/>
    <w:rsid w:val="0080244D"/>
    <w:rsid w:val="008024D4"/>
    <w:rsid w:val="008028FE"/>
    <w:rsid w:val="00802BE6"/>
    <w:rsid w:val="00802FB3"/>
    <w:rsid w:val="008030B4"/>
    <w:rsid w:val="008036CA"/>
    <w:rsid w:val="00803AFC"/>
    <w:rsid w:val="00803F05"/>
    <w:rsid w:val="008042D9"/>
    <w:rsid w:val="0080437B"/>
    <w:rsid w:val="0080497A"/>
    <w:rsid w:val="00804B5E"/>
    <w:rsid w:val="00804DA2"/>
    <w:rsid w:val="00805212"/>
    <w:rsid w:val="00805691"/>
    <w:rsid w:val="00805ED8"/>
    <w:rsid w:val="008066F1"/>
    <w:rsid w:val="00806A85"/>
    <w:rsid w:val="00806C5B"/>
    <w:rsid w:val="00806F3D"/>
    <w:rsid w:val="00807911"/>
    <w:rsid w:val="00807B2C"/>
    <w:rsid w:val="00807B5B"/>
    <w:rsid w:val="00807FBE"/>
    <w:rsid w:val="0081055B"/>
    <w:rsid w:val="0081076F"/>
    <w:rsid w:val="0081201F"/>
    <w:rsid w:val="00812329"/>
    <w:rsid w:val="008127C2"/>
    <w:rsid w:val="0081290F"/>
    <w:rsid w:val="00812EFD"/>
    <w:rsid w:val="00813158"/>
    <w:rsid w:val="008134F2"/>
    <w:rsid w:val="0081360D"/>
    <w:rsid w:val="00813A14"/>
    <w:rsid w:val="00813A2A"/>
    <w:rsid w:val="00813DBD"/>
    <w:rsid w:val="00813DED"/>
    <w:rsid w:val="008143EA"/>
    <w:rsid w:val="00814470"/>
    <w:rsid w:val="008147D3"/>
    <w:rsid w:val="008148D5"/>
    <w:rsid w:val="00814FC0"/>
    <w:rsid w:val="0081503C"/>
    <w:rsid w:val="008150EC"/>
    <w:rsid w:val="008151F6"/>
    <w:rsid w:val="008154DF"/>
    <w:rsid w:val="00815ABC"/>
    <w:rsid w:val="00815B52"/>
    <w:rsid w:val="00815C6D"/>
    <w:rsid w:val="00815FDE"/>
    <w:rsid w:val="008161C5"/>
    <w:rsid w:val="00816BF2"/>
    <w:rsid w:val="00817240"/>
    <w:rsid w:val="0081786D"/>
    <w:rsid w:val="00817C73"/>
    <w:rsid w:val="00817DCC"/>
    <w:rsid w:val="0082134E"/>
    <w:rsid w:val="0082135F"/>
    <w:rsid w:val="00821393"/>
    <w:rsid w:val="0082160C"/>
    <w:rsid w:val="008217B3"/>
    <w:rsid w:val="00821BFC"/>
    <w:rsid w:val="00821E1C"/>
    <w:rsid w:val="00821E9A"/>
    <w:rsid w:val="008220AB"/>
    <w:rsid w:val="00822252"/>
    <w:rsid w:val="008224BD"/>
    <w:rsid w:val="00822551"/>
    <w:rsid w:val="00822C3B"/>
    <w:rsid w:val="00822C3D"/>
    <w:rsid w:val="00823005"/>
    <w:rsid w:val="008232F2"/>
    <w:rsid w:val="008233BA"/>
    <w:rsid w:val="008235DE"/>
    <w:rsid w:val="008242F3"/>
    <w:rsid w:val="00824A9B"/>
    <w:rsid w:val="008253C1"/>
    <w:rsid w:val="00825E01"/>
    <w:rsid w:val="00825F2F"/>
    <w:rsid w:val="008260C4"/>
    <w:rsid w:val="00826DF6"/>
    <w:rsid w:val="0082747C"/>
    <w:rsid w:val="0082774B"/>
    <w:rsid w:val="00827755"/>
    <w:rsid w:val="008278D9"/>
    <w:rsid w:val="00827958"/>
    <w:rsid w:val="008301A6"/>
    <w:rsid w:val="008301E5"/>
    <w:rsid w:val="00830858"/>
    <w:rsid w:val="00830929"/>
    <w:rsid w:val="00831390"/>
    <w:rsid w:val="00831F33"/>
    <w:rsid w:val="00832204"/>
    <w:rsid w:val="0083246C"/>
    <w:rsid w:val="00832B86"/>
    <w:rsid w:val="00833A1E"/>
    <w:rsid w:val="00834056"/>
    <w:rsid w:val="008346EA"/>
    <w:rsid w:val="00834A69"/>
    <w:rsid w:val="00834EFA"/>
    <w:rsid w:val="008358F1"/>
    <w:rsid w:val="0083610C"/>
    <w:rsid w:val="0083646E"/>
    <w:rsid w:val="0083667F"/>
    <w:rsid w:val="00836837"/>
    <w:rsid w:val="00836CF6"/>
    <w:rsid w:val="008373B3"/>
    <w:rsid w:val="0084037D"/>
    <w:rsid w:val="00840B24"/>
    <w:rsid w:val="00841FA0"/>
    <w:rsid w:val="008424E3"/>
    <w:rsid w:val="00842939"/>
    <w:rsid w:val="00842A3A"/>
    <w:rsid w:val="008437C7"/>
    <w:rsid w:val="00843958"/>
    <w:rsid w:val="008441EC"/>
    <w:rsid w:val="0084434D"/>
    <w:rsid w:val="0084457A"/>
    <w:rsid w:val="008449B9"/>
    <w:rsid w:val="00844BFE"/>
    <w:rsid w:val="00845885"/>
    <w:rsid w:val="008458E0"/>
    <w:rsid w:val="0084616D"/>
    <w:rsid w:val="00846198"/>
    <w:rsid w:val="00846648"/>
    <w:rsid w:val="00846770"/>
    <w:rsid w:val="00846954"/>
    <w:rsid w:val="00846CAB"/>
    <w:rsid w:val="00846CB8"/>
    <w:rsid w:val="00847191"/>
    <w:rsid w:val="00847220"/>
    <w:rsid w:val="008475D4"/>
    <w:rsid w:val="008475E4"/>
    <w:rsid w:val="00847837"/>
    <w:rsid w:val="008478C6"/>
    <w:rsid w:val="00847A6C"/>
    <w:rsid w:val="00847C28"/>
    <w:rsid w:val="00847E3B"/>
    <w:rsid w:val="0085030B"/>
    <w:rsid w:val="008504B6"/>
    <w:rsid w:val="00850857"/>
    <w:rsid w:val="00850BB6"/>
    <w:rsid w:val="00850DFE"/>
    <w:rsid w:val="00850E25"/>
    <w:rsid w:val="00851A3C"/>
    <w:rsid w:val="00852C22"/>
    <w:rsid w:val="0085327A"/>
    <w:rsid w:val="008532BA"/>
    <w:rsid w:val="008534A8"/>
    <w:rsid w:val="008535D1"/>
    <w:rsid w:val="00854490"/>
    <w:rsid w:val="0085452F"/>
    <w:rsid w:val="00854552"/>
    <w:rsid w:val="00854F07"/>
    <w:rsid w:val="0085569A"/>
    <w:rsid w:val="008557C1"/>
    <w:rsid w:val="00856726"/>
    <w:rsid w:val="0085690C"/>
    <w:rsid w:val="00856CE6"/>
    <w:rsid w:val="00856EA4"/>
    <w:rsid w:val="008574CD"/>
    <w:rsid w:val="008574DB"/>
    <w:rsid w:val="008604D9"/>
    <w:rsid w:val="00860852"/>
    <w:rsid w:val="00860CBC"/>
    <w:rsid w:val="008615DB"/>
    <w:rsid w:val="008615F9"/>
    <w:rsid w:val="0086180B"/>
    <w:rsid w:val="00861B8D"/>
    <w:rsid w:val="00861BB8"/>
    <w:rsid w:val="00861F85"/>
    <w:rsid w:val="0086254F"/>
    <w:rsid w:val="00862CA0"/>
    <w:rsid w:val="00862D69"/>
    <w:rsid w:val="00862D80"/>
    <w:rsid w:val="008631DD"/>
    <w:rsid w:val="00863415"/>
    <w:rsid w:val="008638C7"/>
    <w:rsid w:val="008643D4"/>
    <w:rsid w:val="00864571"/>
    <w:rsid w:val="008645B6"/>
    <w:rsid w:val="00864C4B"/>
    <w:rsid w:val="0086558C"/>
    <w:rsid w:val="008655BB"/>
    <w:rsid w:val="0086586D"/>
    <w:rsid w:val="00865991"/>
    <w:rsid w:val="00865AAF"/>
    <w:rsid w:val="00865D29"/>
    <w:rsid w:val="008662DC"/>
    <w:rsid w:val="008665BC"/>
    <w:rsid w:val="008668BD"/>
    <w:rsid w:val="008668EF"/>
    <w:rsid w:val="008672C3"/>
    <w:rsid w:val="00867348"/>
    <w:rsid w:val="00867435"/>
    <w:rsid w:val="00867583"/>
    <w:rsid w:val="00870309"/>
    <w:rsid w:val="0087082E"/>
    <w:rsid w:val="00871739"/>
    <w:rsid w:val="00872037"/>
    <w:rsid w:val="008721CF"/>
    <w:rsid w:val="008724DE"/>
    <w:rsid w:val="008729BA"/>
    <w:rsid w:val="00872F67"/>
    <w:rsid w:val="00873D60"/>
    <w:rsid w:val="00873ECC"/>
    <w:rsid w:val="008744F9"/>
    <w:rsid w:val="008755A9"/>
    <w:rsid w:val="008758D9"/>
    <w:rsid w:val="00875FA0"/>
    <w:rsid w:val="0087660C"/>
    <w:rsid w:val="00876B69"/>
    <w:rsid w:val="00876D2C"/>
    <w:rsid w:val="0087712F"/>
    <w:rsid w:val="00877376"/>
    <w:rsid w:val="0087766E"/>
    <w:rsid w:val="00877AF0"/>
    <w:rsid w:val="00877B46"/>
    <w:rsid w:val="00877B6F"/>
    <w:rsid w:val="008801DC"/>
    <w:rsid w:val="0088022F"/>
    <w:rsid w:val="00880815"/>
    <w:rsid w:val="00880CCF"/>
    <w:rsid w:val="00881154"/>
    <w:rsid w:val="00881796"/>
    <w:rsid w:val="00882410"/>
    <w:rsid w:val="0088246E"/>
    <w:rsid w:val="00882546"/>
    <w:rsid w:val="008825D5"/>
    <w:rsid w:val="00882B0A"/>
    <w:rsid w:val="00882F35"/>
    <w:rsid w:val="00882FA8"/>
    <w:rsid w:val="00883093"/>
    <w:rsid w:val="0088313B"/>
    <w:rsid w:val="0088315B"/>
    <w:rsid w:val="00883662"/>
    <w:rsid w:val="0088380B"/>
    <w:rsid w:val="00884826"/>
    <w:rsid w:val="00884FD7"/>
    <w:rsid w:val="00885004"/>
    <w:rsid w:val="0088520C"/>
    <w:rsid w:val="00885CC6"/>
    <w:rsid w:val="008871E3"/>
    <w:rsid w:val="008875E2"/>
    <w:rsid w:val="00887701"/>
    <w:rsid w:val="00887AF8"/>
    <w:rsid w:val="00887C81"/>
    <w:rsid w:val="00887CF0"/>
    <w:rsid w:val="0089075A"/>
    <w:rsid w:val="008910D7"/>
    <w:rsid w:val="008911AC"/>
    <w:rsid w:val="00891255"/>
    <w:rsid w:val="0089136D"/>
    <w:rsid w:val="00891865"/>
    <w:rsid w:val="00891C40"/>
    <w:rsid w:val="00891DEB"/>
    <w:rsid w:val="00891E34"/>
    <w:rsid w:val="00892CB5"/>
    <w:rsid w:val="00892EE9"/>
    <w:rsid w:val="00892F98"/>
    <w:rsid w:val="00893A58"/>
    <w:rsid w:val="0089435C"/>
    <w:rsid w:val="00894726"/>
    <w:rsid w:val="008950D1"/>
    <w:rsid w:val="00895170"/>
    <w:rsid w:val="00895256"/>
    <w:rsid w:val="008956F2"/>
    <w:rsid w:val="008957E8"/>
    <w:rsid w:val="00895B9B"/>
    <w:rsid w:val="00895BF2"/>
    <w:rsid w:val="00896620"/>
    <w:rsid w:val="0089674E"/>
    <w:rsid w:val="008973A7"/>
    <w:rsid w:val="008975FD"/>
    <w:rsid w:val="00897A36"/>
    <w:rsid w:val="008A099B"/>
    <w:rsid w:val="008A0CF2"/>
    <w:rsid w:val="008A0E32"/>
    <w:rsid w:val="008A1491"/>
    <w:rsid w:val="008A1597"/>
    <w:rsid w:val="008A168C"/>
    <w:rsid w:val="008A1747"/>
    <w:rsid w:val="008A1787"/>
    <w:rsid w:val="008A1C3E"/>
    <w:rsid w:val="008A1C5C"/>
    <w:rsid w:val="008A201A"/>
    <w:rsid w:val="008A2238"/>
    <w:rsid w:val="008A2CF5"/>
    <w:rsid w:val="008A3B72"/>
    <w:rsid w:val="008A3D57"/>
    <w:rsid w:val="008A3FAE"/>
    <w:rsid w:val="008A4158"/>
    <w:rsid w:val="008A4273"/>
    <w:rsid w:val="008A4D42"/>
    <w:rsid w:val="008A4FEE"/>
    <w:rsid w:val="008A55C1"/>
    <w:rsid w:val="008A571B"/>
    <w:rsid w:val="008A5B9E"/>
    <w:rsid w:val="008A66A2"/>
    <w:rsid w:val="008A6BFD"/>
    <w:rsid w:val="008A6DA0"/>
    <w:rsid w:val="008A6EB3"/>
    <w:rsid w:val="008A711B"/>
    <w:rsid w:val="008A7610"/>
    <w:rsid w:val="008A7F90"/>
    <w:rsid w:val="008B01FC"/>
    <w:rsid w:val="008B0766"/>
    <w:rsid w:val="008B0B83"/>
    <w:rsid w:val="008B0BC2"/>
    <w:rsid w:val="008B14F3"/>
    <w:rsid w:val="008B1740"/>
    <w:rsid w:val="008B1A73"/>
    <w:rsid w:val="008B1B6E"/>
    <w:rsid w:val="008B2097"/>
    <w:rsid w:val="008B23BC"/>
    <w:rsid w:val="008B2619"/>
    <w:rsid w:val="008B26AC"/>
    <w:rsid w:val="008B2D7A"/>
    <w:rsid w:val="008B2F59"/>
    <w:rsid w:val="008B3484"/>
    <w:rsid w:val="008B3899"/>
    <w:rsid w:val="008B3D82"/>
    <w:rsid w:val="008B3D87"/>
    <w:rsid w:val="008B4643"/>
    <w:rsid w:val="008B480C"/>
    <w:rsid w:val="008B5652"/>
    <w:rsid w:val="008B5A17"/>
    <w:rsid w:val="008B6AC2"/>
    <w:rsid w:val="008B6EF7"/>
    <w:rsid w:val="008B72D3"/>
    <w:rsid w:val="008B7324"/>
    <w:rsid w:val="008B755C"/>
    <w:rsid w:val="008B7D58"/>
    <w:rsid w:val="008C027B"/>
    <w:rsid w:val="008C1A99"/>
    <w:rsid w:val="008C2701"/>
    <w:rsid w:val="008C2B3D"/>
    <w:rsid w:val="008C2BB0"/>
    <w:rsid w:val="008C3A4E"/>
    <w:rsid w:val="008C3BA7"/>
    <w:rsid w:val="008C41DE"/>
    <w:rsid w:val="008C480A"/>
    <w:rsid w:val="008C4883"/>
    <w:rsid w:val="008C4B67"/>
    <w:rsid w:val="008C5EEE"/>
    <w:rsid w:val="008C5F23"/>
    <w:rsid w:val="008C606B"/>
    <w:rsid w:val="008C6184"/>
    <w:rsid w:val="008C61F9"/>
    <w:rsid w:val="008C65A5"/>
    <w:rsid w:val="008C694E"/>
    <w:rsid w:val="008C6BED"/>
    <w:rsid w:val="008C6EEB"/>
    <w:rsid w:val="008C781D"/>
    <w:rsid w:val="008C7D79"/>
    <w:rsid w:val="008D0C86"/>
    <w:rsid w:val="008D0D7E"/>
    <w:rsid w:val="008D10AA"/>
    <w:rsid w:val="008D1DFE"/>
    <w:rsid w:val="008D2015"/>
    <w:rsid w:val="008D2926"/>
    <w:rsid w:val="008D2E07"/>
    <w:rsid w:val="008D33B3"/>
    <w:rsid w:val="008D35DD"/>
    <w:rsid w:val="008D43E0"/>
    <w:rsid w:val="008D49DC"/>
    <w:rsid w:val="008D50F0"/>
    <w:rsid w:val="008D5403"/>
    <w:rsid w:val="008D54C6"/>
    <w:rsid w:val="008D5D48"/>
    <w:rsid w:val="008D5E5A"/>
    <w:rsid w:val="008D6183"/>
    <w:rsid w:val="008D62AB"/>
    <w:rsid w:val="008D6714"/>
    <w:rsid w:val="008D7312"/>
    <w:rsid w:val="008D77D7"/>
    <w:rsid w:val="008D7A4E"/>
    <w:rsid w:val="008D7A69"/>
    <w:rsid w:val="008D7BD5"/>
    <w:rsid w:val="008D7CA0"/>
    <w:rsid w:val="008E05C5"/>
    <w:rsid w:val="008E0AFC"/>
    <w:rsid w:val="008E0F06"/>
    <w:rsid w:val="008E188A"/>
    <w:rsid w:val="008E226B"/>
    <w:rsid w:val="008E23DE"/>
    <w:rsid w:val="008E2474"/>
    <w:rsid w:val="008E295A"/>
    <w:rsid w:val="008E298A"/>
    <w:rsid w:val="008E2AA9"/>
    <w:rsid w:val="008E300C"/>
    <w:rsid w:val="008E309E"/>
    <w:rsid w:val="008E328C"/>
    <w:rsid w:val="008E3A43"/>
    <w:rsid w:val="008E3BEA"/>
    <w:rsid w:val="008E3C25"/>
    <w:rsid w:val="008E3D60"/>
    <w:rsid w:val="008E3F4C"/>
    <w:rsid w:val="008E40AF"/>
    <w:rsid w:val="008E5686"/>
    <w:rsid w:val="008E5B14"/>
    <w:rsid w:val="008E69A4"/>
    <w:rsid w:val="008E79BB"/>
    <w:rsid w:val="008E7F33"/>
    <w:rsid w:val="008F001D"/>
    <w:rsid w:val="008F02B2"/>
    <w:rsid w:val="008F062E"/>
    <w:rsid w:val="008F2085"/>
    <w:rsid w:val="008F29D7"/>
    <w:rsid w:val="008F3774"/>
    <w:rsid w:val="008F37F8"/>
    <w:rsid w:val="008F5541"/>
    <w:rsid w:val="008F5B32"/>
    <w:rsid w:val="008F626B"/>
    <w:rsid w:val="008F679B"/>
    <w:rsid w:val="008F684A"/>
    <w:rsid w:val="008F6B3A"/>
    <w:rsid w:val="008F6DA3"/>
    <w:rsid w:val="008F6E0F"/>
    <w:rsid w:val="008F7302"/>
    <w:rsid w:val="008F73E2"/>
    <w:rsid w:val="008F7417"/>
    <w:rsid w:val="008F7F09"/>
    <w:rsid w:val="00900E8C"/>
    <w:rsid w:val="009013FE"/>
    <w:rsid w:val="009014EF"/>
    <w:rsid w:val="0090165F"/>
    <w:rsid w:val="0090186D"/>
    <w:rsid w:val="00901B82"/>
    <w:rsid w:val="00901DB7"/>
    <w:rsid w:val="009021B9"/>
    <w:rsid w:val="0090264A"/>
    <w:rsid w:val="0090284B"/>
    <w:rsid w:val="00902A02"/>
    <w:rsid w:val="0090346C"/>
    <w:rsid w:val="0090360A"/>
    <w:rsid w:val="009037F7"/>
    <w:rsid w:val="00904230"/>
    <w:rsid w:val="00904394"/>
    <w:rsid w:val="00904981"/>
    <w:rsid w:val="00904F4C"/>
    <w:rsid w:val="009053B0"/>
    <w:rsid w:val="00905667"/>
    <w:rsid w:val="00905668"/>
    <w:rsid w:val="00906643"/>
    <w:rsid w:val="009067CC"/>
    <w:rsid w:val="00906D53"/>
    <w:rsid w:val="0090762F"/>
    <w:rsid w:val="009077DB"/>
    <w:rsid w:val="00910119"/>
    <w:rsid w:val="00910A45"/>
    <w:rsid w:val="009112C7"/>
    <w:rsid w:val="009114BE"/>
    <w:rsid w:val="00911D9E"/>
    <w:rsid w:val="00911E43"/>
    <w:rsid w:val="00912124"/>
    <w:rsid w:val="00912B09"/>
    <w:rsid w:val="00912E2F"/>
    <w:rsid w:val="00912E9C"/>
    <w:rsid w:val="009133DB"/>
    <w:rsid w:val="009139C0"/>
    <w:rsid w:val="00914486"/>
    <w:rsid w:val="00915111"/>
    <w:rsid w:val="00915181"/>
    <w:rsid w:val="009157A7"/>
    <w:rsid w:val="009158D1"/>
    <w:rsid w:val="00915A80"/>
    <w:rsid w:val="00915E8C"/>
    <w:rsid w:val="009166D9"/>
    <w:rsid w:val="0091704E"/>
    <w:rsid w:val="00917092"/>
    <w:rsid w:val="009171ED"/>
    <w:rsid w:val="009173A4"/>
    <w:rsid w:val="0091747A"/>
    <w:rsid w:val="0091754E"/>
    <w:rsid w:val="00917965"/>
    <w:rsid w:val="00917D91"/>
    <w:rsid w:val="00920C24"/>
    <w:rsid w:val="009212A3"/>
    <w:rsid w:val="00921CD9"/>
    <w:rsid w:val="00921F64"/>
    <w:rsid w:val="009225E2"/>
    <w:rsid w:val="00922990"/>
    <w:rsid w:val="00922A46"/>
    <w:rsid w:val="00922C9D"/>
    <w:rsid w:val="009232CD"/>
    <w:rsid w:val="00923D7C"/>
    <w:rsid w:val="00924565"/>
    <w:rsid w:val="00924B66"/>
    <w:rsid w:val="00924C7A"/>
    <w:rsid w:val="00925799"/>
    <w:rsid w:val="00925D43"/>
    <w:rsid w:val="00925F5E"/>
    <w:rsid w:val="00926785"/>
    <w:rsid w:val="00926CA3"/>
    <w:rsid w:val="00926CB4"/>
    <w:rsid w:val="009270B3"/>
    <w:rsid w:val="009273E0"/>
    <w:rsid w:val="0092742D"/>
    <w:rsid w:val="00927512"/>
    <w:rsid w:val="00927782"/>
    <w:rsid w:val="009277FB"/>
    <w:rsid w:val="00927BA5"/>
    <w:rsid w:val="00927D73"/>
    <w:rsid w:val="00927F29"/>
    <w:rsid w:val="00930EB0"/>
    <w:rsid w:val="00931321"/>
    <w:rsid w:val="00931A05"/>
    <w:rsid w:val="00931A29"/>
    <w:rsid w:val="00931B8F"/>
    <w:rsid w:val="00932242"/>
    <w:rsid w:val="009329E9"/>
    <w:rsid w:val="0093363E"/>
    <w:rsid w:val="0093395B"/>
    <w:rsid w:val="00933D1F"/>
    <w:rsid w:val="00934343"/>
    <w:rsid w:val="00935667"/>
    <w:rsid w:val="00935888"/>
    <w:rsid w:val="009359A4"/>
    <w:rsid w:val="00935A95"/>
    <w:rsid w:val="00936B93"/>
    <w:rsid w:val="00936C8F"/>
    <w:rsid w:val="00937212"/>
    <w:rsid w:val="009374EA"/>
    <w:rsid w:val="00937906"/>
    <w:rsid w:val="00937DD0"/>
    <w:rsid w:val="009402AE"/>
    <w:rsid w:val="00940838"/>
    <w:rsid w:val="00940D4F"/>
    <w:rsid w:val="0094202E"/>
    <w:rsid w:val="009424EF"/>
    <w:rsid w:val="00942516"/>
    <w:rsid w:val="00942549"/>
    <w:rsid w:val="00942666"/>
    <w:rsid w:val="009427F4"/>
    <w:rsid w:val="00942D24"/>
    <w:rsid w:val="009432CF"/>
    <w:rsid w:val="009435D9"/>
    <w:rsid w:val="00943898"/>
    <w:rsid w:val="009439E7"/>
    <w:rsid w:val="00944E5E"/>
    <w:rsid w:val="009454EE"/>
    <w:rsid w:val="00945934"/>
    <w:rsid w:val="0094639A"/>
    <w:rsid w:val="009463B4"/>
    <w:rsid w:val="009466C5"/>
    <w:rsid w:val="009469BA"/>
    <w:rsid w:val="00950347"/>
    <w:rsid w:val="00950495"/>
    <w:rsid w:val="00950F38"/>
    <w:rsid w:val="00950FF9"/>
    <w:rsid w:val="009511B2"/>
    <w:rsid w:val="00951360"/>
    <w:rsid w:val="00951AB1"/>
    <w:rsid w:val="00951C6E"/>
    <w:rsid w:val="00951C94"/>
    <w:rsid w:val="00951ED3"/>
    <w:rsid w:val="00951FD3"/>
    <w:rsid w:val="00952897"/>
    <w:rsid w:val="009534CE"/>
    <w:rsid w:val="009535C9"/>
    <w:rsid w:val="00953AB5"/>
    <w:rsid w:val="00953C4B"/>
    <w:rsid w:val="00954CA7"/>
    <w:rsid w:val="00954ED0"/>
    <w:rsid w:val="00955895"/>
    <w:rsid w:val="0095591B"/>
    <w:rsid w:val="00955BFB"/>
    <w:rsid w:val="00955C33"/>
    <w:rsid w:val="00956221"/>
    <w:rsid w:val="00956E91"/>
    <w:rsid w:val="00957A26"/>
    <w:rsid w:val="00957C1D"/>
    <w:rsid w:val="00957F67"/>
    <w:rsid w:val="00960CFE"/>
    <w:rsid w:val="00961AB8"/>
    <w:rsid w:val="00961F70"/>
    <w:rsid w:val="0096232A"/>
    <w:rsid w:val="0096269D"/>
    <w:rsid w:val="00962E9A"/>
    <w:rsid w:val="0096361D"/>
    <w:rsid w:val="00963675"/>
    <w:rsid w:val="009637B7"/>
    <w:rsid w:val="00963C4B"/>
    <w:rsid w:val="00963FE2"/>
    <w:rsid w:val="00964810"/>
    <w:rsid w:val="00965749"/>
    <w:rsid w:val="00965B8F"/>
    <w:rsid w:val="009668ED"/>
    <w:rsid w:val="00966C2F"/>
    <w:rsid w:val="00966EA0"/>
    <w:rsid w:val="0096716F"/>
    <w:rsid w:val="00967347"/>
    <w:rsid w:val="0096742A"/>
    <w:rsid w:val="00967BC2"/>
    <w:rsid w:val="00967D73"/>
    <w:rsid w:val="009700D1"/>
    <w:rsid w:val="0097026D"/>
    <w:rsid w:val="00970462"/>
    <w:rsid w:val="00970C19"/>
    <w:rsid w:val="0097130A"/>
    <w:rsid w:val="00971625"/>
    <w:rsid w:val="0097199A"/>
    <w:rsid w:val="00971C82"/>
    <w:rsid w:val="00971C8A"/>
    <w:rsid w:val="009724CF"/>
    <w:rsid w:val="00972C51"/>
    <w:rsid w:val="00972E7B"/>
    <w:rsid w:val="00973000"/>
    <w:rsid w:val="00973071"/>
    <w:rsid w:val="009732BA"/>
    <w:rsid w:val="009733C5"/>
    <w:rsid w:val="009736A6"/>
    <w:rsid w:val="00973958"/>
    <w:rsid w:val="00973BAC"/>
    <w:rsid w:val="00973F26"/>
    <w:rsid w:val="009741BA"/>
    <w:rsid w:val="00974954"/>
    <w:rsid w:val="0097512B"/>
    <w:rsid w:val="00975930"/>
    <w:rsid w:val="0097648A"/>
    <w:rsid w:val="0097664C"/>
    <w:rsid w:val="00977A58"/>
    <w:rsid w:val="00977FB9"/>
    <w:rsid w:val="0098021A"/>
    <w:rsid w:val="0098050F"/>
    <w:rsid w:val="00980692"/>
    <w:rsid w:val="009806D5"/>
    <w:rsid w:val="00980DC6"/>
    <w:rsid w:val="00981188"/>
    <w:rsid w:val="009812C0"/>
    <w:rsid w:val="00981B9E"/>
    <w:rsid w:val="009820ED"/>
    <w:rsid w:val="00982404"/>
    <w:rsid w:val="009825DA"/>
    <w:rsid w:val="00982968"/>
    <w:rsid w:val="0098330C"/>
    <w:rsid w:val="00983611"/>
    <w:rsid w:val="00983E75"/>
    <w:rsid w:val="009846A2"/>
    <w:rsid w:val="009848F4"/>
    <w:rsid w:val="00984C85"/>
    <w:rsid w:val="00984E5A"/>
    <w:rsid w:val="009851F4"/>
    <w:rsid w:val="00985D11"/>
    <w:rsid w:val="00985D1B"/>
    <w:rsid w:val="00986428"/>
    <w:rsid w:val="009868C8"/>
    <w:rsid w:val="009871E2"/>
    <w:rsid w:val="00987781"/>
    <w:rsid w:val="009878AD"/>
    <w:rsid w:val="009878E8"/>
    <w:rsid w:val="00990BDB"/>
    <w:rsid w:val="00990C3A"/>
    <w:rsid w:val="00990CF8"/>
    <w:rsid w:val="0099136F"/>
    <w:rsid w:val="009913B4"/>
    <w:rsid w:val="00991674"/>
    <w:rsid w:val="0099172C"/>
    <w:rsid w:val="00991956"/>
    <w:rsid w:val="00991A9C"/>
    <w:rsid w:val="00991E02"/>
    <w:rsid w:val="0099220E"/>
    <w:rsid w:val="00992480"/>
    <w:rsid w:val="00992974"/>
    <w:rsid w:val="00993102"/>
    <w:rsid w:val="00993478"/>
    <w:rsid w:val="00993874"/>
    <w:rsid w:val="00994953"/>
    <w:rsid w:val="009952A0"/>
    <w:rsid w:val="0099585B"/>
    <w:rsid w:val="00996140"/>
    <w:rsid w:val="0099671A"/>
    <w:rsid w:val="00996F82"/>
    <w:rsid w:val="00997313"/>
    <w:rsid w:val="009976C0"/>
    <w:rsid w:val="009A0A81"/>
    <w:rsid w:val="009A0BE2"/>
    <w:rsid w:val="009A1259"/>
    <w:rsid w:val="009A166B"/>
    <w:rsid w:val="009A1BC1"/>
    <w:rsid w:val="009A1EB5"/>
    <w:rsid w:val="009A290F"/>
    <w:rsid w:val="009A29AA"/>
    <w:rsid w:val="009A2BDF"/>
    <w:rsid w:val="009A2E42"/>
    <w:rsid w:val="009A2EEA"/>
    <w:rsid w:val="009A31A4"/>
    <w:rsid w:val="009A3270"/>
    <w:rsid w:val="009A3741"/>
    <w:rsid w:val="009A41AE"/>
    <w:rsid w:val="009A4AB1"/>
    <w:rsid w:val="009A59CE"/>
    <w:rsid w:val="009A688F"/>
    <w:rsid w:val="009A70C0"/>
    <w:rsid w:val="009A71A4"/>
    <w:rsid w:val="009A7F79"/>
    <w:rsid w:val="009B009C"/>
    <w:rsid w:val="009B06A9"/>
    <w:rsid w:val="009B083A"/>
    <w:rsid w:val="009B0BC1"/>
    <w:rsid w:val="009B1503"/>
    <w:rsid w:val="009B1608"/>
    <w:rsid w:val="009B1BD8"/>
    <w:rsid w:val="009B2120"/>
    <w:rsid w:val="009B24EC"/>
    <w:rsid w:val="009B2654"/>
    <w:rsid w:val="009B2897"/>
    <w:rsid w:val="009B2D68"/>
    <w:rsid w:val="009B39B8"/>
    <w:rsid w:val="009B436E"/>
    <w:rsid w:val="009B477F"/>
    <w:rsid w:val="009B4F21"/>
    <w:rsid w:val="009B5777"/>
    <w:rsid w:val="009B68FF"/>
    <w:rsid w:val="009B6B7B"/>
    <w:rsid w:val="009B6C0A"/>
    <w:rsid w:val="009B6EAB"/>
    <w:rsid w:val="009B7549"/>
    <w:rsid w:val="009C0164"/>
    <w:rsid w:val="009C03E0"/>
    <w:rsid w:val="009C03E8"/>
    <w:rsid w:val="009C0BF0"/>
    <w:rsid w:val="009C0CF0"/>
    <w:rsid w:val="009C1366"/>
    <w:rsid w:val="009C1432"/>
    <w:rsid w:val="009C1794"/>
    <w:rsid w:val="009C35BB"/>
    <w:rsid w:val="009C37D3"/>
    <w:rsid w:val="009C3AF0"/>
    <w:rsid w:val="009C3BDC"/>
    <w:rsid w:val="009C3C16"/>
    <w:rsid w:val="009C3EE7"/>
    <w:rsid w:val="009C4F6E"/>
    <w:rsid w:val="009C63BA"/>
    <w:rsid w:val="009C6549"/>
    <w:rsid w:val="009C6D2A"/>
    <w:rsid w:val="009C6F7D"/>
    <w:rsid w:val="009C7709"/>
    <w:rsid w:val="009D027C"/>
    <w:rsid w:val="009D07F3"/>
    <w:rsid w:val="009D087E"/>
    <w:rsid w:val="009D19CC"/>
    <w:rsid w:val="009D2387"/>
    <w:rsid w:val="009D2BF5"/>
    <w:rsid w:val="009D2C4B"/>
    <w:rsid w:val="009D3041"/>
    <w:rsid w:val="009D3E84"/>
    <w:rsid w:val="009D4282"/>
    <w:rsid w:val="009D45D3"/>
    <w:rsid w:val="009D45DA"/>
    <w:rsid w:val="009D5BA8"/>
    <w:rsid w:val="009D5E4B"/>
    <w:rsid w:val="009D60AE"/>
    <w:rsid w:val="009D67F6"/>
    <w:rsid w:val="009D6DD9"/>
    <w:rsid w:val="009D7580"/>
    <w:rsid w:val="009D76D3"/>
    <w:rsid w:val="009D7A3B"/>
    <w:rsid w:val="009D7D85"/>
    <w:rsid w:val="009D7E1C"/>
    <w:rsid w:val="009E0782"/>
    <w:rsid w:val="009E08D1"/>
    <w:rsid w:val="009E0FE1"/>
    <w:rsid w:val="009E123D"/>
    <w:rsid w:val="009E1E1D"/>
    <w:rsid w:val="009E1E5F"/>
    <w:rsid w:val="009E2011"/>
    <w:rsid w:val="009E2429"/>
    <w:rsid w:val="009E25F5"/>
    <w:rsid w:val="009E2622"/>
    <w:rsid w:val="009E272E"/>
    <w:rsid w:val="009E3451"/>
    <w:rsid w:val="009E394C"/>
    <w:rsid w:val="009E3CE0"/>
    <w:rsid w:val="009E3E63"/>
    <w:rsid w:val="009E447E"/>
    <w:rsid w:val="009E45E5"/>
    <w:rsid w:val="009E48D6"/>
    <w:rsid w:val="009E494A"/>
    <w:rsid w:val="009E4BD0"/>
    <w:rsid w:val="009E5206"/>
    <w:rsid w:val="009E5E16"/>
    <w:rsid w:val="009E64E7"/>
    <w:rsid w:val="009E6FF9"/>
    <w:rsid w:val="009E727A"/>
    <w:rsid w:val="009E7309"/>
    <w:rsid w:val="009E751E"/>
    <w:rsid w:val="009F08B5"/>
    <w:rsid w:val="009F0A81"/>
    <w:rsid w:val="009F0B2F"/>
    <w:rsid w:val="009F0B31"/>
    <w:rsid w:val="009F0CA4"/>
    <w:rsid w:val="009F0F43"/>
    <w:rsid w:val="009F16E3"/>
    <w:rsid w:val="009F1DE7"/>
    <w:rsid w:val="009F1ED6"/>
    <w:rsid w:val="009F223E"/>
    <w:rsid w:val="009F2436"/>
    <w:rsid w:val="009F2764"/>
    <w:rsid w:val="009F3899"/>
    <w:rsid w:val="009F3A04"/>
    <w:rsid w:val="009F465E"/>
    <w:rsid w:val="009F4837"/>
    <w:rsid w:val="009F543A"/>
    <w:rsid w:val="009F5560"/>
    <w:rsid w:val="009F560E"/>
    <w:rsid w:val="009F567B"/>
    <w:rsid w:val="009F56A7"/>
    <w:rsid w:val="009F5FA6"/>
    <w:rsid w:val="009F6713"/>
    <w:rsid w:val="009F6CC4"/>
    <w:rsid w:val="009F6F77"/>
    <w:rsid w:val="009F7005"/>
    <w:rsid w:val="009F7462"/>
    <w:rsid w:val="009F7846"/>
    <w:rsid w:val="00A000C9"/>
    <w:rsid w:val="00A0023B"/>
    <w:rsid w:val="00A0039E"/>
    <w:rsid w:val="00A01335"/>
    <w:rsid w:val="00A015AC"/>
    <w:rsid w:val="00A023B8"/>
    <w:rsid w:val="00A0254A"/>
    <w:rsid w:val="00A035EC"/>
    <w:rsid w:val="00A03DBE"/>
    <w:rsid w:val="00A0406E"/>
    <w:rsid w:val="00A043C9"/>
    <w:rsid w:val="00A0497F"/>
    <w:rsid w:val="00A051DE"/>
    <w:rsid w:val="00A05551"/>
    <w:rsid w:val="00A0626F"/>
    <w:rsid w:val="00A0667A"/>
    <w:rsid w:val="00A06DEF"/>
    <w:rsid w:val="00A0748E"/>
    <w:rsid w:val="00A07916"/>
    <w:rsid w:val="00A07B92"/>
    <w:rsid w:val="00A07C7A"/>
    <w:rsid w:val="00A10234"/>
    <w:rsid w:val="00A1029D"/>
    <w:rsid w:val="00A102B9"/>
    <w:rsid w:val="00A11307"/>
    <w:rsid w:val="00A11337"/>
    <w:rsid w:val="00A113EA"/>
    <w:rsid w:val="00A11A0F"/>
    <w:rsid w:val="00A12785"/>
    <w:rsid w:val="00A1327E"/>
    <w:rsid w:val="00A1383A"/>
    <w:rsid w:val="00A139AB"/>
    <w:rsid w:val="00A13AF3"/>
    <w:rsid w:val="00A13B17"/>
    <w:rsid w:val="00A14569"/>
    <w:rsid w:val="00A145BF"/>
    <w:rsid w:val="00A15775"/>
    <w:rsid w:val="00A15BFE"/>
    <w:rsid w:val="00A15EF5"/>
    <w:rsid w:val="00A15F4B"/>
    <w:rsid w:val="00A16709"/>
    <w:rsid w:val="00A16A82"/>
    <w:rsid w:val="00A17445"/>
    <w:rsid w:val="00A1789C"/>
    <w:rsid w:val="00A17921"/>
    <w:rsid w:val="00A207AE"/>
    <w:rsid w:val="00A210F5"/>
    <w:rsid w:val="00A21388"/>
    <w:rsid w:val="00A2147C"/>
    <w:rsid w:val="00A219CD"/>
    <w:rsid w:val="00A219D2"/>
    <w:rsid w:val="00A21D88"/>
    <w:rsid w:val="00A21DB8"/>
    <w:rsid w:val="00A220DD"/>
    <w:rsid w:val="00A22251"/>
    <w:rsid w:val="00A22439"/>
    <w:rsid w:val="00A22F79"/>
    <w:rsid w:val="00A23316"/>
    <w:rsid w:val="00A23395"/>
    <w:rsid w:val="00A23C3E"/>
    <w:rsid w:val="00A23D9D"/>
    <w:rsid w:val="00A23F34"/>
    <w:rsid w:val="00A24C31"/>
    <w:rsid w:val="00A24DDE"/>
    <w:rsid w:val="00A253F0"/>
    <w:rsid w:val="00A256A0"/>
    <w:rsid w:val="00A25B74"/>
    <w:rsid w:val="00A262CD"/>
    <w:rsid w:val="00A26426"/>
    <w:rsid w:val="00A266AE"/>
    <w:rsid w:val="00A26F27"/>
    <w:rsid w:val="00A273FC"/>
    <w:rsid w:val="00A27791"/>
    <w:rsid w:val="00A27ABE"/>
    <w:rsid w:val="00A27C0F"/>
    <w:rsid w:val="00A30079"/>
    <w:rsid w:val="00A304DD"/>
    <w:rsid w:val="00A30845"/>
    <w:rsid w:val="00A30BA9"/>
    <w:rsid w:val="00A30BD8"/>
    <w:rsid w:val="00A30CC0"/>
    <w:rsid w:val="00A30D18"/>
    <w:rsid w:val="00A312DD"/>
    <w:rsid w:val="00A31726"/>
    <w:rsid w:val="00A31CBC"/>
    <w:rsid w:val="00A3234B"/>
    <w:rsid w:val="00A3247B"/>
    <w:rsid w:val="00A32488"/>
    <w:rsid w:val="00A32823"/>
    <w:rsid w:val="00A332A3"/>
    <w:rsid w:val="00A3333A"/>
    <w:rsid w:val="00A33BDA"/>
    <w:rsid w:val="00A3484F"/>
    <w:rsid w:val="00A348C6"/>
    <w:rsid w:val="00A34EA2"/>
    <w:rsid w:val="00A35231"/>
    <w:rsid w:val="00A355F9"/>
    <w:rsid w:val="00A35BCD"/>
    <w:rsid w:val="00A360C0"/>
    <w:rsid w:val="00A366B5"/>
    <w:rsid w:val="00A36A37"/>
    <w:rsid w:val="00A36B3C"/>
    <w:rsid w:val="00A36B43"/>
    <w:rsid w:val="00A379CA"/>
    <w:rsid w:val="00A401FE"/>
    <w:rsid w:val="00A40482"/>
    <w:rsid w:val="00A41355"/>
    <w:rsid w:val="00A41649"/>
    <w:rsid w:val="00A41791"/>
    <w:rsid w:val="00A418D5"/>
    <w:rsid w:val="00A41A55"/>
    <w:rsid w:val="00A41B62"/>
    <w:rsid w:val="00A42380"/>
    <w:rsid w:val="00A4265F"/>
    <w:rsid w:val="00A42B72"/>
    <w:rsid w:val="00A42D2B"/>
    <w:rsid w:val="00A437B6"/>
    <w:rsid w:val="00A43B65"/>
    <w:rsid w:val="00A43B92"/>
    <w:rsid w:val="00A446E9"/>
    <w:rsid w:val="00A44AAC"/>
    <w:rsid w:val="00A44E49"/>
    <w:rsid w:val="00A451DF"/>
    <w:rsid w:val="00A454CB"/>
    <w:rsid w:val="00A4574D"/>
    <w:rsid w:val="00A4591F"/>
    <w:rsid w:val="00A45982"/>
    <w:rsid w:val="00A45B81"/>
    <w:rsid w:val="00A45CF6"/>
    <w:rsid w:val="00A46241"/>
    <w:rsid w:val="00A462F8"/>
    <w:rsid w:val="00A466EC"/>
    <w:rsid w:val="00A46F62"/>
    <w:rsid w:val="00A47BE2"/>
    <w:rsid w:val="00A47CB5"/>
    <w:rsid w:val="00A501AA"/>
    <w:rsid w:val="00A503A5"/>
    <w:rsid w:val="00A50785"/>
    <w:rsid w:val="00A50E03"/>
    <w:rsid w:val="00A51C38"/>
    <w:rsid w:val="00A523F5"/>
    <w:rsid w:val="00A52408"/>
    <w:rsid w:val="00A52AFF"/>
    <w:rsid w:val="00A52CD1"/>
    <w:rsid w:val="00A52CE6"/>
    <w:rsid w:val="00A53265"/>
    <w:rsid w:val="00A535FC"/>
    <w:rsid w:val="00A537DD"/>
    <w:rsid w:val="00A53A21"/>
    <w:rsid w:val="00A54251"/>
    <w:rsid w:val="00A54689"/>
    <w:rsid w:val="00A54874"/>
    <w:rsid w:val="00A5488C"/>
    <w:rsid w:val="00A54C31"/>
    <w:rsid w:val="00A54C5D"/>
    <w:rsid w:val="00A54D53"/>
    <w:rsid w:val="00A553E8"/>
    <w:rsid w:val="00A55E04"/>
    <w:rsid w:val="00A55FA2"/>
    <w:rsid w:val="00A56189"/>
    <w:rsid w:val="00A56DD3"/>
    <w:rsid w:val="00A574C5"/>
    <w:rsid w:val="00A575B4"/>
    <w:rsid w:val="00A57738"/>
    <w:rsid w:val="00A57879"/>
    <w:rsid w:val="00A5789A"/>
    <w:rsid w:val="00A57EE2"/>
    <w:rsid w:val="00A57F88"/>
    <w:rsid w:val="00A6061D"/>
    <w:rsid w:val="00A60C2D"/>
    <w:rsid w:val="00A60D07"/>
    <w:rsid w:val="00A615CA"/>
    <w:rsid w:val="00A6162E"/>
    <w:rsid w:val="00A6179E"/>
    <w:rsid w:val="00A6218A"/>
    <w:rsid w:val="00A62224"/>
    <w:rsid w:val="00A628C0"/>
    <w:rsid w:val="00A639A5"/>
    <w:rsid w:val="00A639A9"/>
    <w:rsid w:val="00A64316"/>
    <w:rsid w:val="00A644A0"/>
    <w:rsid w:val="00A64B1D"/>
    <w:rsid w:val="00A64E19"/>
    <w:rsid w:val="00A6554D"/>
    <w:rsid w:val="00A66E06"/>
    <w:rsid w:val="00A67819"/>
    <w:rsid w:val="00A67922"/>
    <w:rsid w:val="00A67D4B"/>
    <w:rsid w:val="00A67E73"/>
    <w:rsid w:val="00A701EC"/>
    <w:rsid w:val="00A7020C"/>
    <w:rsid w:val="00A703FE"/>
    <w:rsid w:val="00A71362"/>
    <w:rsid w:val="00A71575"/>
    <w:rsid w:val="00A716C3"/>
    <w:rsid w:val="00A71A75"/>
    <w:rsid w:val="00A71B1B"/>
    <w:rsid w:val="00A71C18"/>
    <w:rsid w:val="00A71D94"/>
    <w:rsid w:val="00A7205C"/>
    <w:rsid w:val="00A727D6"/>
    <w:rsid w:val="00A72BEC"/>
    <w:rsid w:val="00A731D3"/>
    <w:rsid w:val="00A73A64"/>
    <w:rsid w:val="00A73C9F"/>
    <w:rsid w:val="00A73CCA"/>
    <w:rsid w:val="00A73FF6"/>
    <w:rsid w:val="00A740FE"/>
    <w:rsid w:val="00A74626"/>
    <w:rsid w:val="00A74A8E"/>
    <w:rsid w:val="00A74CF7"/>
    <w:rsid w:val="00A751CB"/>
    <w:rsid w:val="00A75663"/>
    <w:rsid w:val="00A75F9C"/>
    <w:rsid w:val="00A7615D"/>
    <w:rsid w:val="00A768D5"/>
    <w:rsid w:val="00A77762"/>
    <w:rsid w:val="00A7787A"/>
    <w:rsid w:val="00A77F5E"/>
    <w:rsid w:val="00A804D9"/>
    <w:rsid w:val="00A80ADA"/>
    <w:rsid w:val="00A80B52"/>
    <w:rsid w:val="00A80DD6"/>
    <w:rsid w:val="00A81DF0"/>
    <w:rsid w:val="00A82069"/>
    <w:rsid w:val="00A8257F"/>
    <w:rsid w:val="00A827B2"/>
    <w:rsid w:val="00A82B77"/>
    <w:rsid w:val="00A83102"/>
    <w:rsid w:val="00A83B1E"/>
    <w:rsid w:val="00A84221"/>
    <w:rsid w:val="00A84245"/>
    <w:rsid w:val="00A8448A"/>
    <w:rsid w:val="00A845F9"/>
    <w:rsid w:val="00A84950"/>
    <w:rsid w:val="00A84B0D"/>
    <w:rsid w:val="00A84CA1"/>
    <w:rsid w:val="00A84F87"/>
    <w:rsid w:val="00A854E2"/>
    <w:rsid w:val="00A8573B"/>
    <w:rsid w:val="00A858C8"/>
    <w:rsid w:val="00A85F26"/>
    <w:rsid w:val="00A861D0"/>
    <w:rsid w:val="00A86317"/>
    <w:rsid w:val="00A8684E"/>
    <w:rsid w:val="00A877BD"/>
    <w:rsid w:val="00A87BA9"/>
    <w:rsid w:val="00A87EAB"/>
    <w:rsid w:val="00A87FCC"/>
    <w:rsid w:val="00A909EE"/>
    <w:rsid w:val="00A910E6"/>
    <w:rsid w:val="00A91131"/>
    <w:rsid w:val="00A91951"/>
    <w:rsid w:val="00A91D8B"/>
    <w:rsid w:val="00A91DE0"/>
    <w:rsid w:val="00A923CB"/>
    <w:rsid w:val="00A924B5"/>
    <w:rsid w:val="00A9258B"/>
    <w:rsid w:val="00A92915"/>
    <w:rsid w:val="00A92F92"/>
    <w:rsid w:val="00A93116"/>
    <w:rsid w:val="00A9315D"/>
    <w:rsid w:val="00A937F2"/>
    <w:rsid w:val="00A944EC"/>
    <w:rsid w:val="00A948A5"/>
    <w:rsid w:val="00A955D4"/>
    <w:rsid w:val="00A96053"/>
    <w:rsid w:val="00A96892"/>
    <w:rsid w:val="00A96A06"/>
    <w:rsid w:val="00A96B70"/>
    <w:rsid w:val="00A973CC"/>
    <w:rsid w:val="00A975AB"/>
    <w:rsid w:val="00AA0B69"/>
    <w:rsid w:val="00AA0C7B"/>
    <w:rsid w:val="00AA14FB"/>
    <w:rsid w:val="00AA1D52"/>
    <w:rsid w:val="00AA2051"/>
    <w:rsid w:val="00AA2AB7"/>
    <w:rsid w:val="00AA2B8F"/>
    <w:rsid w:val="00AA2BEB"/>
    <w:rsid w:val="00AA3CE3"/>
    <w:rsid w:val="00AA42E5"/>
    <w:rsid w:val="00AA5156"/>
    <w:rsid w:val="00AA5987"/>
    <w:rsid w:val="00AA59A4"/>
    <w:rsid w:val="00AA6041"/>
    <w:rsid w:val="00AA61C5"/>
    <w:rsid w:val="00AA638A"/>
    <w:rsid w:val="00AA646F"/>
    <w:rsid w:val="00AA6C7A"/>
    <w:rsid w:val="00AA6CCF"/>
    <w:rsid w:val="00AA70C4"/>
    <w:rsid w:val="00AA72C8"/>
    <w:rsid w:val="00AA7911"/>
    <w:rsid w:val="00AA7A18"/>
    <w:rsid w:val="00AB0117"/>
    <w:rsid w:val="00AB015E"/>
    <w:rsid w:val="00AB05E8"/>
    <w:rsid w:val="00AB0903"/>
    <w:rsid w:val="00AB096A"/>
    <w:rsid w:val="00AB09FC"/>
    <w:rsid w:val="00AB1F37"/>
    <w:rsid w:val="00AB22DB"/>
    <w:rsid w:val="00AB237A"/>
    <w:rsid w:val="00AB2454"/>
    <w:rsid w:val="00AB272C"/>
    <w:rsid w:val="00AB294C"/>
    <w:rsid w:val="00AB2F24"/>
    <w:rsid w:val="00AB3757"/>
    <w:rsid w:val="00AB393A"/>
    <w:rsid w:val="00AB466A"/>
    <w:rsid w:val="00AB4DF6"/>
    <w:rsid w:val="00AB4F96"/>
    <w:rsid w:val="00AB5640"/>
    <w:rsid w:val="00AB5831"/>
    <w:rsid w:val="00AB5B57"/>
    <w:rsid w:val="00AB66DE"/>
    <w:rsid w:val="00AB7079"/>
    <w:rsid w:val="00AB7608"/>
    <w:rsid w:val="00AB7B6E"/>
    <w:rsid w:val="00AB7C8F"/>
    <w:rsid w:val="00AB7E37"/>
    <w:rsid w:val="00AC0125"/>
    <w:rsid w:val="00AC0A98"/>
    <w:rsid w:val="00AC1928"/>
    <w:rsid w:val="00AC19E2"/>
    <w:rsid w:val="00AC20FB"/>
    <w:rsid w:val="00AC2192"/>
    <w:rsid w:val="00AC2867"/>
    <w:rsid w:val="00AC355C"/>
    <w:rsid w:val="00AC39EB"/>
    <w:rsid w:val="00AC3A41"/>
    <w:rsid w:val="00AC4282"/>
    <w:rsid w:val="00AC463F"/>
    <w:rsid w:val="00AC4771"/>
    <w:rsid w:val="00AC4C41"/>
    <w:rsid w:val="00AC5256"/>
    <w:rsid w:val="00AC57EB"/>
    <w:rsid w:val="00AC5A9F"/>
    <w:rsid w:val="00AC615B"/>
    <w:rsid w:val="00AC636D"/>
    <w:rsid w:val="00AC6754"/>
    <w:rsid w:val="00AC752E"/>
    <w:rsid w:val="00AC7C32"/>
    <w:rsid w:val="00AD02BE"/>
    <w:rsid w:val="00AD0EEA"/>
    <w:rsid w:val="00AD13A3"/>
    <w:rsid w:val="00AD13AC"/>
    <w:rsid w:val="00AD1895"/>
    <w:rsid w:val="00AD1943"/>
    <w:rsid w:val="00AD19DA"/>
    <w:rsid w:val="00AD1D99"/>
    <w:rsid w:val="00AD22E1"/>
    <w:rsid w:val="00AD2E2D"/>
    <w:rsid w:val="00AD3A56"/>
    <w:rsid w:val="00AD3CC9"/>
    <w:rsid w:val="00AD3E84"/>
    <w:rsid w:val="00AD4A87"/>
    <w:rsid w:val="00AD501D"/>
    <w:rsid w:val="00AD5225"/>
    <w:rsid w:val="00AD62F1"/>
    <w:rsid w:val="00AD64B3"/>
    <w:rsid w:val="00AD666E"/>
    <w:rsid w:val="00AD750A"/>
    <w:rsid w:val="00AD7974"/>
    <w:rsid w:val="00AD7A0B"/>
    <w:rsid w:val="00AD7DD1"/>
    <w:rsid w:val="00AE0831"/>
    <w:rsid w:val="00AE0836"/>
    <w:rsid w:val="00AE09FE"/>
    <w:rsid w:val="00AE0B97"/>
    <w:rsid w:val="00AE2B2C"/>
    <w:rsid w:val="00AE2DD9"/>
    <w:rsid w:val="00AE3268"/>
    <w:rsid w:val="00AE3391"/>
    <w:rsid w:val="00AE33A4"/>
    <w:rsid w:val="00AE390C"/>
    <w:rsid w:val="00AE5085"/>
    <w:rsid w:val="00AE5163"/>
    <w:rsid w:val="00AE5218"/>
    <w:rsid w:val="00AE530B"/>
    <w:rsid w:val="00AE5DD2"/>
    <w:rsid w:val="00AE5E25"/>
    <w:rsid w:val="00AE5E4F"/>
    <w:rsid w:val="00AE6015"/>
    <w:rsid w:val="00AE60B6"/>
    <w:rsid w:val="00AE60CC"/>
    <w:rsid w:val="00AE68BE"/>
    <w:rsid w:val="00AE6FB5"/>
    <w:rsid w:val="00AE790C"/>
    <w:rsid w:val="00AE7F68"/>
    <w:rsid w:val="00AF0AAE"/>
    <w:rsid w:val="00AF0C0B"/>
    <w:rsid w:val="00AF0CD2"/>
    <w:rsid w:val="00AF0D34"/>
    <w:rsid w:val="00AF1117"/>
    <w:rsid w:val="00AF1B87"/>
    <w:rsid w:val="00AF1B98"/>
    <w:rsid w:val="00AF1C8E"/>
    <w:rsid w:val="00AF2103"/>
    <w:rsid w:val="00AF2115"/>
    <w:rsid w:val="00AF271F"/>
    <w:rsid w:val="00AF2B25"/>
    <w:rsid w:val="00AF2D1E"/>
    <w:rsid w:val="00AF2EFC"/>
    <w:rsid w:val="00AF33E2"/>
    <w:rsid w:val="00AF37BC"/>
    <w:rsid w:val="00AF395E"/>
    <w:rsid w:val="00AF3DD6"/>
    <w:rsid w:val="00AF4D43"/>
    <w:rsid w:val="00AF506C"/>
    <w:rsid w:val="00AF5B5C"/>
    <w:rsid w:val="00AF6356"/>
    <w:rsid w:val="00AF6450"/>
    <w:rsid w:val="00AF6E01"/>
    <w:rsid w:val="00AF7965"/>
    <w:rsid w:val="00AF7C75"/>
    <w:rsid w:val="00AF7EE1"/>
    <w:rsid w:val="00B00042"/>
    <w:rsid w:val="00B00923"/>
    <w:rsid w:val="00B00F61"/>
    <w:rsid w:val="00B016BD"/>
    <w:rsid w:val="00B033CB"/>
    <w:rsid w:val="00B03524"/>
    <w:rsid w:val="00B03614"/>
    <w:rsid w:val="00B03679"/>
    <w:rsid w:val="00B044EB"/>
    <w:rsid w:val="00B049D8"/>
    <w:rsid w:val="00B05733"/>
    <w:rsid w:val="00B05891"/>
    <w:rsid w:val="00B05EC0"/>
    <w:rsid w:val="00B074B5"/>
    <w:rsid w:val="00B07649"/>
    <w:rsid w:val="00B07835"/>
    <w:rsid w:val="00B07FDF"/>
    <w:rsid w:val="00B10A82"/>
    <w:rsid w:val="00B10AF6"/>
    <w:rsid w:val="00B10B5D"/>
    <w:rsid w:val="00B10BA3"/>
    <w:rsid w:val="00B110F3"/>
    <w:rsid w:val="00B115A6"/>
    <w:rsid w:val="00B11751"/>
    <w:rsid w:val="00B126B0"/>
    <w:rsid w:val="00B12A9D"/>
    <w:rsid w:val="00B13036"/>
    <w:rsid w:val="00B13855"/>
    <w:rsid w:val="00B1429B"/>
    <w:rsid w:val="00B146CE"/>
    <w:rsid w:val="00B150B1"/>
    <w:rsid w:val="00B15479"/>
    <w:rsid w:val="00B16AB9"/>
    <w:rsid w:val="00B16F33"/>
    <w:rsid w:val="00B17379"/>
    <w:rsid w:val="00B1738A"/>
    <w:rsid w:val="00B17436"/>
    <w:rsid w:val="00B17D9A"/>
    <w:rsid w:val="00B17EBA"/>
    <w:rsid w:val="00B17EFF"/>
    <w:rsid w:val="00B201F1"/>
    <w:rsid w:val="00B209C7"/>
    <w:rsid w:val="00B20CBB"/>
    <w:rsid w:val="00B20EDA"/>
    <w:rsid w:val="00B20F73"/>
    <w:rsid w:val="00B2118D"/>
    <w:rsid w:val="00B217B8"/>
    <w:rsid w:val="00B21AC7"/>
    <w:rsid w:val="00B22346"/>
    <w:rsid w:val="00B224A9"/>
    <w:rsid w:val="00B2292E"/>
    <w:rsid w:val="00B22D02"/>
    <w:rsid w:val="00B23141"/>
    <w:rsid w:val="00B2318F"/>
    <w:rsid w:val="00B237FB"/>
    <w:rsid w:val="00B2429E"/>
    <w:rsid w:val="00B2432B"/>
    <w:rsid w:val="00B2463B"/>
    <w:rsid w:val="00B24A82"/>
    <w:rsid w:val="00B24B1D"/>
    <w:rsid w:val="00B25417"/>
    <w:rsid w:val="00B2578C"/>
    <w:rsid w:val="00B25A31"/>
    <w:rsid w:val="00B25B95"/>
    <w:rsid w:val="00B2651D"/>
    <w:rsid w:val="00B26951"/>
    <w:rsid w:val="00B269C4"/>
    <w:rsid w:val="00B26A5B"/>
    <w:rsid w:val="00B26AB0"/>
    <w:rsid w:val="00B26AEB"/>
    <w:rsid w:val="00B26BC0"/>
    <w:rsid w:val="00B26C16"/>
    <w:rsid w:val="00B26C33"/>
    <w:rsid w:val="00B274A7"/>
    <w:rsid w:val="00B2759D"/>
    <w:rsid w:val="00B277E0"/>
    <w:rsid w:val="00B279CF"/>
    <w:rsid w:val="00B27CB8"/>
    <w:rsid w:val="00B30122"/>
    <w:rsid w:val="00B314D7"/>
    <w:rsid w:val="00B31757"/>
    <w:rsid w:val="00B326F5"/>
    <w:rsid w:val="00B340D0"/>
    <w:rsid w:val="00B3445E"/>
    <w:rsid w:val="00B34946"/>
    <w:rsid w:val="00B34A8C"/>
    <w:rsid w:val="00B34ECC"/>
    <w:rsid w:val="00B3529B"/>
    <w:rsid w:val="00B35463"/>
    <w:rsid w:val="00B35487"/>
    <w:rsid w:val="00B35900"/>
    <w:rsid w:val="00B360E4"/>
    <w:rsid w:val="00B3626B"/>
    <w:rsid w:val="00B36B0D"/>
    <w:rsid w:val="00B3757B"/>
    <w:rsid w:val="00B37D09"/>
    <w:rsid w:val="00B40670"/>
    <w:rsid w:val="00B407CE"/>
    <w:rsid w:val="00B407D5"/>
    <w:rsid w:val="00B40BFE"/>
    <w:rsid w:val="00B41B12"/>
    <w:rsid w:val="00B42045"/>
    <w:rsid w:val="00B42267"/>
    <w:rsid w:val="00B427E3"/>
    <w:rsid w:val="00B42A68"/>
    <w:rsid w:val="00B42CB0"/>
    <w:rsid w:val="00B42E5C"/>
    <w:rsid w:val="00B43081"/>
    <w:rsid w:val="00B433B2"/>
    <w:rsid w:val="00B44468"/>
    <w:rsid w:val="00B44609"/>
    <w:rsid w:val="00B44D4E"/>
    <w:rsid w:val="00B45203"/>
    <w:rsid w:val="00B45341"/>
    <w:rsid w:val="00B45CEE"/>
    <w:rsid w:val="00B45E2B"/>
    <w:rsid w:val="00B45ED2"/>
    <w:rsid w:val="00B4612B"/>
    <w:rsid w:val="00B46387"/>
    <w:rsid w:val="00B4685B"/>
    <w:rsid w:val="00B47116"/>
    <w:rsid w:val="00B47298"/>
    <w:rsid w:val="00B47321"/>
    <w:rsid w:val="00B47823"/>
    <w:rsid w:val="00B47883"/>
    <w:rsid w:val="00B47FE7"/>
    <w:rsid w:val="00B5025F"/>
    <w:rsid w:val="00B50B22"/>
    <w:rsid w:val="00B5107D"/>
    <w:rsid w:val="00B51967"/>
    <w:rsid w:val="00B519FD"/>
    <w:rsid w:val="00B51AB6"/>
    <w:rsid w:val="00B51BA5"/>
    <w:rsid w:val="00B520BC"/>
    <w:rsid w:val="00B521DC"/>
    <w:rsid w:val="00B52259"/>
    <w:rsid w:val="00B52DE4"/>
    <w:rsid w:val="00B5363E"/>
    <w:rsid w:val="00B538A8"/>
    <w:rsid w:val="00B539CC"/>
    <w:rsid w:val="00B54CA2"/>
    <w:rsid w:val="00B54F51"/>
    <w:rsid w:val="00B55058"/>
    <w:rsid w:val="00B5551B"/>
    <w:rsid w:val="00B557EF"/>
    <w:rsid w:val="00B56269"/>
    <w:rsid w:val="00B56B40"/>
    <w:rsid w:val="00B570B3"/>
    <w:rsid w:val="00B57188"/>
    <w:rsid w:val="00B57664"/>
    <w:rsid w:val="00B57A2A"/>
    <w:rsid w:val="00B57AE6"/>
    <w:rsid w:val="00B60D00"/>
    <w:rsid w:val="00B60E5B"/>
    <w:rsid w:val="00B61E75"/>
    <w:rsid w:val="00B622D6"/>
    <w:rsid w:val="00B62396"/>
    <w:rsid w:val="00B62A4C"/>
    <w:rsid w:val="00B62A8B"/>
    <w:rsid w:val="00B62D81"/>
    <w:rsid w:val="00B63013"/>
    <w:rsid w:val="00B63047"/>
    <w:rsid w:val="00B6309F"/>
    <w:rsid w:val="00B637E7"/>
    <w:rsid w:val="00B638CB"/>
    <w:rsid w:val="00B63D24"/>
    <w:rsid w:val="00B63F81"/>
    <w:rsid w:val="00B6428B"/>
    <w:rsid w:val="00B6448D"/>
    <w:rsid w:val="00B64B5E"/>
    <w:rsid w:val="00B64BE7"/>
    <w:rsid w:val="00B65031"/>
    <w:rsid w:val="00B65710"/>
    <w:rsid w:val="00B658A4"/>
    <w:rsid w:val="00B65C0A"/>
    <w:rsid w:val="00B66090"/>
    <w:rsid w:val="00B6620B"/>
    <w:rsid w:val="00B66966"/>
    <w:rsid w:val="00B66A1D"/>
    <w:rsid w:val="00B66AD4"/>
    <w:rsid w:val="00B66E6D"/>
    <w:rsid w:val="00B66FDB"/>
    <w:rsid w:val="00B6731E"/>
    <w:rsid w:val="00B70183"/>
    <w:rsid w:val="00B702B6"/>
    <w:rsid w:val="00B70551"/>
    <w:rsid w:val="00B72589"/>
    <w:rsid w:val="00B72631"/>
    <w:rsid w:val="00B72AFF"/>
    <w:rsid w:val="00B72EAC"/>
    <w:rsid w:val="00B73178"/>
    <w:rsid w:val="00B73B73"/>
    <w:rsid w:val="00B73BEB"/>
    <w:rsid w:val="00B73F9F"/>
    <w:rsid w:val="00B74659"/>
    <w:rsid w:val="00B74DE0"/>
    <w:rsid w:val="00B75260"/>
    <w:rsid w:val="00B753E2"/>
    <w:rsid w:val="00B75458"/>
    <w:rsid w:val="00B75611"/>
    <w:rsid w:val="00B75DAB"/>
    <w:rsid w:val="00B7600D"/>
    <w:rsid w:val="00B76036"/>
    <w:rsid w:val="00B761F2"/>
    <w:rsid w:val="00B7628F"/>
    <w:rsid w:val="00B76A61"/>
    <w:rsid w:val="00B76E02"/>
    <w:rsid w:val="00B76F77"/>
    <w:rsid w:val="00B76FDC"/>
    <w:rsid w:val="00B77019"/>
    <w:rsid w:val="00B7798C"/>
    <w:rsid w:val="00B77B9F"/>
    <w:rsid w:val="00B805D9"/>
    <w:rsid w:val="00B80EA3"/>
    <w:rsid w:val="00B8156F"/>
    <w:rsid w:val="00B817F2"/>
    <w:rsid w:val="00B824D0"/>
    <w:rsid w:val="00B828F0"/>
    <w:rsid w:val="00B82D7D"/>
    <w:rsid w:val="00B83E7D"/>
    <w:rsid w:val="00B8455B"/>
    <w:rsid w:val="00B85033"/>
    <w:rsid w:val="00B850BF"/>
    <w:rsid w:val="00B85134"/>
    <w:rsid w:val="00B85A41"/>
    <w:rsid w:val="00B85C7D"/>
    <w:rsid w:val="00B85CD0"/>
    <w:rsid w:val="00B860B3"/>
    <w:rsid w:val="00B8651B"/>
    <w:rsid w:val="00B8696A"/>
    <w:rsid w:val="00B875C2"/>
    <w:rsid w:val="00B900CD"/>
    <w:rsid w:val="00B901D6"/>
    <w:rsid w:val="00B9095A"/>
    <w:rsid w:val="00B90DD8"/>
    <w:rsid w:val="00B9180B"/>
    <w:rsid w:val="00B918B1"/>
    <w:rsid w:val="00B9214C"/>
    <w:rsid w:val="00B92224"/>
    <w:rsid w:val="00B924E6"/>
    <w:rsid w:val="00B92817"/>
    <w:rsid w:val="00B930BB"/>
    <w:rsid w:val="00B9338A"/>
    <w:rsid w:val="00B940CD"/>
    <w:rsid w:val="00B94579"/>
    <w:rsid w:val="00B94AFE"/>
    <w:rsid w:val="00B94CAE"/>
    <w:rsid w:val="00B954A5"/>
    <w:rsid w:val="00B956A1"/>
    <w:rsid w:val="00B95DE2"/>
    <w:rsid w:val="00B96226"/>
    <w:rsid w:val="00B963AA"/>
    <w:rsid w:val="00B968DB"/>
    <w:rsid w:val="00B96904"/>
    <w:rsid w:val="00B974FF"/>
    <w:rsid w:val="00B97885"/>
    <w:rsid w:val="00BA0DF4"/>
    <w:rsid w:val="00BA1003"/>
    <w:rsid w:val="00BA11F6"/>
    <w:rsid w:val="00BA1AFC"/>
    <w:rsid w:val="00BA1E27"/>
    <w:rsid w:val="00BA237B"/>
    <w:rsid w:val="00BA2580"/>
    <w:rsid w:val="00BA262D"/>
    <w:rsid w:val="00BA2EE1"/>
    <w:rsid w:val="00BA3088"/>
    <w:rsid w:val="00BA31D4"/>
    <w:rsid w:val="00BA473C"/>
    <w:rsid w:val="00BA4805"/>
    <w:rsid w:val="00BA4885"/>
    <w:rsid w:val="00BA497A"/>
    <w:rsid w:val="00BA5066"/>
    <w:rsid w:val="00BA5698"/>
    <w:rsid w:val="00BA59CF"/>
    <w:rsid w:val="00BA5C86"/>
    <w:rsid w:val="00BA5CF9"/>
    <w:rsid w:val="00BA5EF6"/>
    <w:rsid w:val="00BA6421"/>
    <w:rsid w:val="00BA6470"/>
    <w:rsid w:val="00BA7556"/>
    <w:rsid w:val="00BA7D0A"/>
    <w:rsid w:val="00BA7E1D"/>
    <w:rsid w:val="00BB098E"/>
    <w:rsid w:val="00BB1CA1"/>
    <w:rsid w:val="00BB25C9"/>
    <w:rsid w:val="00BB2BAA"/>
    <w:rsid w:val="00BB3A8E"/>
    <w:rsid w:val="00BB3DA8"/>
    <w:rsid w:val="00BB41B0"/>
    <w:rsid w:val="00BB4907"/>
    <w:rsid w:val="00BB574D"/>
    <w:rsid w:val="00BB59FA"/>
    <w:rsid w:val="00BB60AF"/>
    <w:rsid w:val="00BB693A"/>
    <w:rsid w:val="00BB6A93"/>
    <w:rsid w:val="00BB6C53"/>
    <w:rsid w:val="00BC0F38"/>
    <w:rsid w:val="00BC0F96"/>
    <w:rsid w:val="00BC0FF9"/>
    <w:rsid w:val="00BC1715"/>
    <w:rsid w:val="00BC1840"/>
    <w:rsid w:val="00BC184C"/>
    <w:rsid w:val="00BC21C7"/>
    <w:rsid w:val="00BC30B5"/>
    <w:rsid w:val="00BC3348"/>
    <w:rsid w:val="00BC36D9"/>
    <w:rsid w:val="00BC3BF4"/>
    <w:rsid w:val="00BC47D3"/>
    <w:rsid w:val="00BC4D56"/>
    <w:rsid w:val="00BC5BB4"/>
    <w:rsid w:val="00BC5C38"/>
    <w:rsid w:val="00BC74D3"/>
    <w:rsid w:val="00BC79EB"/>
    <w:rsid w:val="00BC7B0C"/>
    <w:rsid w:val="00BD0926"/>
    <w:rsid w:val="00BD0FEC"/>
    <w:rsid w:val="00BD2356"/>
    <w:rsid w:val="00BD243D"/>
    <w:rsid w:val="00BD2652"/>
    <w:rsid w:val="00BD2B98"/>
    <w:rsid w:val="00BD2C19"/>
    <w:rsid w:val="00BD2C44"/>
    <w:rsid w:val="00BD2CA0"/>
    <w:rsid w:val="00BD2F4E"/>
    <w:rsid w:val="00BD2FAB"/>
    <w:rsid w:val="00BD382F"/>
    <w:rsid w:val="00BD42FA"/>
    <w:rsid w:val="00BD43C1"/>
    <w:rsid w:val="00BD4F0C"/>
    <w:rsid w:val="00BD5023"/>
    <w:rsid w:val="00BD577B"/>
    <w:rsid w:val="00BD5D1B"/>
    <w:rsid w:val="00BD5EFA"/>
    <w:rsid w:val="00BD606E"/>
    <w:rsid w:val="00BD649C"/>
    <w:rsid w:val="00BD66F5"/>
    <w:rsid w:val="00BD68D1"/>
    <w:rsid w:val="00BD6C06"/>
    <w:rsid w:val="00BD6CA2"/>
    <w:rsid w:val="00BD78E6"/>
    <w:rsid w:val="00BD792A"/>
    <w:rsid w:val="00BD7AB2"/>
    <w:rsid w:val="00BD7B5B"/>
    <w:rsid w:val="00BD7C3E"/>
    <w:rsid w:val="00BD7FCF"/>
    <w:rsid w:val="00BE0267"/>
    <w:rsid w:val="00BE0623"/>
    <w:rsid w:val="00BE1073"/>
    <w:rsid w:val="00BE184E"/>
    <w:rsid w:val="00BE1977"/>
    <w:rsid w:val="00BE2225"/>
    <w:rsid w:val="00BE2360"/>
    <w:rsid w:val="00BE25FC"/>
    <w:rsid w:val="00BE26BE"/>
    <w:rsid w:val="00BE29E3"/>
    <w:rsid w:val="00BE2EF9"/>
    <w:rsid w:val="00BE3267"/>
    <w:rsid w:val="00BE377B"/>
    <w:rsid w:val="00BE3A1D"/>
    <w:rsid w:val="00BE3BC6"/>
    <w:rsid w:val="00BE3DD8"/>
    <w:rsid w:val="00BE3EB9"/>
    <w:rsid w:val="00BE492B"/>
    <w:rsid w:val="00BE4A13"/>
    <w:rsid w:val="00BE4AB0"/>
    <w:rsid w:val="00BE4DDC"/>
    <w:rsid w:val="00BE504D"/>
    <w:rsid w:val="00BE668F"/>
    <w:rsid w:val="00BE6933"/>
    <w:rsid w:val="00BE69A1"/>
    <w:rsid w:val="00BE6C76"/>
    <w:rsid w:val="00BE6D54"/>
    <w:rsid w:val="00BE76FC"/>
    <w:rsid w:val="00BE777C"/>
    <w:rsid w:val="00BE792E"/>
    <w:rsid w:val="00BE7F43"/>
    <w:rsid w:val="00BF0114"/>
    <w:rsid w:val="00BF0E64"/>
    <w:rsid w:val="00BF102F"/>
    <w:rsid w:val="00BF1691"/>
    <w:rsid w:val="00BF1893"/>
    <w:rsid w:val="00BF19FF"/>
    <w:rsid w:val="00BF1A38"/>
    <w:rsid w:val="00BF1C0D"/>
    <w:rsid w:val="00BF1E99"/>
    <w:rsid w:val="00BF2061"/>
    <w:rsid w:val="00BF231A"/>
    <w:rsid w:val="00BF2EB5"/>
    <w:rsid w:val="00BF3141"/>
    <w:rsid w:val="00BF3A60"/>
    <w:rsid w:val="00BF4261"/>
    <w:rsid w:val="00BF456F"/>
    <w:rsid w:val="00BF4A26"/>
    <w:rsid w:val="00BF4E6D"/>
    <w:rsid w:val="00BF5316"/>
    <w:rsid w:val="00BF57E2"/>
    <w:rsid w:val="00BF5D47"/>
    <w:rsid w:val="00BF6406"/>
    <w:rsid w:val="00BF6766"/>
    <w:rsid w:val="00BF6C91"/>
    <w:rsid w:val="00BF7BFC"/>
    <w:rsid w:val="00C00130"/>
    <w:rsid w:val="00C00625"/>
    <w:rsid w:val="00C00A53"/>
    <w:rsid w:val="00C0198F"/>
    <w:rsid w:val="00C01B67"/>
    <w:rsid w:val="00C025F0"/>
    <w:rsid w:val="00C029FB"/>
    <w:rsid w:val="00C02A33"/>
    <w:rsid w:val="00C02ED5"/>
    <w:rsid w:val="00C0361F"/>
    <w:rsid w:val="00C0373C"/>
    <w:rsid w:val="00C03E2E"/>
    <w:rsid w:val="00C04C45"/>
    <w:rsid w:val="00C04F31"/>
    <w:rsid w:val="00C05259"/>
    <w:rsid w:val="00C055AC"/>
    <w:rsid w:val="00C05A0C"/>
    <w:rsid w:val="00C05D14"/>
    <w:rsid w:val="00C05E1F"/>
    <w:rsid w:val="00C064DC"/>
    <w:rsid w:val="00C06C2F"/>
    <w:rsid w:val="00C06F90"/>
    <w:rsid w:val="00C07370"/>
    <w:rsid w:val="00C0743F"/>
    <w:rsid w:val="00C076C3"/>
    <w:rsid w:val="00C07787"/>
    <w:rsid w:val="00C07A4A"/>
    <w:rsid w:val="00C10190"/>
    <w:rsid w:val="00C10B72"/>
    <w:rsid w:val="00C10E5B"/>
    <w:rsid w:val="00C10E67"/>
    <w:rsid w:val="00C1102C"/>
    <w:rsid w:val="00C110A0"/>
    <w:rsid w:val="00C112E4"/>
    <w:rsid w:val="00C115F2"/>
    <w:rsid w:val="00C11A36"/>
    <w:rsid w:val="00C11ABF"/>
    <w:rsid w:val="00C11E05"/>
    <w:rsid w:val="00C123FE"/>
    <w:rsid w:val="00C124BA"/>
    <w:rsid w:val="00C12831"/>
    <w:rsid w:val="00C12A0A"/>
    <w:rsid w:val="00C12B2A"/>
    <w:rsid w:val="00C1309C"/>
    <w:rsid w:val="00C13D8F"/>
    <w:rsid w:val="00C144AB"/>
    <w:rsid w:val="00C149BD"/>
    <w:rsid w:val="00C14E00"/>
    <w:rsid w:val="00C14F05"/>
    <w:rsid w:val="00C15CF3"/>
    <w:rsid w:val="00C15E03"/>
    <w:rsid w:val="00C15E57"/>
    <w:rsid w:val="00C163BE"/>
    <w:rsid w:val="00C16928"/>
    <w:rsid w:val="00C16AAC"/>
    <w:rsid w:val="00C17774"/>
    <w:rsid w:val="00C17A91"/>
    <w:rsid w:val="00C20949"/>
    <w:rsid w:val="00C20B00"/>
    <w:rsid w:val="00C20CED"/>
    <w:rsid w:val="00C20D76"/>
    <w:rsid w:val="00C2102C"/>
    <w:rsid w:val="00C2173E"/>
    <w:rsid w:val="00C21EFF"/>
    <w:rsid w:val="00C21F33"/>
    <w:rsid w:val="00C225B5"/>
    <w:rsid w:val="00C226E6"/>
    <w:rsid w:val="00C22974"/>
    <w:rsid w:val="00C22A7C"/>
    <w:rsid w:val="00C22BB1"/>
    <w:rsid w:val="00C22DD2"/>
    <w:rsid w:val="00C23818"/>
    <w:rsid w:val="00C23984"/>
    <w:rsid w:val="00C23C12"/>
    <w:rsid w:val="00C23F1B"/>
    <w:rsid w:val="00C2400B"/>
    <w:rsid w:val="00C2409E"/>
    <w:rsid w:val="00C24B8E"/>
    <w:rsid w:val="00C24F9F"/>
    <w:rsid w:val="00C25349"/>
    <w:rsid w:val="00C25BDA"/>
    <w:rsid w:val="00C25CF8"/>
    <w:rsid w:val="00C26213"/>
    <w:rsid w:val="00C26E78"/>
    <w:rsid w:val="00C26F21"/>
    <w:rsid w:val="00C26F83"/>
    <w:rsid w:val="00C276D5"/>
    <w:rsid w:val="00C300D7"/>
    <w:rsid w:val="00C30962"/>
    <w:rsid w:val="00C30BA4"/>
    <w:rsid w:val="00C30F0B"/>
    <w:rsid w:val="00C3113D"/>
    <w:rsid w:val="00C3294F"/>
    <w:rsid w:val="00C329D7"/>
    <w:rsid w:val="00C32C31"/>
    <w:rsid w:val="00C32F29"/>
    <w:rsid w:val="00C32F2E"/>
    <w:rsid w:val="00C33104"/>
    <w:rsid w:val="00C332D4"/>
    <w:rsid w:val="00C33626"/>
    <w:rsid w:val="00C33FE1"/>
    <w:rsid w:val="00C345FA"/>
    <w:rsid w:val="00C34637"/>
    <w:rsid w:val="00C347AE"/>
    <w:rsid w:val="00C3504F"/>
    <w:rsid w:val="00C354C6"/>
    <w:rsid w:val="00C35B12"/>
    <w:rsid w:val="00C35D79"/>
    <w:rsid w:val="00C363FE"/>
    <w:rsid w:val="00C3661B"/>
    <w:rsid w:val="00C36AAF"/>
    <w:rsid w:val="00C36D99"/>
    <w:rsid w:val="00C36FC5"/>
    <w:rsid w:val="00C373B4"/>
    <w:rsid w:val="00C3776B"/>
    <w:rsid w:val="00C37B63"/>
    <w:rsid w:val="00C37DFB"/>
    <w:rsid w:val="00C37EE6"/>
    <w:rsid w:val="00C406CA"/>
    <w:rsid w:val="00C40741"/>
    <w:rsid w:val="00C40925"/>
    <w:rsid w:val="00C41246"/>
    <w:rsid w:val="00C4163F"/>
    <w:rsid w:val="00C416AA"/>
    <w:rsid w:val="00C4181E"/>
    <w:rsid w:val="00C41B92"/>
    <w:rsid w:val="00C423F6"/>
    <w:rsid w:val="00C4335B"/>
    <w:rsid w:val="00C436B5"/>
    <w:rsid w:val="00C43C08"/>
    <w:rsid w:val="00C43E52"/>
    <w:rsid w:val="00C44153"/>
    <w:rsid w:val="00C4450B"/>
    <w:rsid w:val="00C44C0D"/>
    <w:rsid w:val="00C4597A"/>
    <w:rsid w:val="00C459A0"/>
    <w:rsid w:val="00C4626A"/>
    <w:rsid w:val="00C46309"/>
    <w:rsid w:val="00C46358"/>
    <w:rsid w:val="00C463AF"/>
    <w:rsid w:val="00C46653"/>
    <w:rsid w:val="00C4688E"/>
    <w:rsid w:val="00C47073"/>
    <w:rsid w:val="00C47181"/>
    <w:rsid w:val="00C477BE"/>
    <w:rsid w:val="00C47DB5"/>
    <w:rsid w:val="00C50B7F"/>
    <w:rsid w:val="00C50D2C"/>
    <w:rsid w:val="00C50D4C"/>
    <w:rsid w:val="00C50DB0"/>
    <w:rsid w:val="00C50F0F"/>
    <w:rsid w:val="00C51011"/>
    <w:rsid w:val="00C510F9"/>
    <w:rsid w:val="00C5199C"/>
    <w:rsid w:val="00C52155"/>
    <w:rsid w:val="00C526BA"/>
    <w:rsid w:val="00C52C71"/>
    <w:rsid w:val="00C52DAF"/>
    <w:rsid w:val="00C52DB7"/>
    <w:rsid w:val="00C53610"/>
    <w:rsid w:val="00C5371F"/>
    <w:rsid w:val="00C5454E"/>
    <w:rsid w:val="00C54F45"/>
    <w:rsid w:val="00C5543E"/>
    <w:rsid w:val="00C55C4A"/>
    <w:rsid w:val="00C56067"/>
    <w:rsid w:val="00C560AC"/>
    <w:rsid w:val="00C569FD"/>
    <w:rsid w:val="00C56BC0"/>
    <w:rsid w:val="00C56FC4"/>
    <w:rsid w:val="00C5743D"/>
    <w:rsid w:val="00C5781C"/>
    <w:rsid w:val="00C5791E"/>
    <w:rsid w:val="00C57A07"/>
    <w:rsid w:val="00C57B7C"/>
    <w:rsid w:val="00C57FA8"/>
    <w:rsid w:val="00C60343"/>
    <w:rsid w:val="00C60DD5"/>
    <w:rsid w:val="00C60FCA"/>
    <w:rsid w:val="00C61165"/>
    <w:rsid w:val="00C61F02"/>
    <w:rsid w:val="00C61FD5"/>
    <w:rsid w:val="00C62347"/>
    <w:rsid w:val="00C6284D"/>
    <w:rsid w:val="00C62A15"/>
    <w:rsid w:val="00C6302B"/>
    <w:rsid w:val="00C634A7"/>
    <w:rsid w:val="00C63690"/>
    <w:rsid w:val="00C63AF0"/>
    <w:rsid w:val="00C63BED"/>
    <w:rsid w:val="00C64438"/>
    <w:rsid w:val="00C646B4"/>
    <w:rsid w:val="00C64759"/>
    <w:rsid w:val="00C6499A"/>
    <w:rsid w:val="00C64AE1"/>
    <w:rsid w:val="00C64D14"/>
    <w:rsid w:val="00C6539E"/>
    <w:rsid w:val="00C656E4"/>
    <w:rsid w:val="00C65DF2"/>
    <w:rsid w:val="00C6648E"/>
    <w:rsid w:val="00C66611"/>
    <w:rsid w:val="00C667CB"/>
    <w:rsid w:val="00C66817"/>
    <w:rsid w:val="00C67406"/>
    <w:rsid w:val="00C70451"/>
    <w:rsid w:val="00C707D8"/>
    <w:rsid w:val="00C71573"/>
    <w:rsid w:val="00C7292E"/>
    <w:rsid w:val="00C72938"/>
    <w:rsid w:val="00C72BF4"/>
    <w:rsid w:val="00C72FB4"/>
    <w:rsid w:val="00C733A8"/>
    <w:rsid w:val="00C73775"/>
    <w:rsid w:val="00C749D7"/>
    <w:rsid w:val="00C75732"/>
    <w:rsid w:val="00C76F28"/>
    <w:rsid w:val="00C77045"/>
    <w:rsid w:val="00C77431"/>
    <w:rsid w:val="00C7762E"/>
    <w:rsid w:val="00C77F44"/>
    <w:rsid w:val="00C77FCD"/>
    <w:rsid w:val="00C80A7D"/>
    <w:rsid w:val="00C81373"/>
    <w:rsid w:val="00C82653"/>
    <w:rsid w:val="00C82C3D"/>
    <w:rsid w:val="00C82D95"/>
    <w:rsid w:val="00C83097"/>
    <w:rsid w:val="00C831B5"/>
    <w:rsid w:val="00C838C6"/>
    <w:rsid w:val="00C83B78"/>
    <w:rsid w:val="00C8409E"/>
    <w:rsid w:val="00C84269"/>
    <w:rsid w:val="00C848F2"/>
    <w:rsid w:val="00C84CFF"/>
    <w:rsid w:val="00C854D4"/>
    <w:rsid w:val="00C85A5B"/>
    <w:rsid w:val="00C86324"/>
    <w:rsid w:val="00C863DD"/>
    <w:rsid w:val="00C865C4"/>
    <w:rsid w:val="00C8660D"/>
    <w:rsid w:val="00C86663"/>
    <w:rsid w:val="00C87A6B"/>
    <w:rsid w:val="00C87B54"/>
    <w:rsid w:val="00C87B7F"/>
    <w:rsid w:val="00C87CB4"/>
    <w:rsid w:val="00C90556"/>
    <w:rsid w:val="00C906BD"/>
    <w:rsid w:val="00C91233"/>
    <w:rsid w:val="00C9207C"/>
    <w:rsid w:val="00C92B35"/>
    <w:rsid w:val="00C93025"/>
    <w:rsid w:val="00C93374"/>
    <w:rsid w:val="00C943AF"/>
    <w:rsid w:val="00C944CA"/>
    <w:rsid w:val="00C94884"/>
    <w:rsid w:val="00C95352"/>
    <w:rsid w:val="00C9593A"/>
    <w:rsid w:val="00C95A96"/>
    <w:rsid w:val="00C95D00"/>
    <w:rsid w:val="00C962D8"/>
    <w:rsid w:val="00C96532"/>
    <w:rsid w:val="00C9660E"/>
    <w:rsid w:val="00C966A8"/>
    <w:rsid w:val="00C96B64"/>
    <w:rsid w:val="00C971C8"/>
    <w:rsid w:val="00C97462"/>
    <w:rsid w:val="00C975E2"/>
    <w:rsid w:val="00C97C74"/>
    <w:rsid w:val="00CA07F0"/>
    <w:rsid w:val="00CA0B10"/>
    <w:rsid w:val="00CA0D78"/>
    <w:rsid w:val="00CA1B5E"/>
    <w:rsid w:val="00CA2A73"/>
    <w:rsid w:val="00CA3275"/>
    <w:rsid w:val="00CA34F1"/>
    <w:rsid w:val="00CA388A"/>
    <w:rsid w:val="00CA4855"/>
    <w:rsid w:val="00CA4C5F"/>
    <w:rsid w:val="00CA50FB"/>
    <w:rsid w:val="00CA5666"/>
    <w:rsid w:val="00CA5C5C"/>
    <w:rsid w:val="00CA5D90"/>
    <w:rsid w:val="00CA62DF"/>
    <w:rsid w:val="00CA6D71"/>
    <w:rsid w:val="00CA6DF0"/>
    <w:rsid w:val="00CA73B3"/>
    <w:rsid w:val="00CA752E"/>
    <w:rsid w:val="00CA7AC0"/>
    <w:rsid w:val="00CB0602"/>
    <w:rsid w:val="00CB062A"/>
    <w:rsid w:val="00CB1E68"/>
    <w:rsid w:val="00CB1EA4"/>
    <w:rsid w:val="00CB24FE"/>
    <w:rsid w:val="00CB261F"/>
    <w:rsid w:val="00CB2768"/>
    <w:rsid w:val="00CB3021"/>
    <w:rsid w:val="00CB328C"/>
    <w:rsid w:val="00CB334C"/>
    <w:rsid w:val="00CB3703"/>
    <w:rsid w:val="00CB3850"/>
    <w:rsid w:val="00CB3870"/>
    <w:rsid w:val="00CB3ECC"/>
    <w:rsid w:val="00CB4D42"/>
    <w:rsid w:val="00CB4F18"/>
    <w:rsid w:val="00CB5630"/>
    <w:rsid w:val="00CB57D6"/>
    <w:rsid w:val="00CB5B61"/>
    <w:rsid w:val="00CB6065"/>
    <w:rsid w:val="00CB62BF"/>
    <w:rsid w:val="00CB713F"/>
    <w:rsid w:val="00CC02EE"/>
    <w:rsid w:val="00CC03FA"/>
    <w:rsid w:val="00CC0DFB"/>
    <w:rsid w:val="00CC1282"/>
    <w:rsid w:val="00CC1EC5"/>
    <w:rsid w:val="00CC224F"/>
    <w:rsid w:val="00CC29F0"/>
    <w:rsid w:val="00CC2AA0"/>
    <w:rsid w:val="00CC3363"/>
    <w:rsid w:val="00CC3380"/>
    <w:rsid w:val="00CC3FB2"/>
    <w:rsid w:val="00CC4654"/>
    <w:rsid w:val="00CC4CBB"/>
    <w:rsid w:val="00CC4D0F"/>
    <w:rsid w:val="00CC53D1"/>
    <w:rsid w:val="00CC564B"/>
    <w:rsid w:val="00CC6084"/>
    <w:rsid w:val="00CC643D"/>
    <w:rsid w:val="00CC6CE2"/>
    <w:rsid w:val="00CC6EDB"/>
    <w:rsid w:val="00CC73F5"/>
    <w:rsid w:val="00CC7709"/>
    <w:rsid w:val="00CC774B"/>
    <w:rsid w:val="00CD0336"/>
    <w:rsid w:val="00CD092C"/>
    <w:rsid w:val="00CD1134"/>
    <w:rsid w:val="00CD1315"/>
    <w:rsid w:val="00CD1337"/>
    <w:rsid w:val="00CD16EC"/>
    <w:rsid w:val="00CD1F84"/>
    <w:rsid w:val="00CD24B3"/>
    <w:rsid w:val="00CD2512"/>
    <w:rsid w:val="00CD25E4"/>
    <w:rsid w:val="00CD26F7"/>
    <w:rsid w:val="00CD2C9C"/>
    <w:rsid w:val="00CD2D3E"/>
    <w:rsid w:val="00CD3860"/>
    <w:rsid w:val="00CD395B"/>
    <w:rsid w:val="00CD3F7C"/>
    <w:rsid w:val="00CD41E9"/>
    <w:rsid w:val="00CD4609"/>
    <w:rsid w:val="00CD4735"/>
    <w:rsid w:val="00CD4A59"/>
    <w:rsid w:val="00CD4E04"/>
    <w:rsid w:val="00CD5125"/>
    <w:rsid w:val="00CD5219"/>
    <w:rsid w:val="00CD55B9"/>
    <w:rsid w:val="00CD576B"/>
    <w:rsid w:val="00CD57E4"/>
    <w:rsid w:val="00CD58FD"/>
    <w:rsid w:val="00CD596C"/>
    <w:rsid w:val="00CD5B94"/>
    <w:rsid w:val="00CD5FDC"/>
    <w:rsid w:val="00CD6C5C"/>
    <w:rsid w:val="00CD6E57"/>
    <w:rsid w:val="00CD75E7"/>
    <w:rsid w:val="00CE02CC"/>
    <w:rsid w:val="00CE0308"/>
    <w:rsid w:val="00CE09D8"/>
    <w:rsid w:val="00CE0C27"/>
    <w:rsid w:val="00CE26D1"/>
    <w:rsid w:val="00CE2706"/>
    <w:rsid w:val="00CE2C86"/>
    <w:rsid w:val="00CE2CA1"/>
    <w:rsid w:val="00CE3057"/>
    <w:rsid w:val="00CE3467"/>
    <w:rsid w:val="00CE370E"/>
    <w:rsid w:val="00CE49A9"/>
    <w:rsid w:val="00CE4A4B"/>
    <w:rsid w:val="00CE4B3E"/>
    <w:rsid w:val="00CE4D66"/>
    <w:rsid w:val="00CE5261"/>
    <w:rsid w:val="00CE54FC"/>
    <w:rsid w:val="00CE5CBB"/>
    <w:rsid w:val="00CE61DE"/>
    <w:rsid w:val="00CE7FF1"/>
    <w:rsid w:val="00CF0378"/>
    <w:rsid w:val="00CF040F"/>
    <w:rsid w:val="00CF1108"/>
    <w:rsid w:val="00CF112B"/>
    <w:rsid w:val="00CF14E6"/>
    <w:rsid w:val="00CF1770"/>
    <w:rsid w:val="00CF1BCD"/>
    <w:rsid w:val="00CF1FDC"/>
    <w:rsid w:val="00CF226B"/>
    <w:rsid w:val="00CF275F"/>
    <w:rsid w:val="00CF3291"/>
    <w:rsid w:val="00CF3DA3"/>
    <w:rsid w:val="00CF3FBE"/>
    <w:rsid w:val="00CF4434"/>
    <w:rsid w:val="00CF471A"/>
    <w:rsid w:val="00CF4A33"/>
    <w:rsid w:val="00CF4F67"/>
    <w:rsid w:val="00CF607B"/>
    <w:rsid w:val="00CF63C6"/>
    <w:rsid w:val="00CF684C"/>
    <w:rsid w:val="00CF69FA"/>
    <w:rsid w:val="00CF7844"/>
    <w:rsid w:val="00CF7EA4"/>
    <w:rsid w:val="00D000B5"/>
    <w:rsid w:val="00D0048F"/>
    <w:rsid w:val="00D011CB"/>
    <w:rsid w:val="00D0176B"/>
    <w:rsid w:val="00D01AC9"/>
    <w:rsid w:val="00D02074"/>
    <w:rsid w:val="00D020C0"/>
    <w:rsid w:val="00D02215"/>
    <w:rsid w:val="00D02B6C"/>
    <w:rsid w:val="00D03307"/>
    <w:rsid w:val="00D034DC"/>
    <w:rsid w:val="00D04535"/>
    <w:rsid w:val="00D049BD"/>
    <w:rsid w:val="00D04BE5"/>
    <w:rsid w:val="00D05087"/>
    <w:rsid w:val="00D05C2A"/>
    <w:rsid w:val="00D05D37"/>
    <w:rsid w:val="00D061C8"/>
    <w:rsid w:val="00D06D4A"/>
    <w:rsid w:val="00D06DC6"/>
    <w:rsid w:val="00D07011"/>
    <w:rsid w:val="00D07035"/>
    <w:rsid w:val="00D07542"/>
    <w:rsid w:val="00D104CB"/>
    <w:rsid w:val="00D109FD"/>
    <w:rsid w:val="00D1100B"/>
    <w:rsid w:val="00D1113E"/>
    <w:rsid w:val="00D11BCC"/>
    <w:rsid w:val="00D12040"/>
    <w:rsid w:val="00D129E4"/>
    <w:rsid w:val="00D1316C"/>
    <w:rsid w:val="00D13452"/>
    <w:rsid w:val="00D13B8B"/>
    <w:rsid w:val="00D13C83"/>
    <w:rsid w:val="00D13DC3"/>
    <w:rsid w:val="00D13E2B"/>
    <w:rsid w:val="00D1431A"/>
    <w:rsid w:val="00D149B4"/>
    <w:rsid w:val="00D1548D"/>
    <w:rsid w:val="00D15965"/>
    <w:rsid w:val="00D15AB1"/>
    <w:rsid w:val="00D15B35"/>
    <w:rsid w:val="00D15C2D"/>
    <w:rsid w:val="00D15DF5"/>
    <w:rsid w:val="00D15E5D"/>
    <w:rsid w:val="00D16951"/>
    <w:rsid w:val="00D16B2B"/>
    <w:rsid w:val="00D16E1B"/>
    <w:rsid w:val="00D17378"/>
    <w:rsid w:val="00D177BD"/>
    <w:rsid w:val="00D1792F"/>
    <w:rsid w:val="00D17EE6"/>
    <w:rsid w:val="00D2006A"/>
    <w:rsid w:val="00D204DE"/>
    <w:rsid w:val="00D211CE"/>
    <w:rsid w:val="00D2135B"/>
    <w:rsid w:val="00D21607"/>
    <w:rsid w:val="00D2165E"/>
    <w:rsid w:val="00D21AB5"/>
    <w:rsid w:val="00D22CEC"/>
    <w:rsid w:val="00D2347E"/>
    <w:rsid w:val="00D23489"/>
    <w:rsid w:val="00D24DA0"/>
    <w:rsid w:val="00D2503B"/>
    <w:rsid w:val="00D2567B"/>
    <w:rsid w:val="00D25E32"/>
    <w:rsid w:val="00D25E8A"/>
    <w:rsid w:val="00D25EBE"/>
    <w:rsid w:val="00D26009"/>
    <w:rsid w:val="00D260FF"/>
    <w:rsid w:val="00D2644E"/>
    <w:rsid w:val="00D26452"/>
    <w:rsid w:val="00D267D8"/>
    <w:rsid w:val="00D26DC2"/>
    <w:rsid w:val="00D27011"/>
    <w:rsid w:val="00D275FA"/>
    <w:rsid w:val="00D27969"/>
    <w:rsid w:val="00D27AF4"/>
    <w:rsid w:val="00D27EBE"/>
    <w:rsid w:val="00D30291"/>
    <w:rsid w:val="00D30C0D"/>
    <w:rsid w:val="00D30EF2"/>
    <w:rsid w:val="00D31217"/>
    <w:rsid w:val="00D31933"/>
    <w:rsid w:val="00D32247"/>
    <w:rsid w:val="00D32F7D"/>
    <w:rsid w:val="00D33D8B"/>
    <w:rsid w:val="00D3400D"/>
    <w:rsid w:val="00D343FA"/>
    <w:rsid w:val="00D34A68"/>
    <w:rsid w:val="00D34FA6"/>
    <w:rsid w:val="00D3518C"/>
    <w:rsid w:val="00D3528D"/>
    <w:rsid w:val="00D3563B"/>
    <w:rsid w:val="00D35854"/>
    <w:rsid w:val="00D35935"/>
    <w:rsid w:val="00D35E06"/>
    <w:rsid w:val="00D3672B"/>
    <w:rsid w:val="00D36AD0"/>
    <w:rsid w:val="00D36C5E"/>
    <w:rsid w:val="00D37529"/>
    <w:rsid w:val="00D37A28"/>
    <w:rsid w:val="00D40141"/>
    <w:rsid w:val="00D4044E"/>
    <w:rsid w:val="00D405BA"/>
    <w:rsid w:val="00D40BD8"/>
    <w:rsid w:val="00D40D68"/>
    <w:rsid w:val="00D41339"/>
    <w:rsid w:val="00D414E5"/>
    <w:rsid w:val="00D41800"/>
    <w:rsid w:val="00D418FF"/>
    <w:rsid w:val="00D4209C"/>
    <w:rsid w:val="00D426D6"/>
    <w:rsid w:val="00D427CF"/>
    <w:rsid w:val="00D43172"/>
    <w:rsid w:val="00D4335C"/>
    <w:rsid w:val="00D4490D"/>
    <w:rsid w:val="00D44C07"/>
    <w:rsid w:val="00D44F5E"/>
    <w:rsid w:val="00D453A8"/>
    <w:rsid w:val="00D4551B"/>
    <w:rsid w:val="00D46373"/>
    <w:rsid w:val="00D46C26"/>
    <w:rsid w:val="00D46D6F"/>
    <w:rsid w:val="00D477EB"/>
    <w:rsid w:val="00D47AC7"/>
    <w:rsid w:val="00D47D62"/>
    <w:rsid w:val="00D5025A"/>
    <w:rsid w:val="00D50400"/>
    <w:rsid w:val="00D50B9F"/>
    <w:rsid w:val="00D50C92"/>
    <w:rsid w:val="00D51254"/>
    <w:rsid w:val="00D516F3"/>
    <w:rsid w:val="00D525C2"/>
    <w:rsid w:val="00D53B0E"/>
    <w:rsid w:val="00D53B4C"/>
    <w:rsid w:val="00D543EB"/>
    <w:rsid w:val="00D5460D"/>
    <w:rsid w:val="00D564B5"/>
    <w:rsid w:val="00D5660B"/>
    <w:rsid w:val="00D567F9"/>
    <w:rsid w:val="00D57195"/>
    <w:rsid w:val="00D571D9"/>
    <w:rsid w:val="00D574D2"/>
    <w:rsid w:val="00D5763B"/>
    <w:rsid w:val="00D57772"/>
    <w:rsid w:val="00D579A2"/>
    <w:rsid w:val="00D57DE4"/>
    <w:rsid w:val="00D57DED"/>
    <w:rsid w:val="00D57F95"/>
    <w:rsid w:val="00D60AB4"/>
    <w:rsid w:val="00D60FC3"/>
    <w:rsid w:val="00D6102C"/>
    <w:rsid w:val="00D616B5"/>
    <w:rsid w:val="00D6193F"/>
    <w:rsid w:val="00D62665"/>
    <w:rsid w:val="00D6277A"/>
    <w:rsid w:val="00D62E09"/>
    <w:rsid w:val="00D64046"/>
    <w:rsid w:val="00D645DC"/>
    <w:rsid w:val="00D64FED"/>
    <w:rsid w:val="00D656F0"/>
    <w:rsid w:val="00D65C76"/>
    <w:rsid w:val="00D675D5"/>
    <w:rsid w:val="00D7014D"/>
    <w:rsid w:val="00D7128B"/>
    <w:rsid w:val="00D71E24"/>
    <w:rsid w:val="00D72A68"/>
    <w:rsid w:val="00D72ED1"/>
    <w:rsid w:val="00D734C7"/>
    <w:rsid w:val="00D73B2A"/>
    <w:rsid w:val="00D73DF2"/>
    <w:rsid w:val="00D7413E"/>
    <w:rsid w:val="00D74BA7"/>
    <w:rsid w:val="00D750FC"/>
    <w:rsid w:val="00D7542B"/>
    <w:rsid w:val="00D75562"/>
    <w:rsid w:val="00D75ECB"/>
    <w:rsid w:val="00D7601A"/>
    <w:rsid w:val="00D7632F"/>
    <w:rsid w:val="00D769AD"/>
    <w:rsid w:val="00D77363"/>
    <w:rsid w:val="00D7745A"/>
    <w:rsid w:val="00D774C8"/>
    <w:rsid w:val="00D77A5D"/>
    <w:rsid w:val="00D77B36"/>
    <w:rsid w:val="00D77FF7"/>
    <w:rsid w:val="00D80BC7"/>
    <w:rsid w:val="00D80D24"/>
    <w:rsid w:val="00D8128D"/>
    <w:rsid w:val="00D812EE"/>
    <w:rsid w:val="00D81C6A"/>
    <w:rsid w:val="00D82188"/>
    <w:rsid w:val="00D82470"/>
    <w:rsid w:val="00D82931"/>
    <w:rsid w:val="00D82A40"/>
    <w:rsid w:val="00D8351F"/>
    <w:rsid w:val="00D8356A"/>
    <w:rsid w:val="00D83905"/>
    <w:rsid w:val="00D84686"/>
    <w:rsid w:val="00D854C8"/>
    <w:rsid w:val="00D85EC4"/>
    <w:rsid w:val="00D8602C"/>
    <w:rsid w:val="00D8669A"/>
    <w:rsid w:val="00D86861"/>
    <w:rsid w:val="00D869AB"/>
    <w:rsid w:val="00D86AED"/>
    <w:rsid w:val="00D86C57"/>
    <w:rsid w:val="00D86DA1"/>
    <w:rsid w:val="00D87370"/>
    <w:rsid w:val="00D907DC"/>
    <w:rsid w:val="00D911B7"/>
    <w:rsid w:val="00D912DE"/>
    <w:rsid w:val="00D9143B"/>
    <w:rsid w:val="00D91F8F"/>
    <w:rsid w:val="00D92839"/>
    <w:rsid w:val="00D92D57"/>
    <w:rsid w:val="00D92DA5"/>
    <w:rsid w:val="00D92E88"/>
    <w:rsid w:val="00D9362E"/>
    <w:rsid w:val="00D93AC1"/>
    <w:rsid w:val="00D947C1"/>
    <w:rsid w:val="00D94909"/>
    <w:rsid w:val="00D95071"/>
    <w:rsid w:val="00D95ACC"/>
    <w:rsid w:val="00D95B11"/>
    <w:rsid w:val="00D9611B"/>
    <w:rsid w:val="00D96A3E"/>
    <w:rsid w:val="00D96A7B"/>
    <w:rsid w:val="00D96CFC"/>
    <w:rsid w:val="00DA0965"/>
    <w:rsid w:val="00DA1705"/>
    <w:rsid w:val="00DA18B0"/>
    <w:rsid w:val="00DA19BF"/>
    <w:rsid w:val="00DA1D32"/>
    <w:rsid w:val="00DA1F52"/>
    <w:rsid w:val="00DA2328"/>
    <w:rsid w:val="00DA281B"/>
    <w:rsid w:val="00DA2856"/>
    <w:rsid w:val="00DA2ECF"/>
    <w:rsid w:val="00DA2F4D"/>
    <w:rsid w:val="00DA2F73"/>
    <w:rsid w:val="00DA3108"/>
    <w:rsid w:val="00DA3126"/>
    <w:rsid w:val="00DA34B6"/>
    <w:rsid w:val="00DA3613"/>
    <w:rsid w:val="00DA3D2C"/>
    <w:rsid w:val="00DA416A"/>
    <w:rsid w:val="00DA4838"/>
    <w:rsid w:val="00DA483F"/>
    <w:rsid w:val="00DA569F"/>
    <w:rsid w:val="00DA58E2"/>
    <w:rsid w:val="00DA66BB"/>
    <w:rsid w:val="00DA6A43"/>
    <w:rsid w:val="00DA6B6B"/>
    <w:rsid w:val="00DA6C19"/>
    <w:rsid w:val="00DA75AC"/>
    <w:rsid w:val="00DA7668"/>
    <w:rsid w:val="00DA7778"/>
    <w:rsid w:val="00DA7A55"/>
    <w:rsid w:val="00DB01AA"/>
    <w:rsid w:val="00DB03C1"/>
    <w:rsid w:val="00DB0632"/>
    <w:rsid w:val="00DB098E"/>
    <w:rsid w:val="00DB09EE"/>
    <w:rsid w:val="00DB0D09"/>
    <w:rsid w:val="00DB10F7"/>
    <w:rsid w:val="00DB13C1"/>
    <w:rsid w:val="00DB184C"/>
    <w:rsid w:val="00DB1C5D"/>
    <w:rsid w:val="00DB21C6"/>
    <w:rsid w:val="00DB4149"/>
    <w:rsid w:val="00DB46F7"/>
    <w:rsid w:val="00DB54BA"/>
    <w:rsid w:val="00DB5684"/>
    <w:rsid w:val="00DB608B"/>
    <w:rsid w:val="00DB64E9"/>
    <w:rsid w:val="00DB66AF"/>
    <w:rsid w:val="00DB683D"/>
    <w:rsid w:val="00DB6B77"/>
    <w:rsid w:val="00DB6B9F"/>
    <w:rsid w:val="00DB6E91"/>
    <w:rsid w:val="00DB7280"/>
    <w:rsid w:val="00DB7416"/>
    <w:rsid w:val="00DB7685"/>
    <w:rsid w:val="00DB7894"/>
    <w:rsid w:val="00DB7FE4"/>
    <w:rsid w:val="00DC00D9"/>
    <w:rsid w:val="00DC0252"/>
    <w:rsid w:val="00DC0563"/>
    <w:rsid w:val="00DC05ED"/>
    <w:rsid w:val="00DC07F3"/>
    <w:rsid w:val="00DC0933"/>
    <w:rsid w:val="00DC0B44"/>
    <w:rsid w:val="00DC0C3C"/>
    <w:rsid w:val="00DC0F75"/>
    <w:rsid w:val="00DC12C2"/>
    <w:rsid w:val="00DC176A"/>
    <w:rsid w:val="00DC2AB8"/>
    <w:rsid w:val="00DC307B"/>
    <w:rsid w:val="00DC343B"/>
    <w:rsid w:val="00DC37CB"/>
    <w:rsid w:val="00DC3C40"/>
    <w:rsid w:val="00DC3D10"/>
    <w:rsid w:val="00DC3F2A"/>
    <w:rsid w:val="00DC462F"/>
    <w:rsid w:val="00DC48DE"/>
    <w:rsid w:val="00DC499A"/>
    <w:rsid w:val="00DC4C5E"/>
    <w:rsid w:val="00DC52C7"/>
    <w:rsid w:val="00DC5923"/>
    <w:rsid w:val="00DC5AEA"/>
    <w:rsid w:val="00DC5B3E"/>
    <w:rsid w:val="00DC62C5"/>
    <w:rsid w:val="00DC63F5"/>
    <w:rsid w:val="00DC66FC"/>
    <w:rsid w:val="00DC6E04"/>
    <w:rsid w:val="00DC70D0"/>
    <w:rsid w:val="00DC7A0A"/>
    <w:rsid w:val="00DC7A63"/>
    <w:rsid w:val="00DC7D9E"/>
    <w:rsid w:val="00DD05CB"/>
    <w:rsid w:val="00DD0C92"/>
    <w:rsid w:val="00DD0CA7"/>
    <w:rsid w:val="00DD123D"/>
    <w:rsid w:val="00DD1FFF"/>
    <w:rsid w:val="00DD23A8"/>
    <w:rsid w:val="00DD23F1"/>
    <w:rsid w:val="00DD2B12"/>
    <w:rsid w:val="00DD346D"/>
    <w:rsid w:val="00DD347E"/>
    <w:rsid w:val="00DD3AC6"/>
    <w:rsid w:val="00DD3BE5"/>
    <w:rsid w:val="00DD445E"/>
    <w:rsid w:val="00DD46BF"/>
    <w:rsid w:val="00DD493B"/>
    <w:rsid w:val="00DD5529"/>
    <w:rsid w:val="00DD5BFA"/>
    <w:rsid w:val="00DD6017"/>
    <w:rsid w:val="00DD67DC"/>
    <w:rsid w:val="00DD6A21"/>
    <w:rsid w:val="00DD7B1A"/>
    <w:rsid w:val="00DD7BC8"/>
    <w:rsid w:val="00DD7CA4"/>
    <w:rsid w:val="00DD7F9C"/>
    <w:rsid w:val="00DE0630"/>
    <w:rsid w:val="00DE0830"/>
    <w:rsid w:val="00DE18A7"/>
    <w:rsid w:val="00DE1BAE"/>
    <w:rsid w:val="00DE2056"/>
    <w:rsid w:val="00DE20A7"/>
    <w:rsid w:val="00DE26E6"/>
    <w:rsid w:val="00DE2731"/>
    <w:rsid w:val="00DE2975"/>
    <w:rsid w:val="00DE2B45"/>
    <w:rsid w:val="00DE2D89"/>
    <w:rsid w:val="00DE2E93"/>
    <w:rsid w:val="00DE2EFB"/>
    <w:rsid w:val="00DE3013"/>
    <w:rsid w:val="00DE3375"/>
    <w:rsid w:val="00DE389D"/>
    <w:rsid w:val="00DE3ACC"/>
    <w:rsid w:val="00DE4140"/>
    <w:rsid w:val="00DE4411"/>
    <w:rsid w:val="00DE4A0E"/>
    <w:rsid w:val="00DE60CA"/>
    <w:rsid w:val="00DE645D"/>
    <w:rsid w:val="00DE657D"/>
    <w:rsid w:val="00DE66CB"/>
    <w:rsid w:val="00DE6ED7"/>
    <w:rsid w:val="00DE7B83"/>
    <w:rsid w:val="00DF050D"/>
    <w:rsid w:val="00DF0822"/>
    <w:rsid w:val="00DF092A"/>
    <w:rsid w:val="00DF0E91"/>
    <w:rsid w:val="00DF1364"/>
    <w:rsid w:val="00DF1FE1"/>
    <w:rsid w:val="00DF2045"/>
    <w:rsid w:val="00DF20C0"/>
    <w:rsid w:val="00DF211E"/>
    <w:rsid w:val="00DF2E89"/>
    <w:rsid w:val="00DF306C"/>
    <w:rsid w:val="00DF32B1"/>
    <w:rsid w:val="00DF38E6"/>
    <w:rsid w:val="00DF394E"/>
    <w:rsid w:val="00DF505E"/>
    <w:rsid w:val="00DF5110"/>
    <w:rsid w:val="00DF520A"/>
    <w:rsid w:val="00DF5351"/>
    <w:rsid w:val="00DF56AB"/>
    <w:rsid w:val="00DF59BA"/>
    <w:rsid w:val="00DF5F84"/>
    <w:rsid w:val="00DF620E"/>
    <w:rsid w:val="00DF67F7"/>
    <w:rsid w:val="00DF694A"/>
    <w:rsid w:val="00DF6B6C"/>
    <w:rsid w:val="00DF7021"/>
    <w:rsid w:val="00DF77DE"/>
    <w:rsid w:val="00DF785D"/>
    <w:rsid w:val="00DF797A"/>
    <w:rsid w:val="00E00448"/>
    <w:rsid w:val="00E00507"/>
    <w:rsid w:val="00E00E83"/>
    <w:rsid w:val="00E012A0"/>
    <w:rsid w:val="00E014E3"/>
    <w:rsid w:val="00E01E56"/>
    <w:rsid w:val="00E01EBE"/>
    <w:rsid w:val="00E020DC"/>
    <w:rsid w:val="00E02517"/>
    <w:rsid w:val="00E02A2D"/>
    <w:rsid w:val="00E02A31"/>
    <w:rsid w:val="00E02FEF"/>
    <w:rsid w:val="00E03845"/>
    <w:rsid w:val="00E0442B"/>
    <w:rsid w:val="00E044DA"/>
    <w:rsid w:val="00E04C5F"/>
    <w:rsid w:val="00E04F54"/>
    <w:rsid w:val="00E052B3"/>
    <w:rsid w:val="00E056AC"/>
    <w:rsid w:val="00E0593D"/>
    <w:rsid w:val="00E05E19"/>
    <w:rsid w:val="00E06B75"/>
    <w:rsid w:val="00E0716B"/>
    <w:rsid w:val="00E074D3"/>
    <w:rsid w:val="00E079E9"/>
    <w:rsid w:val="00E10242"/>
    <w:rsid w:val="00E107F4"/>
    <w:rsid w:val="00E10B9A"/>
    <w:rsid w:val="00E10D7D"/>
    <w:rsid w:val="00E10F9E"/>
    <w:rsid w:val="00E1180B"/>
    <w:rsid w:val="00E11E53"/>
    <w:rsid w:val="00E1246A"/>
    <w:rsid w:val="00E13B05"/>
    <w:rsid w:val="00E13BE6"/>
    <w:rsid w:val="00E13FE8"/>
    <w:rsid w:val="00E14439"/>
    <w:rsid w:val="00E14833"/>
    <w:rsid w:val="00E14870"/>
    <w:rsid w:val="00E1490A"/>
    <w:rsid w:val="00E14BC1"/>
    <w:rsid w:val="00E153E7"/>
    <w:rsid w:val="00E1544F"/>
    <w:rsid w:val="00E15690"/>
    <w:rsid w:val="00E1591D"/>
    <w:rsid w:val="00E15EBC"/>
    <w:rsid w:val="00E1675F"/>
    <w:rsid w:val="00E1714E"/>
    <w:rsid w:val="00E173FF"/>
    <w:rsid w:val="00E178E5"/>
    <w:rsid w:val="00E17C00"/>
    <w:rsid w:val="00E2069E"/>
    <w:rsid w:val="00E20DB1"/>
    <w:rsid w:val="00E21326"/>
    <w:rsid w:val="00E21F36"/>
    <w:rsid w:val="00E2268A"/>
    <w:rsid w:val="00E2274C"/>
    <w:rsid w:val="00E23043"/>
    <w:rsid w:val="00E232D6"/>
    <w:rsid w:val="00E233AD"/>
    <w:rsid w:val="00E23E31"/>
    <w:rsid w:val="00E247B5"/>
    <w:rsid w:val="00E24FA3"/>
    <w:rsid w:val="00E25408"/>
    <w:rsid w:val="00E25655"/>
    <w:rsid w:val="00E259A8"/>
    <w:rsid w:val="00E25DCF"/>
    <w:rsid w:val="00E26717"/>
    <w:rsid w:val="00E2681E"/>
    <w:rsid w:val="00E26B28"/>
    <w:rsid w:val="00E26BFB"/>
    <w:rsid w:val="00E2754C"/>
    <w:rsid w:val="00E27B83"/>
    <w:rsid w:val="00E30347"/>
    <w:rsid w:val="00E30A13"/>
    <w:rsid w:val="00E31157"/>
    <w:rsid w:val="00E311C9"/>
    <w:rsid w:val="00E31465"/>
    <w:rsid w:val="00E317A4"/>
    <w:rsid w:val="00E319C3"/>
    <w:rsid w:val="00E31DD8"/>
    <w:rsid w:val="00E31F34"/>
    <w:rsid w:val="00E31F99"/>
    <w:rsid w:val="00E323E3"/>
    <w:rsid w:val="00E328CD"/>
    <w:rsid w:val="00E32A99"/>
    <w:rsid w:val="00E32EC7"/>
    <w:rsid w:val="00E3318D"/>
    <w:rsid w:val="00E331FC"/>
    <w:rsid w:val="00E3473C"/>
    <w:rsid w:val="00E3489E"/>
    <w:rsid w:val="00E34CCC"/>
    <w:rsid w:val="00E35F6B"/>
    <w:rsid w:val="00E362F0"/>
    <w:rsid w:val="00E36304"/>
    <w:rsid w:val="00E36415"/>
    <w:rsid w:val="00E368E1"/>
    <w:rsid w:val="00E36B95"/>
    <w:rsid w:val="00E36F47"/>
    <w:rsid w:val="00E37686"/>
    <w:rsid w:val="00E4003F"/>
    <w:rsid w:val="00E4050B"/>
    <w:rsid w:val="00E4062E"/>
    <w:rsid w:val="00E40916"/>
    <w:rsid w:val="00E409E8"/>
    <w:rsid w:val="00E41038"/>
    <w:rsid w:val="00E41502"/>
    <w:rsid w:val="00E41B65"/>
    <w:rsid w:val="00E421A4"/>
    <w:rsid w:val="00E42B17"/>
    <w:rsid w:val="00E435B1"/>
    <w:rsid w:val="00E43CD4"/>
    <w:rsid w:val="00E43D75"/>
    <w:rsid w:val="00E44008"/>
    <w:rsid w:val="00E44C59"/>
    <w:rsid w:val="00E44F50"/>
    <w:rsid w:val="00E458F6"/>
    <w:rsid w:val="00E45954"/>
    <w:rsid w:val="00E461F3"/>
    <w:rsid w:val="00E463DF"/>
    <w:rsid w:val="00E464DD"/>
    <w:rsid w:val="00E46704"/>
    <w:rsid w:val="00E46949"/>
    <w:rsid w:val="00E46AAE"/>
    <w:rsid w:val="00E47427"/>
    <w:rsid w:val="00E47787"/>
    <w:rsid w:val="00E477ED"/>
    <w:rsid w:val="00E47A60"/>
    <w:rsid w:val="00E5011A"/>
    <w:rsid w:val="00E50565"/>
    <w:rsid w:val="00E5074F"/>
    <w:rsid w:val="00E50C33"/>
    <w:rsid w:val="00E515F8"/>
    <w:rsid w:val="00E51AEC"/>
    <w:rsid w:val="00E51C59"/>
    <w:rsid w:val="00E52199"/>
    <w:rsid w:val="00E527AA"/>
    <w:rsid w:val="00E52CF3"/>
    <w:rsid w:val="00E53546"/>
    <w:rsid w:val="00E537CC"/>
    <w:rsid w:val="00E53961"/>
    <w:rsid w:val="00E53A07"/>
    <w:rsid w:val="00E53CEE"/>
    <w:rsid w:val="00E544CF"/>
    <w:rsid w:val="00E548EB"/>
    <w:rsid w:val="00E54CC2"/>
    <w:rsid w:val="00E55516"/>
    <w:rsid w:val="00E55F24"/>
    <w:rsid w:val="00E56EFE"/>
    <w:rsid w:val="00E56F66"/>
    <w:rsid w:val="00E571B1"/>
    <w:rsid w:val="00E573AC"/>
    <w:rsid w:val="00E57B5D"/>
    <w:rsid w:val="00E57F25"/>
    <w:rsid w:val="00E606A6"/>
    <w:rsid w:val="00E607E8"/>
    <w:rsid w:val="00E6087C"/>
    <w:rsid w:val="00E60CB7"/>
    <w:rsid w:val="00E60E96"/>
    <w:rsid w:val="00E60EB0"/>
    <w:rsid w:val="00E614EE"/>
    <w:rsid w:val="00E619D7"/>
    <w:rsid w:val="00E61B14"/>
    <w:rsid w:val="00E61B9E"/>
    <w:rsid w:val="00E63625"/>
    <w:rsid w:val="00E63A5D"/>
    <w:rsid w:val="00E65617"/>
    <w:rsid w:val="00E656B6"/>
    <w:rsid w:val="00E65F62"/>
    <w:rsid w:val="00E662B0"/>
    <w:rsid w:val="00E666CB"/>
    <w:rsid w:val="00E66B1D"/>
    <w:rsid w:val="00E66EBC"/>
    <w:rsid w:val="00E670C4"/>
    <w:rsid w:val="00E67C60"/>
    <w:rsid w:val="00E67EB6"/>
    <w:rsid w:val="00E7003C"/>
    <w:rsid w:val="00E70521"/>
    <w:rsid w:val="00E708E1"/>
    <w:rsid w:val="00E725A5"/>
    <w:rsid w:val="00E72973"/>
    <w:rsid w:val="00E730AB"/>
    <w:rsid w:val="00E74395"/>
    <w:rsid w:val="00E747C5"/>
    <w:rsid w:val="00E74CC1"/>
    <w:rsid w:val="00E75676"/>
    <w:rsid w:val="00E756D1"/>
    <w:rsid w:val="00E75B46"/>
    <w:rsid w:val="00E75B59"/>
    <w:rsid w:val="00E761F5"/>
    <w:rsid w:val="00E7621E"/>
    <w:rsid w:val="00E764EE"/>
    <w:rsid w:val="00E767CB"/>
    <w:rsid w:val="00E76F5B"/>
    <w:rsid w:val="00E77873"/>
    <w:rsid w:val="00E778F7"/>
    <w:rsid w:val="00E77D9D"/>
    <w:rsid w:val="00E77FB7"/>
    <w:rsid w:val="00E77FBD"/>
    <w:rsid w:val="00E80231"/>
    <w:rsid w:val="00E80EF9"/>
    <w:rsid w:val="00E81014"/>
    <w:rsid w:val="00E8119C"/>
    <w:rsid w:val="00E8147F"/>
    <w:rsid w:val="00E817B3"/>
    <w:rsid w:val="00E81801"/>
    <w:rsid w:val="00E818B0"/>
    <w:rsid w:val="00E81D0E"/>
    <w:rsid w:val="00E81EA2"/>
    <w:rsid w:val="00E82241"/>
    <w:rsid w:val="00E823FC"/>
    <w:rsid w:val="00E82527"/>
    <w:rsid w:val="00E82C31"/>
    <w:rsid w:val="00E83FFC"/>
    <w:rsid w:val="00E841B1"/>
    <w:rsid w:val="00E84836"/>
    <w:rsid w:val="00E84D26"/>
    <w:rsid w:val="00E84E39"/>
    <w:rsid w:val="00E8610B"/>
    <w:rsid w:val="00E86725"/>
    <w:rsid w:val="00E869C6"/>
    <w:rsid w:val="00E86CE8"/>
    <w:rsid w:val="00E86F27"/>
    <w:rsid w:val="00E87838"/>
    <w:rsid w:val="00E87BCA"/>
    <w:rsid w:val="00E902D0"/>
    <w:rsid w:val="00E903FE"/>
    <w:rsid w:val="00E90517"/>
    <w:rsid w:val="00E90B64"/>
    <w:rsid w:val="00E91562"/>
    <w:rsid w:val="00E91886"/>
    <w:rsid w:val="00E91C73"/>
    <w:rsid w:val="00E91CDE"/>
    <w:rsid w:val="00E91CF1"/>
    <w:rsid w:val="00E92361"/>
    <w:rsid w:val="00E9359E"/>
    <w:rsid w:val="00E9381A"/>
    <w:rsid w:val="00E93FED"/>
    <w:rsid w:val="00E94B20"/>
    <w:rsid w:val="00E94FC8"/>
    <w:rsid w:val="00E96709"/>
    <w:rsid w:val="00E96AB9"/>
    <w:rsid w:val="00E96C63"/>
    <w:rsid w:val="00E96F40"/>
    <w:rsid w:val="00E971CF"/>
    <w:rsid w:val="00E97345"/>
    <w:rsid w:val="00E97391"/>
    <w:rsid w:val="00E975C2"/>
    <w:rsid w:val="00E9761F"/>
    <w:rsid w:val="00E97F49"/>
    <w:rsid w:val="00EA02CE"/>
    <w:rsid w:val="00EA1483"/>
    <w:rsid w:val="00EA17F9"/>
    <w:rsid w:val="00EA2240"/>
    <w:rsid w:val="00EA2779"/>
    <w:rsid w:val="00EA29C4"/>
    <w:rsid w:val="00EA3808"/>
    <w:rsid w:val="00EA3900"/>
    <w:rsid w:val="00EA3EC1"/>
    <w:rsid w:val="00EA4152"/>
    <w:rsid w:val="00EA4187"/>
    <w:rsid w:val="00EA4347"/>
    <w:rsid w:val="00EA44D9"/>
    <w:rsid w:val="00EA458D"/>
    <w:rsid w:val="00EA4B9C"/>
    <w:rsid w:val="00EA5619"/>
    <w:rsid w:val="00EA5D58"/>
    <w:rsid w:val="00EA5FBE"/>
    <w:rsid w:val="00EA6321"/>
    <w:rsid w:val="00EA6B01"/>
    <w:rsid w:val="00EA6EF7"/>
    <w:rsid w:val="00EA78B4"/>
    <w:rsid w:val="00EB0128"/>
    <w:rsid w:val="00EB01CB"/>
    <w:rsid w:val="00EB023A"/>
    <w:rsid w:val="00EB03BD"/>
    <w:rsid w:val="00EB0603"/>
    <w:rsid w:val="00EB072C"/>
    <w:rsid w:val="00EB0AE8"/>
    <w:rsid w:val="00EB0C94"/>
    <w:rsid w:val="00EB0E5C"/>
    <w:rsid w:val="00EB0EF0"/>
    <w:rsid w:val="00EB0FC8"/>
    <w:rsid w:val="00EB162C"/>
    <w:rsid w:val="00EB2216"/>
    <w:rsid w:val="00EB2A28"/>
    <w:rsid w:val="00EB2F94"/>
    <w:rsid w:val="00EB33A0"/>
    <w:rsid w:val="00EB3702"/>
    <w:rsid w:val="00EB3BAC"/>
    <w:rsid w:val="00EB3BD8"/>
    <w:rsid w:val="00EB3E04"/>
    <w:rsid w:val="00EB3EBF"/>
    <w:rsid w:val="00EB440B"/>
    <w:rsid w:val="00EB47D5"/>
    <w:rsid w:val="00EB53AD"/>
    <w:rsid w:val="00EB5B65"/>
    <w:rsid w:val="00EB6156"/>
    <w:rsid w:val="00EB6272"/>
    <w:rsid w:val="00EB6A76"/>
    <w:rsid w:val="00EB6EFD"/>
    <w:rsid w:val="00EB7149"/>
    <w:rsid w:val="00EB7244"/>
    <w:rsid w:val="00EB764B"/>
    <w:rsid w:val="00EC0508"/>
    <w:rsid w:val="00EC094D"/>
    <w:rsid w:val="00EC0EAB"/>
    <w:rsid w:val="00EC106F"/>
    <w:rsid w:val="00EC10DD"/>
    <w:rsid w:val="00EC1440"/>
    <w:rsid w:val="00EC1C0A"/>
    <w:rsid w:val="00EC20D6"/>
    <w:rsid w:val="00EC28C6"/>
    <w:rsid w:val="00EC2BAC"/>
    <w:rsid w:val="00EC41B3"/>
    <w:rsid w:val="00EC4712"/>
    <w:rsid w:val="00EC4CF9"/>
    <w:rsid w:val="00EC52EA"/>
    <w:rsid w:val="00EC5566"/>
    <w:rsid w:val="00EC5619"/>
    <w:rsid w:val="00EC5A05"/>
    <w:rsid w:val="00EC61AC"/>
    <w:rsid w:val="00EC6959"/>
    <w:rsid w:val="00EC6A63"/>
    <w:rsid w:val="00EC7BEF"/>
    <w:rsid w:val="00EC7DBB"/>
    <w:rsid w:val="00ED0034"/>
    <w:rsid w:val="00ED0BFA"/>
    <w:rsid w:val="00ED0C92"/>
    <w:rsid w:val="00ED0D23"/>
    <w:rsid w:val="00ED0FE5"/>
    <w:rsid w:val="00ED147F"/>
    <w:rsid w:val="00ED1D10"/>
    <w:rsid w:val="00ED2365"/>
    <w:rsid w:val="00ED24E2"/>
    <w:rsid w:val="00ED2BCA"/>
    <w:rsid w:val="00ED3861"/>
    <w:rsid w:val="00ED3D17"/>
    <w:rsid w:val="00ED4266"/>
    <w:rsid w:val="00ED4905"/>
    <w:rsid w:val="00ED501E"/>
    <w:rsid w:val="00ED5BC5"/>
    <w:rsid w:val="00ED5D5B"/>
    <w:rsid w:val="00ED718B"/>
    <w:rsid w:val="00ED7293"/>
    <w:rsid w:val="00ED73F6"/>
    <w:rsid w:val="00ED74BB"/>
    <w:rsid w:val="00ED7B53"/>
    <w:rsid w:val="00ED7E72"/>
    <w:rsid w:val="00EE02C1"/>
    <w:rsid w:val="00EE07C5"/>
    <w:rsid w:val="00EE0937"/>
    <w:rsid w:val="00EE0F19"/>
    <w:rsid w:val="00EE141D"/>
    <w:rsid w:val="00EE1A48"/>
    <w:rsid w:val="00EE249C"/>
    <w:rsid w:val="00EE3389"/>
    <w:rsid w:val="00EE3634"/>
    <w:rsid w:val="00EE4077"/>
    <w:rsid w:val="00EE41A2"/>
    <w:rsid w:val="00EE41A5"/>
    <w:rsid w:val="00EE4883"/>
    <w:rsid w:val="00EE4DAE"/>
    <w:rsid w:val="00EE53F9"/>
    <w:rsid w:val="00EE569C"/>
    <w:rsid w:val="00EE56F4"/>
    <w:rsid w:val="00EE5BFD"/>
    <w:rsid w:val="00EE5E85"/>
    <w:rsid w:val="00EE6CCF"/>
    <w:rsid w:val="00EE6DF4"/>
    <w:rsid w:val="00EE71E3"/>
    <w:rsid w:val="00EE7801"/>
    <w:rsid w:val="00EF001E"/>
    <w:rsid w:val="00EF0593"/>
    <w:rsid w:val="00EF089E"/>
    <w:rsid w:val="00EF0A70"/>
    <w:rsid w:val="00EF0C07"/>
    <w:rsid w:val="00EF116A"/>
    <w:rsid w:val="00EF17D1"/>
    <w:rsid w:val="00EF1AE9"/>
    <w:rsid w:val="00EF20DE"/>
    <w:rsid w:val="00EF2118"/>
    <w:rsid w:val="00EF2897"/>
    <w:rsid w:val="00EF289A"/>
    <w:rsid w:val="00EF2B72"/>
    <w:rsid w:val="00EF331B"/>
    <w:rsid w:val="00EF332E"/>
    <w:rsid w:val="00EF3599"/>
    <w:rsid w:val="00EF3C67"/>
    <w:rsid w:val="00EF440F"/>
    <w:rsid w:val="00EF4D25"/>
    <w:rsid w:val="00EF61D9"/>
    <w:rsid w:val="00EF6413"/>
    <w:rsid w:val="00EF695B"/>
    <w:rsid w:val="00EF78C7"/>
    <w:rsid w:val="00EF7A3C"/>
    <w:rsid w:val="00EF7AB6"/>
    <w:rsid w:val="00EF7E7D"/>
    <w:rsid w:val="00EF7F55"/>
    <w:rsid w:val="00F0000C"/>
    <w:rsid w:val="00F00342"/>
    <w:rsid w:val="00F003D3"/>
    <w:rsid w:val="00F005AC"/>
    <w:rsid w:val="00F007AA"/>
    <w:rsid w:val="00F01144"/>
    <w:rsid w:val="00F01451"/>
    <w:rsid w:val="00F01D2C"/>
    <w:rsid w:val="00F02527"/>
    <w:rsid w:val="00F025F6"/>
    <w:rsid w:val="00F0340C"/>
    <w:rsid w:val="00F03BC8"/>
    <w:rsid w:val="00F03C7E"/>
    <w:rsid w:val="00F044B9"/>
    <w:rsid w:val="00F048AA"/>
    <w:rsid w:val="00F0585C"/>
    <w:rsid w:val="00F05AC3"/>
    <w:rsid w:val="00F05B05"/>
    <w:rsid w:val="00F05D4A"/>
    <w:rsid w:val="00F05FFC"/>
    <w:rsid w:val="00F065EE"/>
    <w:rsid w:val="00F067F5"/>
    <w:rsid w:val="00F071F8"/>
    <w:rsid w:val="00F07308"/>
    <w:rsid w:val="00F07868"/>
    <w:rsid w:val="00F07994"/>
    <w:rsid w:val="00F0799D"/>
    <w:rsid w:val="00F07FAF"/>
    <w:rsid w:val="00F10690"/>
    <w:rsid w:val="00F1071B"/>
    <w:rsid w:val="00F107A0"/>
    <w:rsid w:val="00F10C6E"/>
    <w:rsid w:val="00F112EB"/>
    <w:rsid w:val="00F12014"/>
    <w:rsid w:val="00F12015"/>
    <w:rsid w:val="00F1232A"/>
    <w:rsid w:val="00F127A8"/>
    <w:rsid w:val="00F12E3E"/>
    <w:rsid w:val="00F13225"/>
    <w:rsid w:val="00F1322B"/>
    <w:rsid w:val="00F132A5"/>
    <w:rsid w:val="00F14398"/>
    <w:rsid w:val="00F14C6D"/>
    <w:rsid w:val="00F14E2C"/>
    <w:rsid w:val="00F14F54"/>
    <w:rsid w:val="00F1522E"/>
    <w:rsid w:val="00F15DFE"/>
    <w:rsid w:val="00F15E30"/>
    <w:rsid w:val="00F1632D"/>
    <w:rsid w:val="00F16E53"/>
    <w:rsid w:val="00F1729C"/>
    <w:rsid w:val="00F174C5"/>
    <w:rsid w:val="00F17B20"/>
    <w:rsid w:val="00F17B90"/>
    <w:rsid w:val="00F200D6"/>
    <w:rsid w:val="00F200E5"/>
    <w:rsid w:val="00F20263"/>
    <w:rsid w:val="00F202E5"/>
    <w:rsid w:val="00F204A8"/>
    <w:rsid w:val="00F204E9"/>
    <w:rsid w:val="00F2076E"/>
    <w:rsid w:val="00F20EF7"/>
    <w:rsid w:val="00F2171E"/>
    <w:rsid w:val="00F2184C"/>
    <w:rsid w:val="00F220A5"/>
    <w:rsid w:val="00F22223"/>
    <w:rsid w:val="00F2226E"/>
    <w:rsid w:val="00F2239B"/>
    <w:rsid w:val="00F236A7"/>
    <w:rsid w:val="00F2380F"/>
    <w:rsid w:val="00F2388E"/>
    <w:rsid w:val="00F23B39"/>
    <w:rsid w:val="00F23ECE"/>
    <w:rsid w:val="00F23F2A"/>
    <w:rsid w:val="00F24B46"/>
    <w:rsid w:val="00F24BF6"/>
    <w:rsid w:val="00F24EB4"/>
    <w:rsid w:val="00F25798"/>
    <w:rsid w:val="00F25E14"/>
    <w:rsid w:val="00F25F07"/>
    <w:rsid w:val="00F26219"/>
    <w:rsid w:val="00F2647A"/>
    <w:rsid w:val="00F26D73"/>
    <w:rsid w:val="00F26EF5"/>
    <w:rsid w:val="00F276BB"/>
    <w:rsid w:val="00F27821"/>
    <w:rsid w:val="00F27954"/>
    <w:rsid w:val="00F27996"/>
    <w:rsid w:val="00F30004"/>
    <w:rsid w:val="00F3023F"/>
    <w:rsid w:val="00F3027B"/>
    <w:rsid w:val="00F30C80"/>
    <w:rsid w:val="00F31F34"/>
    <w:rsid w:val="00F31F42"/>
    <w:rsid w:val="00F32333"/>
    <w:rsid w:val="00F324D1"/>
    <w:rsid w:val="00F332F8"/>
    <w:rsid w:val="00F33ACF"/>
    <w:rsid w:val="00F342CB"/>
    <w:rsid w:val="00F34362"/>
    <w:rsid w:val="00F34BC9"/>
    <w:rsid w:val="00F35181"/>
    <w:rsid w:val="00F358AF"/>
    <w:rsid w:val="00F366E9"/>
    <w:rsid w:val="00F3765E"/>
    <w:rsid w:val="00F37992"/>
    <w:rsid w:val="00F37A58"/>
    <w:rsid w:val="00F37BED"/>
    <w:rsid w:val="00F37C2C"/>
    <w:rsid w:val="00F402F7"/>
    <w:rsid w:val="00F40449"/>
    <w:rsid w:val="00F40D31"/>
    <w:rsid w:val="00F40E93"/>
    <w:rsid w:val="00F41A10"/>
    <w:rsid w:val="00F41D06"/>
    <w:rsid w:val="00F43805"/>
    <w:rsid w:val="00F438E4"/>
    <w:rsid w:val="00F44779"/>
    <w:rsid w:val="00F4498E"/>
    <w:rsid w:val="00F4508B"/>
    <w:rsid w:val="00F452EA"/>
    <w:rsid w:val="00F45315"/>
    <w:rsid w:val="00F46900"/>
    <w:rsid w:val="00F46A90"/>
    <w:rsid w:val="00F46FAA"/>
    <w:rsid w:val="00F47585"/>
    <w:rsid w:val="00F50278"/>
    <w:rsid w:val="00F50726"/>
    <w:rsid w:val="00F50D07"/>
    <w:rsid w:val="00F50DCA"/>
    <w:rsid w:val="00F50E2B"/>
    <w:rsid w:val="00F513AE"/>
    <w:rsid w:val="00F51BEF"/>
    <w:rsid w:val="00F51D09"/>
    <w:rsid w:val="00F51D56"/>
    <w:rsid w:val="00F520E3"/>
    <w:rsid w:val="00F521C0"/>
    <w:rsid w:val="00F52B46"/>
    <w:rsid w:val="00F53243"/>
    <w:rsid w:val="00F53819"/>
    <w:rsid w:val="00F53B07"/>
    <w:rsid w:val="00F53C27"/>
    <w:rsid w:val="00F54746"/>
    <w:rsid w:val="00F547CA"/>
    <w:rsid w:val="00F549B2"/>
    <w:rsid w:val="00F54D30"/>
    <w:rsid w:val="00F55147"/>
    <w:rsid w:val="00F55507"/>
    <w:rsid w:val="00F5567E"/>
    <w:rsid w:val="00F55797"/>
    <w:rsid w:val="00F561E6"/>
    <w:rsid w:val="00F5643F"/>
    <w:rsid w:val="00F567D2"/>
    <w:rsid w:val="00F567DF"/>
    <w:rsid w:val="00F56E5C"/>
    <w:rsid w:val="00F57243"/>
    <w:rsid w:val="00F57847"/>
    <w:rsid w:val="00F57EEA"/>
    <w:rsid w:val="00F603C8"/>
    <w:rsid w:val="00F607C8"/>
    <w:rsid w:val="00F6110F"/>
    <w:rsid w:val="00F6117D"/>
    <w:rsid w:val="00F615CA"/>
    <w:rsid w:val="00F619E5"/>
    <w:rsid w:val="00F6230E"/>
    <w:rsid w:val="00F637CD"/>
    <w:rsid w:val="00F63899"/>
    <w:rsid w:val="00F63A73"/>
    <w:rsid w:val="00F63C3B"/>
    <w:rsid w:val="00F6436F"/>
    <w:rsid w:val="00F64521"/>
    <w:rsid w:val="00F64E39"/>
    <w:rsid w:val="00F64F7B"/>
    <w:rsid w:val="00F65645"/>
    <w:rsid w:val="00F6569A"/>
    <w:rsid w:val="00F65B19"/>
    <w:rsid w:val="00F65C36"/>
    <w:rsid w:val="00F66398"/>
    <w:rsid w:val="00F66415"/>
    <w:rsid w:val="00F66C14"/>
    <w:rsid w:val="00F67CD7"/>
    <w:rsid w:val="00F67EDF"/>
    <w:rsid w:val="00F70415"/>
    <w:rsid w:val="00F70E00"/>
    <w:rsid w:val="00F7112C"/>
    <w:rsid w:val="00F71304"/>
    <w:rsid w:val="00F716F4"/>
    <w:rsid w:val="00F7185E"/>
    <w:rsid w:val="00F71AFB"/>
    <w:rsid w:val="00F71CB0"/>
    <w:rsid w:val="00F71D3F"/>
    <w:rsid w:val="00F7242F"/>
    <w:rsid w:val="00F725CB"/>
    <w:rsid w:val="00F72AEF"/>
    <w:rsid w:val="00F72CC6"/>
    <w:rsid w:val="00F72D6C"/>
    <w:rsid w:val="00F72E16"/>
    <w:rsid w:val="00F72E69"/>
    <w:rsid w:val="00F72F14"/>
    <w:rsid w:val="00F73494"/>
    <w:rsid w:val="00F73C1B"/>
    <w:rsid w:val="00F73C55"/>
    <w:rsid w:val="00F73D4A"/>
    <w:rsid w:val="00F73F40"/>
    <w:rsid w:val="00F74602"/>
    <w:rsid w:val="00F753C4"/>
    <w:rsid w:val="00F753D4"/>
    <w:rsid w:val="00F75C0F"/>
    <w:rsid w:val="00F763DC"/>
    <w:rsid w:val="00F76A46"/>
    <w:rsid w:val="00F76FD4"/>
    <w:rsid w:val="00F773C9"/>
    <w:rsid w:val="00F77AB6"/>
    <w:rsid w:val="00F80B31"/>
    <w:rsid w:val="00F80DEE"/>
    <w:rsid w:val="00F80F1C"/>
    <w:rsid w:val="00F816E8"/>
    <w:rsid w:val="00F81C11"/>
    <w:rsid w:val="00F81CDC"/>
    <w:rsid w:val="00F81F00"/>
    <w:rsid w:val="00F8256D"/>
    <w:rsid w:val="00F82663"/>
    <w:rsid w:val="00F82FD5"/>
    <w:rsid w:val="00F8302E"/>
    <w:rsid w:val="00F83F7A"/>
    <w:rsid w:val="00F84350"/>
    <w:rsid w:val="00F84569"/>
    <w:rsid w:val="00F8471C"/>
    <w:rsid w:val="00F84B63"/>
    <w:rsid w:val="00F84BBC"/>
    <w:rsid w:val="00F84FFD"/>
    <w:rsid w:val="00F85024"/>
    <w:rsid w:val="00F85BEA"/>
    <w:rsid w:val="00F866F1"/>
    <w:rsid w:val="00F86844"/>
    <w:rsid w:val="00F869FB"/>
    <w:rsid w:val="00F86A70"/>
    <w:rsid w:val="00F86DAB"/>
    <w:rsid w:val="00F901FE"/>
    <w:rsid w:val="00F904F3"/>
    <w:rsid w:val="00F90723"/>
    <w:rsid w:val="00F9086D"/>
    <w:rsid w:val="00F9095B"/>
    <w:rsid w:val="00F90E56"/>
    <w:rsid w:val="00F91741"/>
    <w:rsid w:val="00F91C47"/>
    <w:rsid w:val="00F91EF9"/>
    <w:rsid w:val="00F936CB"/>
    <w:rsid w:val="00F9393A"/>
    <w:rsid w:val="00F939E4"/>
    <w:rsid w:val="00F945F0"/>
    <w:rsid w:val="00F949BE"/>
    <w:rsid w:val="00F94E6C"/>
    <w:rsid w:val="00F94F7E"/>
    <w:rsid w:val="00F955BD"/>
    <w:rsid w:val="00F95692"/>
    <w:rsid w:val="00F95BA9"/>
    <w:rsid w:val="00F9627E"/>
    <w:rsid w:val="00F96515"/>
    <w:rsid w:val="00F9659A"/>
    <w:rsid w:val="00F96BDE"/>
    <w:rsid w:val="00F96E48"/>
    <w:rsid w:val="00FA019E"/>
    <w:rsid w:val="00FA03B7"/>
    <w:rsid w:val="00FA0471"/>
    <w:rsid w:val="00FA09A0"/>
    <w:rsid w:val="00FA0ABE"/>
    <w:rsid w:val="00FA0B78"/>
    <w:rsid w:val="00FA0F33"/>
    <w:rsid w:val="00FA0F90"/>
    <w:rsid w:val="00FA1293"/>
    <w:rsid w:val="00FA13D9"/>
    <w:rsid w:val="00FA1848"/>
    <w:rsid w:val="00FA18F2"/>
    <w:rsid w:val="00FA19BB"/>
    <w:rsid w:val="00FA2023"/>
    <w:rsid w:val="00FA2079"/>
    <w:rsid w:val="00FA2A97"/>
    <w:rsid w:val="00FA2C97"/>
    <w:rsid w:val="00FA3503"/>
    <w:rsid w:val="00FA3978"/>
    <w:rsid w:val="00FA3F2A"/>
    <w:rsid w:val="00FA421C"/>
    <w:rsid w:val="00FA42A3"/>
    <w:rsid w:val="00FA432F"/>
    <w:rsid w:val="00FA4916"/>
    <w:rsid w:val="00FA4B99"/>
    <w:rsid w:val="00FA4C73"/>
    <w:rsid w:val="00FA4D30"/>
    <w:rsid w:val="00FA4D84"/>
    <w:rsid w:val="00FA4EA0"/>
    <w:rsid w:val="00FA4EC9"/>
    <w:rsid w:val="00FA512D"/>
    <w:rsid w:val="00FA52E0"/>
    <w:rsid w:val="00FA60B0"/>
    <w:rsid w:val="00FA670D"/>
    <w:rsid w:val="00FA690D"/>
    <w:rsid w:val="00FA6DF3"/>
    <w:rsid w:val="00FA7ABE"/>
    <w:rsid w:val="00FA7E33"/>
    <w:rsid w:val="00FA7E5C"/>
    <w:rsid w:val="00FA7FF4"/>
    <w:rsid w:val="00FB02CA"/>
    <w:rsid w:val="00FB064A"/>
    <w:rsid w:val="00FB0A78"/>
    <w:rsid w:val="00FB0CA8"/>
    <w:rsid w:val="00FB100E"/>
    <w:rsid w:val="00FB126F"/>
    <w:rsid w:val="00FB133A"/>
    <w:rsid w:val="00FB193D"/>
    <w:rsid w:val="00FB1C8D"/>
    <w:rsid w:val="00FB2898"/>
    <w:rsid w:val="00FB2B51"/>
    <w:rsid w:val="00FB3422"/>
    <w:rsid w:val="00FB3AA4"/>
    <w:rsid w:val="00FB3F6E"/>
    <w:rsid w:val="00FB42E6"/>
    <w:rsid w:val="00FB43A9"/>
    <w:rsid w:val="00FB4437"/>
    <w:rsid w:val="00FB44A0"/>
    <w:rsid w:val="00FB45AA"/>
    <w:rsid w:val="00FB5205"/>
    <w:rsid w:val="00FB583D"/>
    <w:rsid w:val="00FB5E26"/>
    <w:rsid w:val="00FB62B3"/>
    <w:rsid w:val="00FB656F"/>
    <w:rsid w:val="00FB73E9"/>
    <w:rsid w:val="00FB7874"/>
    <w:rsid w:val="00FB7F12"/>
    <w:rsid w:val="00FC0104"/>
    <w:rsid w:val="00FC08EA"/>
    <w:rsid w:val="00FC167D"/>
    <w:rsid w:val="00FC2304"/>
    <w:rsid w:val="00FC2BF8"/>
    <w:rsid w:val="00FC2FAE"/>
    <w:rsid w:val="00FC33B0"/>
    <w:rsid w:val="00FC3CCD"/>
    <w:rsid w:val="00FC56F2"/>
    <w:rsid w:val="00FC5783"/>
    <w:rsid w:val="00FC5805"/>
    <w:rsid w:val="00FC6819"/>
    <w:rsid w:val="00FC683E"/>
    <w:rsid w:val="00FC69B3"/>
    <w:rsid w:val="00FC6BA6"/>
    <w:rsid w:val="00FC6D67"/>
    <w:rsid w:val="00FC6EE2"/>
    <w:rsid w:val="00FC70C4"/>
    <w:rsid w:val="00FC7351"/>
    <w:rsid w:val="00FC77F7"/>
    <w:rsid w:val="00FC7AA7"/>
    <w:rsid w:val="00FD01B5"/>
    <w:rsid w:val="00FD0485"/>
    <w:rsid w:val="00FD0548"/>
    <w:rsid w:val="00FD085F"/>
    <w:rsid w:val="00FD0917"/>
    <w:rsid w:val="00FD0B70"/>
    <w:rsid w:val="00FD0E95"/>
    <w:rsid w:val="00FD1664"/>
    <w:rsid w:val="00FD1921"/>
    <w:rsid w:val="00FD3F9E"/>
    <w:rsid w:val="00FD42B8"/>
    <w:rsid w:val="00FD51B1"/>
    <w:rsid w:val="00FD52F8"/>
    <w:rsid w:val="00FD5451"/>
    <w:rsid w:val="00FD562B"/>
    <w:rsid w:val="00FD5672"/>
    <w:rsid w:val="00FD5BF0"/>
    <w:rsid w:val="00FD60B8"/>
    <w:rsid w:val="00FD60E1"/>
    <w:rsid w:val="00FD6A20"/>
    <w:rsid w:val="00FD6AE0"/>
    <w:rsid w:val="00FD6F47"/>
    <w:rsid w:val="00FD71ED"/>
    <w:rsid w:val="00FD7393"/>
    <w:rsid w:val="00FD7639"/>
    <w:rsid w:val="00FD7CAD"/>
    <w:rsid w:val="00FE08CA"/>
    <w:rsid w:val="00FE098C"/>
    <w:rsid w:val="00FE15E3"/>
    <w:rsid w:val="00FE15E7"/>
    <w:rsid w:val="00FE1617"/>
    <w:rsid w:val="00FE1CC8"/>
    <w:rsid w:val="00FE20F2"/>
    <w:rsid w:val="00FE21A3"/>
    <w:rsid w:val="00FE2508"/>
    <w:rsid w:val="00FE2534"/>
    <w:rsid w:val="00FE2A95"/>
    <w:rsid w:val="00FE3030"/>
    <w:rsid w:val="00FE347A"/>
    <w:rsid w:val="00FE3555"/>
    <w:rsid w:val="00FE3606"/>
    <w:rsid w:val="00FE366E"/>
    <w:rsid w:val="00FE384A"/>
    <w:rsid w:val="00FE43B4"/>
    <w:rsid w:val="00FE4C5F"/>
    <w:rsid w:val="00FE4D13"/>
    <w:rsid w:val="00FE56E4"/>
    <w:rsid w:val="00FE5CC1"/>
    <w:rsid w:val="00FE68E9"/>
    <w:rsid w:val="00FE6910"/>
    <w:rsid w:val="00FE705D"/>
    <w:rsid w:val="00FE729E"/>
    <w:rsid w:val="00FE7374"/>
    <w:rsid w:val="00FE74F8"/>
    <w:rsid w:val="00FE7865"/>
    <w:rsid w:val="00FE7C57"/>
    <w:rsid w:val="00FF024C"/>
    <w:rsid w:val="00FF0551"/>
    <w:rsid w:val="00FF12CD"/>
    <w:rsid w:val="00FF27BE"/>
    <w:rsid w:val="00FF2EEB"/>
    <w:rsid w:val="00FF3A0F"/>
    <w:rsid w:val="00FF3CFA"/>
    <w:rsid w:val="00FF4328"/>
    <w:rsid w:val="00FF48E3"/>
    <w:rsid w:val="00FF4C8C"/>
    <w:rsid w:val="00FF4FBA"/>
    <w:rsid w:val="00FF5B50"/>
    <w:rsid w:val="00FF6175"/>
    <w:rsid w:val="00FF6422"/>
    <w:rsid w:val="00FF651F"/>
    <w:rsid w:val="00FF67B6"/>
    <w:rsid w:val="00FF6AD1"/>
    <w:rsid w:val="00FF6D40"/>
    <w:rsid w:val="00FF72BC"/>
    <w:rsid w:val="00FF7A8E"/>
    <w:rsid w:val="00FF7A99"/>
    <w:rsid w:val="00FF7B93"/>
    <w:rsid w:val="00FF7C65"/>
    <w:rsid w:val="00FF7CA3"/>
    <w:rsid w:val="00FF7F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D8046"/>
  <w15:chartTrackingRefBased/>
  <w15:docId w15:val="{8C3A7829-8DB3-4888-B071-A32CE037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uiPriority="9" w:qFormat="1"/>
    <w:lsdException w:name="heading 3" w:locked="0" w:uiPriority="9"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footnote text" w:uiPriority="99"/>
    <w:lsdException w:name="header" w:locked="0" w:qFormat="1"/>
    <w:lsdException w:name="footer" w:locked="0" w:uiPriority="99"/>
    <w:lsdException w:name="caption" w:semiHidden="1" w:unhideWhenUsed="1" w:qFormat="1"/>
    <w:lsdException w:name="footnote reference" w:uiPriority="99"/>
    <w:lsdException w:name="endnote reference" w:locked="0" w:qFormat="1"/>
    <w:lsdException w:name="endnote text" w:locked="0" w:qFormat="1"/>
    <w:lsdException w:name="List Bullet" w:qFormat="1"/>
    <w:lsdException w:name="List Number" w:qFormat="1"/>
    <w:lsdException w:name="Default Paragraph Font" w:locked="0"/>
    <w:lsdException w:name="List Continue 4" w:locked="0"/>
    <w:lsdException w:name="Hyperlink" w:locked="0" w:uiPriority="99"/>
    <w:lsdException w:name="Strong" w:locked="0"/>
    <w:lsdException w:name="HTML Top of Form" w:locked="0"/>
    <w:lsdException w:name="HTML Bottom of Form" w:locked="0"/>
    <w:lsdException w:name="Normal (Web)" w:uiPriority="99"/>
    <w:lsdException w:name="HTML Keyboard"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uiPriority w:val="9"/>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uiPriority w:val="9"/>
    <w:qFormat/>
    <w:rsid w:val="005C2ECF"/>
    <w:pPr>
      <w:numPr>
        <w:ilvl w:val="1"/>
      </w:numPr>
      <w:outlineLvl w:val="1"/>
    </w:pPr>
    <w:rPr>
      <w:bCs w:val="0"/>
      <w:sz w:val="28"/>
      <w:szCs w:val="26"/>
    </w:rPr>
  </w:style>
  <w:style w:type="paragraph" w:styleId="Heading3">
    <w:name w:val="heading 3"/>
    <w:basedOn w:val="Heading2"/>
    <w:next w:val="Normal"/>
    <w:link w:val="Heading3Char"/>
    <w:uiPriority w:val="9"/>
    <w:qFormat/>
    <w:rsid w:val="008007A8"/>
    <w:pPr>
      <w:numPr>
        <w:ilvl w:val="2"/>
      </w:numPr>
      <w:outlineLvl w:val="2"/>
    </w:pPr>
    <w:rPr>
      <w:b w:val="0"/>
      <w:bCs/>
      <w:sz w:val="24"/>
    </w:rPr>
  </w:style>
  <w:style w:type="paragraph" w:styleId="Heading4">
    <w:name w:val="heading 4"/>
    <w:basedOn w:val="Heading3"/>
    <w:next w:val="Normal"/>
    <w:link w:val="Heading4Char"/>
    <w:locked/>
    <w:rsid w:val="008007A8"/>
    <w:pPr>
      <w:numPr>
        <w:ilvl w:val="3"/>
      </w:numPr>
      <w:tabs>
        <w:tab w:val="clear" w:pos="851"/>
        <w:tab w:val="num" w:pos="360"/>
      </w:tabs>
      <w:ind w:left="360" w:hanging="3"/>
      <w:outlineLvl w:val="3"/>
    </w:pPr>
    <w:rPr>
      <w:bCs w:val="0"/>
      <w:i/>
      <w:iCs/>
    </w:rPr>
  </w:style>
  <w:style w:type="paragraph" w:styleId="Heading5">
    <w:name w:val="heading 5"/>
    <w:basedOn w:val="Normal"/>
    <w:next w:val="Normal"/>
    <w:link w:val="Heading5Char"/>
    <w:locked/>
    <w:rsid w:val="005C2ECF"/>
    <w:pPr>
      <w:keepNext/>
      <w:keepLines/>
      <w:numPr>
        <w:ilvl w:val="4"/>
        <w:numId w:val="1"/>
      </w:numPr>
      <w:tabs>
        <w:tab w:val="clear" w:pos="0"/>
        <w:tab w:val="num" w:pos="360"/>
      </w:tabs>
      <w:spacing w:before="200"/>
      <w:ind w:left="360" w:hanging="3"/>
      <w:outlineLvl w:val="4"/>
    </w:pPr>
  </w:style>
  <w:style w:type="paragraph" w:styleId="Heading6">
    <w:name w:val="heading 6"/>
    <w:basedOn w:val="Normal"/>
    <w:next w:val="Normal"/>
    <w:link w:val="Heading6Char"/>
    <w:locked/>
    <w:rsid w:val="005C2ECF"/>
    <w:pPr>
      <w:keepNext/>
      <w:keepLines/>
      <w:numPr>
        <w:ilvl w:val="5"/>
        <w:numId w:val="1"/>
      </w:numPr>
      <w:tabs>
        <w:tab w:val="clear" w:pos="0"/>
        <w:tab w:val="num" w:pos="360"/>
      </w:tabs>
      <w:spacing w:before="200"/>
      <w:ind w:left="360" w:hanging="3"/>
      <w:outlineLvl w:val="5"/>
    </w:pPr>
    <w:rPr>
      <w:i/>
      <w:iCs/>
    </w:rPr>
  </w:style>
  <w:style w:type="paragraph" w:styleId="Heading7">
    <w:name w:val="heading 7"/>
    <w:basedOn w:val="Normal"/>
    <w:next w:val="Normal"/>
    <w:link w:val="Heading7Char"/>
    <w:locked/>
    <w:rsid w:val="005C2ECF"/>
    <w:pPr>
      <w:keepNext/>
      <w:keepLines/>
      <w:numPr>
        <w:ilvl w:val="6"/>
        <w:numId w:val="1"/>
      </w:numPr>
      <w:tabs>
        <w:tab w:val="clear" w:pos="0"/>
        <w:tab w:val="num" w:pos="360"/>
      </w:tabs>
      <w:spacing w:before="200"/>
      <w:ind w:left="360" w:hanging="3"/>
      <w:outlineLvl w:val="6"/>
    </w:pPr>
    <w:rPr>
      <w:i/>
      <w:iCs/>
    </w:rPr>
  </w:style>
  <w:style w:type="paragraph" w:styleId="Heading8">
    <w:name w:val="heading 8"/>
    <w:basedOn w:val="Normal"/>
    <w:next w:val="Normal"/>
    <w:link w:val="Heading8Char"/>
    <w:locked/>
    <w:rsid w:val="005C2ECF"/>
    <w:pPr>
      <w:keepNext/>
      <w:keepLines/>
      <w:numPr>
        <w:ilvl w:val="7"/>
        <w:numId w:val="1"/>
      </w:numPr>
      <w:tabs>
        <w:tab w:val="clear" w:pos="0"/>
        <w:tab w:val="num" w:pos="360"/>
      </w:tabs>
      <w:spacing w:before="200"/>
      <w:ind w:left="360" w:hanging="3"/>
      <w:outlineLvl w:val="7"/>
    </w:pPr>
    <w:rPr>
      <w:sz w:val="20"/>
      <w:szCs w:val="20"/>
    </w:rPr>
  </w:style>
  <w:style w:type="paragraph" w:styleId="Heading9">
    <w:name w:val="heading 9"/>
    <w:basedOn w:val="Normal"/>
    <w:next w:val="Normal"/>
    <w:link w:val="Heading9Char"/>
    <w:locked/>
    <w:rsid w:val="005C2ECF"/>
    <w:pPr>
      <w:keepNext/>
      <w:keepLines/>
      <w:numPr>
        <w:ilvl w:val="8"/>
        <w:numId w:val="1"/>
      </w:numPr>
      <w:tabs>
        <w:tab w:val="clear" w:pos="0"/>
        <w:tab w:val="num" w:pos="360"/>
      </w:tabs>
      <w:spacing w:before="200"/>
      <w:ind w:left="360" w:hanging="3"/>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2ECF"/>
    <w:rPr>
      <w:rFonts w:ascii="Open Sans" w:eastAsia="MS Mincho" w:hAnsi="Open Sans"/>
      <w:b/>
      <w:bCs/>
      <w:sz w:val="36"/>
      <w:szCs w:val="28"/>
    </w:rPr>
  </w:style>
  <w:style w:type="character" w:customStyle="1" w:styleId="Heading2Char">
    <w:name w:val="Heading 2 Char"/>
    <w:link w:val="Heading2"/>
    <w:uiPriority w:val="9"/>
    <w:rsid w:val="005C2ECF"/>
    <w:rPr>
      <w:rFonts w:ascii="Open Sans" w:eastAsia="MS Mincho" w:hAnsi="Open Sans"/>
      <w:b/>
      <w:sz w:val="28"/>
      <w:szCs w:val="26"/>
    </w:rPr>
  </w:style>
  <w:style w:type="character" w:customStyle="1" w:styleId="Heading3Char">
    <w:name w:val="Heading 3 Char"/>
    <w:link w:val="Heading3"/>
    <w:uiPriority w:val="9"/>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autoRedefine/>
    <w:uiPriority w:val="39"/>
    <w:locked/>
    <w:rsid w:val="000E4837"/>
    <w:pPr>
      <w:tabs>
        <w:tab w:val="left" w:pos="1202"/>
        <w:tab w:val="right" w:leader="dot" w:pos="9060"/>
      </w:tabs>
      <w:spacing w:before="0" w:after="0"/>
      <w:ind w:left="720"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9"/>
      </w:numPr>
    </w:pPr>
  </w:style>
  <w:style w:type="paragraph" w:styleId="TOC1">
    <w:name w:val="toc 1"/>
    <w:basedOn w:val="Normal"/>
    <w:next w:val="Normal"/>
    <w:autoRedefine/>
    <w:uiPriority w:val="39"/>
    <w:rsid w:val="000E4837"/>
    <w:pPr>
      <w:tabs>
        <w:tab w:val="right" w:leader="dot" w:pos="9060"/>
      </w:tabs>
      <w:spacing w:after="0"/>
      <w:ind w:left="720" w:hanging="720"/>
    </w:pPr>
    <w:rPr>
      <w:b/>
      <w:noProof/>
    </w:rPr>
  </w:style>
  <w:style w:type="paragraph" w:styleId="TOC2">
    <w:name w:val="toc 2"/>
    <w:basedOn w:val="Normal"/>
    <w:next w:val="Normal"/>
    <w:autoRedefine/>
    <w:uiPriority w:val="39"/>
    <w:locked/>
    <w:rsid w:val="00BD7B5B"/>
    <w:pPr>
      <w:tabs>
        <w:tab w:val="right" w:leader="dot" w:pos="9060"/>
      </w:tabs>
      <w:spacing w:before="0" w:after="0"/>
      <w:ind w:left="720"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qFormat/>
    <w:rsid w:val="0002476A"/>
    <w:pPr>
      <w:spacing w:before="0" w:after="0"/>
      <w:ind w:left="142" w:hanging="142"/>
    </w:pPr>
    <w:rPr>
      <w:sz w:val="20"/>
      <w:szCs w:val="20"/>
    </w:rPr>
  </w:style>
  <w:style w:type="character" w:customStyle="1" w:styleId="EndnoteTextChar1">
    <w:name w:val="Endnote Text Char1"/>
    <w:link w:val="EndnoteText"/>
    <w:rsid w:val="00E55F24"/>
    <w:rPr>
      <w:rFonts w:ascii="Open Sans" w:eastAsia="MS Mincho" w:hAnsi="Open Sans"/>
    </w:rPr>
  </w:style>
  <w:style w:type="character" w:styleId="EndnoteReference">
    <w:name w:val="endnote reference"/>
    <w:aliases w:val="QUOTE"/>
    <w:qFormat/>
    <w:rsid w:val="00045C4B"/>
    <w:rPr>
      <w:rFonts w:ascii="Open Sans" w:hAnsi="Open Sans"/>
      <w:sz w:val="20"/>
      <w:vertAlign w:val="superscript"/>
    </w:rPr>
  </w:style>
  <w:style w:type="numbering" w:styleId="1ai">
    <w:name w:val="Outline List 1"/>
    <w:basedOn w:val="NoList"/>
    <w:semiHidden/>
    <w:locked/>
    <w:rsid w:val="00E45954"/>
    <w:pPr>
      <w:numPr>
        <w:numId w:val="10"/>
      </w:numPr>
    </w:pPr>
  </w:style>
  <w:style w:type="numbering" w:styleId="ArticleSection">
    <w:name w:val="Outline List 3"/>
    <w:basedOn w:val="NoList"/>
    <w:semiHidden/>
    <w:locked/>
    <w:rsid w:val="00E45954"/>
    <w:pPr>
      <w:numPr>
        <w:numId w:val="11"/>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2"/>
      </w:numPr>
      <w:spacing w:before="0"/>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numPr>
        <w:numId w:val="9"/>
      </w:numPr>
      <w:tabs>
        <w:tab w:val="left" w:pos="1134"/>
      </w:tabs>
      <w:spacing w:before="120" w:after="120"/>
    </w:pPr>
  </w:style>
  <w:style w:type="paragraph" w:styleId="ListNumber2">
    <w:name w:val="List Number 2"/>
    <w:basedOn w:val="Normal"/>
    <w:semiHidden/>
    <w:locked/>
    <w:rsid w:val="005C2ECF"/>
    <w:pPr>
      <w:numPr>
        <w:numId w:val="7"/>
      </w:numPr>
    </w:pPr>
  </w:style>
  <w:style w:type="paragraph" w:styleId="ListNumber3">
    <w:name w:val="List Number 3"/>
    <w:basedOn w:val="Normal"/>
    <w:semiHidden/>
    <w:locked/>
    <w:rsid w:val="005C2ECF"/>
    <w:pPr>
      <w:numPr>
        <w:numId w:val="8"/>
      </w:numPr>
    </w:pPr>
  </w:style>
  <w:style w:type="paragraph" w:styleId="ListNumber4">
    <w:name w:val="List Number 4"/>
    <w:basedOn w:val="Normal"/>
    <w:semiHidden/>
    <w:locked/>
    <w:rsid w:val="005C2ECF"/>
    <w:pPr>
      <w:numPr>
        <w:numId w:val="10"/>
      </w:numPr>
    </w:pPr>
  </w:style>
  <w:style w:type="paragraph" w:styleId="ListNumber5">
    <w:name w:val="List Number 5"/>
    <w:basedOn w:val="Normal"/>
    <w:semiHidden/>
    <w:locked/>
    <w:rsid w:val="005C2ECF"/>
    <w:pPr>
      <w:numPr>
        <w:numId w:val="11"/>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0E4837"/>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locked/>
    <w:rsid w:val="00045C4B"/>
    <w:rPr>
      <w:rFonts w:ascii="Open Sans" w:hAnsi="Open Sans"/>
      <w:sz w:val="20"/>
      <w:lang w:bidi="ar-SA"/>
    </w:rPr>
  </w:style>
  <w:style w:type="character" w:customStyle="1" w:styleId="SubtitleChar">
    <w:name w:val="Subtitle Char"/>
    <w:link w:val="Subtitle"/>
    <w:rsid w:val="000E4837"/>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2"/>
      </w:numPr>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character" w:styleId="UnresolvedMention">
    <w:name w:val="Unresolved Mention"/>
    <w:basedOn w:val="DefaultParagraphFont"/>
    <w:uiPriority w:val="99"/>
    <w:semiHidden/>
    <w:unhideWhenUsed/>
    <w:rsid w:val="0053794C"/>
    <w:rPr>
      <w:color w:val="605E5C"/>
      <w:shd w:val="clear" w:color="auto" w:fill="E1DFDD"/>
    </w:rPr>
  </w:style>
  <w:style w:type="paragraph" w:styleId="FootnoteText">
    <w:name w:val="footnote text"/>
    <w:basedOn w:val="Normal"/>
    <w:link w:val="FootnoteTextChar"/>
    <w:uiPriority w:val="99"/>
    <w:locked/>
    <w:rsid w:val="00A71D94"/>
    <w:pPr>
      <w:spacing w:before="0" w:after="0"/>
    </w:pPr>
    <w:rPr>
      <w:sz w:val="20"/>
      <w:szCs w:val="20"/>
    </w:rPr>
  </w:style>
  <w:style w:type="character" w:customStyle="1" w:styleId="FootnoteTextChar">
    <w:name w:val="Footnote Text Char"/>
    <w:basedOn w:val="DefaultParagraphFont"/>
    <w:link w:val="FootnoteText"/>
    <w:uiPriority w:val="99"/>
    <w:rsid w:val="00A71D94"/>
    <w:rPr>
      <w:rFonts w:ascii="Open Sans" w:eastAsia="MS Mincho" w:hAnsi="Open Sans"/>
    </w:rPr>
  </w:style>
  <w:style w:type="character" w:styleId="FootnoteReference">
    <w:name w:val="footnote reference"/>
    <w:basedOn w:val="DefaultParagraphFont"/>
    <w:uiPriority w:val="99"/>
    <w:locked/>
    <w:rsid w:val="00A71D94"/>
    <w:rPr>
      <w:vertAlign w:val="superscript"/>
    </w:rPr>
  </w:style>
  <w:style w:type="paragraph" w:styleId="Revision">
    <w:name w:val="Revision"/>
    <w:hidden/>
    <w:uiPriority w:val="99"/>
    <w:semiHidden/>
    <w:rsid w:val="009157A7"/>
    <w:rPr>
      <w:rFonts w:ascii="Open Sans" w:eastAsia="MS Mincho"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95137">
      <w:bodyDiv w:val="1"/>
      <w:marLeft w:val="0"/>
      <w:marRight w:val="0"/>
      <w:marTop w:val="0"/>
      <w:marBottom w:val="0"/>
      <w:divBdr>
        <w:top w:val="none" w:sz="0" w:space="0" w:color="auto"/>
        <w:left w:val="none" w:sz="0" w:space="0" w:color="auto"/>
        <w:bottom w:val="none" w:sz="0" w:space="0" w:color="auto"/>
        <w:right w:val="none" w:sz="0" w:space="0" w:color="auto"/>
      </w:divBdr>
    </w:div>
    <w:div w:id="75441513">
      <w:bodyDiv w:val="1"/>
      <w:marLeft w:val="0"/>
      <w:marRight w:val="0"/>
      <w:marTop w:val="0"/>
      <w:marBottom w:val="0"/>
      <w:divBdr>
        <w:top w:val="none" w:sz="0" w:space="0" w:color="auto"/>
        <w:left w:val="none" w:sz="0" w:space="0" w:color="auto"/>
        <w:bottom w:val="none" w:sz="0" w:space="0" w:color="auto"/>
        <w:right w:val="none" w:sz="0" w:space="0" w:color="auto"/>
      </w:divBdr>
    </w:div>
    <w:div w:id="86734484">
      <w:bodyDiv w:val="1"/>
      <w:marLeft w:val="0"/>
      <w:marRight w:val="0"/>
      <w:marTop w:val="0"/>
      <w:marBottom w:val="0"/>
      <w:divBdr>
        <w:top w:val="none" w:sz="0" w:space="0" w:color="auto"/>
        <w:left w:val="none" w:sz="0" w:space="0" w:color="auto"/>
        <w:bottom w:val="none" w:sz="0" w:space="0" w:color="auto"/>
        <w:right w:val="none" w:sz="0" w:space="0" w:color="auto"/>
      </w:divBdr>
    </w:div>
    <w:div w:id="112941712">
      <w:bodyDiv w:val="1"/>
      <w:marLeft w:val="0"/>
      <w:marRight w:val="0"/>
      <w:marTop w:val="0"/>
      <w:marBottom w:val="0"/>
      <w:divBdr>
        <w:top w:val="none" w:sz="0" w:space="0" w:color="auto"/>
        <w:left w:val="none" w:sz="0" w:space="0" w:color="auto"/>
        <w:bottom w:val="none" w:sz="0" w:space="0" w:color="auto"/>
        <w:right w:val="none" w:sz="0" w:space="0" w:color="auto"/>
      </w:divBdr>
    </w:div>
    <w:div w:id="185142492">
      <w:bodyDiv w:val="1"/>
      <w:marLeft w:val="0"/>
      <w:marRight w:val="0"/>
      <w:marTop w:val="0"/>
      <w:marBottom w:val="0"/>
      <w:divBdr>
        <w:top w:val="none" w:sz="0" w:space="0" w:color="auto"/>
        <w:left w:val="none" w:sz="0" w:space="0" w:color="auto"/>
        <w:bottom w:val="none" w:sz="0" w:space="0" w:color="auto"/>
        <w:right w:val="none" w:sz="0" w:space="0" w:color="auto"/>
      </w:divBdr>
    </w:div>
    <w:div w:id="242183804">
      <w:bodyDiv w:val="1"/>
      <w:marLeft w:val="0"/>
      <w:marRight w:val="0"/>
      <w:marTop w:val="0"/>
      <w:marBottom w:val="0"/>
      <w:divBdr>
        <w:top w:val="none" w:sz="0" w:space="0" w:color="auto"/>
        <w:left w:val="none" w:sz="0" w:space="0" w:color="auto"/>
        <w:bottom w:val="none" w:sz="0" w:space="0" w:color="auto"/>
        <w:right w:val="none" w:sz="0" w:space="0" w:color="auto"/>
      </w:divBdr>
    </w:div>
    <w:div w:id="317880634">
      <w:bodyDiv w:val="1"/>
      <w:marLeft w:val="0"/>
      <w:marRight w:val="0"/>
      <w:marTop w:val="0"/>
      <w:marBottom w:val="0"/>
      <w:divBdr>
        <w:top w:val="none" w:sz="0" w:space="0" w:color="auto"/>
        <w:left w:val="none" w:sz="0" w:space="0" w:color="auto"/>
        <w:bottom w:val="none" w:sz="0" w:space="0" w:color="auto"/>
        <w:right w:val="none" w:sz="0" w:space="0" w:color="auto"/>
      </w:divBdr>
    </w:div>
    <w:div w:id="319307566">
      <w:bodyDiv w:val="1"/>
      <w:marLeft w:val="0"/>
      <w:marRight w:val="0"/>
      <w:marTop w:val="0"/>
      <w:marBottom w:val="0"/>
      <w:divBdr>
        <w:top w:val="none" w:sz="0" w:space="0" w:color="auto"/>
        <w:left w:val="none" w:sz="0" w:space="0" w:color="auto"/>
        <w:bottom w:val="none" w:sz="0" w:space="0" w:color="auto"/>
        <w:right w:val="none" w:sz="0" w:space="0" w:color="auto"/>
      </w:divBdr>
    </w:div>
    <w:div w:id="380633152">
      <w:bodyDiv w:val="1"/>
      <w:marLeft w:val="0"/>
      <w:marRight w:val="0"/>
      <w:marTop w:val="0"/>
      <w:marBottom w:val="0"/>
      <w:divBdr>
        <w:top w:val="none" w:sz="0" w:space="0" w:color="auto"/>
        <w:left w:val="none" w:sz="0" w:space="0" w:color="auto"/>
        <w:bottom w:val="none" w:sz="0" w:space="0" w:color="auto"/>
        <w:right w:val="none" w:sz="0" w:space="0" w:color="auto"/>
      </w:divBdr>
    </w:div>
    <w:div w:id="494224252">
      <w:bodyDiv w:val="1"/>
      <w:marLeft w:val="0"/>
      <w:marRight w:val="0"/>
      <w:marTop w:val="0"/>
      <w:marBottom w:val="0"/>
      <w:divBdr>
        <w:top w:val="none" w:sz="0" w:space="0" w:color="auto"/>
        <w:left w:val="none" w:sz="0" w:space="0" w:color="auto"/>
        <w:bottom w:val="none" w:sz="0" w:space="0" w:color="auto"/>
        <w:right w:val="none" w:sz="0" w:space="0" w:color="auto"/>
      </w:divBdr>
    </w:div>
    <w:div w:id="496504516">
      <w:bodyDiv w:val="1"/>
      <w:marLeft w:val="0"/>
      <w:marRight w:val="0"/>
      <w:marTop w:val="0"/>
      <w:marBottom w:val="0"/>
      <w:divBdr>
        <w:top w:val="none" w:sz="0" w:space="0" w:color="auto"/>
        <w:left w:val="none" w:sz="0" w:space="0" w:color="auto"/>
        <w:bottom w:val="none" w:sz="0" w:space="0" w:color="auto"/>
        <w:right w:val="none" w:sz="0" w:space="0" w:color="auto"/>
      </w:divBdr>
    </w:div>
    <w:div w:id="648628964">
      <w:bodyDiv w:val="1"/>
      <w:marLeft w:val="0"/>
      <w:marRight w:val="0"/>
      <w:marTop w:val="0"/>
      <w:marBottom w:val="0"/>
      <w:divBdr>
        <w:top w:val="none" w:sz="0" w:space="0" w:color="auto"/>
        <w:left w:val="none" w:sz="0" w:space="0" w:color="auto"/>
        <w:bottom w:val="none" w:sz="0" w:space="0" w:color="auto"/>
        <w:right w:val="none" w:sz="0" w:space="0" w:color="auto"/>
      </w:divBdr>
    </w:div>
    <w:div w:id="656153294">
      <w:bodyDiv w:val="1"/>
      <w:marLeft w:val="0"/>
      <w:marRight w:val="0"/>
      <w:marTop w:val="0"/>
      <w:marBottom w:val="0"/>
      <w:divBdr>
        <w:top w:val="none" w:sz="0" w:space="0" w:color="auto"/>
        <w:left w:val="none" w:sz="0" w:space="0" w:color="auto"/>
        <w:bottom w:val="none" w:sz="0" w:space="0" w:color="auto"/>
        <w:right w:val="none" w:sz="0" w:space="0" w:color="auto"/>
      </w:divBdr>
    </w:div>
    <w:div w:id="657268442">
      <w:bodyDiv w:val="1"/>
      <w:marLeft w:val="0"/>
      <w:marRight w:val="0"/>
      <w:marTop w:val="0"/>
      <w:marBottom w:val="0"/>
      <w:divBdr>
        <w:top w:val="none" w:sz="0" w:space="0" w:color="auto"/>
        <w:left w:val="none" w:sz="0" w:space="0" w:color="auto"/>
        <w:bottom w:val="none" w:sz="0" w:space="0" w:color="auto"/>
        <w:right w:val="none" w:sz="0" w:space="0" w:color="auto"/>
      </w:divBdr>
    </w:div>
    <w:div w:id="665208651">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96023181">
      <w:bodyDiv w:val="1"/>
      <w:marLeft w:val="0"/>
      <w:marRight w:val="0"/>
      <w:marTop w:val="0"/>
      <w:marBottom w:val="0"/>
      <w:divBdr>
        <w:top w:val="none" w:sz="0" w:space="0" w:color="auto"/>
        <w:left w:val="none" w:sz="0" w:space="0" w:color="auto"/>
        <w:bottom w:val="none" w:sz="0" w:space="0" w:color="auto"/>
        <w:right w:val="none" w:sz="0" w:space="0" w:color="auto"/>
      </w:divBdr>
    </w:div>
    <w:div w:id="830491103">
      <w:bodyDiv w:val="1"/>
      <w:marLeft w:val="0"/>
      <w:marRight w:val="0"/>
      <w:marTop w:val="0"/>
      <w:marBottom w:val="0"/>
      <w:divBdr>
        <w:top w:val="none" w:sz="0" w:space="0" w:color="auto"/>
        <w:left w:val="none" w:sz="0" w:space="0" w:color="auto"/>
        <w:bottom w:val="none" w:sz="0" w:space="0" w:color="auto"/>
        <w:right w:val="none" w:sz="0" w:space="0" w:color="auto"/>
      </w:divBdr>
    </w:div>
    <w:div w:id="852375255">
      <w:bodyDiv w:val="1"/>
      <w:marLeft w:val="0"/>
      <w:marRight w:val="0"/>
      <w:marTop w:val="0"/>
      <w:marBottom w:val="0"/>
      <w:divBdr>
        <w:top w:val="none" w:sz="0" w:space="0" w:color="auto"/>
        <w:left w:val="none" w:sz="0" w:space="0" w:color="auto"/>
        <w:bottom w:val="none" w:sz="0" w:space="0" w:color="auto"/>
        <w:right w:val="none" w:sz="0" w:space="0" w:color="auto"/>
      </w:divBdr>
    </w:div>
    <w:div w:id="899167326">
      <w:bodyDiv w:val="1"/>
      <w:marLeft w:val="0"/>
      <w:marRight w:val="0"/>
      <w:marTop w:val="0"/>
      <w:marBottom w:val="0"/>
      <w:divBdr>
        <w:top w:val="none" w:sz="0" w:space="0" w:color="auto"/>
        <w:left w:val="none" w:sz="0" w:space="0" w:color="auto"/>
        <w:bottom w:val="none" w:sz="0" w:space="0" w:color="auto"/>
        <w:right w:val="none" w:sz="0" w:space="0" w:color="auto"/>
      </w:divBdr>
      <w:divsChild>
        <w:div w:id="560484319">
          <w:marLeft w:val="274"/>
          <w:marRight w:val="0"/>
          <w:marTop w:val="86"/>
          <w:marBottom w:val="0"/>
          <w:divBdr>
            <w:top w:val="none" w:sz="0" w:space="0" w:color="auto"/>
            <w:left w:val="none" w:sz="0" w:space="0" w:color="auto"/>
            <w:bottom w:val="none" w:sz="0" w:space="0" w:color="auto"/>
            <w:right w:val="none" w:sz="0" w:space="0" w:color="auto"/>
          </w:divBdr>
        </w:div>
      </w:divsChild>
    </w:div>
    <w:div w:id="908929906">
      <w:bodyDiv w:val="1"/>
      <w:marLeft w:val="0"/>
      <w:marRight w:val="0"/>
      <w:marTop w:val="0"/>
      <w:marBottom w:val="0"/>
      <w:divBdr>
        <w:top w:val="none" w:sz="0" w:space="0" w:color="auto"/>
        <w:left w:val="none" w:sz="0" w:space="0" w:color="auto"/>
        <w:bottom w:val="none" w:sz="0" w:space="0" w:color="auto"/>
        <w:right w:val="none" w:sz="0" w:space="0" w:color="auto"/>
      </w:divBdr>
      <w:divsChild>
        <w:div w:id="1127504990">
          <w:marLeft w:val="274"/>
          <w:marRight w:val="0"/>
          <w:marTop w:val="86"/>
          <w:marBottom w:val="0"/>
          <w:divBdr>
            <w:top w:val="none" w:sz="0" w:space="0" w:color="auto"/>
            <w:left w:val="none" w:sz="0" w:space="0" w:color="auto"/>
            <w:bottom w:val="none" w:sz="0" w:space="0" w:color="auto"/>
            <w:right w:val="none" w:sz="0" w:space="0" w:color="auto"/>
          </w:divBdr>
        </w:div>
      </w:divsChild>
    </w:div>
    <w:div w:id="929464051">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178470990">
      <w:bodyDiv w:val="1"/>
      <w:marLeft w:val="0"/>
      <w:marRight w:val="0"/>
      <w:marTop w:val="0"/>
      <w:marBottom w:val="0"/>
      <w:divBdr>
        <w:top w:val="none" w:sz="0" w:space="0" w:color="auto"/>
        <w:left w:val="none" w:sz="0" w:space="0" w:color="auto"/>
        <w:bottom w:val="none" w:sz="0" w:space="0" w:color="auto"/>
        <w:right w:val="none" w:sz="0" w:space="0" w:color="auto"/>
      </w:divBdr>
    </w:div>
    <w:div w:id="1203207162">
      <w:bodyDiv w:val="1"/>
      <w:marLeft w:val="0"/>
      <w:marRight w:val="0"/>
      <w:marTop w:val="0"/>
      <w:marBottom w:val="0"/>
      <w:divBdr>
        <w:top w:val="none" w:sz="0" w:space="0" w:color="auto"/>
        <w:left w:val="none" w:sz="0" w:space="0" w:color="auto"/>
        <w:bottom w:val="none" w:sz="0" w:space="0" w:color="auto"/>
        <w:right w:val="none" w:sz="0" w:space="0" w:color="auto"/>
      </w:divBdr>
    </w:div>
    <w:div w:id="1217546934">
      <w:bodyDiv w:val="1"/>
      <w:marLeft w:val="0"/>
      <w:marRight w:val="0"/>
      <w:marTop w:val="0"/>
      <w:marBottom w:val="0"/>
      <w:divBdr>
        <w:top w:val="none" w:sz="0" w:space="0" w:color="auto"/>
        <w:left w:val="none" w:sz="0" w:space="0" w:color="auto"/>
        <w:bottom w:val="none" w:sz="0" w:space="0" w:color="auto"/>
        <w:right w:val="none" w:sz="0" w:space="0" w:color="auto"/>
      </w:divBdr>
    </w:div>
    <w:div w:id="1263147824">
      <w:bodyDiv w:val="1"/>
      <w:marLeft w:val="0"/>
      <w:marRight w:val="0"/>
      <w:marTop w:val="0"/>
      <w:marBottom w:val="0"/>
      <w:divBdr>
        <w:top w:val="none" w:sz="0" w:space="0" w:color="auto"/>
        <w:left w:val="none" w:sz="0" w:space="0" w:color="auto"/>
        <w:bottom w:val="none" w:sz="0" w:space="0" w:color="auto"/>
        <w:right w:val="none" w:sz="0" w:space="0" w:color="auto"/>
      </w:divBdr>
    </w:div>
    <w:div w:id="1429620612">
      <w:bodyDiv w:val="1"/>
      <w:marLeft w:val="0"/>
      <w:marRight w:val="0"/>
      <w:marTop w:val="0"/>
      <w:marBottom w:val="0"/>
      <w:divBdr>
        <w:top w:val="none" w:sz="0" w:space="0" w:color="auto"/>
        <w:left w:val="none" w:sz="0" w:space="0" w:color="auto"/>
        <w:bottom w:val="none" w:sz="0" w:space="0" w:color="auto"/>
        <w:right w:val="none" w:sz="0" w:space="0" w:color="auto"/>
      </w:divBdr>
    </w:div>
    <w:div w:id="1513563866">
      <w:bodyDiv w:val="1"/>
      <w:marLeft w:val="0"/>
      <w:marRight w:val="0"/>
      <w:marTop w:val="0"/>
      <w:marBottom w:val="0"/>
      <w:divBdr>
        <w:top w:val="none" w:sz="0" w:space="0" w:color="auto"/>
        <w:left w:val="none" w:sz="0" w:space="0" w:color="auto"/>
        <w:bottom w:val="none" w:sz="0" w:space="0" w:color="auto"/>
        <w:right w:val="none" w:sz="0" w:space="0" w:color="auto"/>
      </w:divBdr>
    </w:div>
    <w:div w:id="1551185785">
      <w:bodyDiv w:val="1"/>
      <w:marLeft w:val="0"/>
      <w:marRight w:val="0"/>
      <w:marTop w:val="0"/>
      <w:marBottom w:val="0"/>
      <w:divBdr>
        <w:top w:val="none" w:sz="0" w:space="0" w:color="auto"/>
        <w:left w:val="none" w:sz="0" w:space="0" w:color="auto"/>
        <w:bottom w:val="none" w:sz="0" w:space="0" w:color="auto"/>
        <w:right w:val="none" w:sz="0" w:space="0" w:color="auto"/>
      </w:divBdr>
    </w:div>
    <w:div w:id="1578663912">
      <w:bodyDiv w:val="1"/>
      <w:marLeft w:val="0"/>
      <w:marRight w:val="0"/>
      <w:marTop w:val="0"/>
      <w:marBottom w:val="0"/>
      <w:divBdr>
        <w:top w:val="none" w:sz="0" w:space="0" w:color="auto"/>
        <w:left w:val="none" w:sz="0" w:space="0" w:color="auto"/>
        <w:bottom w:val="none" w:sz="0" w:space="0" w:color="auto"/>
        <w:right w:val="none" w:sz="0" w:space="0" w:color="auto"/>
      </w:divBdr>
    </w:div>
    <w:div w:id="1684090472">
      <w:bodyDiv w:val="1"/>
      <w:marLeft w:val="0"/>
      <w:marRight w:val="0"/>
      <w:marTop w:val="0"/>
      <w:marBottom w:val="0"/>
      <w:divBdr>
        <w:top w:val="none" w:sz="0" w:space="0" w:color="auto"/>
        <w:left w:val="none" w:sz="0" w:space="0" w:color="auto"/>
        <w:bottom w:val="none" w:sz="0" w:space="0" w:color="auto"/>
        <w:right w:val="none" w:sz="0" w:space="0" w:color="auto"/>
      </w:divBdr>
    </w:div>
    <w:div w:id="1796558883">
      <w:bodyDiv w:val="1"/>
      <w:marLeft w:val="0"/>
      <w:marRight w:val="0"/>
      <w:marTop w:val="0"/>
      <w:marBottom w:val="0"/>
      <w:divBdr>
        <w:top w:val="none" w:sz="0" w:space="0" w:color="auto"/>
        <w:left w:val="none" w:sz="0" w:space="0" w:color="auto"/>
        <w:bottom w:val="none" w:sz="0" w:space="0" w:color="auto"/>
        <w:right w:val="none" w:sz="0" w:space="0" w:color="auto"/>
      </w:divBdr>
    </w:div>
    <w:div w:id="1797067185">
      <w:bodyDiv w:val="1"/>
      <w:marLeft w:val="0"/>
      <w:marRight w:val="0"/>
      <w:marTop w:val="0"/>
      <w:marBottom w:val="0"/>
      <w:divBdr>
        <w:top w:val="none" w:sz="0" w:space="0" w:color="auto"/>
        <w:left w:val="none" w:sz="0" w:space="0" w:color="auto"/>
        <w:bottom w:val="none" w:sz="0" w:space="0" w:color="auto"/>
        <w:right w:val="none" w:sz="0" w:space="0" w:color="auto"/>
      </w:divBdr>
    </w:div>
    <w:div w:id="1885677789">
      <w:bodyDiv w:val="1"/>
      <w:marLeft w:val="0"/>
      <w:marRight w:val="0"/>
      <w:marTop w:val="0"/>
      <w:marBottom w:val="0"/>
      <w:divBdr>
        <w:top w:val="none" w:sz="0" w:space="0" w:color="auto"/>
        <w:left w:val="none" w:sz="0" w:space="0" w:color="auto"/>
        <w:bottom w:val="none" w:sz="0" w:space="0" w:color="auto"/>
        <w:right w:val="none" w:sz="0" w:space="0" w:color="auto"/>
      </w:divBdr>
    </w:div>
    <w:div w:id="1996302431">
      <w:bodyDiv w:val="1"/>
      <w:marLeft w:val="0"/>
      <w:marRight w:val="0"/>
      <w:marTop w:val="0"/>
      <w:marBottom w:val="0"/>
      <w:divBdr>
        <w:top w:val="none" w:sz="0" w:space="0" w:color="auto"/>
        <w:left w:val="none" w:sz="0" w:space="0" w:color="auto"/>
        <w:bottom w:val="none" w:sz="0" w:space="0" w:color="auto"/>
        <w:right w:val="none" w:sz="0" w:space="0" w:color="auto"/>
      </w:divBdr>
    </w:div>
    <w:div w:id="2069304853">
      <w:bodyDiv w:val="1"/>
      <w:marLeft w:val="0"/>
      <w:marRight w:val="0"/>
      <w:marTop w:val="0"/>
      <w:marBottom w:val="0"/>
      <w:divBdr>
        <w:top w:val="none" w:sz="0" w:space="0" w:color="auto"/>
        <w:left w:val="none" w:sz="0" w:space="0" w:color="auto"/>
        <w:bottom w:val="none" w:sz="0" w:space="0" w:color="auto"/>
        <w:right w:val="none" w:sz="0" w:space="0" w:color="auto"/>
      </w:divBdr>
    </w:div>
    <w:div w:id="2071075350">
      <w:bodyDiv w:val="1"/>
      <w:marLeft w:val="0"/>
      <w:marRight w:val="0"/>
      <w:marTop w:val="0"/>
      <w:marBottom w:val="0"/>
      <w:divBdr>
        <w:top w:val="none" w:sz="0" w:space="0" w:color="auto"/>
        <w:left w:val="none" w:sz="0" w:space="0" w:color="auto"/>
        <w:bottom w:val="none" w:sz="0" w:space="0" w:color="auto"/>
        <w:right w:val="none" w:sz="0" w:space="0" w:color="auto"/>
      </w:divBdr>
    </w:div>
    <w:div w:id="2115242999">
      <w:bodyDiv w:val="1"/>
      <w:marLeft w:val="0"/>
      <w:marRight w:val="0"/>
      <w:marTop w:val="0"/>
      <w:marBottom w:val="0"/>
      <w:divBdr>
        <w:top w:val="none" w:sz="0" w:space="0" w:color="auto"/>
        <w:left w:val="none" w:sz="0" w:space="0" w:color="auto"/>
        <w:bottom w:val="none" w:sz="0" w:space="0" w:color="auto"/>
        <w:right w:val="none" w:sz="0" w:space="0" w:color="auto"/>
      </w:divBdr>
    </w:div>
    <w:div w:id="2130202707">
      <w:bodyDiv w:val="1"/>
      <w:marLeft w:val="0"/>
      <w:marRight w:val="0"/>
      <w:marTop w:val="0"/>
      <w:marBottom w:val="0"/>
      <w:divBdr>
        <w:top w:val="none" w:sz="0" w:space="0" w:color="auto"/>
        <w:left w:val="none" w:sz="0" w:space="0" w:color="auto"/>
        <w:bottom w:val="none" w:sz="0" w:space="0" w:color="auto"/>
        <w:right w:val="none" w:sz="0" w:space="0" w:color="auto"/>
      </w:divBdr>
    </w:div>
    <w:div w:id="213105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aph.gov.au/DocumentStore.ashx?id=b2a784cc-435f-4cbd-b5c7-6831eeb05e81&amp;subId=691580" TargetMode="External"/><Relationship Id="rId3" Type="http://schemas.openxmlformats.org/officeDocument/2006/relationships/hyperlink" Target="https://www.nationalsecurity.gov.au/national-threat-level/current-national-terrorism-threat-level" TargetMode="External"/><Relationship Id="rId7" Type="http://schemas.openxmlformats.org/officeDocument/2006/relationships/hyperlink" Target="https://www.aph.gov.au/Parliamentary_Business/Committees/Joint/Intelligence_and_Security/ReviewofAFPPowers/Report" TargetMode="External"/><Relationship Id="rId12" Type="http://schemas.openxmlformats.org/officeDocument/2006/relationships/hyperlink" Target="https://www.ag.gov.au/sites/default/files/2022-11/annual-report-on-counter-terrorism-powers-2021-22.PDF" TargetMode="External"/><Relationship Id="rId2" Type="http://schemas.openxmlformats.org/officeDocument/2006/relationships/hyperlink" Target="https://minister.homeaffairs.gov.au/ClareONeil/Pages/national-terrorism-threat-level.aspx" TargetMode="External"/><Relationship Id="rId1" Type="http://schemas.openxmlformats.org/officeDocument/2006/relationships/hyperlink" Target="https://www.aph.gov.au/~/media/wopapub/senate/committee/legcon_ctte/completed_inquiries/2004_07/terrorism/report/report_pdf.ashx" TargetMode="External"/><Relationship Id="rId6" Type="http://schemas.openxmlformats.org/officeDocument/2006/relationships/hyperlink" Target="https://www.ag.gov.au/sites/default/files/2022-11/annual-report-on-counter-terrorism-powers-2021-22.PDF" TargetMode="External"/><Relationship Id="rId11" Type="http://schemas.openxmlformats.org/officeDocument/2006/relationships/hyperlink" Target="https://www.homeaffairs.gov.au/reports-and-pubs/files/reports-to-parliament/20-21-counter-terrorism-powers-annual-report.pdf" TargetMode="External"/><Relationship Id="rId5" Type="http://schemas.openxmlformats.org/officeDocument/2006/relationships/hyperlink" Target="https://www.homeaffairs.gov.au/reports-and-pubs/files/reports-to-parliament/20-21-counter-terrorism-powers-annual-report.pdf" TargetMode="External"/><Relationship Id="rId10" Type="http://schemas.openxmlformats.org/officeDocument/2006/relationships/hyperlink" Target="https://www.aph.gov.au/DocumentStore.ashx?id=dccdea26-8e64-433f-8cdd-51430e028cf3&amp;subId=695306" TargetMode="External"/><Relationship Id="rId4" Type="http://schemas.openxmlformats.org/officeDocument/2006/relationships/hyperlink" Target="https://www.aph.gov.au/Parliamentary_Business/Committees/Joint/Intelligence_and_Security/AFPpowersreview/Report" TargetMode="External"/><Relationship Id="rId9" Type="http://schemas.openxmlformats.org/officeDocument/2006/relationships/hyperlink" Target="https://www.aph.gov.au/DocumentStore.ashx?id=dccdea26-8e64-433f-8cdd-51430e028cf3&amp;subId=6953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975c5ac6-a0cc-43ed-b850-4a2ae59237b6"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Received_x002f_Sent xmlns="57f1fb52-79b9-4278-9d54-1e5db41bfcda" xsi:nil="true"/>
    <EmailasAttachment xmlns="1a69bdef-c635-48ac-9cf9-b687dab64bb7">
      <Url xsi:nil="true"/>
      <Description xsi:nil="true"/>
    </EmailasAttachment>
    <Divider xmlns="6500fe01-343b-4fb9-a1b0-68ac19d62e01" xsi:nil="true"/>
    <TaxCatchAll xmlns="6500fe01-343b-4fb9-a1b0-68ac19d62e01" xsi:nil="true"/>
    <TaxKeywordTaxHTField xmlns="6500fe01-343b-4fb9-a1b0-68ac19d62e01">
      <Terms xmlns="http://schemas.microsoft.com/office/infopath/2007/PartnerControls"/>
    </TaxKeywordTaxHTField>
    <h1905e97e92e42caaf2a314461ed6a1e xmlns="57f1fb52-79b9-4278-9d54-1e5db41bfcda">
      <Terms xmlns="http://schemas.microsoft.com/office/infopath/2007/PartnerControls"/>
    </h1905e97e92e42caaf2a314461ed6a1e>
    <From1 xmlns="57f1fb52-79b9-4278-9d54-1e5db41bfcda" xsi:nil="true"/>
    <Subdivider xmlns="57f1fb52-79b9-4278-9d54-1e5db41bfcda" xsi:nil="true"/>
    <_dlc_DocId xmlns="6500fe01-343b-4fb9-a1b0-68ac19d62e01">DGE6U7RJ2EFV-31920988-9319</_dlc_DocId>
    <_dlc_DocIdUrl xmlns="6500fe01-343b-4fb9-a1b0-68ac19d62e01">
      <Url>https://australianhrc.sharepoint.com/sites/LegalServ/_layouts/15/DocIdRedir.aspx?ID=DGE6U7RJ2EFV-31920988-9319</Url>
      <Description>DGE6U7RJ2EFV-31920988-9319</Description>
    </_dlc_DocIdUrl>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84B55D95DF676046B99E394FD3A716A8" ma:contentTypeVersion="655" ma:contentTypeDescription="Create a new document." ma:contentTypeScope="" ma:versionID="3b0b3f709c7efbc6b48a3a3e76236411">
  <xsd:schema xmlns:xsd="http://www.w3.org/2001/XMLSchema" xmlns:xs="http://www.w3.org/2001/XMLSchema" xmlns:p="http://schemas.microsoft.com/office/2006/metadata/properties" xmlns:ns2="57f1fb52-79b9-4278-9d54-1e5db41bfcda" xmlns:ns3="6500fe01-343b-4fb9-a1b0-68ac19d62e01" xmlns:ns4="1a69bdef-c635-48ac-9cf9-b687dab64bb7" targetNamespace="http://schemas.microsoft.com/office/2006/metadata/properties" ma:root="true" ma:fieldsID="7b31b69b82b738c53fd5b4e1ed806bb5" ns2:_="" ns3:_="" ns4:_="">
    <xsd:import namespace="57f1fb52-79b9-4278-9d54-1e5db41bfcda"/>
    <xsd:import namespace="6500fe01-343b-4fb9-a1b0-68ac19d62e01"/>
    <xsd:import namespace="1a69bdef-c635-48ac-9cf9-b687dab64bb7"/>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h1905e97e92e42caaf2a314461ed6a1e"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2:From1" minOccurs="0"/>
                <xsd:element ref="ns2:Received_x002f_Sent" minOccurs="0"/>
                <xsd:element ref="ns4:EmailasAttachment" minOccurs="0"/>
                <xsd:element ref="ns2:SharedWithUsers" minOccurs="0"/>
                <xsd:element ref="ns2:SharedWithDetails"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hidden="true" ma:indexed="true" ma:internalName="Subdivider" ma:readOnly="false">
      <xsd:simpleType>
        <xsd:union memberTypes="dms:Text">
          <xsd:simpleType>
            <xsd:restriction base="dms:Choice">
              <xsd:enumeration value="-"/>
            </xsd:restriction>
          </xsd:simpleType>
        </xsd:union>
      </xsd:simpleType>
    </xsd:element>
    <xsd:element name="h1905e97e92e42caaf2a314461ed6a1e" ma:index="18" nillable="true" ma:taxonomy="true" ma:internalName="h1905e97e92e42caaf2a314461ed6a1e" ma:taxonomyFieldName="Document_x0020_Type" ma:displayName="Document Type" ma:default="" ma:fieldId="{11905e97-e92e-42ca-af2a-314461ed6a1e}" ma:sspId="975c5ac6-a0cc-43ed-b850-4a2ae59237b6" ma:termSetId="5c0fb424-e810-48cd-89f5-068486990c36" ma:anchorId="00000000-0000-0000-0000-000000000000" ma:open="false" ma:isKeyword="false">
      <xsd:complexType>
        <xsd:sequence>
          <xsd:element ref="pc:Terms" minOccurs="0" maxOccurs="1"/>
        </xsd:sequence>
      </xsd:complexType>
    </xsd:element>
    <xsd:element name="From1" ma:index="27" nillable="true" ma:displayName="From" ma:indexed="true" ma:internalName="From1">
      <xsd:simpleType>
        <xsd:restriction base="dms:Text">
          <xsd:maxLength value="255"/>
        </xsd:restriction>
      </xsd:simpleType>
    </xsd:element>
    <xsd:element name="Received_x002f_Sent" ma:index="28" nillable="true" ma:displayName="Received/Sent" ma:indexed="true" ma:internalName="Received_x002F_Sent">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hidden="true" ma:indexed="true" ma:internalName="Divider" ma:readOnly="false">
      <xsd:simpleType>
        <xsd:union memberTypes="dms:Text">
          <xsd:simpleType>
            <xsd:restriction base="dms:Choice">
              <xsd:enumeration value="-"/>
            </xsd:restriction>
          </xsd:simpleType>
        </xsd:union>
      </xsd:simpleType>
    </xsd:element>
    <xsd:element name="TaxKeywordTaxHTField" ma:index="7"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8" nillable="true" ma:displayName="Taxonomy Catch All Column" ma:hidden="true" ma:list="{f386e28e-d76d-4cdd-8585-6723f400076b}"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f386e28e-d76d-4cdd-8585-6723f400076b}"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9bdef-c635-48ac-9cf9-b687dab64bb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EmailasAttachment" ma:index="30" nillable="true" ma:displayName="Email as Attachment" ma:format="Hyperlink" ma:internalName="EmailasAttachmen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ma:index="36"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C97D6-A40B-4951-BDAF-10C333DBD297}">
  <ds:schemaRefs>
    <ds:schemaRef ds:uri="http://schemas.microsoft.com/sharepoint/events"/>
  </ds:schemaRefs>
</ds:datastoreItem>
</file>

<file path=customXml/itemProps2.xml><?xml version="1.0" encoding="utf-8"?>
<ds:datastoreItem xmlns:ds="http://schemas.openxmlformats.org/officeDocument/2006/customXml" ds:itemID="{208DBF26-F935-475D-B187-F2381FACD161}">
  <ds:schemaRefs>
    <ds:schemaRef ds:uri="Microsoft.SharePoint.Taxonomy.ContentTypeSync"/>
  </ds:schemaRefs>
</ds:datastoreItem>
</file>

<file path=customXml/itemProps3.xml><?xml version="1.0" encoding="utf-8"?>
<ds:datastoreItem xmlns:ds="http://schemas.openxmlformats.org/officeDocument/2006/customXml" ds:itemID="{A13ECF32-7A67-4530-867D-D01B758C8BC2}">
  <ds:schemaRefs>
    <ds:schemaRef ds:uri="http://purl.org/dc/dcmitype/"/>
    <ds:schemaRef ds:uri="http://schemas.microsoft.com/office/2006/documentManagement/types"/>
    <ds:schemaRef ds:uri="6500fe01-343b-4fb9-a1b0-68ac19d62e01"/>
    <ds:schemaRef ds:uri="http://purl.org/dc/elements/1.1/"/>
    <ds:schemaRef ds:uri="http://purl.org/dc/terms/"/>
    <ds:schemaRef ds:uri="http://schemas.openxmlformats.org/package/2006/metadata/core-properties"/>
    <ds:schemaRef ds:uri="http://schemas.microsoft.com/office/infopath/2007/PartnerControls"/>
    <ds:schemaRef ds:uri="1a69bdef-c635-48ac-9cf9-b687dab64bb7"/>
    <ds:schemaRef ds:uri="57f1fb52-79b9-4278-9d54-1e5db41bfcda"/>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2C4370D-C3B2-440A-BEA8-7EF5138297ED}">
  <ds:schemaRefs>
    <ds:schemaRef ds:uri="http://schemas.microsoft.com/office/2006/metadata/customXsn"/>
  </ds:schemaRefs>
</ds:datastoreItem>
</file>

<file path=customXml/itemProps5.xml><?xml version="1.0" encoding="utf-8"?>
<ds:datastoreItem xmlns:ds="http://schemas.openxmlformats.org/officeDocument/2006/customXml" ds:itemID="{0D3F4A6D-0688-4CF8-8B23-D105EE7CF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1fb52-79b9-4278-9d54-1e5db41bfcda"/>
    <ds:schemaRef ds:uri="6500fe01-343b-4fb9-a1b0-68ac19d62e01"/>
    <ds:schemaRef ds:uri="1a69bdef-c635-48ac-9cf9-b687dab64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A527B8B-CC85-4AEA-8448-FC09DF0F64AC}">
  <ds:schemaRefs>
    <ds:schemaRef ds:uri="http://schemas.microsoft.com/sharepoint/v3/contenttype/forms"/>
  </ds:schemaRefs>
</ds:datastoreItem>
</file>

<file path=customXml/itemProps7.xml><?xml version="1.0" encoding="utf-8"?>
<ds:datastoreItem xmlns:ds="http://schemas.openxmlformats.org/officeDocument/2006/customXml" ds:itemID="{7CD8664F-84FA-D843-8980-0EDFEDDCF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8912</Words>
  <Characters>50803</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59596</CharactersWithSpaces>
  <SharedDoc>false</SharedDoc>
  <HLinks>
    <vt:vector size="528" baseType="variant">
      <vt:variant>
        <vt:i4>1638452</vt:i4>
      </vt:variant>
      <vt:variant>
        <vt:i4>218</vt:i4>
      </vt:variant>
      <vt:variant>
        <vt:i4>0</vt:i4>
      </vt:variant>
      <vt:variant>
        <vt:i4>5</vt:i4>
      </vt:variant>
      <vt:variant>
        <vt:lpwstr/>
      </vt:variant>
      <vt:variant>
        <vt:lpwstr>_Toc50633845</vt:lpwstr>
      </vt:variant>
      <vt:variant>
        <vt:i4>1572916</vt:i4>
      </vt:variant>
      <vt:variant>
        <vt:i4>212</vt:i4>
      </vt:variant>
      <vt:variant>
        <vt:i4>0</vt:i4>
      </vt:variant>
      <vt:variant>
        <vt:i4>5</vt:i4>
      </vt:variant>
      <vt:variant>
        <vt:lpwstr/>
      </vt:variant>
      <vt:variant>
        <vt:lpwstr>_Toc50633844</vt:lpwstr>
      </vt:variant>
      <vt:variant>
        <vt:i4>2031668</vt:i4>
      </vt:variant>
      <vt:variant>
        <vt:i4>206</vt:i4>
      </vt:variant>
      <vt:variant>
        <vt:i4>0</vt:i4>
      </vt:variant>
      <vt:variant>
        <vt:i4>5</vt:i4>
      </vt:variant>
      <vt:variant>
        <vt:lpwstr/>
      </vt:variant>
      <vt:variant>
        <vt:lpwstr>_Toc50633843</vt:lpwstr>
      </vt:variant>
      <vt:variant>
        <vt:i4>1966132</vt:i4>
      </vt:variant>
      <vt:variant>
        <vt:i4>200</vt:i4>
      </vt:variant>
      <vt:variant>
        <vt:i4>0</vt:i4>
      </vt:variant>
      <vt:variant>
        <vt:i4>5</vt:i4>
      </vt:variant>
      <vt:variant>
        <vt:lpwstr/>
      </vt:variant>
      <vt:variant>
        <vt:lpwstr>_Toc50633842</vt:lpwstr>
      </vt:variant>
      <vt:variant>
        <vt:i4>1900596</vt:i4>
      </vt:variant>
      <vt:variant>
        <vt:i4>194</vt:i4>
      </vt:variant>
      <vt:variant>
        <vt:i4>0</vt:i4>
      </vt:variant>
      <vt:variant>
        <vt:i4>5</vt:i4>
      </vt:variant>
      <vt:variant>
        <vt:lpwstr/>
      </vt:variant>
      <vt:variant>
        <vt:lpwstr>_Toc50633841</vt:lpwstr>
      </vt:variant>
      <vt:variant>
        <vt:i4>1835060</vt:i4>
      </vt:variant>
      <vt:variant>
        <vt:i4>188</vt:i4>
      </vt:variant>
      <vt:variant>
        <vt:i4>0</vt:i4>
      </vt:variant>
      <vt:variant>
        <vt:i4>5</vt:i4>
      </vt:variant>
      <vt:variant>
        <vt:lpwstr/>
      </vt:variant>
      <vt:variant>
        <vt:lpwstr>_Toc50633840</vt:lpwstr>
      </vt:variant>
      <vt:variant>
        <vt:i4>1376307</vt:i4>
      </vt:variant>
      <vt:variant>
        <vt:i4>182</vt:i4>
      </vt:variant>
      <vt:variant>
        <vt:i4>0</vt:i4>
      </vt:variant>
      <vt:variant>
        <vt:i4>5</vt:i4>
      </vt:variant>
      <vt:variant>
        <vt:lpwstr/>
      </vt:variant>
      <vt:variant>
        <vt:lpwstr>_Toc50633839</vt:lpwstr>
      </vt:variant>
      <vt:variant>
        <vt:i4>1310771</vt:i4>
      </vt:variant>
      <vt:variant>
        <vt:i4>176</vt:i4>
      </vt:variant>
      <vt:variant>
        <vt:i4>0</vt:i4>
      </vt:variant>
      <vt:variant>
        <vt:i4>5</vt:i4>
      </vt:variant>
      <vt:variant>
        <vt:lpwstr/>
      </vt:variant>
      <vt:variant>
        <vt:lpwstr>_Toc50633838</vt:lpwstr>
      </vt:variant>
      <vt:variant>
        <vt:i4>1769523</vt:i4>
      </vt:variant>
      <vt:variant>
        <vt:i4>170</vt:i4>
      </vt:variant>
      <vt:variant>
        <vt:i4>0</vt:i4>
      </vt:variant>
      <vt:variant>
        <vt:i4>5</vt:i4>
      </vt:variant>
      <vt:variant>
        <vt:lpwstr/>
      </vt:variant>
      <vt:variant>
        <vt:lpwstr>_Toc50633837</vt:lpwstr>
      </vt:variant>
      <vt:variant>
        <vt:i4>1703987</vt:i4>
      </vt:variant>
      <vt:variant>
        <vt:i4>164</vt:i4>
      </vt:variant>
      <vt:variant>
        <vt:i4>0</vt:i4>
      </vt:variant>
      <vt:variant>
        <vt:i4>5</vt:i4>
      </vt:variant>
      <vt:variant>
        <vt:lpwstr/>
      </vt:variant>
      <vt:variant>
        <vt:lpwstr>_Toc50633836</vt:lpwstr>
      </vt:variant>
      <vt:variant>
        <vt:i4>1638451</vt:i4>
      </vt:variant>
      <vt:variant>
        <vt:i4>158</vt:i4>
      </vt:variant>
      <vt:variant>
        <vt:i4>0</vt:i4>
      </vt:variant>
      <vt:variant>
        <vt:i4>5</vt:i4>
      </vt:variant>
      <vt:variant>
        <vt:lpwstr/>
      </vt:variant>
      <vt:variant>
        <vt:lpwstr>_Toc50633835</vt:lpwstr>
      </vt:variant>
      <vt:variant>
        <vt:i4>1572915</vt:i4>
      </vt:variant>
      <vt:variant>
        <vt:i4>152</vt:i4>
      </vt:variant>
      <vt:variant>
        <vt:i4>0</vt:i4>
      </vt:variant>
      <vt:variant>
        <vt:i4>5</vt:i4>
      </vt:variant>
      <vt:variant>
        <vt:lpwstr/>
      </vt:variant>
      <vt:variant>
        <vt:lpwstr>_Toc50633834</vt:lpwstr>
      </vt:variant>
      <vt:variant>
        <vt:i4>2031667</vt:i4>
      </vt:variant>
      <vt:variant>
        <vt:i4>146</vt:i4>
      </vt:variant>
      <vt:variant>
        <vt:i4>0</vt:i4>
      </vt:variant>
      <vt:variant>
        <vt:i4>5</vt:i4>
      </vt:variant>
      <vt:variant>
        <vt:lpwstr/>
      </vt:variant>
      <vt:variant>
        <vt:lpwstr>_Toc50633833</vt:lpwstr>
      </vt:variant>
      <vt:variant>
        <vt:i4>1966131</vt:i4>
      </vt:variant>
      <vt:variant>
        <vt:i4>140</vt:i4>
      </vt:variant>
      <vt:variant>
        <vt:i4>0</vt:i4>
      </vt:variant>
      <vt:variant>
        <vt:i4>5</vt:i4>
      </vt:variant>
      <vt:variant>
        <vt:lpwstr/>
      </vt:variant>
      <vt:variant>
        <vt:lpwstr>_Toc50633832</vt:lpwstr>
      </vt:variant>
      <vt:variant>
        <vt:i4>1900595</vt:i4>
      </vt:variant>
      <vt:variant>
        <vt:i4>134</vt:i4>
      </vt:variant>
      <vt:variant>
        <vt:i4>0</vt:i4>
      </vt:variant>
      <vt:variant>
        <vt:i4>5</vt:i4>
      </vt:variant>
      <vt:variant>
        <vt:lpwstr/>
      </vt:variant>
      <vt:variant>
        <vt:lpwstr>_Toc50633831</vt:lpwstr>
      </vt:variant>
      <vt:variant>
        <vt:i4>1835059</vt:i4>
      </vt:variant>
      <vt:variant>
        <vt:i4>128</vt:i4>
      </vt:variant>
      <vt:variant>
        <vt:i4>0</vt:i4>
      </vt:variant>
      <vt:variant>
        <vt:i4>5</vt:i4>
      </vt:variant>
      <vt:variant>
        <vt:lpwstr/>
      </vt:variant>
      <vt:variant>
        <vt:lpwstr>_Toc50633830</vt:lpwstr>
      </vt:variant>
      <vt:variant>
        <vt:i4>1376306</vt:i4>
      </vt:variant>
      <vt:variant>
        <vt:i4>122</vt:i4>
      </vt:variant>
      <vt:variant>
        <vt:i4>0</vt:i4>
      </vt:variant>
      <vt:variant>
        <vt:i4>5</vt:i4>
      </vt:variant>
      <vt:variant>
        <vt:lpwstr/>
      </vt:variant>
      <vt:variant>
        <vt:lpwstr>_Toc50633829</vt:lpwstr>
      </vt:variant>
      <vt:variant>
        <vt:i4>1310770</vt:i4>
      </vt:variant>
      <vt:variant>
        <vt:i4>116</vt:i4>
      </vt:variant>
      <vt:variant>
        <vt:i4>0</vt:i4>
      </vt:variant>
      <vt:variant>
        <vt:i4>5</vt:i4>
      </vt:variant>
      <vt:variant>
        <vt:lpwstr/>
      </vt:variant>
      <vt:variant>
        <vt:lpwstr>_Toc50633828</vt:lpwstr>
      </vt:variant>
      <vt:variant>
        <vt:i4>1769522</vt:i4>
      </vt:variant>
      <vt:variant>
        <vt:i4>110</vt:i4>
      </vt:variant>
      <vt:variant>
        <vt:i4>0</vt:i4>
      </vt:variant>
      <vt:variant>
        <vt:i4>5</vt:i4>
      </vt:variant>
      <vt:variant>
        <vt:lpwstr/>
      </vt:variant>
      <vt:variant>
        <vt:lpwstr>_Toc50633827</vt:lpwstr>
      </vt:variant>
      <vt:variant>
        <vt:i4>1703986</vt:i4>
      </vt:variant>
      <vt:variant>
        <vt:i4>104</vt:i4>
      </vt:variant>
      <vt:variant>
        <vt:i4>0</vt:i4>
      </vt:variant>
      <vt:variant>
        <vt:i4>5</vt:i4>
      </vt:variant>
      <vt:variant>
        <vt:lpwstr/>
      </vt:variant>
      <vt:variant>
        <vt:lpwstr>_Toc50633826</vt:lpwstr>
      </vt:variant>
      <vt:variant>
        <vt:i4>1638450</vt:i4>
      </vt:variant>
      <vt:variant>
        <vt:i4>98</vt:i4>
      </vt:variant>
      <vt:variant>
        <vt:i4>0</vt:i4>
      </vt:variant>
      <vt:variant>
        <vt:i4>5</vt:i4>
      </vt:variant>
      <vt:variant>
        <vt:lpwstr/>
      </vt:variant>
      <vt:variant>
        <vt:lpwstr>_Toc50633825</vt:lpwstr>
      </vt:variant>
      <vt:variant>
        <vt:i4>1572914</vt:i4>
      </vt:variant>
      <vt:variant>
        <vt:i4>92</vt:i4>
      </vt:variant>
      <vt:variant>
        <vt:i4>0</vt:i4>
      </vt:variant>
      <vt:variant>
        <vt:i4>5</vt:i4>
      </vt:variant>
      <vt:variant>
        <vt:lpwstr/>
      </vt:variant>
      <vt:variant>
        <vt:lpwstr>_Toc50633824</vt:lpwstr>
      </vt:variant>
      <vt:variant>
        <vt:i4>2031666</vt:i4>
      </vt:variant>
      <vt:variant>
        <vt:i4>86</vt:i4>
      </vt:variant>
      <vt:variant>
        <vt:i4>0</vt:i4>
      </vt:variant>
      <vt:variant>
        <vt:i4>5</vt:i4>
      </vt:variant>
      <vt:variant>
        <vt:lpwstr/>
      </vt:variant>
      <vt:variant>
        <vt:lpwstr>_Toc50633823</vt:lpwstr>
      </vt:variant>
      <vt:variant>
        <vt:i4>1966130</vt:i4>
      </vt:variant>
      <vt:variant>
        <vt:i4>80</vt:i4>
      </vt:variant>
      <vt:variant>
        <vt:i4>0</vt:i4>
      </vt:variant>
      <vt:variant>
        <vt:i4>5</vt:i4>
      </vt:variant>
      <vt:variant>
        <vt:lpwstr/>
      </vt:variant>
      <vt:variant>
        <vt:lpwstr>_Toc50633822</vt:lpwstr>
      </vt:variant>
      <vt:variant>
        <vt:i4>1900594</vt:i4>
      </vt:variant>
      <vt:variant>
        <vt:i4>74</vt:i4>
      </vt:variant>
      <vt:variant>
        <vt:i4>0</vt:i4>
      </vt:variant>
      <vt:variant>
        <vt:i4>5</vt:i4>
      </vt:variant>
      <vt:variant>
        <vt:lpwstr/>
      </vt:variant>
      <vt:variant>
        <vt:lpwstr>_Toc50633821</vt:lpwstr>
      </vt:variant>
      <vt:variant>
        <vt:i4>1835058</vt:i4>
      </vt:variant>
      <vt:variant>
        <vt:i4>68</vt:i4>
      </vt:variant>
      <vt:variant>
        <vt:i4>0</vt:i4>
      </vt:variant>
      <vt:variant>
        <vt:i4>5</vt:i4>
      </vt:variant>
      <vt:variant>
        <vt:lpwstr/>
      </vt:variant>
      <vt:variant>
        <vt:lpwstr>_Toc50633820</vt:lpwstr>
      </vt:variant>
      <vt:variant>
        <vt:i4>1376305</vt:i4>
      </vt:variant>
      <vt:variant>
        <vt:i4>62</vt:i4>
      </vt:variant>
      <vt:variant>
        <vt:i4>0</vt:i4>
      </vt:variant>
      <vt:variant>
        <vt:i4>5</vt:i4>
      </vt:variant>
      <vt:variant>
        <vt:lpwstr/>
      </vt:variant>
      <vt:variant>
        <vt:lpwstr>_Toc50633819</vt:lpwstr>
      </vt:variant>
      <vt:variant>
        <vt:i4>1310769</vt:i4>
      </vt:variant>
      <vt:variant>
        <vt:i4>56</vt:i4>
      </vt:variant>
      <vt:variant>
        <vt:i4>0</vt:i4>
      </vt:variant>
      <vt:variant>
        <vt:i4>5</vt:i4>
      </vt:variant>
      <vt:variant>
        <vt:lpwstr/>
      </vt:variant>
      <vt:variant>
        <vt:lpwstr>_Toc50633818</vt:lpwstr>
      </vt:variant>
      <vt:variant>
        <vt:i4>1769521</vt:i4>
      </vt:variant>
      <vt:variant>
        <vt:i4>50</vt:i4>
      </vt:variant>
      <vt:variant>
        <vt:i4>0</vt:i4>
      </vt:variant>
      <vt:variant>
        <vt:i4>5</vt:i4>
      </vt:variant>
      <vt:variant>
        <vt:lpwstr/>
      </vt:variant>
      <vt:variant>
        <vt:lpwstr>_Toc50633817</vt:lpwstr>
      </vt:variant>
      <vt:variant>
        <vt:i4>1703985</vt:i4>
      </vt:variant>
      <vt:variant>
        <vt:i4>44</vt:i4>
      </vt:variant>
      <vt:variant>
        <vt:i4>0</vt:i4>
      </vt:variant>
      <vt:variant>
        <vt:i4>5</vt:i4>
      </vt:variant>
      <vt:variant>
        <vt:lpwstr/>
      </vt:variant>
      <vt:variant>
        <vt:lpwstr>_Toc50633816</vt:lpwstr>
      </vt:variant>
      <vt:variant>
        <vt:i4>1638449</vt:i4>
      </vt:variant>
      <vt:variant>
        <vt:i4>38</vt:i4>
      </vt:variant>
      <vt:variant>
        <vt:i4>0</vt:i4>
      </vt:variant>
      <vt:variant>
        <vt:i4>5</vt:i4>
      </vt:variant>
      <vt:variant>
        <vt:lpwstr/>
      </vt:variant>
      <vt:variant>
        <vt:lpwstr>_Toc50633815</vt:lpwstr>
      </vt:variant>
      <vt:variant>
        <vt:i4>1572913</vt:i4>
      </vt:variant>
      <vt:variant>
        <vt:i4>32</vt:i4>
      </vt:variant>
      <vt:variant>
        <vt:i4>0</vt:i4>
      </vt:variant>
      <vt:variant>
        <vt:i4>5</vt:i4>
      </vt:variant>
      <vt:variant>
        <vt:lpwstr/>
      </vt:variant>
      <vt:variant>
        <vt:lpwstr>_Toc50633814</vt:lpwstr>
      </vt:variant>
      <vt:variant>
        <vt:i4>2031665</vt:i4>
      </vt:variant>
      <vt:variant>
        <vt:i4>26</vt:i4>
      </vt:variant>
      <vt:variant>
        <vt:i4>0</vt:i4>
      </vt:variant>
      <vt:variant>
        <vt:i4>5</vt:i4>
      </vt:variant>
      <vt:variant>
        <vt:lpwstr/>
      </vt:variant>
      <vt:variant>
        <vt:lpwstr>_Toc50633813</vt:lpwstr>
      </vt:variant>
      <vt:variant>
        <vt:i4>1966129</vt:i4>
      </vt:variant>
      <vt:variant>
        <vt:i4>20</vt:i4>
      </vt:variant>
      <vt:variant>
        <vt:i4>0</vt:i4>
      </vt:variant>
      <vt:variant>
        <vt:i4>5</vt:i4>
      </vt:variant>
      <vt:variant>
        <vt:lpwstr/>
      </vt:variant>
      <vt:variant>
        <vt:lpwstr>_Toc50633812</vt:lpwstr>
      </vt:variant>
      <vt:variant>
        <vt:i4>1900593</vt:i4>
      </vt:variant>
      <vt:variant>
        <vt:i4>14</vt:i4>
      </vt:variant>
      <vt:variant>
        <vt:i4>0</vt:i4>
      </vt:variant>
      <vt:variant>
        <vt:i4>5</vt:i4>
      </vt:variant>
      <vt:variant>
        <vt:lpwstr/>
      </vt:variant>
      <vt:variant>
        <vt:lpwstr>_Toc50633811</vt:lpwstr>
      </vt:variant>
      <vt:variant>
        <vt:i4>1835057</vt:i4>
      </vt:variant>
      <vt:variant>
        <vt:i4>8</vt:i4>
      </vt:variant>
      <vt:variant>
        <vt:i4>0</vt:i4>
      </vt:variant>
      <vt:variant>
        <vt:i4>5</vt:i4>
      </vt:variant>
      <vt:variant>
        <vt:lpwstr/>
      </vt:variant>
      <vt:variant>
        <vt:lpwstr>_Toc50633810</vt:lpwstr>
      </vt:variant>
      <vt:variant>
        <vt:i4>1376304</vt:i4>
      </vt:variant>
      <vt:variant>
        <vt:i4>2</vt:i4>
      </vt:variant>
      <vt:variant>
        <vt:i4>0</vt:i4>
      </vt:variant>
      <vt:variant>
        <vt:i4>5</vt:i4>
      </vt:variant>
      <vt:variant>
        <vt:lpwstr/>
      </vt:variant>
      <vt:variant>
        <vt:lpwstr>_Toc50633809</vt:lpwstr>
      </vt:variant>
      <vt:variant>
        <vt:i4>5505109</vt:i4>
      </vt:variant>
      <vt:variant>
        <vt:i4>150</vt:i4>
      </vt:variant>
      <vt:variant>
        <vt:i4>0</vt:i4>
      </vt:variant>
      <vt:variant>
        <vt:i4>5</vt:i4>
      </vt:variant>
      <vt:variant>
        <vt:lpwstr>https://www.aph.gov.au/DocumentStore.ashx?id=ed7b9dc5-07b4-4672-a2e6-1b015c1248dd</vt:lpwstr>
      </vt:variant>
      <vt:variant>
        <vt:lpwstr/>
      </vt:variant>
      <vt:variant>
        <vt:i4>5505109</vt:i4>
      </vt:variant>
      <vt:variant>
        <vt:i4>147</vt:i4>
      </vt:variant>
      <vt:variant>
        <vt:i4>0</vt:i4>
      </vt:variant>
      <vt:variant>
        <vt:i4>5</vt:i4>
      </vt:variant>
      <vt:variant>
        <vt:lpwstr>https://www.aph.gov.au/DocumentStore.ashx?id=ed7b9dc5-07b4-4672-a2e6-1b015c1248dd</vt:lpwstr>
      </vt:variant>
      <vt:variant>
        <vt:lpwstr/>
      </vt:variant>
      <vt:variant>
        <vt:i4>2687044</vt:i4>
      </vt:variant>
      <vt:variant>
        <vt:i4>144</vt:i4>
      </vt:variant>
      <vt:variant>
        <vt:i4>0</vt:i4>
      </vt:variant>
      <vt:variant>
        <vt:i4>5</vt:i4>
      </vt:variant>
      <vt:variant>
        <vt:lpwstr>http://www.sentencingcouncil.justice.nsw.gov.au/Pages/sent_council_index/publications/completed_projects/svo/svo.aspx</vt:lpwstr>
      </vt:variant>
      <vt:variant>
        <vt:lpwstr/>
      </vt:variant>
      <vt:variant>
        <vt:i4>3407915</vt:i4>
      </vt:variant>
      <vt:variant>
        <vt:i4>141</vt:i4>
      </vt:variant>
      <vt:variant>
        <vt:i4>0</vt:i4>
      </vt:variant>
      <vt:variant>
        <vt:i4>5</vt:i4>
      </vt:variant>
      <vt:variant>
        <vt:lpwstr>https://www.vera-2r.nl/vera-2r-instrument/strengths-and-limitations/index.aspx</vt:lpwstr>
      </vt:variant>
      <vt:variant>
        <vt:lpwstr/>
      </vt:variant>
      <vt:variant>
        <vt:i4>4390957</vt:i4>
      </vt:variant>
      <vt:variant>
        <vt:i4>138</vt:i4>
      </vt:variant>
      <vt:variant>
        <vt:i4>0</vt:i4>
      </vt:variant>
      <vt:variant>
        <vt:i4>5</vt:i4>
      </vt:variant>
      <vt:variant>
        <vt:lpwstr>https://www.aph.gov.au/Parliamentary_Business/Committees/Joint/Intelligence_and_Security/HRTOBill/Report-PDF</vt:lpwstr>
      </vt:variant>
      <vt:variant>
        <vt:lpwstr/>
      </vt:variant>
      <vt:variant>
        <vt:i4>2687044</vt:i4>
      </vt:variant>
      <vt:variant>
        <vt:i4>135</vt:i4>
      </vt:variant>
      <vt:variant>
        <vt:i4>0</vt:i4>
      </vt:variant>
      <vt:variant>
        <vt:i4>5</vt:i4>
      </vt:variant>
      <vt:variant>
        <vt:lpwstr>http://www.sentencingcouncil.justice.nsw.gov.au/Pages/sent_council_index/publications/completed_projects/svo/svo.aspx</vt:lpwstr>
      </vt:variant>
      <vt:variant>
        <vt:lpwstr/>
      </vt:variant>
      <vt:variant>
        <vt:i4>2687044</vt:i4>
      </vt:variant>
      <vt:variant>
        <vt:i4>132</vt:i4>
      </vt:variant>
      <vt:variant>
        <vt:i4>0</vt:i4>
      </vt:variant>
      <vt:variant>
        <vt:i4>5</vt:i4>
      </vt:variant>
      <vt:variant>
        <vt:lpwstr>http://www.sentencingcouncil.justice.nsw.gov.au/Pages/sent_council_index/publications/completed_projects/svo/svo.aspx</vt:lpwstr>
      </vt:variant>
      <vt:variant>
        <vt:lpwstr/>
      </vt:variant>
      <vt:variant>
        <vt:i4>7340081</vt:i4>
      </vt:variant>
      <vt:variant>
        <vt:i4>129</vt:i4>
      </vt:variant>
      <vt:variant>
        <vt:i4>0</vt:i4>
      </vt:variant>
      <vt:variant>
        <vt:i4>5</vt:i4>
      </vt:variant>
      <vt:variant>
        <vt:lpwstr>https://www.sentencingcouncil.vic.gov.au/publications/high-risk-offenders-final-report</vt:lpwstr>
      </vt:variant>
      <vt:variant>
        <vt:lpwstr/>
      </vt:variant>
      <vt:variant>
        <vt:i4>6946828</vt:i4>
      </vt:variant>
      <vt:variant>
        <vt:i4>126</vt:i4>
      </vt:variant>
      <vt:variant>
        <vt:i4>0</vt:i4>
      </vt:variant>
      <vt:variant>
        <vt:i4>5</vt:i4>
      </vt:variant>
      <vt:variant>
        <vt:lpwstr>http://www.sentencingcouncil.justice.nsw.gov.au/Documents/Sentencing_Serious_Violent_Offenders/online final report hrvo.pdf</vt:lpwstr>
      </vt:variant>
      <vt:variant>
        <vt:lpwstr/>
      </vt:variant>
      <vt:variant>
        <vt:i4>7340081</vt:i4>
      </vt:variant>
      <vt:variant>
        <vt:i4>123</vt:i4>
      </vt:variant>
      <vt:variant>
        <vt:i4>0</vt:i4>
      </vt:variant>
      <vt:variant>
        <vt:i4>5</vt:i4>
      </vt:variant>
      <vt:variant>
        <vt:lpwstr>https://www.sentencingcouncil.vic.gov.au/publications/high-risk-offenders-final-report</vt:lpwstr>
      </vt:variant>
      <vt:variant>
        <vt:lpwstr/>
      </vt:variant>
      <vt:variant>
        <vt:i4>3604602</vt:i4>
      </vt:variant>
      <vt:variant>
        <vt:i4>120</vt:i4>
      </vt:variant>
      <vt:variant>
        <vt:i4>0</vt:i4>
      </vt:variant>
      <vt:variant>
        <vt:i4>5</vt:i4>
      </vt:variant>
      <vt:variant>
        <vt:lpwstr>https://www.aph.gov.au/DocumentStore.ashx?id=17e06008-e0f9-491e-98f0-1913b835392a&amp;subId=691220</vt:lpwstr>
      </vt:variant>
      <vt:variant>
        <vt:lpwstr/>
      </vt:variant>
      <vt:variant>
        <vt:i4>3276912</vt:i4>
      </vt:variant>
      <vt:variant>
        <vt:i4>117</vt:i4>
      </vt:variant>
      <vt:variant>
        <vt:i4>0</vt:i4>
      </vt:variant>
      <vt:variant>
        <vt:i4>5</vt:i4>
      </vt:variant>
      <vt:variant>
        <vt:lpwstr>https://www.abc.net.au/news/2020-07-28/terrorist-prisoner-benbrika-could-be-kept-in-detention/12474720</vt:lpwstr>
      </vt:variant>
      <vt:variant>
        <vt:lpwstr/>
      </vt:variant>
      <vt:variant>
        <vt:i4>6684799</vt:i4>
      </vt:variant>
      <vt:variant>
        <vt:i4>114</vt:i4>
      </vt:variant>
      <vt:variant>
        <vt:i4>0</vt:i4>
      </vt:variant>
      <vt:variant>
        <vt:i4>5</vt:i4>
      </vt:variant>
      <vt:variant>
        <vt:lpwstr>https://www.aph.gov.au/DocumentStore.ashx?id=32397a66-a179-4a07-a5fb-ab60b776676f&amp;subId=414693</vt:lpwstr>
      </vt:variant>
      <vt:variant>
        <vt:lpwstr/>
      </vt:variant>
      <vt:variant>
        <vt:i4>7602227</vt:i4>
      </vt:variant>
      <vt:variant>
        <vt:i4>111</vt:i4>
      </vt:variant>
      <vt:variant>
        <vt:i4>0</vt:i4>
      </vt:variant>
      <vt:variant>
        <vt:i4>5</vt:i4>
      </vt:variant>
      <vt:variant>
        <vt:lpwstr>https://www.justice.nsw.gov.au/justicepolicy/Documents/statutory-review-of-the-tppa.pdf</vt:lpwstr>
      </vt:variant>
      <vt:variant>
        <vt:lpwstr/>
      </vt:variant>
      <vt:variant>
        <vt:i4>8060972</vt:i4>
      </vt:variant>
      <vt:variant>
        <vt:i4>108</vt:i4>
      </vt:variant>
      <vt:variant>
        <vt:i4>0</vt:i4>
      </vt:variant>
      <vt:variant>
        <vt:i4>5</vt:i4>
      </vt:variant>
      <vt:variant>
        <vt:lpwstr>https://www.ombo.nsw.gov.au/__data/assets/pdf_file/0005/45455/Preventative-detention-and-covert-search-warrants_Review-of-Parts-2A-and-3-of-the-Terrorism-Police-Powers-Act-2002..pdf</vt:lpwstr>
      </vt:variant>
      <vt:variant>
        <vt:lpwstr/>
      </vt:variant>
      <vt:variant>
        <vt:i4>6029316</vt:i4>
      </vt:variant>
      <vt:variant>
        <vt:i4>105</vt:i4>
      </vt:variant>
      <vt:variant>
        <vt:i4>0</vt:i4>
      </vt:variant>
      <vt:variant>
        <vt:i4>5</vt:i4>
      </vt:variant>
      <vt:variant>
        <vt:lpwstr>https://www.inslm.gov.au/sites/default/files/INSLM-transcript-public-hearing-19-may-2017.pdf</vt:lpwstr>
      </vt:variant>
      <vt:variant>
        <vt:lpwstr/>
      </vt:variant>
      <vt:variant>
        <vt:i4>1638405</vt:i4>
      </vt:variant>
      <vt:variant>
        <vt:i4>102</vt:i4>
      </vt:variant>
      <vt:variant>
        <vt:i4>0</vt:i4>
      </vt:variant>
      <vt:variant>
        <vt:i4>5</vt:i4>
      </vt:variant>
      <vt:variant>
        <vt:lpwstr>https://www.nationalsecurity.gov.au/Media-and-publications/Annual-Reports/Pages/default.aspx</vt:lpwstr>
      </vt:variant>
      <vt:variant>
        <vt:lpwstr/>
      </vt:variant>
      <vt:variant>
        <vt:i4>7798836</vt:i4>
      </vt:variant>
      <vt:variant>
        <vt:i4>99</vt:i4>
      </vt:variant>
      <vt:variant>
        <vt:i4>0</vt:i4>
      </vt:variant>
      <vt:variant>
        <vt:i4>5</vt:i4>
      </vt:variant>
      <vt:variant>
        <vt:lpwstr>https://www.inslm.gov.au/sites/default/files/08_LCA_submission.pdf</vt:lpwstr>
      </vt:variant>
      <vt:variant>
        <vt:lpwstr/>
      </vt:variant>
      <vt:variant>
        <vt:i4>3145766</vt:i4>
      </vt:variant>
      <vt:variant>
        <vt:i4>96</vt:i4>
      </vt:variant>
      <vt:variant>
        <vt:i4>0</vt:i4>
      </vt:variant>
      <vt:variant>
        <vt:i4>5</vt:i4>
      </vt:variant>
      <vt:variant>
        <vt:lpwstr>https://www.aph.gov.au/DocumentStore.ashx?id=21ad9998-5d4e-422e-8f72-cdc0623e1d4b&amp;subId=561854</vt:lpwstr>
      </vt:variant>
      <vt:variant>
        <vt:lpwstr/>
      </vt:variant>
      <vt:variant>
        <vt:i4>3145766</vt:i4>
      </vt:variant>
      <vt:variant>
        <vt:i4>93</vt:i4>
      </vt:variant>
      <vt:variant>
        <vt:i4>0</vt:i4>
      </vt:variant>
      <vt:variant>
        <vt:i4>5</vt:i4>
      </vt:variant>
      <vt:variant>
        <vt:lpwstr>https://www.aph.gov.au/DocumentStore.ashx?id=21ad9998-5d4e-422e-8f72-cdc0623e1d4b&amp;subId=561854</vt:lpwstr>
      </vt:variant>
      <vt:variant>
        <vt:lpwstr/>
      </vt:variant>
      <vt:variant>
        <vt:i4>4063333</vt:i4>
      </vt:variant>
      <vt:variant>
        <vt:i4>90</vt:i4>
      </vt:variant>
      <vt:variant>
        <vt:i4>0</vt:i4>
      </vt:variant>
      <vt:variant>
        <vt:i4>5</vt:i4>
      </vt:variant>
      <vt:variant>
        <vt:lpwstr>https://www.abc.net.au/news/2020-06-26/part-of-witness-k-lawyer-bernard-collaery-trial-heard-in-secret/12397584</vt:lpwstr>
      </vt:variant>
      <vt:variant>
        <vt:lpwstr/>
      </vt:variant>
      <vt:variant>
        <vt:i4>4128826</vt:i4>
      </vt:variant>
      <vt:variant>
        <vt:i4>87</vt:i4>
      </vt:variant>
      <vt:variant>
        <vt:i4>0</vt:i4>
      </vt:variant>
      <vt:variant>
        <vt:i4>5</vt:i4>
      </vt:variant>
      <vt:variant>
        <vt:lpwstr>https://www.cdpp.gov.au/news/media-statement-discontinuance-conspiracy-charge-against-mr-harun-causevic</vt:lpwstr>
      </vt:variant>
      <vt:variant>
        <vt:lpwstr/>
      </vt:variant>
      <vt:variant>
        <vt:i4>3866748</vt:i4>
      </vt:variant>
      <vt:variant>
        <vt:i4>84</vt:i4>
      </vt:variant>
      <vt:variant>
        <vt:i4>0</vt:i4>
      </vt:variant>
      <vt:variant>
        <vt:i4>5</vt:i4>
      </vt:variant>
      <vt:variant>
        <vt:lpwstr>https://www.aph.gov.au/DocumentStore.ashx?id=5447abfd-97eb-4433-8253-7e955db74537&amp;subId=561854</vt:lpwstr>
      </vt:variant>
      <vt:variant>
        <vt:lpwstr/>
      </vt:variant>
      <vt:variant>
        <vt:i4>6815861</vt:i4>
      </vt:variant>
      <vt:variant>
        <vt:i4>81</vt:i4>
      </vt:variant>
      <vt:variant>
        <vt:i4>0</vt:i4>
      </vt:variant>
      <vt:variant>
        <vt:i4>5</vt:i4>
      </vt:variant>
      <vt:variant>
        <vt:lpwstr>https://www.ag.gov.au/sites/default/files/2020-03/Final Report.PDF</vt:lpwstr>
      </vt:variant>
      <vt:variant>
        <vt:lpwstr/>
      </vt:variant>
      <vt:variant>
        <vt:i4>6094936</vt:i4>
      </vt:variant>
      <vt:variant>
        <vt:i4>78</vt:i4>
      </vt:variant>
      <vt:variant>
        <vt:i4>0</vt:i4>
      </vt:variant>
      <vt:variant>
        <vt:i4>5</vt:i4>
      </vt:variant>
      <vt:variant>
        <vt:lpwstr>https://www.inslm.gov.au/sites/default/files/inslm-annual-report-2012.pdf</vt:lpwstr>
      </vt:variant>
      <vt:variant>
        <vt:lpwstr/>
      </vt:variant>
      <vt:variant>
        <vt:i4>1638405</vt:i4>
      </vt:variant>
      <vt:variant>
        <vt:i4>75</vt:i4>
      </vt:variant>
      <vt:variant>
        <vt:i4>0</vt:i4>
      </vt:variant>
      <vt:variant>
        <vt:i4>5</vt:i4>
      </vt:variant>
      <vt:variant>
        <vt:lpwstr>https://www.nationalsecurity.gov.au/Media-and-publications/Annual-Reports/Pages/default.aspx</vt:lpwstr>
      </vt:variant>
      <vt:variant>
        <vt:lpwstr/>
      </vt:variant>
      <vt:variant>
        <vt:i4>3670135</vt:i4>
      </vt:variant>
      <vt:variant>
        <vt:i4>72</vt:i4>
      </vt:variant>
      <vt:variant>
        <vt:i4>0</vt:i4>
      </vt:variant>
      <vt:variant>
        <vt:i4>5</vt:i4>
      </vt:variant>
      <vt:variant>
        <vt:lpwstr>https://www.aph.gov.au/DocumentStore.ashx?id=080c06ef-59cb-4d40-9132-f1664588c82c&amp;subId=407290</vt:lpwstr>
      </vt:variant>
      <vt:variant>
        <vt:lpwstr/>
      </vt:variant>
      <vt:variant>
        <vt:i4>3145766</vt:i4>
      </vt:variant>
      <vt:variant>
        <vt:i4>69</vt:i4>
      </vt:variant>
      <vt:variant>
        <vt:i4>0</vt:i4>
      </vt:variant>
      <vt:variant>
        <vt:i4>5</vt:i4>
      </vt:variant>
      <vt:variant>
        <vt:lpwstr>https://www.aph.gov.au/DocumentStore.ashx?id=21ad9998-5d4e-422e-8f72-cdc0623e1d4b&amp;subId=561854</vt:lpwstr>
      </vt:variant>
      <vt:variant>
        <vt:lpwstr/>
      </vt:variant>
      <vt:variant>
        <vt:i4>3211388</vt:i4>
      </vt:variant>
      <vt:variant>
        <vt:i4>66</vt:i4>
      </vt:variant>
      <vt:variant>
        <vt:i4>0</vt:i4>
      </vt:variant>
      <vt:variant>
        <vt:i4>5</vt:i4>
      </vt:variant>
      <vt:variant>
        <vt:lpwstr>https://www.inslm.gov.au/sites/default/files/control-order-safeguards-part2.pdf</vt:lpwstr>
      </vt:variant>
      <vt:variant>
        <vt:lpwstr/>
      </vt:variant>
      <vt:variant>
        <vt:i4>7143550</vt:i4>
      </vt:variant>
      <vt:variant>
        <vt:i4>63</vt:i4>
      </vt:variant>
      <vt:variant>
        <vt:i4>0</vt:i4>
      </vt:variant>
      <vt:variant>
        <vt:i4>5</vt:i4>
      </vt:variant>
      <vt:variant>
        <vt:lpwstr>https://www.sbs.com.au/news/indigenous-police-brutality-victim-awarded-400-000</vt:lpwstr>
      </vt:variant>
      <vt:variant>
        <vt:lpwstr/>
      </vt:variant>
      <vt:variant>
        <vt:i4>3604595</vt:i4>
      </vt:variant>
      <vt:variant>
        <vt:i4>60</vt:i4>
      </vt:variant>
      <vt:variant>
        <vt:i4>0</vt:i4>
      </vt:variant>
      <vt:variant>
        <vt:i4>5</vt:i4>
      </vt:variant>
      <vt:variant>
        <vt:lpwstr>https://www.aph.gov.au/DocumentStore.ashx?id=19741c6e-98fc-4d3a-b52f-c4f9c5ee9595&amp;subId=561442</vt:lpwstr>
      </vt:variant>
      <vt:variant>
        <vt:lpwstr/>
      </vt:variant>
      <vt:variant>
        <vt:i4>6094939</vt:i4>
      </vt:variant>
      <vt:variant>
        <vt:i4>57</vt:i4>
      </vt:variant>
      <vt:variant>
        <vt:i4>0</vt:i4>
      </vt:variant>
      <vt:variant>
        <vt:i4>5</vt:i4>
      </vt:variant>
      <vt:variant>
        <vt:lpwstr>https://www.inslm.gov.au/sites/default/files/inslm-annual-report-2011.pdf</vt:lpwstr>
      </vt:variant>
      <vt:variant>
        <vt:lpwstr/>
      </vt:variant>
      <vt:variant>
        <vt:i4>3866748</vt:i4>
      </vt:variant>
      <vt:variant>
        <vt:i4>54</vt:i4>
      </vt:variant>
      <vt:variant>
        <vt:i4>0</vt:i4>
      </vt:variant>
      <vt:variant>
        <vt:i4>5</vt:i4>
      </vt:variant>
      <vt:variant>
        <vt:lpwstr>https://www.aph.gov.au/DocumentStore.ashx?id=5447abfd-97eb-4433-8253-7e955db74537&amp;subId=561854</vt:lpwstr>
      </vt:variant>
      <vt:variant>
        <vt:lpwstr/>
      </vt:variant>
      <vt:variant>
        <vt:i4>7208999</vt:i4>
      </vt:variant>
      <vt:variant>
        <vt:i4>51</vt:i4>
      </vt:variant>
      <vt:variant>
        <vt:i4>0</vt:i4>
      </vt:variant>
      <vt:variant>
        <vt:i4>5</vt:i4>
      </vt:variant>
      <vt:variant>
        <vt:lpwstr>https://terrorismlegislationreviewer.independent.gov.uk/wp-content/uploads/2020/03/Terrorism-Acts-in-2018-Report-1.pdf</vt:lpwstr>
      </vt:variant>
      <vt:variant>
        <vt:lpwstr/>
      </vt:variant>
      <vt:variant>
        <vt:i4>6815861</vt:i4>
      </vt:variant>
      <vt:variant>
        <vt:i4>48</vt:i4>
      </vt:variant>
      <vt:variant>
        <vt:i4>0</vt:i4>
      </vt:variant>
      <vt:variant>
        <vt:i4>5</vt:i4>
      </vt:variant>
      <vt:variant>
        <vt:lpwstr>https://www.ag.gov.au/sites/default/files/2020-03/Final Report.PDF</vt:lpwstr>
      </vt:variant>
      <vt:variant>
        <vt:lpwstr/>
      </vt:variant>
      <vt:variant>
        <vt:i4>1638405</vt:i4>
      </vt:variant>
      <vt:variant>
        <vt:i4>45</vt:i4>
      </vt:variant>
      <vt:variant>
        <vt:i4>0</vt:i4>
      </vt:variant>
      <vt:variant>
        <vt:i4>5</vt:i4>
      </vt:variant>
      <vt:variant>
        <vt:lpwstr>https://www.nationalsecurity.gov.au/Media-and-publications/Annual-Reports/Pages/default.aspx</vt:lpwstr>
      </vt:variant>
      <vt:variant>
        <vt:lpwstr/>
      </vt:variant>
      <vt:variant>
        <vt:i4>3997814</vt:i4>
      </vt:variant>
      <vt:variant>
        <vt:i4>42</vt:i4>
      </vt:variant>
      <vt:variant>
        <vt:i4>0</vt:i4>
      </vt:variant>
      <vt:variant>
        <vt:i4>5</vt:i4>
      </vt:variant>
      <vt:variant>
        <vt:lpwstr>https://www.aph.gov.au/DocumentStore.ashx?id=5bec13ed-117f-4148-9e7e-4ceb6a92383c&amp;subId=561438</vt:lpwstr>
      </vt:variant>
      <vt:variant>
        <vt:lpwstr/>
      </vt:variant>
      <vt:variant>
        <vt:i4>7667803</vt:i4>
      </vt:variant>
      <vt:variant>
        <vt:i4>39</vt:i4>
      </vt:variant>
      <vt:variant>
        <vt:i4>0</vt:i4>
      </vt:variant>
      <vt:variant>
        <vt:i4>5</vt:i4>
      </vt:variant>
      <vt:variant>
        <vt:lpwstr>https://www.aph.gov.au/Parliamentary_Business/Committees/Joint/Intelligence_and_Security/AFPpowersreview/Report</vt:lpwstr>
      </vt:variant>
      <vt:variant>
        <vt:lpwstr/>
      </vt:variant>
      <vt:variant>
        <vt:i4>4259908</vt:i4>
      </vt:variant>
      <vt:variant>
        <vt:i4>36</vt:i4>
      </vt:variant>
      <vt:variant>
        <vt:i4>0</vt:i4>
      </vt:variant>
      <vt:variant>
        <vt:i4>5</vt:i4>
      </vt:variant>
      <vt:variant>
        <vt:lpwstr>https://www.nationalsecurity.gov.au/Securityandyourcommunity/Pages/National-Terrorism-Threat-Advisory-System.aspx</vt:lpwstr>
      </vt:variant>
      <vt:variant>
        <vt:lpwstr/>
      </vt:variant>
      <vt:variant>
        <vt:i4>7667803</vt:i4>
      </vt:variant>
      <vt:variant>
        <vt:i4>33</vt:i4>
      </vt:variant>
      <vt:variant>
        <vt:i4>0</vt:i4>
      </vt:variant>
      <vt:variant>
        <vt:i4>5</vt:i4>
      </vt:variant>
      <vt:variant>
        <vt:lpwstr>https://www.aph.gov.au/Parliamentary_Business/Committees/Joint/Intelligence_and_Security/AFPpowersreview/Report</vt:lpwstr>
      </vt:variant>
      <vt:variant>
        <vt:lpwstr/>
      </vt:variant>
      <vt:variant>
        <vt:i4>4063271</vt:i4>
      </vt:variant>
      <vt:variant>
        <vt:i4>30</vt:i4>
      </vt:variant>
      <vt:variant>
        <vt:i4>0</vt:i4>
      </vt:variant>
      <vt:variant>
        <vt:i4>5</vt:i4>
      </vt:variant>
      <vt:variant>
        <vt:lpwstr>https://www.aph.gov.au/DocumentStore.ashx?id=766df2d3-b918-4b17-aadf-28ccca57bca5&amp;subId=516302</vt:lpwstr>
      </vt:variant>
      <vt:variant>
        <vt:lpwstr/>
      </vt:variant>
      <vt:variant>
        <vt:i4>2228283</vt:i4>
      </vt:variant>
      <vt:variant>
        <vt:i4>27</vt:i4>
      </vt:variant>
      <vt:variant>
        <vt:i4>0</vt:i4>
      </vt:variant>
      <vt:variant>
        <vt:i4>5</vt:i4>
      </vt:variant>
      <vt:variant>
        <vt:lpwstr>https://www.inslm.gov.au/sites/default/files/control-preventative-detention-orders.pdf</vt:lpwstr>
      </vt:variant>
      <vt:variant>
        <vt:lpwstr/>
      </vt:variant>
      <vt:variant>
        <vt:i4>5636113</vt:i4>
      </vt:variant>
      <vt:variant>
        <vt:i4>24</vt:i4>
      </vt:variant>
      <vt:variant>
        <vt:i4>0</vt:i4>
      </vt:variant>
      <vt:variant>
        <vt:i4>5</vt:i4>
      </vt:variant>
      <vt:variant>
        <vt:lpwstr>https://www.inslm.gov.au/sites/default/files/rpt-stop-search-seize-powers.pdf</vt:lpwstr>
      </vt:variant>
      <vt:variant>
        <vt:lpwstr/>
      </vt:variant>
      <vt:variant>
        <vt:i4>6422564</vt:i4>
      </vt:variant>
      <vt:variant>
        <vt:i4>21</vt:i4>
      </vt:variant>
      <vt:variant>
        <vt:i4>0</vt:i4>
      </vt:variant>
      <vt:variant>
        <vt:i4>5</vt:i4>
      </vt:variant>
      <vt:variant>
        <vt:lpwstr>https://www.inslm.gov.au/sites/default/files/11-australian-human-rights-commission.pdf</vt:lpwstr>
      </vt:variant>
      <vt:variant>
        <vt:lpwstr/>
      </vt:variant>
      <vt:variant>
        <vt:i4>5898323</vt:i4>
      </vt:variant>
      <vt:variant>
        <vt:i4>18</vt:i4>
      </vt:variant>
      <vt:variant>
        <vt:i4>0</vt:i4>
      </vt:variant>
      <vt:variant>
        <vt:i4>5</vt:i4>
      </vt:variant>
      <vt:variant>
        <vt:lpwstr>https://www.aph.gov.au/~/media/wopapub/senate/committee/legcon_ctte/completed_inquiries/2004_07/terrorism/report/report_pdf.ashx</vt:lpwstr>
      </vt:variant>
      <vt:variant>
        <vt:lpwstr/>
      </vt:variant>
      <vt:variant>
        <vt:i4>4325443</vt:i4>
      </vt:variant>
      <vt:variant>
        <vt:i4>15</vt:i4>
      </vt:variant>
      <vt:variant>
        <vt:i4>0</vt:i4>
      </vt:variant>
      <vt:variant>
        <vt:i4>5</vt:i4>
      </vt:variant>
      <vt:variant>
        <vt:lpwstr>https://www.abc.net.au/news/2014-09-22/islamic-state-calls-on-supporters-to-kill-australians/5761502</vt:lpwstr>
      </vt:variant>
      <vt:variant>
        <vt:lpwstr/>
      </vt:variant>
      <vt:variant>
        <vt:i4>3604597</vt:i4>
      </vt:variant>
      <vt:variant>
        <vt:i4>12</vt:i4>
      </vt:variant>
      <vt:variant>
        <vt:i4>0</vt:i4>
      </vt:variant>
      <vt:variant>
        <vt:i4>5</vt:i4>
      </vt:variant>
      <vt:variant>
        <vt:lpwstr>https://www.aph.gov.au/DocumentStore.ashx?id=a7b77fd7-2a24-4d94-8177-59d38a55d085&amp;subId=691389</vt:lpwstr>
      </vt:variant>
      <vt:variant>
        <vt:lpwstr/>
      </vt:variant>
      <vt:variant>
        <vt:i4>3866684</vt:i4>
      </vt:variant>
      <vt:variant>
        <vt:i4>9</vt:i4>
      </vt:variant>
      <vt:variant>
        <vt:i4>0</vt:i4>
      </vt:variant>
      <vt:variant>
        <vt:i4>5</vt:i4>
      </vt:variant>
      <vt:variant>
        <vt:lpwstr>http://www.humanrights.gov.au/human-rights-guide-australias-counter-terrorism-laws</vt:lpwstr>
      </vt:variant>
      <vt:variant>
        <vt:lpwstr>fnB8</vt:lpwstr>
      </vt:variant>
      <vt:variant>
        <vt:i4>1638405</vt:i4>
      </vt:variant>
      <vt:variant>
        <vt:i4>6</vt:i4>
      </vt:variant>
      <vt:variant>
        <vt:i4>0</vt:i4>
      </vt:variant>
      <vt:variant>
        <vt:i4>5</vt:i4>
      </vt:variant>
      <vt:variant>
        <vt:lpwstr>https://www.nationalsecurity.gov.au/Media-and-publications/Annual-Reports/Pages/default.aspx</vt:lpwstr>
      </vt:variant>
      <vt:variant>
        <vt:lpwstr/>
      </vt:variant>
      <vt:variant>
        <vt:i4>3997814</vt:i4>
      </vt:variant>
      <vt:variant>
        <vt:i4>3</vt:i4>
      </vt:variant>
      <vt:variant>
        <vt:i4>0</vt:i4>
      </vt:variant>
      <vt:variant>
        <vt:i4>5</vt:i4>
      </vt:variant>
      <vt:variant>
        <vt:lpwstr>https://www.aph.gov.au/DocumentStore.ashx?id=5bec13ed-117f-4148-9e7e-4ceb6a92383c&amp;subId=561438</vt:lpwstr>
      </vt:variant>
      <vt:variant>
        <vt:lpwstr/>
      </vt:variant>
      <vt:variant>
        <vt:i4>7667803</vt:i4>
      </vt:variant>
      <vt:variant>
        <vt:i4>0</vt:i4>
      </vt:variant>
      <vt:variant>
        <vt:i4>0</vt:i4>
      </vt:variant>
      <vt:variant>
        <vt:i4>5</vt:i4>
      </vt:variant>
      <vt:variant>
        <vt:lpwstr>https://www.aph.gov.au/Parliamentary_Business/Committees/Joint/Intelligence_and_Security/AFPpowersreview/Report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Graeme Edgerton</dc:creator>
  <cp:keywords/>
  <dc:description/>
  <cp:lastModifiedBy>Graeme Edgerton</cp:lastModifiedBy>
  <cp:revision>2</cp:revision>
  <cp:lastPrinted>2023-10-09T07:07:00Z</cp:lastPrinted>
  <dcterms:created xsi:type="dcterms:W3CDTF">2024-06-11T01:13:00Z</dcterms:created>
  <dcterms:modified xsi:type="dcterms:W3CDTF">2024-06-11T01:13:00Z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0x01010084B55D95DF676046B99E394FD3A716A8</vt:lpwstr>
  </property>
  <property fmtid="{D5CDD505-2E9C-101B-9397-08002B2CF9AE}" pid="3" name="TaxKeyword">
    <vt:lpwstr/>
  </property>
  <property fmtid="{D5CDD505-2E9C-101B-9397-08002B2CF9AE}" pid="4" name="Document Type">
    <vt:lpwstr/>
  </property>
  <property fmtid="{D5CDD505-2E9C-101B-9397-08002B2CF9AE}" pid="5" name="_dlc_DocIdItemGuid">
    <vt:lpwstr>5f33081d-a16b-4d2f-94be-60cf01c44ae6</vt:lpwstr>
  </property>
</Properties>
</file>