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7513D" w14:textId="2D045C04" w:rsidR="00EA6C70" w:rsidRPr="009D55B0" w:rsidRDefault="00EA6C70" w:rsidP="00A355F9">
      <w:pPr>
        <w:pStyle w:val="MainTitle"/>
        <w:rPr>
          <w:rFonts w:cs="Open Sans"/>
        </w:rPr>
      </w:pPr>
      <w:r w:rsidRPr="009D55B0">
        <w:rPr>
          <w:rFonts w:cs="Open Sans"/>
        </w:rPr>
        <w:t>2</w:t>
      </w:r>
      <w:bookmarkStart w:id="0" w:name="_Ref443162216"/>
      <w:bookmarkEnd w:id="0"/>
      <w:r w:rsidRPr="009D55B0">
        <w:rPr>
          <w:rFonts w:cs="Open Sans"/>
        </w:rPr>
        <w:t>020</w:t>
      </w:r>
    </w:p>
    <w:p w14:paraId="0A145AC4" w14:textId="47B8D843" w:rsidR="00A355F9" w:rsidRPr="009D55B0" w:rsidRDefault="00B57007" w:rsidP="00A355F9">
      <w:pPr>
        <w:pStyle w:val="MainTitle"/>
        <w:rPr>
          <w:rFonts w:cs="Open Sans"/>
        </w:rPr>
      </w:pPr>
      <w:r>
        <w:rPr>
          <w:rFonts w:cs="Open Sans"/>
        </w:rPr>
        <w:t>Responsible Sourcing</w:t>
      </w:r>
      <w:r w:rsidR="00EA6C70" w:rsidRPr="009D55B0">
        <w:rPr>
          <w:rFonts w:cs="Open Sans"/>
        </w:rPr>
        <w:t xml:space="preserve"> Policy </w:t>
      </w:r>
    </w:p>
    <w:p w14:paraId="4DADA2B6" w14:textId="1F48D5BE" w:rsidR="00F220A5" w:rsidRPr="009D55B0" w:rsidRDefault="00EA6C70" w:rsidP="00F220A5">
      <w:pPr>
        <w:pStyle w:val="Date"/>
        <w:rPr>
          <w:rFonts w:cs="Open Sans"/>
        </w:rPr>
      </w:pPr>
      <w:r w:rsidRPr="009D55B0">
        <w:rPr>
          <w:rFonts w:cs="Open Sans"/>
          <w:color w:val="2E74B5" w:themeColor="accent1" w:themeShade="BF"/>
          <w:sz w:val="28"/>
        </w:rPr>
        <w:t xml:space="preserve"> </w:t>
      </w:r>
    </w:p>
    <w:p w14:paraId="1947FFCE" w14:textId="77777777" w:rsidR="00AC636D" w:rsidRPr="009D55B0" w:rsidRDefault="00AC636D" w:rsidP="00AC636D">
      <w:pPr>
        <w:rPr>
          <w:rFonts w:cs="Open Sans"/>
        </w:rPr>
      </w:pPr>
    </w:p>
    <w:p w14:paraId="7A2D3396" w14:textId="77777777" w:rsidR="009E4BD0" w:rsidRPr="009D55B0" w:rsidRDefault="009E4BD0" w:rsidP="000E4837">
      <w:pPr>
        <w:pStyle w:val="Subtitle"/>
        <w:rPr>
          <w:rFonts w:cs="Open Sans"/>
        </w:rPr>
        <w:sectPr w:rsidR="009E4BD0" w:rsidRPr="009D55B0"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p w14:paraId="0C5D3E7D" w14:textId="77777777" w:rsidR="00EA6C70" w:rsidRPr="00BE3C77" w:rsidRDefault="00EA6C70" w:rsidP="00EA6C70">
      <w:pPr>
        <w:rPr>
          <w:rFonts w:cs="Open Sans"/>
          <w:b/>
        </w:rPr>
      </w:pPr>
      <w:bookmarkStart w:id="1" w:name="_Toc209316062"/>
      <w:bookmarkStart w:id="2" w:name="_Toc207761829"/>
      <w:bookmarkEnd w:id="1"/>
      <w:r w:rsidRPr="00BE3C77">
        <w:rPr>
          <w:rFonts w:cs="Open Sans"/>
          <w:b/>
        </w:rPr>
        <w:lastRenderedPageBreak/>
        <w:t>Table of Contents</w:t>
      </w:r>
      <w:bookmarkEnd w:id="2"/>
    </w:p>
    <w:p w14:paraId="2F68DD32" w14:textId="1AB33134" w:rsidR="00C12973" w:rsidRDefault="000E4837">
      <w:pPr>
        <w:pStyle w:val="TOC1"/>
        <w:rPr>
          <w:rFonts w:asciiTheme="minorHAnsi" w:eastAsiaTheme="minorEastAsia" w:hAnsiTheme="minorHAnsi" w:cstheme="minorBidi"/>
          <w:b w:val="0"/>
          <w:sz w:val="22"/>
          <w:szCs w:val="22"/>
          <w:lang w:val="en-US" w:eastAsia="en-US"/>
        </w:rPr>
      </w:pPr>
      <w:r w:rsidRPr="00BE3C77">
        <w:rPr>
          <w:rFonts w:cs="Open Sans"/>
          <w:color w:val="2B579A"/>
          <w:shd w:val="clear" w:color="auto" w:fill="E6E6E6"/>
        </w:rPr>
        <w:fldChar w:fldCharType="begin"/>
      </w:r>
      <w:r w:rsidRPr="00BE3C77">
        <w:rPr>
          <w:rFonts w:cs="Open Sans"/>
        </w:rPr>
        <w:instrText xml:space="preserve"> TOC \o "1-3" \h \z \u </w:instrText>
      </w:r>
      <w:r w:rsidRPr="00BE3C77">
        <w:rPr>
          <w:rFonts w:cs="Open Sans"/>
          <w:color w:val="2B579A"/>
          <w:shd w:val="clear" w:color="auto" w:fill="E6E6E6"/>
        </w:rPr>
        <w:fldChar w:fldCharType="separate"/>
      </w:r>
      <w:hyperlink w:anchor="_Toc40773902" w:history="1">
        <w:r w:rsidR="00C12973" w:rsidRPr="00493BBC">
          <w:rPr>
            <w:rStyle w:val="Hyperlink"/>
          </w:rPr>
          <w:t>1</w:t>
        </w:r>
        <w:r w:rsidR="00C12973">
          <w:rPr>
            <w:rFonts w:asciiTheme="minorHAnsi" w:eastAsiaTheme="minorEastAsia" w:hAnsiTheme="minorHAnsi" w:cstheme="minorBidi"/>
            <w:b w:val="0"/>
            <w:sz w:val="22"/>
            <w:szCs w:val="22"/>
            <w:lang w:val="en-US" w:eastAsia="en-US"/>
          </w:rPr>
          <w:tab/>
        </w:r>
        <w:r w:rsidR="00C12973" w:rsidRPr="00493BBC">
          <w:rPr>
            <w:rStyle w:val="Hyperlink"/>
          </w:rPr>
          <w:t>Purpose</w:t>
        </w:r>
        <w:r w:rsidR="00C12973">
          <w:rPr>
            <w:webHidden/>
          </w:rPr>
          <w:tab/>
        </w:r>
        <w:r w:rsidR="00C12973">
          <w:rPr>
            <w:webHidden/>
          </w:rPr>
          <w:fldChar w:fldCharType="begin"/>
        </w:r>
        <w:r w:rsidR="00C12973">
          <w:rPr>
            <w:webHidden/>
          </w:rPr>
          <w:instrText xml:space="preserve"> PAGEREF _Toc40773902 \h </w:instrText>
        </w:r>
        <w:r w:rsidR="00C12973">
          <w:rPr>
            <w:webHidden/>
          </w:rPr>
        </w:r>
        <w:r w:rsidR="00C12973">
          <w:rPr>
            <w:webHidden/>
          </w:rPr>
          <w:fldChar w:fldCharType="separate"/>
        </w:r>
        <w:r w:rsidR="00C12973">
          <w:rPr>
            <w:webHidden/>
          </w:rPr>
          <w:t>3</w:t>
        </w:r>
        <w:r w:rsidR="00C12973">
          <w:rPr>
            <w:webHidden/>
          </w:rPr>
          <w:fldChar w:fldCharType="end"/>
        </w:r>
      </w:hyperlink>
    </w:p>
    <w:p w14:paraId="64FAA0DA" w14:textId="6B7AE203" w:rsidR="00C12973" w:rsidRDefault="00617184">
      <w:pPr>
        <w:pStyle w:val="TOC1"/>
        <w:rPr>
          <w:rFonts w:asciiTheme="minorHAnsi" w:eastAsiaTheme="minorEastAsia" w:hAnsiTheme="minorHAnsi" w:cstheme="minorBidi"/>
          <w:b w:val="0"/>
          <w:sz w:val="22"/>
          <w:szCs w:val="22"/>
          <w:lang w:val="en-US" w:eastAsia="en-US"/>
        </w:rPr>
      </w:pPr>
      <w:hyperlink w:anchor="_Toc40773903" w:history="1">
        <w:r w:rsidR="00C12973" w:rsidRPr="00493BBC">
          <w:rPr>
            <w:rStyle w:val="Hyperlink"/>
          </w:rPr>
          <w:t>2</w:t>
        </w:r>
        <w:r w:rsidR="00C12973">
          <w:rPr>
            <w:rFonts w:asciiTheme="minorHAnsi" w:eastAsiaTheme="minorEastAsia" w:hAnsiTheme="minorHAnsi" w:cstheme="minorBidi"/>
            <w:b w:val="0"/>
            <w:sz w:val="22"/>
            <w:szCs w:val="22"/>
            <w:lang w:val="en-US" w:eastAsia="en-US"/>
          </w:rPr>
          <w:tab/>
        </w:r>
        <w:r w:rsidR="00C12973" w:rsidRPr="00493BBC">
          <w:rPr>
            <w:rStyle w:val="Hyperlink"/>
          </w:rPr>
          <w:t>Application and scope</w:t>
        </w:r>
        <w:r w:rsidR="00C12973">
          <w:rPr>
            <w:webHidden/>
          </w:rPr>
          <w:tab/>
        </w:r>
        <w:r w:rsidR="00C12973">
          <w:rPr>
            <w:webHidden/>
          </w:rPr>
          <w:fldChar w:fldCharType="begin"/>
        </w:r>
        <w:r w:rsidR="00C12973">
          <w:rPr>
            <w:webHidden/>
          </w:rPr>
          <w:instrText xml:space="preserve"> PAGEREF _Toc40773903 \h </w:instrText>
        </w:r>
        <w:r w:rsidR="00C12973">
          <w:rPr>
            <w:webHidden/>
          </w:rPr>
        </w:r>
        <w:r w:rsidR="00C12973">
          <w:rPr>
            <w:webHidden/>
          </w:rPr>
          <w:fldChar w:fldCharType="separate"/>
        </w:r>
        <w:r w:rsidR="00C12973">
          <w:rPr>
            <w:webHidden/>
          </w:rPr>
          <w:t>3</w:t>
        </w:r>
        <w:r w:rsidR="00C12973">
          <w:rPr>
            <w:webHidden/>
          </w:rPr>
          <w:fldChar w:fldCharType="end"/>
        </w:r>
      </w:hyperlink>
    </w:p>
    <w:p w14:paraId="7DF9B54A" w14:textId="5E41090C" w:rsidR="00C12973" w:rsidRDefault="00617184">
      <w:pPr>
        <w:pStyle w:val="TOC2"/>
        <w:rPr>
          <w:rFonts w:asciiTheme="minorHAnsi" w:eastAsiaTheme="minorEastAsia" w:hAnsiTheme="minorHAnsi" w:cstheme="minorBidi"/>
          <w:b w:val="0"/>
          <w:i w:val="0"/>
          <w:sz w:val="22"/>
          <w:szCs w:val="22"/>
          <w:lang w:val="en-US" w:eastAsia="en-US"/>
        </w:rPr>
      </w:pPr>
      <w:hyperlink w:anchor="_Toc40773904" w:history="1">
        <w:r w:rsidR="00C12973" w:rsidRPr="00493BBC">
          <w:rPr>
            <w:rStyle w:val="Hyperlink"/>
          </w:rPr>
          <w:t>2.1</w:t>
        </w:r>
        <w:r w:rsidR="00C12973">
          <w:rPr>
            <w:rFonts w:asciiTheme="minorHAnsi" w:eastAsiaTheme="minorEastAsia" w:hAnsiTheme="minorHAnsi" w:cstheme="minorBidi"/>
            <w:b w:val="0"/>
            <w:i w:val="0"/>
            <w:sz w:val="22"/>
            <w:szCs w:val="22"/>
            <w:lang w:val="en-US" w:eastAsia="en-US"/>
          </w:rPr>
          <w:tab/>
        </w:r>
        <w:r w:rsidR="00C12973" w:rsidRPr="00493BBC">
          <w:rPr>
            <w:rStyle w:val="Hyperlink"/>
          </w:rPr>
          <w:t>Commission staff</w:t>
        </w:r>
        <w:r w:rsidR="00C12973">
          <w:rPr>
            <w:webHidden/>
          </w:rPr>
          <w:tab/>
        </w:r>
        <w:r w:rsidR="00C12973">
          <w:rPr>
            <w:webHidden/>
          </w:rPr>
          <w:fldChar w:fldCharType="begin"/>
        </w:r>
        <w:r w:rsidR="00C12973">
          <w:rPr>
            <w:webHidden/>
          </w:rPr>
          <w:instrText xml:space="preserve"> PAGEREF _Toc40773904 \h </w:instrText>
        </w:r>
        <w:r w:rsidR="00C12973">
          <w:rPr>
            <w:webHidden/>
          </w:rPr>
        </w:r>
        <w:r w:rsidR="00C12973">
          <w:rPr>
            <w:webHidden/>
          </w:rPr>
          <w:fldChar w:fldCharType="separate"/>
        </w:r>
        <w:r w:rsidR="00C12973">
          <w:rPr>
            <w:webHidden/>
          </w:rPr>
          <w:t>3</w:t>
        </w:r>
        <w:r w:rsidR="00C12973">
          <w:rPr>
            <w:webHidden/>
          </w:rPr>
          <w:fldChar w:fldCharType="end"/>
        </w:r>
      </w:hyperlink>
    </w:p>
    <w:p w14:paraId="6FACDFE0" w14:textId="54BE43EB" w:rsidR="00C12973" w:rsidRDefault="00617184">
      <w:pPr>
        <w:pStyle w:val="TOC2"/>
        <w:rPr>
          <w:rFonts w:asciiTheme="minorHAnsi" w:eastAsiaTheme="minorEastAsia" w:hAnsiTheme="minorHAnsi" w:cstheme="minorBidi"/>
          <w:b w:val="0"/>
          <w:i w:val="0"/>
          <w:sz w:val="22"/>
          <w:szCs w:val="22"/>
          <w:lang w:val="en-US" w:eastAsia="en-US"/>
        </w:rPr>
      </w:pPr>
      <w:hyperlink w:anchor="_Toc40773905" w:history="1">
        <w:r w:rsidR="00C12973" w:rsidRPr="00493BBC">
          <w:rPr>
            <w:rStyle w:val="Hyperlink"/>
          </w:rPr>
          <w:t>2.2</w:t>
        </w:r>
        <w:r w:rsidR="00C12973">
          <w:rPr>
            <w:rFonts w:asciiTheme="minorHAnsi" w:eastAsiaTheme="minorEastAsia" w:hAnsiTheme="minorHAnsi" w:cstheme="minorBidi"/>
            <w:b w:val="0"/>
            <w:i w:val="0"/>
            <w:sz w:val="22"/>
            <w:szCs w:val="22"/>
            <w:lang w:val="en-US" w:eastAsia="en-US"/>
          </w:rPr>
          <w:tab/>
        </w:r>
        <w:r w:rsidR="00C12973" w:rsidRPr="00493BBC">
          <w:rPr>
            <w:rStyle w:val="Hyperlink"/>
          </w:rPr>
          <w:t>Suppliers</w:t>
        </w:r>
        <w:r w:rsidR="00C12973">
          <w:rPr>
            <w:webHidden/>
          </w:rPr>
          <w:tab/>
        </w:r>
        <w:r w:rsidR="00C12973">
          <w:rPr>
            <w:webHidden/>
          </w:rPr>
          <w:fldChar w:fldCharType="begin"/>
        </w:r>
        <w:r w:rsidR="00C12973">
          <w:rPr>
            <w:webHidden/>
          </w:rPr>
          <w:instrText xml:space="preserve"> PAGEREF _Toc40773905 \h </w:instrText>
        </w:r>
        <w:r w:rsidR="00C12973">
          <w:rPr>
            <w:webHidden/>
          </w:rPr>
        </w:r>
        <w:r w:rsidR="00C12973">
          <w:rPr>
            <w:webHidden/>
          </w:rPr>
          <w:fldChar w:fldCharType="separate"/>
        </w:r>
        <w:r w:rsidR="00C12973">
          <w:rPr>
            <w:webHidden/>
          </w:rPr>
          <w:t>4</w:t>
        </w:r>
        <w:r w:rsidR="00C12973">
          <w:rPr>
            <w:webHidden/>
          </w:rPr>
          <w:fldChar w:fldCharType="end"/>
        </w:r>
      </w:hyperlink>
    </w:p>
    <w:p w14:paraId="5615884A" w14:textId="2789670E" w:rsidR="00C12973" w:rsidRDefault="00617184">
      <w:pPr>
        <w:pStyle w:val="TOC2"/>
        <w:rPr>
          <w:rFonts w:asciiTheme="minorHAnsi" w:eastAsiaTheme="minorEastAsia" w:hAnsiTheme="minorHAnsi" w:cstheme="minorBidi"/>
          <w:b w:val="0"/>
          <w:i w:val="0"/>
          <w:sz w:val="22"/>
          <w:szCs w:val="22"/>
          <w:lang w:val="en-US" w:eastAsia="en-US"/>
        </w:rPr>
      </w:pPr>
      <w:hyperlink w:anchor="_Toc40773906" w:history="1">
        <w:r w:rsidR="00C12973" w:rsidRPr="00493BBC">
          <w:rPr>
            <w:rStyle w:val="Hyperlink"/>
          </w:rPr>
          <w:t>2.3</w:t>
        </w:r>
        <w:r w:rsidR="00C12973">
          <w:rPr>
            <w:rFonts w:asciiTheme="minorHAnsi" w:eastAsiaTheme="minorEastAsia" w:hAnsiTheme="minorHAnsi" w:cstheme="minorBidi"/>
            <w:b w:val="0"/>
            <w:i w:val="0"/>
            <w:sz w:val="22"/>
            <w:szCs w:val="22"/>
            <w:lang w:val="en-US" w:eastAsia="en-US"/>
          </w:rPr>
          <w:tab/>
        </w:r>
        <w:r w:rsidR="00C12973" w:rsidRPr="00493BBC">
          <w:rPr>
            <w:rStyle w:val="Hyperlink"/>
          </w:rPr>
          <w:t>Procurement</w:t>
        </w:r>
        <w:r w:rsidR="00C12973">
          <w:rPr>
            <w:webHidden/>
          </w:rPr>
          <w:tab/>
        </w:r>
        <w:r w:rsidR="00C12973">
          <w:rPr>
            <w:webHidden/>
          </w:rPr>
          <w:fldChar w:fldCharType="begin"/>
        </w:r>
        <w:r w:rsidR="00C12973">
          <w:rPr>
            <w:webHidden/>
          </w:rPr>
          <w:instrText xml:space="preserve"> PAGEREF _Toc40773906 \h </w:instrText>
        </w:r>
        <w:r w:rsidR="00C12973">
          <w:rPr>
            <w:webHidden/>
          </w:rPr>
        </w:r>
        <w:r w:rsidR="00C12973">
          <w:rPr>
            <w:webHidden/>
          </w:rPr>
          <w:fldChar w:fldCharType="separate"/>
        </w:r>
        <w:r w:rsidR="00C12973">
          <w:rPr>
            <w:webHidden/>
          </w:rPr>
          <w:t>4</w:t>
        </w:r>
        <w:r w:rsidR="00C12973">
          <w:rPr>
            <w:webHidden/>
          </w:rPr>
          <w:fldChar w:fldCharType="end"/>
        </w:r>
      </w:hyperlink>
    </w:p>
    <w:p w14:paraId="131A58BA" w14:textId="2C2D0734" w:rsidR="00C12973" w:rsidRDefault="00617184">
      <w:pPr>
        <w:pStyle w:val="TOC1"/>
        <w:rPr>
          <w:rFonts w:asciiTheme="minorHAnsi" w:eastAsiaTheme="minorEastAsia" w:hAnsiTheme="minorHAnsi" w:cstheme="minorBidi"/>
          <w:b w:val="0"/>
          <w:sz w:val="22"/>
          <w:szCs w:val="22"/>
          <w:lang w:val="en-US" w:eastAsia="en-US"/>
        </w:rPr>
      </w:pPr>
      <w:hyperlink w:anchor="_Toc40773907" w:history="1">
        <w:r w:rsidR="00C12973" w:rsidRPr="00493BBC">
          <w:rPr>
            <w:rStyle w:val="Hyperlink"/>
          </w:rPr>
          <w:t>3</w:t>
        </w:r>
        <w:r w:rsidR="00C12973">
          <w:rPr>
            <w:rFonts w:asciiTheme="minorHAnsi" w:eastAsiaTheme="minorEastAsia" w:hAnsiTheme="minorHAnsi" w:cstheme="minorBidi"/>
            <w:b w:val="0"/>
            <w:sz w:val="22"/>
            <w:szCs w:val="22"/>
            <w:lang w:val="en-US" w:eastAsia="en-US"/>
          </w:rPr>
          <w:tab/>
        </w:r>
        <w:r w:rsidR="00C12973" w:rsidRPr="00493BBC">
          <w:rPr>
            <w:rStyle w:val="Hyperlink"/>
          </w:rPr>
          <w:t>Policy statement</w:t>
        </w:r>
        <w:r w:rsidR="00C12973">
          <w:rPr>
            <w:webHidden/>
          </w:rPr>
          <w:tab/>
        </w:r>
        <w:r w:rsidR="00C12973">
          <w:rPr>
            <w:webHidden/>
          </w:rPr>
          <w:fldChar w:fldCharType="begin"/>
        </w:r>
        <w:r w:rsidR="00C12973">
          <w:rPr>
            <w:webHidden/>
          </w:rPr>
          <w:instrText xml:space="preserve"> PAGEREF _Toc40773907 \h </w:instrText>
        </w:r>
        <w:r w:rsidR="00C12973">
          <w:rPr>
            <w:webHidden/>
          </w:rPr>
        </w:r>
        <w:r w:rsidR="00C12973">
          <w:rPr>
            <w:webHidden/>
          </w:rPr>
          <w:fldChar w:fldCharType="separate"/>
        </w:r>
        <w:r w:rsidR="00C12973">
          <w:rPr>
            <w:webHidden/>
          </w:rPr>
          <w:t>4</w:t>
        </w:r>
        <w:r w:rsidR="00C12973">
          <w:rPr>
            <w:webHidden/>
          </w:rPr>
          <w:fldChar w:fldCharType="end"/>
        </w:r>
      </w:hyperlink>
    </w:p>
    <w:p w14:paraId="74CA82E0" w14:textId="194F6053" w:rsidR="00C12973" w:rsidRDefault="00617184">
      <w:pPr>
        <w:pStyle w:val="TOC1"/>
        <w:rPr>
          <w:rFonts w:asciiTheme="minorHAnsi" w:eastAsiaTheme="minorEastAsia" w:hAnsiTheme="minorHAnsi" w:cstheme="minorBidi"/>
          <w:b w:val="0"/>
          <w:sz w:val="22"/>
          <w:szCs w:val="22"/>
          <w:lang w:val="en-US" w:eastAsia="en-US"/>
        </w:rPr>
      </w:pPr>
      <w:hyperlink w:anchor="_Toc40773908" w:history="1">
        <w:r w:rsidR="00C12973" w:rsidRPr="00493BBC">
          <w:rPr>
            <w:rStyle w:val="Hyperlink"/>
          </w:rPr>
          <w:t>4</w:t>
        </w:r>
        <w:r w:rsidR="00C12973">
          <w:rPr>
            <w:rFonts w:asciiTheme="minorHAnsi" w:eastAsiaTheme="minorEastAsia" w:hAnsiTheme="minorHAnsi" w:cstheme="minorBidi"/>
            <w:b w:val="0"/>
            <w:sz w:val="22"/>
            <w:szCs w:val="22"/>
            <w:lang w:val="en-US" w:eastAsia="en-US"/>
          </w:rPr>
          <w:tab/>
        </w:r>
        <w:r w:rsidR="00C12973" w:rsidRPr="00493BBC">
          <w:rPr>
            <w:rStyle w:val="Hyperlink"/>
          </w:rPr>
          <w:t>Policy Context</w:t>
        </w:r>
        <w:r w:rsidR="00C12973">
          <w:rPr>
            <w:webHidden/>
          </w:rPr>
          <w:tab/>
        </w:r>
        <w:r w:rsidR="00C12973">
          <w:rPr>
            <w:webHidden/>
          </w:rPr>
          <w:fldChar w:fldCharType="begin"/>
        </w:r>
        <w:r w:rsidR="00C12973">
          <w:rPr>
            <w:webHidden/>
          </w:rPr>
          <w:instrText xml:space="preserve"> PAGEREF _Toc40773908 \h </w:instrText>
        </w:r>
        <w:r w:rsidR="00C12973">
          <w:rPr>
            <w:webHidden/>
          </w:rPr>
        </w:r>
        <w:r w:rsidR="00C12973">
          <w:rPr>
            <w:webHidden/>
          </w:rPr>
          <w:fldChar w:fldCharType="separate"/>
        </w:r>
        <w:r w:rsidR="00C12973">
          <w:rPr>
            <w:webHidden/>
          </w:rPr>
          <w:t>4</w:t>
        </w:r>
        <w:r w:rsidR="00C12973">
          <w:rPr>
            <w:webHidden/>
          </w:rPr>
          <w:fldChar w:fldCharType="end"/>
        </w:r>
      </w:hyperlink>
    </w:p>
    <w:p w14:paraId="180BCB21" w14:textId="306F31C5" w:rsidR="00C12973" w:rsidRDefault="00617184">
      <w:pPr>
        <w:pStyle w:val="TOC2"/>
        <w:rPr>
          <w:rFonts w:asciiTheme="minorHAnsi" w:eastAsiaTheme="minorEastAsia" w:hAnsiTheme="minorHAnsi" w:cstheme="minorBidi"/>
          <w:b w:val="0"/>
          <w:i w:val="0"/>
          <w:sz w:val="22"/>
          <w:szCs w:val="22"/>
          <w:lang w:val="en-US" w:eastAsia="en-US"/>
        </w:rPr>
      </w:pPr>
      <w:hyperlink w:anchor="_Toc40773909" w:history="1">
        <w:r w:rsidR="00C12973" w:rsidRPr="00493BBC">
          <w:rPr>
            <w:rStyle w:val="Hyperlink"/>
          </w:rPr>
          <w:t>4.1</w:t>
        </w:r>
        <w:r w:rsidR="00C12973">
          <w:rPr>
            <w:rFonts w:asciiTheme="minorHAnsi" w:eastAsiaTheme="minorEastAsia" w:hAnsiTheme="minorHAnsi" w:cstheme="minorBidi"/>
            <w:b w:val="0"/>
            <w:i w:val="0"/>
            <w:sz w:val="22"/>
            <w:szCs w:val="22"/>
            <w:lang w:val="en-US" w:eastAsia="en-US"/>
          </w:rPr>
          <w:tab/>
        </w:r>
        <w:r w:rsidR="00C12973" w:rsidRPr="00493BBC">
          <w:rPr>
            <w:rStyle w:val="Hyperlink"/>
          </w:rPr>
          <w:t>2011 United Nations Guiding Principles on Business and Human Rights</w:t>
        </w:r>
        <w:r w:rsidR="00C12973">
          <w:rPr>
            <w:webHidden/>
          </w:rPr>
          <w:tab/>
        </w:r>
        <w:r w:rsidR="00C12973">
          <w:rPr>
            <w:webHidden/>
          </w:rPr>
          <w:fldChar w:fldCharType="begin"/>
        </w:r>
        <w:r w:rsidR="00C12973">
          <w:rPr>
            <w:webHidden/>
          </w:rPr>
          <w:instrText xml:space="preserve"> PAGEREF _Toc40773909 \h </w:instrText>
        </w:r>
        <w:r w:rsidR="00C12973">
          <w:rPr>
            <w:webHidden/>
          </w:rPr>
        </w:r>
        <w:r w:rsidR="00C12973">
          <w:rPr>
            <w:webHidden/>
          </w:rPr>
          <w:fldChar w:fldCharType="separate"/>
        </w:r>
        <w:r w:rsidR="00C12973">
          <w:rPr>
            <w:webHidden/>
          </w:rPr>
          <w:t>5</w:t>
        </w:r>
        <w:r w:rsidR="00C12973">
          <w:rPr>
            <w:webHidden/>
          </w:rPr>
          <w:fldChar w:fldCharType="end"/>
        </w:r>
      </w:hyperlink>
    </w:p>
    <w:p w14:paraId="177C7F4B" w14:textId="025B11E5" w:rsidR="00C12973" w:rsidRDefault="00617184">
      <w:pPr>
        <w:pStyle w:val="TOC2"/>
        <w:rPr>
          <w:rFonts w:asciiTheme="minorHAnsi" w:eastAsiaTheme="minorEastAsia" w:hAnsiTheme="minorHAnsi" w:cstheme="minorBidi"/>
          <w:b w:val="0"/>
          <w:i w:val="0"/>
          <w:sz w:val="22"/>
          <w:szCs w:val="22"/>
          <w:lang w:val="en-US" w:eastAsia="en-US"/>
        </w:rPr>
      </w:pPr>
      <w:hyperlink w:anchor="_Toc40773910" w:history="1">
        <w:r w:rsidR="00C12973" w:rsidRPr="00493BBC">
          <w:rPr>
            <w:rStyle w:val="Hyperlink"/>
          </w:rPr>
          <w:t>4.2</w:t>
        </w:r>
        <w:r w:rsidR="00C12973">
          <w:rPr>
            <w:rFonts w:asciiTheme="minorHAnsi" w:eastAsiaTheme="minorEastAsia" w:hAnsiTheme="minorHAnsi" w:cstheme="minorBidi"/>
            <w:b w:val="0"/>
            <w:i w:val="0"/>
            <w:sz w:val="22"/>
            <w:szCs w:val="22"/>
            <w:lang w:val="en-US" w:eastAsia="en-US"/>
          </w:rPr>
          <w:tab/>
        </w:r>
        <w:r w:rsidR="00C12973" w:rsidRPr="00493BBC">
          <w:rPr>
            <w:rStyle w:val="Hyperlink"/>
          </w:rPr>
          <w:t>UN Sustainable Development Goals</w:t>
        </w:r>
        <w:r w:rsidR="00C12973">
          <w:rPr>
            <w:webHidden/>
          </w:rPr>
          <w:tab/>
        </w:r>
        <w:r w:rsidR="00C12973">
          <w:rPr>
            <w:webHidden/>
          </w:rPr>
          <w:fldChar w:fldCharType="begin"/>
        </w:r>
        <w:r w:rsidR="00C12973">
          <w:rPr>
            <w:webHidden/>
          </w:rPr>
          <w:instrText xml:space="preserve"> PAGEREF _Toc40773910 \h </w:instrText>
        </w:r>
        <w:r w:rsidR="00C12973">
          <w:rPr>
            <w:webHidden/>
          </w:rPr>
        </w:r>
        <w:r w:rsidR="00C12973">
          <w:rPr>
            <w:webHidden/>
          </w:rPr>
          <w:fldChar w:fldCharType="separate"/>
        </w:r>
        <w:r w:rsidR="00C12973">
          <w:rPr>
            <w:webHidden/>
          </w:rPr>
          <w:t>6</w:t>
        </w:r>
        <w:r w:rsidR="00C12973">
          <w:rPr>
            <w:webHidden/>
          </w:rPr>
          <w:fldChar w:fldCharType="end"/>
        </w:r>
      </w:hyperlink>
    </w:p>
    <w:p w14:paraId="1E2C0C9B" w14:textId="6645F5DB" w:rsidR="00C12973" w:rsidRDefault="00617184">
      <w:pPr>
        <w:pStyle w:val="TOC2"/>
        <w:rPr>
          <w:rFonts w:asciiTheme="minorHAnsi" w:eastAsiaTheme="minorEastAsia" w:hAnsiTheme="minorHAnsi" w:cstheme="minorBidi"/>
          <w:b w:val="0"/>
          <w:i w:val="0"/>
          <w:sz w:val="22"/>
          <w:szCs w:val="22"/>
          <w:lang w:val="en-US" w:eastAsia="en-US"/>
        </w:rPr>
      </w:pPr>
      <w:hyperlink w:anchor="_Toc40773911" w:history="1">
        <w:r w:rsidR="00C12973" w:rsidRPr="00493BBC">
          <w:rPr>
            <w:rStyle w:val="Hyperlink"/>
          </w:rPr>
          <w:t>4.3</w:t>
        </w:r>
        <w:r w:rsidR="00C12973">
          <w:rPr>
            <w:rFonts w:asciiTheme="minorHAnsi" w:eastAsiaTheme="minorEastAsia" w:hAnsiTheme="minorHAnsi" w:cstheme="minorBidi"/>
            <w:b w:val="0"/>
            <w:i w:val="0"/>
            <w:sz w:val="22"/>
            <w:szCs w:val="22"/>
            <w:lang w:val="en-US" w:eastAsia="en-US"/>
          </w:rPr>
          <w:tab/>
        </w:r>
        <w:r w:rsidR="00C12973" w:rsidRPr="00493BBC">
          <w:rPr>
            <w:rStyle w:val="Hyperlink"/>
            <w:iCs/>
          </w:rPr>
          <w:t>Modern Slavery Act 2018</w:t>
        </w:r>
        <w:r w:rsidR="00C12973" w:rsidRPr="00493BBC">
          <w:rPr>
            <w:rStyle w:val="Hyperlink"/>
          </w:rPr>
          <w:t xml:space="preserve"> (Cth)</w:t>
        </w:r>
        <w:r w:rsidR="00C12973">
          <w:rPr>
            <w:webHidden/>
          </w:rPr>
          <w:tab/>
        </w:r>
        <w:r w:rsidR="00C12973">
          <w:rPr>
            <w:webHidden/>
          </w:rPr>
          <w:fldChar w:fldCharType="begin"/>
        </w:r>
        <w:r w:rsidR="00C12973">
          <w:rPr>
            <w:webHidden/>
          </w:rPr>
          <w:instrText xml:space="preserve"> PAGEREF _Toc40773911 \h </w:instrText>
        </w:r>
        <w:r w:rsidR="00C12973">
          <w:rPr>
            <w:webHidden/>
          </w:rPr>
        </w:r>
        <w:r w:rsidR="00C12973">
          <w:rPr>
            <w:webHidden/>
          </w:rPr>
          <w:fldChar w:fldCharType="separate"/>
        </w:r>
        <w:r w:rsidR="00C12973">
          <w:rPr>
            <w:webHidden/>
          </w:rPr>
          <w:t>6</w:t>
        </w:r>
        <w:r w:rsidR="00C12973">
          <w:rPr>
            <w:webHidden/>
          </w:rPr>
          <w:fldChar w:fldCharType="end"/>
        </w:r>
      </w:hyperlink>
    </w:p>
    <w:p w14:paraId="1AEC5E2B" w14:textId="311B8129" w:rsidR="00C12973" w:rsidRDefault="00617184">
      <w:pPr>
        <w:pStyle w:val="TOC2"/>
        <w:rPr>
          <w:rFonts w:asciiTheme="minorHAnsi" w:eastAsiaTheme="minorEastAsia" w:hAnsiTheme="minorHAnsi" w:cstheme="minorBidi"/>
          <w:b w:val="0"/>
          <w:i w:val="0"/>
          <w:sz w:val="22"/>
          <w:szCs w:val="22"/>
          <w:lang w:val="en-US" w:eastAsia="en-US"/>
        </w:rPr>
      </w:pPr>
      <w:hyperlink w:anchor="_Toc40773912" w:history="1">
        <w:r w:rsidR="00C12973" w:rsidRPr="00493BBC">
          <w:rPr>
            <w:rStyle w:val="Hyperlink"/>
          </w:rPr>
          <w:t>4.4</w:t>
        </w:r>
        <w:r w:rsidR="00C12973">
          <w:rPr>
            <w:rFonts w:asciiTheme="minorHAnsi" w:eastAsiaTheme="minorEastAsia" w:hAnsiTheme="minorHAnsi" w:cstheme="minorBidi"/>
            <w:b w:val="0"/>
            <w:i w:val="0"/>
            <w:sz w:val="22"/>
            <w:szCs w:val="22"/>
            <w:lang w:val="en-US" w:eastAsia="en-US"/>
          </w:rPr>
          <w:tab/>
        </w:r>
        <w:r w:rsidR="00C12973" w:rsidRPr="00493BBC">
          <w:rPr>
            <w:rStyle w:val="Hyperlink"/>
          </w:rPr>
          <w:t>Commonwealth Procurement Rules</w:t>
        </w:r>
        <w:r w:rsidR="00C12973">
          <w:rPr>
            <w:webHidden/>
          </w:rPr>
          <w:tab/>
        </w:r>
        <w:r w:rsidR="00C12973">
          <w:rPr>
            <w:webHidden/>
          </w:rPr>
          <w:fldChar w:fldCharType="begin"/>
        </w:r>
        <w:r w:rsidR="00C12973">
          <w:rPr>
            <w:webHidden/>
          </w:rPr>
          <w:instrText xml:space="preserve"> PAGEREF _Toc40773912 \h </w:instrText>
        </w:r>
        <w:r w:rsidR="00C12973">
          <w:rPr>
            <w:webHidden/>
          </w:rPr>
        </w:r>
        <w:r w:rsidR="00C12973">
          <w:rPr>
            <w:webHidden/>
          </w:rPr>
          <w:fldChar w:fldCharType="separate"/>
        </w:r>
        <w:r w:rsidR="00C12973">
          <w:rPr>
            <w:webHidden/>
          </w:rPr>
          <w:t>7</w:t>
        </w:r>
        <w:r w:rsidR="00C12973">
          <w:rPr>
            <w:webHidden/>
          </w:rPr>
          <w:fldChar w:fldCharType="end"/>
        </w:r>
      </w:hyperlink>
    </w:p>
    <w:p w14:paraId="78E55283" w14:textId="2AF69305" w:rsidR="00C12973" w:rsidRDefault="00617184">
      <w:pPr>
        <w:pStyle w:val="TOC1"/>
        <w:rPr>
          <w:rFonts w:asciiTheme="minorHAnsi" w:eastAsiaTheme="minorEastAsia" w:hAnsiTheme="minorHAnsi" w:cstheme="minorBidi"/>
          <w:b w:val="0"/>
          <w:sz w:val="22"/>
          <w:szCs w:val="22"/>
          <w:lang w:val="en-US" w:eastAsia="en-US"/>
        </w:rPr>
      </w:pPr>
      <w:hyperlink w:anchor="_Toc40773913" w:history="1">
        <w:r w:rsidR="00C12973" w:rsidRPr="00493BBC">
          <w:rPr>
            <w:rStyle w:val="Hyperlink"/>
          </w:rPr>
          <w:t>5</w:t>
        </w:r>
        <w:r w:rsidR="00C12973">
          <w:rPr>
            <w:rFonts w:asciiTheme="minorHAnsi" w:eastAsiaTheme="minorEastAsia" w:hAnsiTheme="minorHAnsi" w:cstheme="minorBidi"/>
            <w:b w:val="0"/>
            <w:sz w:val="22"/>
            <w:szCs w:val="22"/>
            <w:lang w:val="en-US" w:eastAsia="en-US"/>
          </w:rPr>
          <w:tab/>
        </w:r>
        <w:r w:rsidR="00C12973" w:rsidRPr="00493BBC">
          <w:rPr>
            <w:rStyle w:val="Hyperlink"/>
          </w:rPr>
          <w:t>Expectations of Suppliers</w:t>
        </w:r>
        <w:r w:rsidR="00C12973">
          <w:rPr>
            <w:webHidden/>
          </w:rPr>
          <w:tab/>
        </w:r>
        <w:r w:rsidR="00C12973">
          <w:rPr>
            <w:webHidden/>
          </w:rPr>
          <w:fldChar w:fldCharType="begin"/>
        </w:r>
        <w:r w:rsidR="00C12973">
          <w:rPr>
            <w:webHidden/>
          </w:rPr>
          <w:instrText xml:space="preserve"> PAGEREF _Toc40773913 \h </w:instrText>
        </w:r>
        <w:r w:rsidR="00C12973">
          <w:rPr>
            <w:webHidden/>
          </w:rPr>
        </w:r>
        <w:r w:rsidR="00C12973">
          <w:rPr>
            <w:webHidden/>
          </w:rPr>
          <w:fldChar w:fldCharType="separate"/>
        </w:r>
        <w:r w:rsidR="00C12973">
          <w:rPr>
            <w:webHidden/>
          </w:rPr>
          <w:t>7</w:t>
        </w:r>
        <w:r w:rsidR="00C12973">
          <w:rPr>
            <w:webHidden/>
          </w:rPr>
          <w:fldChar w:fldCharType="end"/>
        </w:r>
      </w:hyperlink>
    </w:p>
    <w:p w14:paraId="109B62F4" w14:textId="74C09BFA" w:rsidR="00C12973" w:rsidRDefault="00617184">
      <w:pPr>
        <w:pStyle w:val="TOC1"/>
        <w:rPr>
          <w:rFonts w:asciiTheme="minorHAnsi" w:eastAsiaTheme="minorEastAsia" w:hAnsiTheme="minorHAnsi" w:cstheme="minorBidi"/>
          <w:b w:val="0"/>
          <w:sz w:val="22"/>
          <w:szCs w:val="22"/>
          <w:lang w:val="en-US" w:eastAsia="en-US"/>
        </w:rPr>
      </w:pPr>
      <w:hyperlink w:anchor="_Toc40773914" w:history="1">
        <w:r w:rsidR="00C12973" w:rsidRPr="00493BBC">
          <w:rPr>
            <w:rStyle w:val="Hyperlink"/>
          </w:rPr>
          <w:t>6</w:t>
        </w:r>
        <w:r w:rsidR="00C12973">
          <w:rPr>
            <w:rFonts w:asciiTheme="minorHAnsi" w:eastAsiaTheme="minorEastAsia" w:hAnsiTheme="minorHAnsi" w:cstheme="minorBidi"/>
            <w:b w:val="0"/>
            <w:sz w:val="22"/>
            <w:szCs w:val="22"/>
            <w:lang w:val="en-US" w:eastAsia="en-US"/>
          </w:rPr>
          <w:tab/>
        </w:r>
        <w:r w:rsidR="00C12973" w:rsidRPr="00493BBC">
          <w:rPr>
            <w:rStyle w:val="Hyperlink"/>
          </w:rPr>
          <w:t>Managing human rights risks in Commission procurement</w:t>
        </w:r>
        <w:r w:rsidR="00C12973">
          <w:rPr>
            <w:webHidden/>
          </w:rPr>
          <w:tab/>
        </w:r>
        <w:r w:rsidR="00C12973">
          <w:rPr>
            <w:webHidden/>
          </w:rPr>
          <w:fldChar w:fldCharType="begin"/>
        </w:r>
        <w:r w:rsidR="00C12973">
          <w:rPr>
            <w:webHidden/>
          </w:rPr>
          <w:instrText xml:space="preserve"> PAGEREF _Toc40773914 \h </w:instrText>
        </w:r>
        <w:r w:rsidR="00C12973">
          <w:rPr>
            <w:webHidden/>
          </w:rPr>
        </w:r>
        <w:r w:rsidR="00C12973">
          <w:rPr>
            <w:webHidden/>
          </w:rPr>
          <w:fldChar w:fldCharType="separate"/>
        </w:r>
        <w:r w:rsidR="00C12973">
          <w:rPr>
            <w:webHidden/>
          </w:rPr>
          <w:t>7</w:t>
        </w:r>
        <w:r w:rsidR="00C12973">
          <w:rPr>
            <w:webHidden/>
          </w:rPr>
          <w:fldChar w:fldCharType="end"/>
        </w:r>
      </w:hyperlink>
    </w:p>
    <w:p w14:paraId="342FEBC1" w14:textId="388C890A" w:rsidR="00C12973" w:rsidRDefault="00617184">
      <w:pPr>
        <w:pStyle w:val="TOC2"/>
        <w:rPr>
          <w:rFonts w:asciiTheme="minorHAnsi" w:eastAsiaTheme="minorEastAsia" w:hAnsiTheme="minorHAnsi" w:cstheme="minorBidi"/>
          <w:b w:val="0"/>
          <w:i w:val="0"/>
          <w:sz w:val="22"/>
          <w:szCs w:val="22"/>
          <w:lang w:val="en-US" w:eastAsia="en-US"/>
        </w:rPr>
      </w:pPr>
      <w:hyperlink w:anchor="_Toc40773915" w:history="1">
        <w:r w:rsidR="00C12973" w:rsidRPr="00493BBC">
          <w:rPr>
            <w:rStyle w:val="Hyperlink"/>
          </w:rPr>
          <w:t>6.1</w:t>
        </w:r>
        <w:r w:rsidR="00C12973">
          <w:rPr>
            <w:rFonts w:asciiTheme="minorHAnsi" w:eastAsiaTheme="minorEastAsia" w:hAnsiTheme="minorHAnsi" w:cstheme="minorBidi"/>
            <w:b w:val="0"/>
            <w:i w:val="0"/>
            <w:sz w:val="22"/>
            <w:szCs w:val="22"/>
            <w:lang w:val="en-US" w:eastAsia="en-US"/>
          </w:rPr>
          <w:tab/>
        </w:r>
        <w:r w:rsidR="00C12973" w:rsidRPr="00493BBC">
          <w:rPr>
            <w:rStyle w:val="Hyperlink"/>
            <w:shd w:val="clear" w:color="auto" w:fill="FFFFFF"/>
          </w:rPr>
          <w:t>Risk management in Commission procurement</w:t>
        </w:r>
        <w:r w:rsidR="00C12973">
          <w:rPr>
            <w:webHidden/>
          </w:rPr>
          <w:tab/>
        </w:r>
        <w:r w:rsidR="00C12973">
          <w:rPr>
            <w:webHidden/>
          </w:rPr>
          <w:fldChar w:fldCharType="begin"/>
        </w:r>
        <w:r w:rsidR="00C12973">
          <w:rPr>
            <w:webHidden/>
          </w:rPr>
          <w:instrText xml:space="preserve"> PAGEREF _Toc40773915 \h </w:instrText>
        </w:r>
        <w:r w:rsidR="00C12973">
          <w:rPr>
            <w:webHidden/>
          </w:rPr>
        </w:r>
        <w:r w:rsidR="00C12973">
          <w:rPr>
            <w:webHidden/>
          </w:rPr>
          <w:fldChar w:fldCharType="separate"/>
        </w:r>
        <w:r w:rsidR="00C12973">
          <w:rPr>
            <w:webHidden/>
          </w:rPr>
          <w:t>7</w:t>
        </w:r>
        <w:r w:rsidR="00C12973">
          <w:rPr>
            <w:webHidden/>
          </w:rPr>
          <w:fldChar w:fldCharType="end"/>
        </w:r>
      </w:hyperlink>
    </w:p>
    <w:p w14:paraId="2D741F09" w14:textId="6BD2B800" w:rsidR="00C12973" w:rsidRDefault="00617184">
      <w:pPr>
        <w:pStyle w:val="TOC2"/>
        <w:rPr>
          <w:rFonts w:asciiTheme="minorHAnsi" w:eastAsiaTheme="minorEastAsia" w:hAnsiTheme="minorHAnsi" w:cstheme="minorBidi"/>
          <w:b w:val="0"/>
          <w:i w:val="0"/>
          <w:sz w:val="22"/>
          <w:szCs w:val="22"/>
          <w:lang w:val="en-US" w:eastAsia="en-US"/>
        </w:rPr>
      </w:pPr>
      <w:hyperlink w:anchor="_Toc40773916" w:history="1">
        <w:r w:rsidR="00C12973" w:rsidRPr="00493BBC">
          <w:rPr>
            <w:rStyle w:val="Hyperlink"/>
          </w:rPr>
          <w:t>6.2</w:t>
        </w:r>
        <w:r w:rsidR="00C12973">
          <w:rPr>
            <w:rFonts w:asciiTheme="minorHAnsi" w:eastAsiaTheme="minorEastAsia" w:hAnsiTheme="minorHAnsi" w:cstheme="minorBidi"/>
            <w:b w:val="0"/>
            <w:i w:val="0"/>
            <w:sz w:val="22"/>
            <w:szCs w:val="22"/>
            <w:lang w:val="en-US" w:eastAsia="en-US"/>
          </w:rPr>
          <w:tab/>
        </w:r>
        <w:r w:rsidR="00C12973" w:rsidRPr="00493BBC">
          <w:rPr>
            <w:rStyle w:val="Hyperlink"/>
            <w:shd w:val="clear" w:color="auto" w:fill="FFFFFF"/>
          </w:rPr>
          <w:t>Human rights due diligence</w:t>
        </w:r>
        <w:r w:rsidR="00C12973">
          <w:rPr>
            <w:webHidden/>
          </w:rPr>
          <w:tab/>
        </w:r>
        <w:r w:rsidR="00C12973">
          <w:rPr>
            <w:webHidden/>
          </w:rPr>
          <w:fldChar w:fldCharType="begin"/>
        </w:r>
        <w:r w:rsidR="00C12973">
          <w:rPr>
            <w:webHidden/>
          </w:rPr>
          <w:instrText xml:space="preserve"> PAGEREF _Toc40773916 \h </w:instrText>
        </w:r>
        <w:r w:rsidR="00C12973">
          <w:rPr>
            <w:webHidden/>
          </w:rPr>
        </w:r>
        <w:r w:rsidR="00C12973">
          <w:rPr>
            <w:webHidden/>
          </w:rPr>
          <w:fldChar w:fldCharType="separate"/>
        </w:r>
        <w:r w:rsidR="00C12973">
          <w:rPr>
            <w:webHidden/>
          </w:rPr>
          <w:t>8</w:t>
        </w:r>
        <w:r w:rsidR="00C12973">
          <w:rPr>
            <w:webHidden/>
          </w:rPr>
          <w:fldChar w:fldCharType="end"/>
        </w:r>
      </w:hyperlink>
    </w:p>
    <w:p w14:paraId="5AD76087" w14:textId="634716C8" w:rsidR="00C12973" w:rsidRDefault="00617184">
      <w:pPr>
        <w:pStyle w:val="TOC2"/>
        <w:rPr>
          <w:rFonts w:asciiTheme="minorHAnsi" w:eastAsiaTheme="minorEastAsia" w:hAnsiTheme="minorHAnsi" w:cstheme="minorBidi"/>
          <w:b w:val="0"/>
          <w:i w:val="0"/>
          <w:sz w:val="22"/>
          <w:szCs w:val="22"/>
          <w:lang w:val="en-US" w:eastAsia="en-US"/>
        </w:rPr>
      </w:pPr>
      <w:hyperlink w:anchor="_Toc40773917" w:history="1">
        <w:r w:rsidR="00C12973" w:rsidRPr="00493BBC">
          <w:rPr>
            <w:rStyle w:val="Hyperlink"/>
          </w:rPr>
          <w:t>6.3</w:t>
        </w:r>
        <w:r w:rsidR="00C12973">
          <w:rPr>
            <w:rFonts w:asciiTheme="minorHAnsi" w:eastAsiaTheme="minorEastAsia" w:hAnsiTheme="minorHAnsi" w:cstheme="minorBidi"/>
            <w:b w:val="0"/>
            <w:i w:val="0"/>
            <w:sz w:val="22"/>
            <w:szCs w:val="22"/>
            <w:lang w:val="en-US" w:eastAsia="en-US"/>
          </w:rPr>
          <w:tab/>
        </w:r>
        <w:r w:rsidR="00C12973" w:rsidRPr="00493BBC">
          <w:rPr>
            <w:rStyle w:val="Hyperlink"/>
            <w:shd w:val="clear" w:color="auto" w:fill="FFFFFF"/>
          </w:rPr>
          <w:t>Implementing human rights due diligence in Commission Procurement</w:t>
        </w:r>
        <w:r w:rsidR="00C12973">
          <w:rPr>
            <w:webHidden/>
          </w:rPr>
          <w:tab/>
        </w:r>
        <w:r w:rsidR="00C12973">
          <w:rPr>
            <w:webHidden/>
          </w:rPr>
          <w:fldChar w:fldCharType="begin"/>
        </w:r>
        <w:r w:rsidR="00C12973">
          <w:rPr>
            <w:webHidden/>
          </w:rPr>
          <w:instrText xml:space="preserve"> PAGEREF _Toc40773917 \h </w:instrText>
        </w:r>
        <w:r w:rsidR="00C12973">
          <w:rPr>
            <w:webHidden/>
          </w:rPr>
        </w:r>
        <w:r w:rsidR="00C12973">
          <w:rPr>
            <w:webHidden/>
          </w:rPr>
          <w:fldChar w:fldCharType="separate"/>
        </w:r>
        <w:r w:rsidR="00C12973">
          <w:rPr>
            <w:webHidden/>
          </w:rPr>
          <w:t>8</w:t>
        </w:r>
        <w:r w:rsidR="00C12973">
          <w:rPr>
            <w:webHidden/>
          </w:rPr>
          <w:fldChar w:fldCharType="end"/>
        </w:r>
      </w:hyperlink>
    </w:p>
    <w:p w14:paraId="139F0718" w14:textId="60DCB7CF" w:rsidR="00C12973" w:rsidRDefault="00617184">
      <w:pPr>
        <w:pStyle w:val="TOC2"/>
        <w:rPr>
          <w:rFonts w:asciiTheme="minorHAnsi" w:eastAsiaTheme="minorEastAsia" w:hAnsiTheme="minorHAnsi" w:cstheme="minorBidi"/>
          <w:b w:val="0"/>
          <w:i w:val="0"/>
          <w:sz w:val="22"/>
          <w:szCs w:val="22"/>
          <w:lang w:val="en-US" w:eastAsia="en-US"/>
        </w:rPr>
      </w:pPr>
      <w:hyperlink w:anchor="_Toc40773918" w:history="1">
        <w:r w:rsidR="00C12973" w:rsidRPr="00493BBC">
          <w:rPr>
            <w:rStyle w:val="Hyperlink"/>
          </w:rPr>
          <w:t>6.4</w:t>
        </w:r>
        <w:r w:rsidR="00C12973">
          <w:rPr>
            <w:rFonts w:asciiTheme="minorHAnsi" w:eastAsiaTheme="minorEastAsia" w:hAnsiTheme="minorHAnsi" w:cstheme="minorBidi"/>
            <w:b w:val="0"/>
            <w:i w:val="0"/>
            <w:sz w:val="22"/>
            <w:szCs w:val="22"/>
            <w:lang w:val="en-US" w:eastAsia="en-US"/>
          </w:rPr>
          <w:tab/>
        </w:r>
        <w:r w:rsidR="00C12973" w:rsidRPr="00493BBC">
          <w:rPr>
            <w:rStyle w:val="Hyperlink"/>
          </w:rPr>
          <w:t>The Commission context</w:t>
        </w:r>
        <w:r w:rsidR="00C12973">
          <w:rPr>
            <w:webHidden/>
          </w:rPr>
          <w:tab/>
        </w:r>
        <w:r w:rsidR="00C12973">
          <w:rPr>
            <w:webHidden/>
          </w:rPr>
          <w:fldChar w:fldCharType="begin"/>
        </w:r>
        <w:r w:rsidR="00C12973">
          <w:rPr>
            <w:webHidden/>
          </w:rPr>
          <w:instrText xml:space="preserve"> PAGEREF _Toc40773918 \h </w:instrText>
        </w:r>
        <w:r w:rsidR="00C12973">
          <w:rPr>
            <w:webHidden/>
          </w:rPr>
        </w:r>
        <w:r w:rsidR="00C12973">
          <w:rPr>
            <w:webHidden/>
          </w:rPr>
          <w:fldChar w:fldCharType="separate"/>
        </w:r>
        <w:r w:rsidR="00C12973">
          <w:rPr>
            <w:webHidden/>
          </w:rPr>
          <w:t>9</w:t>
        </w:r>
        <w:r w:rsidR="00C12973">
          <w:rPr>
            <w:webHidden/>
          </w:rPr>
          <w:fldChar w:fldCharType="end"/>
        </w:r>
      </w:hyperlink>
    </w:p>
    <w:p w14:paraId="56DFD459" w14:textId="010F2079" w:rsidR="00C12973" w:rsidRDefault="00617184">
      <w:pPr>
        <w:pStyle w:val="TOC2"/>
        <w:rPr>
          <w:rFonts w:asciiTheme="minorHAnsi" w:eastAsiaTheme="minorEastAsia" w:hAnsiTheme="minorHAnsi" w:cstheme="minorBidi"/>
          <w:b w:val="0"/>
          <w:i w:val="0"/>
          <w:sz w:val="22"/>
          <w:szCs w:val="22"/>
          <w:lang w:val="en-US" w:eastAsia="en-US"/>
        </w:rPr>
      </w:pPr>
      <w:hyperlink w:anchor="_Toc40773919" w:history="1">
        <w:r w:rsidR="00C12973" w:rsidRPr="00493BBC">
          <w:rPr>
            <w:rStyle w:val="Hyperlink"/>
          </w:rPr>
          <w:t>6.5</w:t>
        </w:r>
        <w:r w:rsidR="00C12973">
          <w:rPr>
            <w:rFonts w:asciiTheme="minorHAnsi" w:eastAsiaTheme="minorEastAsia" w:hAnsiTheme="minorHAnsi" w:cstheme="minorBidi"/>
            <w:b w:val="0"/>
            <w:i w:val="0"/>
            <w:sz w:val="22"/>
            <w:szCs w:val="22"/>
            <w:lang w:val="en-US" w:eastAsia="en-US"/>
          </w:rPr>
          <w:tab/>
        </w:r>
        <w:r w:rsidR="00C12973" w:rsidRPr="00493BBC">
          <w:rPr>
            <w:rStyle w:val="Hyperlink"/>
          </w:rPr>
          <w:t>Grievances and responding to allegations of human rights breaches</w:t>
        </w:r>
        <w:r w:rsidR="00C12973">
          <w:rPr>
            <w:webHidden/>
          </w:rPr>
          <w:tab/>
        </w:r>
        <w:r w:rsidR="00C12973">
          <w:rPr>
            <w:webHidden/>
          </w:rPr>
          <w:fldChar w:fldCharType="begin"/>
        </w:r>
        <w:r w:rsidR="00C12973">
          <w:rPr>
            <w:webHidden/>
          </w:rPr>
          <w:instrText xml:space="preserve"> PAGEREF _Toc40773919 \h </w:instrText>
        </w:r>
        <w:r w:rsidR="00C12973">
          <w:rPr>
            <w:webHidden/>
          </w:rPr>
        </w:r>
        <w:r w:rsidR="00C12973">
          <w:rPr>
            <w:webHidden/>
          </w:rPr>
          <w:fldChar w:fldCharType="separate"/>
        </w:r>
        <w:r w:rsidR="00C12973">
          <w:rPr>
            <w:webHidden/>
          </w:rPr>
          <w:t>9</w:t>
        </w:r>
        <w:r w:rsidR="00C12973">
          <w:rPr>
            <w:webHidden/>
          </w:rPr>
          <w:fldChar w:fldCharType="end"/>
        </w:r>
      </w:hyperlink>
    </w:p>
    <w:p w14:paraId="63E22FC0" w14:textId="0F3EB240" w:rsidR="00C12973" w:rsidRDefault="00617184">
      <w:pPr>
        <w:pStyle w:val="TOC1"/>
        <w:rPr>
          <w:rFonts w:asciiTheme="minorHAnsi" w:eastAsiaTheme="minorEastAsia" w:hAnsiTheme="minorHAnsi" w:cstheme="minorBidi"/>
          <w:b w:val="0"/>
          <w:sz w:val="22"/>
          <w:szCs w:val="22"/>
          <w:lang w:val="en-US" w:eastAsia="en-US"/>
        </w:rPr>
      </w:pPr>
      <w:hyperlink w:anchor="_Toc40773920" w:history="1">
        <w:r w:rsidR="00C12973" w:rsidRPr="00493BBC">
          <w:rPr>
            <w:rStyle w:val="Hyperlink"/>
          </w:rPr>
          <w:t>7</w:t>
        </w:r>
        <w:r w:rsidR="00C12973">
          <w:rPr>
            <w:rFonts w:asciiTheme="minorHAnsi" w:eastAsiaTheme="minorEastAsia" w:hAnsiTheme="minorHAnsi" w:cstheme="minorBidi"/>
            <w:b w:val="0"/>
            <w:sz w:val="22"/>
            <w:szCs w:val="22"/>
            <w:lang w:val="en-US" w:eastAsia="en-US"/>
          </w:rPr>
          <w:tab/>
        </w:r>
        <w:r w:rsidR="00C12973" w:rsidRPr="00493BBC">
          <w:rPr>
            <w:rStyle w:val="Hyperlink"/>
          </w:rPr>
          <w:t>Social procurement</w:t>
        </w:r>
        <w:r w:rsidR="00C12973">
          <w:rPr>
            <w:webHidden/>
          </w:rPr>
          <w:tab/>
        </w:r>
        <w:r w:rsidR="00C12973">
          <w:rPr>
            <w:webHidden/>
          </w:rPr>
          <w:fldChar w:fldCharType="begin"/>
        </w:r>
        <w:r w:rsidR="00C12973">
          <w:rPr>
            <w:webHidden/>
          </w:rPr>
          <w:instrText xml:space="preserve"> PAGEREF _Toc40773920 \h </w:instrText>
        </w:r>
        <w:r w:rsidR="00C12973">
          <w:rPr>
            <w:webHidden/>
          </w:rPr>
        </w:r>
        <w:r w:rsidR="00C12973">
          <w:rPr>
            <w:webHidden/>
          </w:rPr>
          <w:fldChar w:fldCharType="separate"/>
        </w:r>
        <w:r w:rsidR="00C12973">
          <w:rPr>
            <w:webHidden/>
          </w:rPr>
          <w:t>10</w:t>
        </w:r>
        <w:r w:rsidR="00C12973">
          <w:rPr>
            <w:webHidden/>
          </w:rPr>
          <w:fldChar w:fldCharType="end"/>
        </w:r>
      </w:hyperlink>
    </w:p>
    <w:p w14:paraId="774EB549" w14:textId="57FED455" w:rsidR="00C12973" w:rsidRDefault="00617184">
      <w:pPr>
        <w:pStyle w:val="TOC2"/>
        <w:rPr>
          <w:rFonts w:asciiTheme="minorHAnsi" w:eastAsiaTheme="minorEastAsia" w:hAnsiTheme="minorHAnsi" w:cstheme="minorBidi"/>
          <w:b w:val="0"/>
          <w:i w:val="0"/>
          <w:sz w:val="22"/>
          <w:szCs w:val="22"/>
          <w:lang w:val="en-US" w:eastAsia="en-US"/>
        </w:rPr>
      </w:pPr>
      <w:hyperlink w:anchor="_Toc40773921" w:history="1">
        <w:r w:rsidR="00C12973" w:rsidRPr="00493BBC">
          <w:rPr>
            <w:rStyle w:val="Hyperlink"/>
          </w:rPr>
          <w:t>7.1</w:t>
        </w:r>
        <w:r w:rsidR="00C12973">
          <w:rPr>
            <w:rFonts w:asciiTheme="minorHAnsi" w:eastAsiaTheme="minorEastAsia" w:hAnsiTheme="minorHAnsi" w:cstheme="minorBidi"/>
            <w:b w:val="0"/>
            <w:i w:val="0"/>
            <w:sz w:val="22"/>
            <w:szCs w:val="22"/>
            <w:lang w:val="en-US" w:eastAsia="en-US"/>
          </w:rPr>
          <w:tab/>
        </w:r>
        <w:r w:rsidR="00C12973" w:rsidRPr="00493BBC">
          <w:rPr>
            <w:rStyle w:val="Hyperlink"/>
          </w:rPr>
          <w:t>Social procurement policy statement</w:t>
        </w:r>
        <w:r w:rsidR="00C12973">
          <w:rPr>
            <w:webHidden/>
          </w:rPr>
          <w:tab/>
        </w:r>
        <w:r w:rsidR="00C12973">
          <w:rPr>
            <w:webHidden/>
          </w:rPr>
          <w:fldChar w:fldCharType="begin"/>
        </w:r>
        <w:r w:rsidR="00C12973">
          <w:rPr>
            <w:webHidden/>
          </w:rPr>
          <w:instrText xml:space="preserve"> PAGEREF _Toc40773921 \h </w:instrText>
        </w:r>
        <w:r w:rsidR="00C12973">
          <w:rPr>
            <w:webHidden/>
          </w:rPr>
        </w:r>
        <w:r w:rsidR="00C12973">
          <w:rPr>
            <w:webHidden/>
          </w:rPr>
          <w:fldChar w:fldCharType="separate"/>
        </w:r>
        <w:r w:rsidR="00C12973">
          <w:rPr>
            <w:webHidden/>
          </w:rPr>
          <w:t>10</w:t>
        </w:r>
        <w:r w:rsidR="00C12973">
          <w:rPr>
            <w:webHidden/>
          </w:rPr>
          <w:fldChar w:fldCharType="end"/>
        </w:r>
      </w:hyperlink>
    </w:p>
    <w:p w14:paraId="218D97E0" w14:textId="29A7625D" w:rsidR="00C12973" w:rsidRDefault="00617184">
      <w:pPr>
        <w:pStyle w:val="TOC1"/>
        <w:rPr>
          <w:rFonts w:asciiTheme="minorHAnsi" w:eastAsiaTheme="minorEastAsia" w:hAnsiTheme="minorHAnsi" w:cstheme="minorBidi"/>
          <w:b w:val="0"/>
          <w:sz w:val="22"/>
          <w:szCs w:val="22"/>
          <w:lang w:val="en-US" w:eastAsia="en-US"/>
        </w:rPr>
      </w:pPr>
      <w:hyperlink w:anchor="_Toc40773922" w:history="1">
        <w:r w:rsidR="00C12973" w:rsidRPr="00493BBC">
          <w:rPr>
            <w:rStyle w:val="Hyperlink"/>
          </w:rPr>
          <w:t>8</w:t>
        </w:r>
        <w:r w:rsidR="00C12973">
          <w:rPr>
            <w:rFonts w:asciiTheme="minorHAnsi" w:eastAsiaTheme="minorEastAsia" w:hAnsiTheme="minorHAnsi" w:cstheme="minorBidi"/>
            <w:b w:val="0"/>
            <w:sz w:val="22"/>
            <w:szCs w:val="22"/>
            <w:lang w:val="en-US" w:eastAsia="en-US"/>
          </w:rPr>
          <w:tab/>
        </w:r>
        <w:r w:rsidR="00C12973" w:rsidRPr="00493BBC">
          <w:rPr>
            <w:rStyle w:val="Hyperlink"/>
          </w:rPr>
          <w:t>Roles and responsibilities</w:t>
        </w:r>
        <w:r w:rsidR="00C12973">
          <w:rPr>
            <w:webHidden/>
          </w:rPr>
          <w:tab/>
        </w:r>
        <w:r w:rsidR="00C12973">
          <w:rPr>
            <w:webHidden/>
          </w:rPr>
          <w:fldChar w:fldCharType="begin"/>
        </w:r>
        <w:r w:rsidR="00C12973">
          <w:rPr>
            <w:webHidden/>
          </w:rPr>
          <w:instrText xml:space="preserve"> PAGEREF _Toc40773922 \h </w:instrText>
        </w:r>
        <w:r w:rsidR="00C12973">
          <w:rPr>
            <w:webHidden/>
          </w:rPr>
        </w:r>
        <w:r w:rsidR="00C12973">
          <w:rPr>
            <w:webHidden/>
          </w:rPr>
          <w:fldChar w:fldCharType="separate"/>
        </w:r>
        <w:r w:rsidR="00C12973">
          <w:rPr>
            <w:webHidden/>
          </w:rPr>
          <w:t>11</w:t>
        </w:r>
        <w:r w:rsidR="00C12973">
          <w:rPr>
            <w:webHidden/>
          </w:rPr>
          <w:fldChar w:fldCharType="end"/>
        </w:r>
      </w:hyperlink>
    </w:p>
    <w:p w14:paraId="500824A5" w14:textId="36D0283A" w:rsidR="00C12973" w:rsidRDefault="00617184">
      <w:pPr>
        <w:pStyle w:val="TOC2"/>
        <w:rPr>
          <w:rFonts w:asciiTheme="minorHAnsi" w:eastAsiaTheme="minorEastAsia" w:hAnsiTheme="minorHAnsi" w:cstheme="minorBidi"/>
          <w:b w:val="0"/>
          <w:i w:val="0"/>
          <w:sz w:val="22"/>
          <w:szCs w:val="22"/>
          <w:lang w:val="en-US" w:eastAsia="en-US"/>
        </w:rPr>
      </w:pPr>
      <w:hyperlink w:anchor="_Toc40773923" w:history="1">
        <w:r w:rsidR="00C12973" w:rsidRPr="00493BBC">
          <w:rPr>
            <w:rStyle w:val="Hyperlink"/>
          </w:rPr>
          <w:t>8.1</w:t>
        </w:r>
        <w:r w:rsidR="00C12973">
          <w:rPr>
            <w:rFonts w:asciiTheme="minorHAnsi" w:eastAsiaTheme="minorEastAsia" w:hAnsiTheme="minorHAnsi" w:cstheme="minorBidi"/>
            <w:b w:val="0"/>
            <w:i w:val="0"/>
            <w:sz w:val="22"/>
            <w:szCs w:val="22"/>
            <w:lang w:val="en-US" w:eastAsia="en-US"/>
          </w:rPr>
          <w:tab/>
        </w:r>
        <w:r w:rsidR="00C12973" w:rsidRPr="00493BBC">
          <w:rPr>
            <w:rStyle w:val="Hyperlink"/>
          </w:rPr>
          <w:t>Key responsibilities and oversight</w:t>
        </w:r>
        <w:r w:rsidR="00C12973">
          <w:rPr>
            <w:webHidden/>
          </w:rPr>
          <w:tab/>
        </w:r>
        <w:r w:rsidR="00C12973">
          <w:rPr>
            <w:webHidden/>
          </w:rPr>
          <w:fldChar w:fldCharType="begin"/>
        </w:r>
        <w:r w:rsidR="00C12973">
          <w:rPr>
            <w:webHidden/>
          </w:rPr>
          <w:instrText xml:space="preserve"> PAGEREF _Toc40773923 \h </w:instrText>
        </w:r>
        <w:r w:rsidR="00C12973">
          <w:rPr>
            <w:webHidden/>
          </w:rPr>
        </w:r>
        <w:r w:rsidR="00C12973">
          <w:rPr>
            <w:webHidden/>
          </w:rPr>
          <w:fldChar w:fldCharType="separate"/>
        </w:r>
        <w:r w:rsidR="00C12973">
          <w:rPr>
            <w:webHidden/>
          </w:rPr>
          <w:t>11</w:t>
        </w:r>
        <w:r w:rsidR="00C12973">
          <w:rPr>
            <w:webHidden/>
          </w:rPr>
          <w:fldChar w:fldCharType="end"/>
        </w:r>
      </w:hyperlink>
    </w:p>
    <w:p w14:paraId="6372B797" w14:textId="07A56482" w:rsidR="00C12973" w:rsidRDefault="00617184">
      <w:pPr>
        <w:pStyle w:val="TOC1"/>
        <w:rPr>
          <w:rFonts w:asciiTheme="minorHAnsi" w:eastAsiaTheme="minorEastAsia" w:hAnsiTheme="minorHAnsi" w:cstheme="minorBidi"/>
          <w:b w:val="0"/>
          <w:sz w:val="22"/>
          <w:szCs w:val="22"/>
          <w:lang w:val="en-US" w:eastAsia="en-US"/>
        </w:rPr>
      </w:pPr>
      <w:hyperlink w:anchor="_Toc40773924" w:history="1">
        <w:r w:rsidR="00C12973" w:rsidRPr="00493BBC">
          <w:rPr>
            <w:rStyle w:val="Hyperlink"/>
          </w:rPr>
          <w:t>9</w:t>
        </w:r>
        <w:r w:rsidR="00C12973">
          <w:rPr>
            <w:rFonts w:asciiTheme="minorHAnsi" w:eastAsiaTheme="minorEastAsia" w:hAnsiTheme="minorHAnsi" w:cstheme="minorBidi"/>
            <w:b w:val="0"/>
            <w:sz w:val="22"/>
            <w:szCs w:val="22"/>
            <w:lang w:val="en-US" w:eastAsia="en-US"/>
          </w:rPr>
          <w:tab/>
        </w:r>
        <w:r w:rsidR="00C12973" w:rsidRPr="00493BBC">
          <w:rPr>
            <w:rStyle w:val="Hyperlink"/>
          </w:rPr>
          <w:t>Review</w:t>
        </w:r>
        <w:r w:rsidR="00C12973">
          <w:rPr>
            <w:webHidden/>
          </w:rPr>
          <w:tab/>
        </w:r>
        <w:r w:rsidR="00C12973">
          <w:rPr>
            <w:webHidden/>
          </w:rPr>
          <w:fldChar w:fldCharType="begin"/>
        </w:r>
        <w:r w:rsidR="00C12973">
          <w:rPr>
            <w:webHidden/>
          </w:rPr>
          <w:instrText xml:space="preserve"> PAGEREF _Toc40773924 \h </w:instrText>
        </w:r>
        <w:r w:rsidR="00C12973">
          <w:rPr>
            <w:webHidden/>
          </w:rPr>
        </w:r>
        <w:r w:rsidR="00C12973">
          <w:rPr>
            <w:webHidden/>
          </w:rPr>
          <w:fldChar w:fldCharType="separate"/>
        </w:r>
        <w:r w:rsidR="00C12973">
          <w:rPr>
            <w:webHidden/>
          </w:rPr>
          <w:t>11</w:t>
        </w:r>
        <w:r w:rsidR="00C12973">
          <w:rPr>
            <w:webHidden/>
          </w:rPr>
          <w:fldChar w:fldCharType="end"/>
        </w:r>
      </w:hyperlink>
    </w:p>
    <w:p w14:paraId="42F9FA0A" w14:textId="7ED754B2" w:rsidR="00C12973" w:rsidRDefault="00617184">
      <w:pPr>
        <w:pStyle w:val="TOC1"/>
        <w:rPr>
          <w:rFonts w:asciiTheme="minorHAnsi" w:eastAsiaTheme="minorEastAsia" w:hAnsiTheme="minorHAnsi" w:cstheme="minorBidi"/>
          <w:b w:val="0"/>
          <w:sz w:val="22"/>
          <w:szCs w:val="22"/>
          <w:lang w:val="en-US" w:eastAsia="en-US"/>
        </w:rPr>
      </w:pPr>
      <w:hyperlink w:anchor="_Toc40773925" w:history="1">
        <w:r w:rsidR="00C12973" w:rsidRPr="00493BBC">
          <w:rPr>
            <w:rStyle w:val="Hyperlink"/>
          </w:rPr>
          <w:t>10</w:t>
        </w:r>
        <w:r w:rsidR="00C12973">
          <w:rPr>
            <w:rFonts w:asciiTheme="minorHAnsi" w:eastAsiaTheme="minorEastAsia" w:hAnsiTheme="minorHAnsi" w:cstheme="minorBidi"/>
            <w:b w:val="0"/>
            <w:sz w:val="22"/>
            <w:szCs w:val="22"/>
            <w:lang w:val="en-US" w:eastAsia="en-US"/>
          </w:rPr>
          <w:tab/>
        </w:r>
        <w:r w:rsidR="00C12973" w:rsidRPr="00493BBC">
          <w:rPr>
            <w:rStyle w:val="Hyperlink"/>
          </w:rPr>
          <w:t>Definitions</w:t>
        </w:r>
        <w:r w:rsidR="00C12973">
          <w:rPr>
            <w:webHidden/>
          </w:rPr>
          <w:tab/>
        </w:r>
        <w:r w:rsidR="00C12973">
          <w:rPr>
            <w:webHidden/>
          </w:rPr>
          <w:fldChar w:fldCharType="begin"/>
        </w:r>
        <w:r w:rsidR="00C12973">
          <w:rPr>
            <w:webHidden/>
          </w:rPr>
          <w:instrText xml:space="preserve"> PAGEREF _Toc40773925 \h </w:instrText>
        </w:r>
        <w:r w:rsidR="00C12973">
          <w:rPr>
            <w:webHidden/>
          </w:rPr>
        </w:r>
        <w:r w:rsidR="00C12973">
          <w:rPr>
            <w:webHidden/>
          </w:rPr>
          <w:fldChar w:fldCharType="separate"/>
        </w:r>
        <w:r w:rsidR="00C12973">
          <w:rPr>
            <w:webHidden/>
          </w:rPr>
          <w:t>11</w:t>
        </w:r>
        <w:r w:rsidR="00C12973">
          <w:rPr>
            <w:webHidden/>
          </w:rPr>
          <w:fldChar w:fldCharType="end"/>
        </w:r>
      </w:hyperlink>
    </w:p>
    <w:p w14:paraId="0AFA37D7" w14:textId="2BF5E1DE" w:rsidR="00C12973" w:rsidRDefault="00617184">
      <w:pPr>
        <w:pStyle w:val="TOC1"/>
        <w:rPr>
          <w:rFonts w:asciiTheme="minorHAnsi" w:eastAsiaTheme="minorEastAsia" w:hAnsiTheme="minorHAnsi" w:cstheme="minorBidi"/>
          <w:b w:val="0"/>
          <w:sz w:val="22"/>
          <w:szCs w:val="22"/>
          <w:lang w:val="en-US" w:eastAsia="en-US"/>
        </w:rPr>
      </w:pPr>
      <w:hyperlink w:anchor="_Toc40773926" w:history="1">
        <w:r w:rsidR="00C12973" w:rsidRPr="00493BBC">
          <w:rPr>
            <w:rStyle w:val="Hyperlink"/>
          </w:rPr>
          <w:t>11</w:t>
        </w:r>
        <w:r w:rsidR="00C12973">
          <w:rPr>
            <w:rFonts w:asciiTheme="minorHAnsi" w:eastAsiaTheme="minorEastAsia" w:hAnsiTheme="minorHAnsi" w:cstheme="minorBidi"/>
            <w:b w:val="0"/>
            <w:sz w:val="22"/>
            <w:szCs w:val="22"/>
            <w:lang w:val="en-US" w:eastAsia="en-US"/>
          </w:rPr>
          <w:tab/>
        </w:r>
        <w:r w:rsidR="00C12973" w:rsidRPr="00493BBC">
          <w:rPr>
            <w:rStyle w:val="Hyperlink"/>
          </w:rPr>
          <w:t>Appendices</w:t>
        </w:r>
        <w:r w:rsidR="00C12973">
          <w:rPr>
            <w:webHidden/>
          </w:rPr>
          <w:tab/>
        </w:r>
        <w:r w:rsidR="00C12973">
          <w:rPr>
            <w:webHidden/>
          </w:rPr>
          <w:fldChar w:fldCharType="begin"/>
        </w:r>
        <w:r w:rsidR="00C12973">
          <w:rPr>
            <w:webHidden/>
          </w:rPr>
          <w:instrText xml:space="preserve"> PAGEREF _Toc40773926 \h </w:instrText>
        </w:r>
        <w:r w:rsidR="00C12973">
          <w:rPr>
            <w:webHidden/>
          </w:rPr>
        </w:r>
        <w:r w:rsidR="00C12973">
          <w:rPr>
            <w:webHidden/>
          </w:rPr>
          <w:fldChar w:fldCharType="separate"/>
        </w:r>
        <w:r w:rsidR="00C12973">
          <w:rPr>
            <w:webHidden/>
          </w:rPr>
          <w:t>12</w:t>
        </w:r>
        <w:r w:rsidR="00C12973">
          <w:rPr>
            <w:webHidden/>
          </w:rPr>
          <w:fldChar w:fldCharType="end"/>
        </w:r>
      </w:hyperlink>
    </w:p>
    <w:p w14:paraId="3C3CDD4A" w14:textId="0BAEC548" w:rsidR="00C12973" w:rsidRDefault="00617184">
      <w:pPr>
        <w:pStyle w:val="TOC2"/>
        <w:rPr>
          <w:rFonts w:asciiTheme="minorHAnsi" w:eastAsiaTheme="minorEastAsia" w:hAnsiTheme="minorHAnsi" w:cstheme="minorBidi"/>
          <w:b w:val="0"/>
          <w:i w:val="0"/>
          <w:sz w:val="22"/>
          <w:szCs w:val="22"/>
          <w:lang w:val="en-US" w:eastAsia="en-US"/>
        </w:rPr>
      </w:pPr>
      <w:hyperlink w:anchor="_Toc40773927" w:history="1">
        <w:r w:rsidR="00C12973" w:rsidRPr="00493BBC">
          <w:rPr>
            <w:rStyle w:val="Hyperlink"/>
          </w:rPr>
          <w:t>Appendix A Commonwealth Procurement Rules – meaning of procurement</w:t>
        </w:r>
        <w:r w:rsidR="00C12973">
          <w:rPr>
            <w:webHidden/>
          </w:rPr>
          <w:tab/>
        </w:r>
        <w:r w:rsidR="00C12973">
          <w:rPr>
            <w:webHidden/>
          </w:rPr>
          <w:fldChar w:fldCharType="begin"/>
        </w:r>
        <w:r w:rsidR="00C12973">
          <w:rPr>
            <w:webHidden/>
          </w:rPr>
          <w:instrText xml:space="preserve"> PAGEREF _Toc40773927 \h </w:instrText>
        </w:r>
        <w:r w:rsidR="00C12973">
          <w:rPr>
            <w:webHidden/>
          </w:rPr>
        </w:r>
        <w:r w:rsidR="00C12973">
          <w:rPr>
            <w:webHidden/>
          </w:rPr>
          <w:fldChar w:fldCharType="separate"/>
        </w:r>
        <w:r w:rsidR="00C12973">
          <w:rPr>
            <w:webHidden/>
          </w:rPr>
          <w:t>12</w:t>
        </w:r>
        <w:r w:rsidR="00C12973">
          <w:rPr>
            <w:webHidden/>
          </w:rPr>
          <w:fldChar w:fldCharType="end"/>
        </w:r>
      </w:hyperlink>
    </w:p>
    <w:p w14:paraId="060243D7" w14:textId="130CFA0B" w:rsidR="00C12973" w:rsidRDefault="00617184">
      <w:pPr>
        <w:pStyle w:val="TOC2"/>
        <w:rPr>
          <w:rFonts w:asciiTheme="minorHAnsi" w:eastAsiaTheme="minorEastAsia" w:hAnsiTheme="minorHAnsi" w:cstheme="minorBidi"/>
          <w:b w:val="0"/>
          <w:i w:val="0"/>
          <w:sz w:val="22"/>
          <w:szCs w:val="22"/>
          <w:lang w:val="en-US" w:eastAsia="en-US"/>
        </w:rPr>
      </w:pPr>
      <w:hyperlink w:anchor="_Toc40773928" w:history="1">
        <w:r w:rsidR="00C12973" w:rsidRPr="00493BBC">
          <w:rPr>
            <w:rStyle w:val="Hyperlink"/>
          </w:rPr>
          <w:t>Appendix B Commonwealth Procurement Rules</w:t>
        </w:r>
        <w:r w:rsidR="00C12973">
          <w:rPr>
            <w:webHidden/>
          </w:rPr>
          <w:tab/>
        </w:r>
        <w:r w:rsidR="00C12973">
          <w:rPr>
            <w:webHidden/>
          </w:rPr>
          <w:fldChar w:fldCharType="begin"/>
        </w:r>
        <w:r w:rsidR="00C12973">
          <w:rPr>
            <w:webHidden/>
          </w:rPr>
          <w:instrText xml:space="preserve"> PAGEREF _Toc40773928 \h </w:instrText>
        </w:r>
        <w:r w:rsidR="00C12973">
          <w:rPr>
            <w:webHidden/>
          </w:rPr>
        </w:r>
        <w:r w:rsidR="00C12973">
          <w:rPr>
            <w:webHidden/>
          </w:rPr>
          <w:fldChar w:fldCharType="separate"/>
        </w:r>
        <w:r w:rsidR="00C12973">
          <w:rPr>
            <w:webHidden/>
          </w:rPr>
          <w:t>13</w:t>
        </w:r>
        <w:r w:rsidR="00C12973">
          <w:rPr>
            <w:webHidden/>
          </w:rPr>
          <w:fldChar w:fldCharType="end"/>
        </w:r>
      </w:hyperlink>
    </w:p>
    <w:p w14:paraId="1FF14E6C" w14:textId="313993DE" w:rsidR="00C12973" w:rsidRDefault="00617184">
      <w:pPr>
        <w:pStyle w:val="TOC2"/>
        <w:rPr>
          <w:rFonts w:asciiTheme="minorHAnsi" w:eastAsiaTheme="minorEastAsia" w:hAnsiTheme="minorHAnsi" w:cstheme="minorBidi"/>
          <w:b w:val="0"/>
          <w:i w:val="0"/>
          <w:sz w:val="22"/>
          <w:szCs w:val="22"/>
          <w:lang w:val="en-US" w:eastAsia="en-US"/>
        </w:rPr>
      </w:pPr>
      <w:hyperlink w:anchor="_Toc40773929" w:history="1">
        <w:r w:rsidR="00C12973" w:rsidRPr="00493BBC">
          <w:rPr>
            <w:rStyle w:val="Hyperlink"/>
          </w:rPr>
          <w:t>Appendix C Review of this Policy</w:t>
        </w:r>
        <w:r w:rsidR="00C12973">
          <w:rPr>
            <w:webHidden/>
          </w:rPr>
          <w:tab/>
        </w:r>
        <w:r w:rsidR="00C12973">
          <w:rPr>
            <w:webHidden/>
          </w:rPr>
          <w:fldChar w:fldCharType="begin"/>
        </w:r>
        <w:r w:rsidR="00C12973">
          <w:rPr>
            <w:webHidden/>
          </w:rPr>
          <w:instrText xml:space="preserve"> PAGEREF _Toc40773929 \h </w:instrText>
        </w:r>
        <w:r w:rsidR="00C12973">
          <w:rPr>
            <w:webHidden/>
          </w:rPr>
        </w:r>
        <w:r w:rsidR="00C12973">
          <w:rPr>
            <w:webHidden/>
          </w:rPr>
          <w:fldChar w:fldCharType="separate"/>
        </w:r>
        <w:r w:rsidR="00C12973">
          <w:rPr>
            <w:webHidden/>
          </w:rPr>
          <w:t>14</w:t>
        </w:r>
        <w:r w:rsidR="00C12973">
          <w:rPr>
            <w:webHidden/>
          </w:rPr>
          <w:fldChar w:fldCharType="end"/>
        </w:r>
      </w:hyperlink>
    </w:p>
    <w:p w14:paraId="3FE4B0BF" w14:textId="075A4B5F" w:rsidR="00C86324" w:rsidRPr="009D55B0" w:rsidRDefault="000E4837">
      <w:pPr>
        <w:spacing w:before="0" w:after="0"/>
        <w:rPr>
          <w:rFonts w:cs="Open Sans"/>
          <w:b/>
          <w:noProof/>
          <w:sz w:val="22"/>
          <w:szCs w:val="22"/>
        </w:rPr>
      </w:pPr>
      <w:r w:rsidRPr="00BE3C77">
        <w:rPr>
          <w:rFonts w:cs="Open Sans"/>
          <w:b/>
          <w:noProof/>
          <w:color w:val="2B579A"/>
          <w:shd w:val="clear" w:color="auto" w:fill="E6E6E6"/>
        </w:rPr>
        <w:fldChar w:fldCharType="end"/>
      </w:r>
      <w:r w:rsidR="00C86324" w:rsidRPr="009D55B0">
        <w:rPr>
          <w:rFonts w:cs="Open Sans"/>
          <w:sz w:val="22"/>
          <w:szCs w:val="22"/>
        </w:rPr>
        <w:br w:type="page"/>
      </w:r>
    </w:p>
    <w:p w14:paraId="435D6089" w14:textId="5D50EBB6" w:rsidR="00510390" w:rsidRPr="009D55B0" w:rsidRDefault="00EA6C70" w:rsidP="009D55B0">
      <w:pPr>
        <w:pStyle w:val="Heading1"/>
      </w:pPr>
      <w:bookmarkStart w:id="3" w:name="_Toc40773902"/>
      <w:r w:rsidRPr="009D55B0">
        <w:lastRenderedPageBreak/>
        <w:t>Purpose</w:t>
      </w:r>
      <w:bookmarkEnd w:id="3"/>
    </w:p>
    <w:p w14:paraId="1E1BF2B7" w14:textId="40472E7F" w:rsidR="006F51D6" w:rsidRPr="009D55B0" w:rsidRDefault="1C6E7BCB" w:rsidP="00D34B00">
      <w:pPr>
        <w:rPr>
          <w:rFonts w:cs="Open Sans"/>
          <w:sz w:val="22"/>
          <w:szCs w:val="22"/>
        </w:rPr>
      </w:pPr>
      <w:r w:rsidRPr="1C6E7BCB">
        <w:rPr>
          <w:rFonts w:cs="Open Sans"/>
          <w:sz w:val="22"/>
          <w:szCs w:val="22"/>
        </w:rPr>
        <w:t xml:space="preserve">Public procurement is a tool nation states can use to help fulfil their duty to protect human rights and realise the human rights of vulnerable groups. </w:t>
      </w:r>
      <w:r w:rsidR="004134D0">
        <w:rPr>
          <w:rFonts w:cs="Open Sans"/>
          <w:sz w:val="22"/>
          <w:szCs w:val="22"/>
        </w:rPr>
        <w:t>Globally</w:t>
      </w:r>
      <w:r w:rsidR="00EE2766">
        <w:rPr>
          <w:rFonts w:cs="Open Sans"/>
          <w:sz w:val="22"/>
          <w:szCs w:val="22"/>
        </w:rPr>
        <w:t>,</w:t>
      </w:r>
      <w:r w:rsidR="004134D0">
        <w:rPr>
          <w:rFonts w:cs="Open Sans"/>
          <w:sz w:val="22"/>
          <w:szCs w:val="22"/>
        </w:rPr>
        <w:t xml:space="preserve"> gover</w:t>
      </w:r>
      <w:r w:rsidR="00521569">
        <w:rPr>
          <w:rFonts w:cs="Open Sans"/>
          <w:sz w:val="22"/>
          <w:szCs w:val="22"/>
        </w:rPr>
        <w:t>n</w:t>
      </w:r>
      <w:r w:rsidR="004134D0">
        <w:rPr>
          <w:rFonts w:cs="Open Sans"/>
          <w:sz w:val="22"/>
          <w:szCs w:val="22"/>
        </w:rPr>
        <w:t>ment entities are increasingly</w:t>
      </w:r>
      <w:r w:rsidR="00521569">
        <w:rPr>
          <w:rFonts w:cs="Open Sans"/>
          <w:sz w:val="22"/>
          <w:szCs w:val="22"/>
        </w:rPr>
        <w:t xml:space="preserve"> expected to ensure they are not directly linked to human rights harms through their procurement</w:t>
      </w:r>
      <w:r w:rsidR="00F95EAB">
        <w:rPr>
          <w:rFonts w:cs="Open Sans"/>
          <w:sz w:val="22"/>
          <w:szCs w:val="22"/>
        </w:rPr>
        <w:t>, and to</w:t>
      </w:r>
      <w:r w:rsidR="00521569">
        <w:rPr>
          <w:rFonts w:cs="Open Sans"/>
          <w:sz w:val="22"/>
          <w:szCs w:val="22"/>
        </w:rPr>
        <w:t xml:space="preserve"> lead by example</w:t>
      </w:r>
      <w:r w:rsidR="00241E4E">
        <w:rPr>
          <w:rFonts w:cs="Open Sans"/>
          <w:sz w:val="22"/>
          <w:szCs w:val="22"/>
        </w:rPr>
        <w:t xml:space="preserve"> when spending taxpayer funds.</w:t>
      </w:r>
      <w:r w:rsidR="004134D0">
        <w:rPr>
          <w:rFonts w:cs="Open Sans"/>
          <w:sz w:val="22"/>
          <w:szCs w:val="22"/>
        </w:rPr>
        <w:t xml:space="preserve"> </w:t>
      </w:r>
      <w:r w:rsidRPr="1C6E7BCB">
        <w:rPr>
          <w:rFonts w:cs="Open Sans"/>
          <w:sz w:val="22"/>
          <w:szCs w:val="22"/>
        </w:rPr>
        <w:t xml:space="preserve">Leveraging public spending to address human rights risks in government supply chains can encourage suppliers to meet their responsibility to respect human rights in their own operations and supply chains. It can also help create a ‘level playing field’ for businesses supplying to government, who are taking steps to respect human rights in their activities. </w:t>
      </w:r>
    </w:p>
    <w:p w14:paraId="3910D86F" w14:textId="664AF0AE" w:rsidR="00AC588F" w:rsidRPr="009D55B0" w:rsidRDefault="00EA7862" w:rsidP="000228A9">
      <w:pPr>
        <w:rPr>
          <w:rFonts w:cs="Open Sans"/>
          <w:sz w:val="22"/>
          <w:szCs w:val="22"/>
        </w:rPr>
      </w:pPr>
      <w:r w:rsidRPr="009D55B0">
        <w:rPr>
          <w:rFonts w:cs="Open Sans"/>
          <w:sz w:val="22"/>
          <w:szCs w:val="22"/>
        </w:rPr>
        <w:t xml:space="preserve">As a procurer of goods and services, the </w:t>
      </w:r>
      <w:r w:rsidR="009A4BA6" w:rsidRPr="009D55B0">
        <w:rPr>
          <w:rFonts w:cs="Open Sans"/>
          <w:sz w:val="22"/>
          <w:szCs w:val="22"/>
        </w:rPr>
        <w:t xml:space="preserve">Australian Human Rights </w:t>
      </w:r>
      <w:r w:rsidRPr="009D55B0">
        <w:rPr>
          <w:rFonts w:cs="Open Sans"/>
          <w:sz w:val="22"/>
          <w:szCs w:val="22"/>
        </w:rPr>
        <w:t xml:space="preserve">Commission </w:t>
      </w:r>
      <w:r w:rsidR="009A4BA6" w:rsidRPr="009D55B0">
        <w:rPr>
          <w:rFonts w:cs="Open Sans"/>
          <w:sz w:val="22"/>
          <w:szCs w:val="22"/>
        </w:rPr>
        <w:t>(</w:t>
      </w:r>
      <w:r w:rsidR="009A4BA6" w:rsidRPr="009D55B0">
        <w:rPr>
          <w:rFonts w:cs="Open Sans"/>
          <w:b/>
          <w:bCs/>
          <w:sz w:val="22"/>
          <w:szCs w:val="22"/>
        </w:rPr>
        <w:t>Commission</w:t>
      </w:r>
      <w:r w:rsidR="009A4BA6" w:rsidRPr="009D55B0">
        <w:rPr>
          <w:rFonts w:cs="Open Sans"/>
          <w:sz w:val="22"/>
          <w:szCs w:val="22"/>
        </w:rPr>
        <w:t xml:space="preserve">) </w:t>
      </w:r>
      <w:r w:rsidRPr="009D55B0">
        <w:rPr>
          <w:rFonts w:cs="Open Sans"/>
          <w:sz w:val="22"/>
          <w:szCs w:val="22"/>
        </w:rPr>
        <w:t>enters into relationships with a wide variety of businesses, suppliers, service providers, agents and others.</w:t>
      </w:r>
      <w:r w:rsidR="00D34B00" w:rsidRPr="009D55B0">
        <w:rPr>
          <w:rFonts w:cs="Open Sans"/>
          <w:sz w:val="22"/>
          <w:szCs w:val="22"/>
        </w:rPr>
        <w:t xml:space="preserve"> </w:t>
      </w:r>
      <w:r w:rsidR="0075483F" w:rsidRPr="009D55B0">
        <w:rPr>
          <w:rFonts w:cs="Open Sans"/>
          <w:sz w:val="22"/>
          <w:szCs w:val="22"/>
        </w:rPr>
        <w:t>This</w:t>
      </w:r>
      <w:r w:rsidR="007D7BA3" w:rsidRPr="009D55B0">
        <w:rPr>
          <w:rFonts w:cs="Open Sans"/>
          <w:sz w:val="22"/>
          <w:szCs w:val="22"/>
        </w:rPr>
        <w:t xml:space="preserve"> </w:t>
      </w:r>
      <w:r w:rsidR="00E55324">
        <w:rPr>
          <w:rFonts w:cs="Open Sans"/>
          <w:sz w:val="22"/>
          <w:szCs w:val="22"/>
        </w:rPr>
        <w:t>Responsible Sourcing</w:t>
      </w:r>
      <w:r w:rsidR="0075483F" w:rsidRPr="009D55B0">
        <w:rPr>
          <w:rFonts w:cs="Open Sans"/>
          <w:sz w:val="22"/>
          <w:szCs w:val="22"/>
        </w:rPr>
        <w:t xml:space="preserve"> Policy</w:t>
      </w:r>
      <w:r w:rsidR="007D7BA3" w:rsidRPr="009D55B0">
        <w:rPr>
          <w:rFonts w:cs="Open Sans"/>
          <w:sz w:val="22"/>
          <w:szCs w:val="22"/>
        </w:rPr>
        <w:t xml:space="preserve"> (</w:t>
      </w:r>
      <w:r w:rsidR="007D7BA3" w:rsidRPr="009D55B0">
        <w:rPr>
          <w:rFonts w:cs="Open Sans"/>
          <w:b/>
          <w:bCs/>
          <w:sz w:val="22"/>
          <w:szCs w:val="22"/>
        </w:rPr>
        <w:t>Policy</w:t>
      </w:r>
      <w:r w:rsidR="007D7BA3" w:rsidRPr="009D55B0">
        <w:rPr>
          <w:rFonts w:cs="Open Sans"/>
          <w:sz w:val="22"/>
          <w:szCs w:val="22"/>
        </w:rPr>
        <w:t>)</w:t>
      </w:r>
      <w:r w:rsidR="0075483F" w:rsidRPr="009D55B0">
        <w:rPr>
          <w:rFonts w:cs="Open Sans"/>
          <w:sz w:val="22"/>
          <w:szCs w:val="22"/>
        </w:rPr>
        <w:t xml:space="preserve"> </w:t>
      </w:r>
      <w:r w:rsidR="002F3E15" w:rsidRPr="009D55B0">
        <w:rPr>
          <w:rFonts w:cs="Open Sans"/>
          <w:sz w:val="22"/>
          <w:szCs w:val="22"/>
        </w:rPr>
        <w:t>sets out the</w:t>
      </w:r>
      <w:r w:rsidR="002A11AD" w:rsidRPr="009D55B0">
        <w:rPr>
          <w:rFonts w:cs="Open Sans"/>
          <w:sz w:val="22"/>
          <w:szCs w:val="22"/>
        </w:rPr>
        <w:t xml:space="preserve"> Commission’s commitment to protecting</w:t>
      </w:r>
      <w:r w:rsidR="00227638" w:rsidRPr="009D55B0">
        <w:rPr>
          <w:rFonts w:cs="Open Sans"/>
          <w:sz w:val="22"/>
          <w:szCs w:val="22"/>
        </w:rPr>
        <w:t xml:space="preserve"> and promoting</w:t>
      </w:r>
      <w:r w:rsidR="002A11AD" w:rsidRPr="009D55B0">
        <w:rPr>
          <w:rFonts w:cs="Open Sans"/>
          <w:sz w:val="22"/>
          <w:szCs w:val="22"/>
        </w:rPr>
        <w:t xml:space="preserve"> human rights </w:t>
      </w:r>
      <w:r w:rsidR="007E0E55" w:rsidRPr="009D55B0">
        <w:rPr>
          <w:rFonts w:cs="Open Sans"/>
          <w:sz w:val="22"/>
          <w:szCs w:val="22"/>
        </w:rPr>
        <w:t>through its</w:t>
      </w:r>
      <w:r w:rsidR="00936B15" w:rsidRPr="009D55B0">
        <w:rPr>
          <w:rFonts w:cs="Open Sans"/>
          <w:sz w:val="22"/>
          <w:szCs w:val="22"/>
        </w:rPr>
        <w:t xml:space="preserve"> procurement</w:t>
      </w:r>
      <w:r w:rsidR="00E027E1">
        <w:rPr>
          <w:rFonts w:cs="Open Sans"/>
          <w:sz w:val="22"/>
          <w:szCs w:val="22"/>
        </w:rPr>
        <w:t xml:space="preserve"> </w:t>
      </w:r>
      <w:r w:rsidR="0001542A">
        <w:rPr>
          <w:rFonts w:cs="Open Sans"/>
          <w:sz w:val="22"/>
          <w:szCs w:val="22"/>
        </w:rPr>
        <w:t>practices</w:t>
      </w:r>
      <w:r w:rsidR="002A11AD" w:rsidRPr="009D55B0">
        <w:rPr>
          <w:rFonts w:cs="Open Sans"/>
          <w:sz w:val="22"/>
          <w:szCs w:val="22"/>
        </w:rPr>
        <w:t xml:space="preserve">. </w:t>
      </w:r>
    </w:p>
    <w:p w14:paraId="703BF8EB" w14:textId="71A82932" w:rsidR="00AC588F" w:rsidRPr="009D55B0" w:rsidRDefault="009725F7" w:rsidP="00AC588F">
      <w:pPr>
        <w:rPr>
          <w:rFonts w:cs="Open Sans"/>
          <w:sz w:val="22"/>
          <w:szCs w:val="22"/>
        </w:rPr>
      </w:pPr>
      <w:r w:rsidRPr="009D55B0">
        <w:rPr>
          <w:rFonts w:cs="Open Sans"/>
          <w:sz w:val="22"/>
          <w:szCs w:val="22"/>
        </w:rPr>
        <w:t>This Policy</w:t>
      </w:r>
      <w:r w:rsidR="00902F45" w:rsidRPr="009D55B0">
        <w:rPr>
          <w:rFonts w:cs="Open Sans"/>
          <w:sz w:val="22"/>
          <w:szCs w:val="22"/>
        </w:rPr>
        <w:t xml:space="preserve"> support</w:t>
      </w:r>
      <w:r w:rsidRPr="009D55B0">
        <w:rPr>
          <w:rFonts w:cs="Open Sans"/>
          <w:sz w:val="22"/>
          <w:szCs w:val="22"/>
        </w:rPr>
        <w:t>s</w:t>
      </w:r>
      <w:r w:rsidR="00902F45" w:rsidRPr="009D55B0">
        <w:rPr>
          <w:rFonts w:cs="Open Sans"/>
          <w:sz w:val="22"/>
          <w:szCs w:val="22"/>
        </w:rPr>
        <w:t xml:space="preserve"> the</w:t>
      </w:r>
      <w:r w:rsidR="00EE2766">
        <w:rPr>
          <w:rFonts w:cs="Open Sans"/>
          <w:sz w:val="22"/>
          <w:szCs w:val="22"/>
        </w:rPr>
        <w:t xml:space="preserve"> Commission’s</w:t>
      </w:r>
      <w:r w:rsidR="00AC588F" w:rsidRPr="009D55B0">
        <w:rPr>
          <w:rFonts w:cs="Open Sans"/>
          <w:sz w:val="22"/>
          <w:szCs w:val="22"/>
        </w:rPr>
        <w:t>:</w:t>
      </w:r>
    </w:p>
    <w:p w14:paraId="0560CDC4" w14:textId="4BDD452E" w:rsidR="00A074BB" w:rsidRPr="009D55B0" w:rsidRDefault="00A074BB" w:rsidP="00ED4DFF">
      <w:pPr>
        <w:pStyle w:val="ListParagraph"/>
        <w:numPr>
          <w:ilvl w:val="0"/>
          <w:numId w:val="17"/>
        </w:numPr>
        <w:ind w:left="852"/>
        <w:rPr>
          <w:rFonts w:cs="Open Sans"/>
          <w:sz w:val="22"/>
          <w:szCs w:val="22"/>
        </w:rPr>
      </w:pPr>
      <w:r w:rsidRPr="009D55B0">
        <w:rPr>
          <w:rFonts w:cs="Open Sans"/>
          <w:sz w:val="22"/>
          <w:szCs w:val="22"/>
        </w:rPr>
        <w:t xml:space="preserve">response to the </w:t>
      </w:r>
      <w:r w:rsidRPr="009D55B0">
        <w:rPr>
          <w:rFonts w:cs="Open Sans"/>
          <w:i/>
          <w:iCs/>
          <w:sz w:val="22"/>
          <w:szCs w:val="22"/>
        </w:rPr>
        <w:t xml:space="preserve">Modern Slavery Act 2018 </w:t>
      </w:r>
      <w:r w:rsidRPr="009D55B0">
        <w:rPr>
          <w:rFonts w:cs="Open Sans"/>
          <w:sz w:val="22"/>
          <w:szCs w:val="22"/>
        </w:rPr>
        <w:t>(</w:t>
      </w:r>
      <w:proofErr w:type="spellStart"/>
      <w:r w:rsidRPr="009D55B0">
        <w:rPr>
          <w:rFonts w:cs="Open Sans"/>
          <w:sz w:val="22"/>
          <w:szCs w:val="22"/>
        </w:rPr>
        <w:t>Cth</w:t>
      </w:r>
      <w:proofErr w:type="spellEnd"/>
      <w:r w:rsidRPr="009D55B0">
        <w:rPr>
          <w:rFonts w:cs="Open Sans"/>
          <w:sz w:val="22"/>
          <w:szCs w:val="22"/>
        </w:rPr>
        <w:t>) (</w:t>
      </w:r>
      <w:r w:rsidRPr="009D55B0">
        <w:rPr>
          <w:rFonts w:cs="Open Sans"/>
          <w:b/>
          <w:bCs/>
          <w:sz w:val="22"/>
          <w:szCs w:val="22"/>
        </w:rPr>
        <w:t>Modern Slavery Act</w:t>
      </w:r>
      <w:r w:rsidRPr="009D55B0">
        <w:rPr>
          <w:rFonts w:cs="Open Sans"/>
          <w:sz w:val="22"/>
          <w:szCs w:val="22"/>
        </w:rPr>
        <w:t>)</w:t>
      </w:r>
    </w:p>
    <w:p w14:paraId="47C93DE4" w14:textId="3E99137B" w:rsidR="00166F33" w:rsidRPr="009D55B0" w:rsidRDefault="00AC588F" w:rsidP="00ED4DFF">
      <w:pPr>
        <w:pStyle w:val="ListParagraph"/>
        <w:numPr>
          <w:ilvl w:val="0"/>
          <w:numId w:val="17"/>
        </w:numPr>
        <w:ind w:left="852"/>
        <w:rPr>
          <w:rFonts w:cs="Open Sans"/>
          <w:i/>
          <w:iCs/>
          <w:sz w:val="22"/>
          <w:szCs w:val="22"/>
        </w:rPr>
      </w:pPr>
      <w:r w:rsidRPr="009D55B0">
        <w:rPr>
          <w:rFonts w:cs="Open Sans"/>
          <w:sz w:val="22"/>
          <w:szCs w:val="22"/>
        </w:rPr>
        <w:t>implement</w:t>
      </w:r>
      <w:r w:rsidR="00EE2766">
        <w:rPr>
          <w:rFonts w:cs="Open Sans"/>
          <w:sz w:val="22"/>
          <w:szCs w:val="22"/>
        </w:rPr>
        <w:t>ation of</w:t>
      </w:r>
      <w:r w:rsidRPr="009D55B0">
        <w:rPr>
          <w:rFonts w:cs="Open Sans"/>
          <w:sz w:val="22"/>
          <w:szCs w:val="22"/>
        </w:rPr>
        <w:t xml:space="preserve"> the 2011 </w:t>
      </w:r>
      <w:r w:rsidRPr="009D55B0">
        <w:rPr>
          <w:rFonts w:cs="Open Sans"/>
          <w:i/>
          <w:iCs/>
          <w:sz w:val="22"/>
          <w:szCs w:val="22"/>
        </w:rPr>
        <w:t xml:space="preserve">United Nations Guiding Principles on Business and Human Rights </w:t>
      </w:r>
      <w:r w:rsidRPr="009D55B0">
        <w:rPr>
          <w:rFonts w:cs="Open Sans"/>
          <w:sz w:val="22"/>
          <w:szCs w:val="22"/>
        </w:rPr>
        <w:t>(</w:t>
      </w:r>
      <w:r w:rsidRPr="009D55B0">
        <w:rPr>
          <w:rFonts w:cs="Open Sans"/>
          <w:b/>
          <w:bCs/>
          <w:sz w:val="22"/>
          <w:szCs w:val="22"/>
        </w:rPr>
        <w:t>UNGPs</w:t>
      </w:r>
      <w:r w:rsidRPr="009D55B0">
        <w:rPr>
          <w:rFonts w:cs="Open Sans"/>
          <w:sz w:val="22"/>
          <w:szCs w:val="22"/>
        </w:rPr>
        <w:t>)</w:t>
      </w:r>
      <w:r w:rsidR="00166F33" w:rsidRPr="00F17549">
        <w:rPr>
          <w:rStyle w:val="EndnoteReference"/>
          <w:rFonts w:cs="Open Sans"/>
          <w:sz w:val="22"/>
          <w:szCs w:val="22"/>
        </w:rPr>
        <w:endnoteReference w:id="2"/>
      </w:r>
      <w:r w:rsidR="00166F33" w:rsidRPr="009D55B0">
        <w:rPr>
          <w:rFonts w:cs="Open Sans"/>
          <w:sz w:val="22"/>
          <w:szCs w:val="22"/>
        </w:rPr>
        <w:t xml:space="preserve"> and </w:t>
      </w:r>
      <w:r w:rsidR="00EE2766" w:rsidRPr="009D55B0">
        <w:rPr>
          <w:rFonts w:cs="Open Sans"/>
          <w:sz w:val="22"/>
          <w:szCs w:val="22"/>
        </w:rPr>
        <w:t>contribut</w:t>
      </w:r>
      <w:r w:rsidR="00EE2766">
        <w:rPr>
          <w:rFonts w:cs="Open Sans"/>
          <w:sz w:val="22"/>
          <w:szCs w:val="22"/>
        </w:rPr>
        <w:t>ing</w:t>
      </w:r>
      <w:r w:rsidR="00EE2766" w:rsidRPr="009D55B0">
        <w:rPr>
          <w:rFonts w:cs="Open Sans"/>
          <w:sz w:val="22"/>
          <w:szCs w:val="22"/>
        </w:rPr>
        <w:t xml:space="preserve"> </w:t>
      </w:r>
      <w:r w:rsidR="00166F33" w:rsidRPr="009D55B0">
        <w:rPr>
          <w:rFonts w:cs="Open Sans"/>
          <w:sz w:val="22"/>
          <w:szCs w:val="22"/>
        </w:rPr>
        <w:t xml:space="preserve">to the achievement of Targets 8.7 and 12.7 of the </w:t>
      </w:r>
      <w:r w:rsidR="00166F33" w:rsidRPr="009D55B0">
        <w:rPr>
          <w:rFonts w:cs="Open Sans"/>
          <w:i/>
          <w:sz w:val="22"/>
          <w:szCs w:val="22"/>
        </w:rPr>
        <w:t>Sustainable Development Goals</w:t>
      </w:r>
      <w:r w:rsidR="00166F33" w:rsidRPr="009D55B0">
        <w:rPr>
          <w:rFonts w:cs="Open Sans"/>
          <w:sz w:val="22"/>
          <w:szCs w:val="22"/>
        </w:rPr>
        <w:t xml:space="preserve"> (</w:t>
      </w:r>
      <w:r w:rsidR="00166F33" w:rsidRPr="009D55B0">
        <w:rPr>
          <w:rFonts w:cs="Open Sans"/>
          <w:b/>
          <w:bCs/>
          <w:sz w:val="22"/>
          <w:szCs w:val="22"/>
        </w:rPr>
        <w:t>SDGs</w:t>
      </w:r>
      <w:r w:rsidR="00166F33" w:rsidRPr="009D55B0">
        <w:rPr>
          <w:rFonts w:cs="Open Sans"/>
          <w:sz w:val="22"/>
          <w:szCs w:val="22"/>
        </w:rPr>
        <w:t>)</w:t>
      </w:r>
      <w:r w:rsidR="00166F33" w:rsidRPr="009D55B0">
        <w:rPr>
          <w:rStyle w:val="EndnoteReference"/>
          <w:rFonts w:cs="Open Sans"/>
          <w:sz w:val="22"/>
          <w:szCs w:val="22"/>
        </w:rPr>
        <w:endnoteReference w:id="3"/>
      </w:r>
    </w:p>
    <w:p w14:paraId="057CF321" w14:textId="118D2243" w:rsidR="00166F33" w:rsidRPr="002E323F" w:rsidRDefault="00166F33" w:rsidP="00C35A97">
      <w:pPr>
        <w:pStyle w:val="ListParagraph"/>
        <w:numPr>
          <w:ilvl w:val="0"/>
          <w:numId w:val="17"/>
        </w:numPr>
        <w:ind w:left="852"/>
        <w:rPr>
          <w:rFonts w:cs="Open Sans"/>
          <w:i/>
          <w:iCs/>
          <w:sz w:val="22"/>
          <w:szCs w:val="22"/>
        </w:rPr>
      </w:pPr>
      <w:r>
        <w:rPr>
          <w:rFonts w:cs="Open Sans"/>
          <w:iCs/>
          <w:sz w:val="22"/>
          <w:szCs w:val="22"/>
        </w:rPr>
        <w:t>management of public resources including application</w:t>
      </w:r>
      <w:r w:rsidRPr="009D55B0">
        <w:rPr>
          <w:rFonts w:cs="Open Sans"/>
          <w:iCs/>
          <w:sz w:val="22"/>
          <w:szCs w:val="22"/>
        </w:rPr>
        <w:t xml:space="preserve"> of the </w:t>
      </w:r>
      <w:r w:rsidRPr="009D55B0">
        <w:rPr>
          <w:rFonts w:cs="Open Sans"/>
          <w:i/>
          <w:iCs/>
          <w:sz w:val="22"/>
          <w:szCs w:val="22"/>
        </w:rPr>
        <w:t>Commonwealth Procurement Rules</w:t>
      </w:r>
      <w:r w:rsidRPr="009D55B0">
        <w:rPr>
          <w:rStyle w:val="EndnoteReference"/>
          <w:rFonts w:cs="Open Sans"/>
          <w:sz w:val="22"/>
          <w:szCs w:val="22"/>
        </w:rPr>
        <w:endnoteReference w:id="4"/>
      </w:r>
      <w:r w:rsidRPr="009D55B0">
        <w:rPr>
          <w:rFonts w:cs="Open Sans"/>
          <w:sz w:val="22"/>
          <w:szCs w:val="22"/>
        </w:rPr>
        <w:t xml:space="preserve"> and the </w:t>
      </w:r>
      <w:r w:rsidRPr="009D55B0">
        <w:rPr>
          <w:rFonts w:cs="Open Sans"/>
          <w:i/>
          <w:iCs/>
          <w:sz w:val="22"/>
          <w:szCs w:val="22"/>
        </w:rPr>
        <w:t>Public Governance, Performance and Accountability Act 2013</w:t>
      </w:r>
      <w:r w:rsidRPr="009D55B0">
        <w:rPr>
          <w:rFonts w:cs="Open Sans"/>
          <w:sz w:val="22"/>
          <w:szCs w:val="22"/>
        </w:rPr>
        <w:t xml:space="preserve"> (</w:t>
      </w:r>
      <w:r w:rsidRPr="009D55B0">
        <w:rPr>
          <w:rFonts w:cs="Open Sans"/>
          <w:b/>
          <w:bCs/>
          <w:sz w:val="22"/>
          <w:szCs w:val="22"/>
        </w:rPr>
        <w:t>PGPA Act</w:t>
      </w:r>
      <w:r w:rsidRPr="009D55B0">
        <w:rPr>
          <w:rFonts w:cs="Open Sans"/>
          <w:sz w:val="22"/>
          <w:szCs w:val="22"/>
        </w:rPr>
        <w:t>)</w:t>
      </w:r>
    </w:p>
    <w:p w14:paraId="6769CFF7" w14:textId="2E0F9470" w:rsidR="00166F33" w:rsidRPr="009D55B0" w:rsidRDefault="00166F33" w:rsidP="00C35A97">
      <w:pPr>
        <w:pStyle w:val="ListParagraph"/>
        <w:numPr>
          <w:ilvl w:val="0"/>
          <w:numId w:val="17"/>
        </w:numPr>
        <w:ind w:left="852"/>
        <w:rPr>
          <w:rFonts w:cs="Open Sans"/>
          <w:i/>
          <w:iCs/>
          <w:sz w:val="22"/>
          <w:szCs w:val="22"/>
        </w:rPr>
      </w:pPr>
      <w:r>
        <w:rPr>
          <w:rFonts w:cs="Open Sans"/>
          <w:sz w:val="22"/>
          <w:szCs w:val="22"/>
        </w:rPr>
        <w:t xml:space="preserve">wider procurement policies, practices procedures. </w:t>
      </w:r>
    </w:p>
    <w:p w14:paraId="67450332" w14:textId="3E4A5AB0" w:rsidR="00166F33" w:rsidRPr="009D55B0" w:rsidRDefault="00166F33" w:rsidP="009D55B0">
      <w:pPr>
        <w:pStyle w:val="Heading1"/>
      </w:pPr>
      <w:bookmarkStart w:id="4" w:name="_Toc40773903"/>
      <w:bookmarkStart w:id="5" w:name="_Toc525894099"/>
      <w:r w:rsidRPr="009D55B0">
        <w:t>Application and scope</w:t>
      </w:r>
      <w:bookmarkEnd w:id="4"/>
      <w:r w:rsidRPr="009D55B0">
        <w:t xml:space="preserve"> </w:t>
      </w:r>
    </w:p>
    <w:p w14:paraId="77E3A817" w14:textId="1897CD18" w:rsidR="00166F33" w:rsidRPr="00BE3C77" w:rsidRDefault="00166F33" w:rsidP="00BE3C77">
      <w:pPr>
        <w:pStyle w:val="Heading2"/>
      </w:pPr>
      <w:bookmarkStart w:id="6" w:name="_Toc40773904"/>
      <w:r w:rsidRPr="00BE3C77">
        <w:t>Commission staff</w:t>
      </w:r>
      <w:bookmarkEnd w:id="6"/>
    </w:p>
    <w:p w14:paraId="37ACAB73" w14:textId="204B43E6" w:rsidR="00166F33" w:rsidRPr="009D55B0" w:rsidRDefault="00166F33" w:rsidP="00503172">
      <w:pPr>
        <w:rPr>
          <w:rFonts w:cs="Open Sans"/>
          <w:sz w:val="22"/>
          <w:szCs w:val="22"/>
        </w:rPr>
      </w:pPr>
      <w:r w:rsidRPr="009D55B0">
        <w:rPr>
          <w:rFonts w:cs="Open Sans"/>
          <w:sz w:val="22"/>
          <w:szCs w:val="22"/>
        </w:rPr>
        <w:t>This Policy applies to all Commission staff</w:t>
      </w:r>
      <w:r>
        <w:rPr>
          <w:rFonts w:cs="Open Sans"/>
          <w:sz w:val="22"/>
          <w:szCs w:val="22"/>
        </w:rPr>
        <w:t>;</w:t>
      </w:r>
      <w:r w:rsidRPr="009D55B0">
        <w:rPr>
          <w:rFonts w:cs="Open Sans"/>
          <w:sz w:val="22"/>
          <w:szCs w:val="22"/>
        </w:rPr>
        <w:t xml:space="preserve"> in particular those involved in</w:t>
      </w:r>
      <w:r>
        <w:rPr>
          <w:rFonts w:cs="Open Sans"/>
          <w:sz w:val="22"/>
          <w:szCs w:val="22"/>
        </w:rPr>
        <w:t xml:space="preserve"> any</w:t>
      </w:r>
      <w:r w:rsidRPr="009D55B0">
        <w:rPr>
          <w:rFonts w:cs="Open Sans"/>
          <w:sz w:val="22"/>
          <w:szCs w:val="22"/>
        </w:rPr>
        <w:t xml:space="preserve"> procurement</w:t>
      </w:r>
      <w:r>
        <w:rPr>
          <w:rFonts w:cs="Open Sans"/>
          <w:sz w:val="22"/>
          <w:szCs w:val="22"/>
        </w:rPr>
        <w:t xml:space="preserve"> activity</w:t>
      </w:r>
      <w:r w:rsidRPr="009D55B0">
        <w:rPr>
          <w:rFonts w:cs="Open Sans"/>
          <w:sz w:val="22"/>
          <w:szCs w:val="22"/>
        </w:rPr>
        <w:t xml:space="preserve"> on behalf of the Commission.</w:t>
      </w:r>
      <w:r>
        <w:rPr>
          <w:rFonts w:cs="Open Sans"/>
          <w:sz w:val="22"/>
          <w:szCs w:val="22"/>
        </w:rPr>
        <w:t xml:space="preserve"> All</w:t>
      </w:r>
      <w:r w:rsidRPr="009D55B0">
        <w:rPr>
          <w:rFonts w:cs="Open Sans"/>
          <w:sz w:val="22"/>
          <w:szCs w:val="22"/>
        </w:rPr>
        <w:t xml:space="preserve"> Commission staff will receive training on this Policy and any supporting processes applicable to their role. This Policy should be read in conjunction with the Commission’s existing procurement policies and procedures. </w:t>
      </w:r>
    </w:p>
    <w:p w14:paraId="0F20AE5D" w14:textId="216ABDA4" w:rsidR="00166F33" w:rsidRPr="009D55B0" w:rsidRDefault="00166F33" w:rsidP="00503172">
      <w:pPr>
        <w:rPr>
          <w:rFonts w:cs="Open Sans"/>
          <w:sz w:val="22"/>
          <w:szCs w:val="22"/>
        </w:rPr>
      </w:pPr>
      <w:r w:rsidRPr="009D55B0">
        <w:rPr>
          <w:rFonts w:cs="Open Sans"/>
          <w:sz w:val="22"/>
          <w:szCs w:val="22"/>
        </w:rPr>
        <w:t xml:space="preserve">The responsibilities and accountabilities across the Commission for implementing this Policy are outlined at Item </w:t>
      </w:r>
      <w:r w:rsidRPr="009D55B0">
        <w:rPr>
          <w:rFonts w:cs="Open Sans"/>
          <w:color w:val="2B579A"/>
          <w:sz w:val="22"/>
          <w:szCs w:val="22"/>
          <w:shd w:val="clear" w:color="auto" w:fill="E6E6E6"/>
        </w:rPr>
        <w:fldChar w:fldCharType="begin"/>
      </w:r>
      <w:r w:rsidRPr="009D55B0">
        <w:rPr>
          <w:rFonts w:cs="Open Sans"/>
          <w:sz w:val="22"/>
          <w:szCs w:val="22"/>
        </w:rPr>
        <w:instrText xml:space="preserve"> REF _Ref442618015 \r \h  \* MERGEFORMAT </w:instrText>
      </w:r>
      <w:r w:rsidRPr="009D55B0">
        <w:rPr>
          <w:rFonts w:cs="Open Sans"/>
          <w:color w:val="2B579A"/>
          <w:sz w:val="22"/>
          <w:szCs w:val="22"/>
          <w:shd w:val="clear" w:color="auto" w:fill="E6E6E6"/>
        </w:rPr>
      </w:r>
      <w:r w:rsidRPr="009D55B0">
        <w:rPr>
          <w:rFonts w:cs="Open Sans"/>
          <w:color w:val="2B579A"/>
          <w:sz w:val="22"/>
          <w:szCs w:val="22"/>
          <w:shd w:val="clear" w:color="auto" w:fill="E6E6E6"/>
        </w:rPr>
        <w:fldChar w:fldCharType="separate"/>
      </w:r>
      <w:r w:rsidRPr="009D55B0">
        <w:rPr>
          <w:rFonts w:cs="Open Sans"/>
          <w:sz w:val="22"/>
          <w:szCs w:val="22"/>
        </w:rPr>
        <w:t>8</w:t>
      </w:r>
      <w:r w:rsidRPr="009D55B0">
        <w:rPr>
          <w:rFonts w:cs="Open Sans"/>
          <w:color w:val="2B579A"/>
          <w:sz w:val="22"/>
          <w:szCs w:val="22"/>
          <w:shd w:val="clear" w:color="auto" w:fill="E6E6E6"/>
        </w:rPr>
        <w:fldChar w:fldCharType="end"/>
      </w:r>
      <w:r w:rsidRPr="009D55B0">
        <w:rPr>
          <w:rFonts w:cs="Open Sans"/>
          <w:sz w:val="22"/>
          <w:szCs w:val="22"/>
        </w:rPr>
        <w:t>.</w:t>
      </w:r>
    </w:p>
    <w:p w14:paraId="0DE9A2F4" w14:textId="7B66A72B" w:rsidR="00166F33" w:rsidRPr="009D55B0" w:rsidRDefault="00166F33" w:rsidP="00BE3C77">
      <w:pPr>
        <w:pStyle w:val="Heading2"/>
      </w:pPr>
      <w:bookmarkStart w:id="7" w:name="_Toc40773905"/>
      <w:r w:rsidRPr="009D55B0">
        <w:lastRenderedPageBreak/>
        <w:t>Suppliers</w:t>
      </w:r>
      <w:bookmarkEnd w:id="7"/>
      <w:r w:rsidRPr="009D55B0">
        <w:t xml:space="preserve"> </w:t>
      </w:r>
    </w:p>
    <w:p w14:paraId="0F37DDA5" w14:textId="26BE6554" w:rsidR="00166F33" w:rsidRPr="009D55B0" w:rsidRDefault="00166F33" w:rsidP="00143EF9">
      <w:pPr>
        <w:spacing w:line="276" w:lineRule="auto"/>
        <w:rPr>
          <w:rFonts w:cs="Open Sans"/>
          <w:sz w:val="22"/>
          <w:szCs w:val="22"/>
        </w:rPr>
      </w:pPr>
      <w:r w:rsidRPr="009D55B0">
        <w:rPr>
          <w:rFonts w:cs="Open Sans"/>
          <w:sz w:val="22"/>
          <w:szCs w:val="22"/>
        </w:rPr>
        <w:t>The Commission expects all Suppliers to the Commission</w:t>
      </w:r>
      <w:r>
        <w:rPr>
          <w:rFonts w:cs="Open Sans"/>
          <w:sz w:val="22"/>
          <w:szCs w:val="22"/>
        </w:rPr>
        <w:t xml:space="preserve"> </w:t>
      </w:r>
      <w:r w:rsidRPr="009D55B0">
        <w:rPr>
          <w:rFonts w:cs="Open Sans"/>
          <w:sz w:val="22"/>
          <w:szCs w:val="22"/>
        </w:rPr>
        <w:t>to familiarise themselves with this Policy, in particular Item</w:t>
      </w:r>
      <w:r>
        <w:rPr>
          <w:rFonts w:cs="Open Sans"/>
          <w:sz w:val="22"/>
          <w:szCs w:val="22"/>
        </w:rPr>
        <w:t xml:space="preserve"> </w:t>
      </w:r>
      <w:r w:rsidRPr="009D55B0">
        <w:rPr>
          <w:rFonts w:cs="Open Sans"/>
          <w:color w:val="2B579A"/>
          <w:sz w:val="22"/>
          <w:szCs w:val="22"/>
          <w:shd w:val="clear" w:color="auto" w:fill="E6E6E6"/>
        </w:rPr>
        <w:fldChar w:fldCharType="begin"/>
      </w:r>
      <w:r w:rsidRPr="009D55B0">
        <w:rPr>
          <w:rFonts w:cs="Open Sans"/>
          <w:sz w:val="22"/>
          <w:szCs w:val="22"/>
        </w:rPr>
        <w:instrText xml:space="preserve"> REF _Ref443162219 \r \h </w:instrText>
      </w:r>
      <w:r>
        <w:rPr>
          <w:rFonts w:cs="Open Sans"/>
          <w:sz w:val="22"/>
          <w:szCs w:val="22"/>
        </w:rPr>
        <w:instrText xml:space="preserve"> \* MERGEFORMAT </w:instrText>
      </w:r>
      <w:r w:rsidRPr="009D55B0">
        <w:rPr>
          <w:rFonts w:cs="Open Sans"/>
          <w:color w:val="2B579A"/>
          <w:sz w:val="22"/>
          <w:szCs w:val="22"/>
          <w:shd w:val="clear" w:color="auto" w:fill="E6E6E6"/>
        </w:rPr>
      </w:r>
      <w:r w:rsidRPr="009D55B0">
        <w:rPr>
          <w:rFonts w:cs="Open Sans"/>
          <w:color w:val="2B579A"/>
          <w:sz w:val="22"/>
          <w:szCs w:val="22"/>
          <w:shd w:val="clear" w:color="auto" w:fill="E6E6E6"/>
        </w:rPr>
        <w:fldChar w:fldCharType="separate"/>
      </w:r>
      <w:r w:rsidRPr="009D55B0">
        <w:rPr>
          <w:rFonts w:cs="Open Sans"/>
          <w:sz w:val="22"/>
          <w:szCs w:val="22"/>
        </w:rPr>
        <w:t>5</w:t>
      </w:r>
      <w:r w:rsidRPr="009D55B0">
        <w:rPr>
          <w:rFonts w:cs="Open Sans"/>
          <w:color w:val="2B579A"/>
          <w:sz w:val="22"/>
          <w:szCs w:val="22"/>
          <w:shd w:val="clear" w:color="auto" w:fill="E6E6E6"/>
        </w:rPr>
        <w:fldChar w:fldCharType="end"/>
      </w:r>
      <w:r w:rsidRPr="009D55B0">
        <w:rPr>
          <w:rFonts w:cs="Open Sans"/>
          <w:sz w:val="22"/>
          <w:szCs w:val="22"/>
        </w:rPr>
        <w:t xml:space="preserve">. </w:t>
      </w:r>
    </w:p>
    <w:p w14:paraId="272EFA40" w14:textId="1903DB60" w:rsidR="00166F33" w:rsidRPr="009D55B0" w:rsidRDefault="00166F33" w:rsidP="00BE3C77">
      <w:pPr>
        <w:pStyle w:val="Heading2"/>
      </w:pPr>
      <w:bookmarkStart w:id="8" w:name="_Toc40773906"/>
      <w:r w:rsidRPr="009D55B0">
        <w:t>Procurement</w:t>
      </w:r>
      <w:bookmarkEnd w:id="8"/>
    </w:p>
    <w:p w14:paraId="56563649" w14:textId="711B356A" w:rsidR="00166F33" w:rsidRPr="009D55B0" w:rsidRDefault="00166F33" w:rsidP="000B7003">
      <w:pPr>
        <w:rPr>
          <w:rFonts w:cs="Open Sans"/>
          <w:sz w:val="22"/>
          <w:szCs w:val="22"/>
        </w:rPr>
      </w:pPr>
      <w:r w:rsidRPr="009D55B0">
        <w:rPr>
          <w:rFonts w:cs="Open Sans"/>
          <w:sz w:val="22"/>
          <w:szCs w:val="22"/>
        </w:rPr>
        <w:t>This Policy applies to</w:t>
      </w:r>
      <w:r>
        <w:rPr>
          <w:rFonts w:cs="Open Sans"/>
          <w:sz w:val="22"/>
          <w:szCs w:val="22"/>
        </w:rPr>
        <w:t xml:space="preserve"> all</w:t>
      </w:r>
      <w:r w:rsidRPr="009D55B0">
        <w:rPr>
          <w:rFonts w:cs="Open Sans"/>
          <w:sz w:val="22"/>
          <w:szCs w:val="22"/>
        </w:rPr>
        <w:t xml:space="preserve"> procurement </w:t>
      </w:r>
      <w:r>
        <w:rPr>
          <w:rFonts w:cs="Open Sans"/>
          <w:sz w:val="22"/>
          <w:szCs w:val="22"/>
        </w:rPr>
        <w:t xml:space="preserve">undertaken by the </w:t>
      </w:r>
      <w:r w:rsidRPr="009D55B0">
        <w:rPr>
          <w:rFonts w:cs="Open Sans"/>
          <w:sz w:val="22"/>
          <w:szCs w:val="22"/>
        </w:rPr>
        <w:t>Commission, including existing Supplier contracts and relationships and new procurement activity.</w:t>
      </w:r>
    </w:p>
    <w:p w14:paraId="5C750DA6" w14:textId="267A8535" w:rsidR="00166F33" w:rsidRPr="009D55B0" w:rsidRDefault="00166F33" w:rsidP="000B7003">
      <w:pPr>
        <w:rPr>
          <w:rFonts w:cs="Open Sans"/>
          <w:sz w:val="22"/>
          <w:szCs w:val="22"/>
        </w:rPr>
      </w:pPr>
      <w:r w:rsidRPr="009D55B0">
        <w:rPr>
          <w:rFonts w:cs="Open Sans"/>
          <w:sz w:val="22"/>
          <w:szCs w:val="22"/>
        </w:rPr>
        <w:t>However</w:t>
      </w:r>
      <w:r w:rsidR="00EE2766">
        <w:rPr>
          <w:rFonts w:cs="Open Sans"/>
          <w:sz w:val="22"/>
          <w:szCs w:val="22"/>
        </w:rPr>
        <w:t>,</w:t>
      </w:r>
      <w:r w:rsidRPr="009D55B0">
        <w:rPr>
          <w:rFonts w:cs="Open Sans"/>
          <w:sz w:val="22"/>
          <w:szCs w:val="22"/>
        </w:rPr>
        <w:t xml:space="preserve"> the Commission also acknowledges that adverse human rights impacts may arise in respect of the Commission’s own operations, including in the context of Commission employment. The Commission is committed to respecting human rights through its own direct operations and employment practices and has</w:t>
      </w:r>
      <w:r>
        <w:rPr>
          <w:rFonts w:cs="Open Sans"/>
          <w:sz w:val="22"/>
          <w:szCs w:val="22"/>
        </w:rPr>
        <w:t xml:space="preserve"> a</w:t>
      </w:r>
      <w:r w:rsidRPr="009D55B0">
        <w:rPr>
          <w:rFonts w:cs="Open Sans"/>
          <w:sz w:val="22"/>
          <w:szCs w:val="22"/>
        </w:rPr>
        <w:t xml:space="preserve"> range of policies in place to address human rights risks in this context.   </w:t>
      </w:r>
    </w:p>
    <w:p w14:paraId="1E746801" w14:textId="77777777" w:rsidR="00166F33" w:rsidRPr="009D55B0" w:rsidRDefault="00166F33" w:rsidP="00BE3C77">
      <w:pPr>
        <w:pStyle w:val="Heading1"/>
      </w:pPr>
      <w:bookmarkStart w:id="9" w:name="_Toc40773907"/>
      <w:r w:rsidRPr="009D55B0">
        <w:t>Policy statement</w:t>
      </w:r>
      <w:bookmarkEnd w:id="9"/>
      <w:r w:rsidRPr="009D55B0">
        <w:t xml:space="preserve">   </w:t>
      </w:r>
    </w:p>
    <w:p w14:paraId="3E283A04" w14:textId="2097B8C9" w:rsidR="00166F33" w:rsidRPr="009D55B0" w:rsidRDefault="00166F33" w:rsidP="0018024E">
      <w:pPr>
        <w:rPr>
          <w:rFonts w:cs="Open Sans"/>
          <w:sz w:val="22"/>
          <w:szCs w:val="22"/>
        </w:rPr>
      </w:pPr>
      <w:r w:rsidRPr="009D55B0">
        <w:rPr>
          <w:rFonts w:cs="Open Sans"/>
          <w:sz w:val="22"/>
          <w:szCs w:val="22"/>
        </w:rPr>
        <w:t>The Commission is committed to protecting and promoting human rights through its procurement</w:t>
      </w:r>
      <w:r>
        <w:rPr>
          <w:rFonts w:cs="Open Sans"/>
          <w:sz w:val="22"/>
          <w:szCs w:val="22"/>
        </w:rPr>
        <w:t xml:space="preserve"> practices</w:t>
      </w:r>
      <w:r w:rsidRPr="009D55B0">
        <w:rPr>
          <w:rFonts w:cs="Open Sans"/>
          <w:sz w:val="22"/>
          <w:szCs w:val="22"/>
        </w:rPr>
        <w:t xml:space="preserve">. </w:t>
      </w:r>
    </w:p>
    <w:p w14:paraId="72C6C19B" w14:textId="46B4D1D2" w:rsidR="00166F33" w:rsidRPr="009D55B0" w:rsidRDefault="00166F33" w:rsidP="00227638">
      <w:pPr>
        <w:tabs>
          <w:tab w:val="num" w:pos="680"/>
        </w:tabs>
        <w:rPr>
          <w:rFonts w:cs="Open Sans"/>
          <w:sz w:val="22"/>
          <w:szCs w:val="22"/>
        </w:rPr>
      </w:pPr>
      <w:r w:rsidRPr="009D55B0">
        <w:rPr>
          <w:rFonts w:cs="Open Sans"/>
          <w:sz w:val="22"/>
          <w:szCs w:val="22"/>
        </w:rPr>
        <w:t xml:space="preserve">To support this commitment the Commission will:  </w:t>
      </w:r>
    </w:p>
    <w:p w14:paraId="4DFE4FF1" w14:textId="2639F4ED" w:rsidR="00166F33" w:rsidRPr="009D55B0" w:rsidRDefault="00166F33" w:rsidP="00ED4DFF">
      <w:pPr>
        <w:pStyle w:val="ListParagraph"/>
        <w:numPr>
          <w:ilvl w:val="0"/>
          <w:numId w:val="23"/>
        </w:numPr>
        <w:rPr>
          <w:rFonts w:cs="Open Sans"/>
          <w:color w:val="000000"/>
          <w:sz w:val="22"/>
          <w:szCs w:val="22"/>
        </w:rPr>
      </w:pPr>
      <w:r w:rsidRPr="009D55B0">
        <w:rPr>
          <w:rFonts w:cs="Open Sans"/>
          <w:sz w:val="22"/>
          <w:szCs w:val="22"/>
        </w:rPr>
        <w:t>take action to ensure human rights risks are identified and effectively managed within the Commission’s supply chains</w:t>
      </w:r>
      <w:r w:rsidRPr="009D55B0">
        <w:rPr>
          <w:rFonts w:cs="Open Sans"/>
          <w:color w:val="000000"/>
          <w:sz w:val="22"/>
          <w:szCs w:val="22"/>
        </w:rPr>
        <w:t xml:space="preserve">, using a human rights due diligence approach in the context of the Commission’s procurement, with a priority focus on the severe risks (see Item 6) </w:t>
      </w:r>
    </w:p>
    <w:p w14:paraId="2F480E02" w14:textId="738BEB4C" w:rsidR="00166F33" w:rsidRPr="009D55B0" w:rsidRDefault="00166F33" w:rsidP="00ED4DFF">
      <w:pPr>
        <w:pStyle w:val="ListParagraph"/>
        <w:numPr>
          <w:ilvl w:val="0"/>
          <w:numId w:val="23"/>
        </w:numPr>
        <w:rPr>
          <w:rFonts w:cs="Open Sans"/>
          <w:color w:val="000000"/>
          <w:sz w:val="22"/>
          <w:szCs w:val="22"/>
        </w:rPr>
      </w:pPr>
      <w:r w:rsidRPr="009D55B0">
        <w:rPr>
          <w:rFonts w:cs="Open Sans"/>
          <w:color w:val="000000"/>
          <w:sz w:val="22"/>
          <w:szCs w:val="22"/>
        </w:rPr>
        <w:t>support the promotion and realisation of human rights of</w:t>
      </w:r>
      <w:r>
        <w:rPr>
          <w:rFonts w:cs="Open Sans"/>
          <w:color w:val="000000"/>
          <w:sz w:val="22"/>
          <w:szCs w:val="22"/>
        </w:rPr>
        <w:t xml:space="preserve"> marginalised </w:t>
      </w:r>
      <w:r w:rsidRPr="009D55B0">
        <w:rPr>
          <w:rFonts w:cs="Open Sans"/>
          <w:color w:val="000000"/>
          <w:sz w:val="22"/>
          <w:szCs w:val="22"/>
        </w:rPr>
        <w:t>groups through social procurement (see Item 7).</w:t>
      </w:r>
    </w:p>
    <w:p w14:paraId="314FD46F" w14:textId="0968FDC1" w:rsidR="00166F33" w:rsidRPr="009D55B0" w:rsidRDefault="00166F33" w:rsidP="009D55B0">
      <w:pPr>
        <w:pStyle w:val="Heading1"/>
      </w:pPr>
      <w:bookmarkStart w:id="10" w:name="_Toc40773908"/>
      <w:r w:rsidRPr="009D55B0">
        <w:t>Policy Context</w:t>
      </w:r>
      <w:bookmarkEnd w:id="10"/>
      <w:r w:rsidRPr="009D55B0">
        <w:t xml:space="preserve">  </w:t>
      </w:r>
    </w:p>
    <w:p w14:paraId="407C954C" w14:textId="7CF4A341" w:rsidR="00166F33" w:rsidRPr="009D55B0" w:rsidRDefault="00166F33" w:rsidP="00013C91">
      <w:pPr>
        <w:rPr>
          <w:rFonts w:cs="Open Sans"/>
          <w:sz w:val="22"/>
          <w:szCs w:val="22"/>
        </w:rPr>
      </w:pPr>
      <w:r w:rsidRPr="009D55B0">
        <w:rPr>
          <w:rFonts w:cs="Open Sans"/>
          <w:sz w:val="22"/>
          <w:szCs w:val="22"/>
        </w:rPr>
        <w:t xml:space="preserve">This section sets out the international human rights standards and the Australian law and regulations that inform this Policy.  </w:t>
      </w:r>
    </w:p>
    <w:p w14:paraId="2F88B635" w14:textId="2726D1F9" w:rsidR="00166F33" w:rsidRPr="009D55B0" w:rsidRDefault="00166F33" w:rsidP="00BE3C77">
      <w:pPr>
        <w:pStyle w:val="Heading2"/>
      </w:pPr>
      <w:bookmarkStart w:id="11" w:name="_Toc40773909"/>
      <w:r w:rsidRPr="009D55B0">
        <w:t>2011 United Nations Guiding Principles on Business and Human Rights</w:t>
      </w:r>
      <w:bookmarkEnd w:id="11"/>
      <w:r w:rsidRPr="009D55B0">
        <w:t xml:space="preserve">   </w:t>
      </w:r>
    </w:p>
    <w:p w14:paraId="4D5109F6" w14:textId="5A259787" w:rsidR="00166F33" w:rsidRPr="009D55B0" w:rsidRDefault="00166F33" w:rsidP="003B3E4E">
      <w:pPr>
        <w:rPr>
          <w:rFonts w:cs="Open Sans"/>
          <w:sz w:val="22"/>
          <w:szCs w:val="22"/>
          <w:shd w:val="clear" w:color="auto" w:fill="FFFFFF"/>
        </w:rPr>
      </w:pPr>
      <w:r w:rsidRPr="009D55B0">
        <w:rPr>
          <w:rFonts w:cs="Open Sans"/>
          <w:sz w:val="22"/>
          <w:szCs w:val="22"/>
          <w:shd w:val="clear" w:color="auto" w:fill="FFFFFF"/>
        </w:rPr>
        <w:t xml:space="preserve">The </w:t>
      </w:r>
      <w:r w:rsidRPr="001732FE">
        <w:rPr>
          <w:rFonts w:cs="Open Sans"/>
          <w:sz w:val="22"/>
          <w:szCs w:val="22"/>
        </w:rPr>
        <w:t>2011 United Nations Guiding Principles on Business and Human Rights</w:t>
      </w:r>
      <w:r w:rsidRPr="009D55B0">
        <w:rPr>
          <w:rFonts w:cs="Open Sans"/>
          <w:sz w:val="22"/>
          <w:szCs w:val="22"/>
          <w:shd w:val="clear" w:color="auto" w:fill="FFFFFF"/>
        </w:rPr>
        <w:t xml:space="preserve"> </w:t>
      </w:r>
      <w:r>
        <w:rPr>
          <w:rFonts w:cs="Open Sans"/>
          <w:sz w:val="22"/>
          <w:szCs w:val="22"/>
          <w:shd w:val="clear" w:color="auto" w:fill="FFFFFF"/>
        </w:rPr>
        <w:t>(</w:t>
      </w:r>
      <w:r w:rsidRPr="00331CE1">
        <w:rPr>
          <w:rFonts w:cs="Open Sans"/>
          <w:b/>
          <w:bCs/>
          <w:sz w:val="22"/>
          <w:szCs w:val="22"/>
          <w:shd w:val="clear" w:color="auto" w:fill="FFFFFF"/>
        </w:rPr>
        <w:t>UNGPs</w:t>
      </w:r>
      <w:r>
        <w:rPr>
          <w:rFonts w:cs="Open Sans"/>
          <w:sz w:val="22"/>
          <w:szCs w:val="22"/>
          <w:shd w:val="clear" w:color="auto" w:fill="FFFFFF"/>
        </w:rPr>
        <w:t>)</w:t>
      </w:r>
      <w:r w:rsidRPr="009D55B0">
        <w:rPr>
          <w:rFonts w:cs="Open Sans"/>
          <w:sz w:val="22"/>
          <w:szCs w:val="22"/>
          <w:shd w:val="clear" w:color="auto" w:fill="FFFFFF"/>
        </w:rPr>
        <w:t xml:space="preserve"> are a set of globally recognised standards for preventing, addressing and remediating business-related human rights harms. The UNGPs were </w:t>
      </w:r>
      <w:r w:rsidRPr="009D55B0">
        <w:rPr>
          <w:rFonts w:cs="Open Sans"/>
          <w:sz w:val="22"/>
          <w:szCs w:val="22"/>
        </w:rPr>
        <w:t xml:space="preserve">unanimously endorsed by the </w:t>
      </w:r>
      <w:r w:rsidRPr="009D55B0">
        <w:rPr>
          <w:rFonts w:cs="Open Sans"/>
          <w:sz w:val="22"/>
          <w:szCs w:val="22"/>
        </w:rPr>
        <w:lastRenderedPageBreak/>
        <w:t xml:space="preserve">United Nations (UN) Human Rights Council in 2011, </w:t>
      </w:r>
      <w:r>
        <w:rPr>
          <w:rFonts w:cs="Open Sans"/>
          <w:sz w:val="22"/>
          <w:szCs w:val="22"/>
        </w:rPr>
        <w:t xml:space="preserve">and </w:t>
      </w:r>
      <w:r w:rsidRPr="009D55B0">
        <w:rPr>
          <w:rFonts w:cs="Open Sans"/>
          <w:sz w:val="22"/>
          <w:szCs w:val="22"/>
        </w:rPr>
        <w:t xml:space="preserve">the </w:t>
      </w:r>
      <w:r w:rsidRPr="009D55B0">
        <w:rPr>
          <w:rFonts w:cs="Open Sans"/>
          <w:sz w:val="22"/>
          <w:szCs w:val="22"/>
          <w:shd w:val="clear" w:color="auto" w:fill="FFFFFF"/>
        </w:rPr>
        <w:t xml:space="preserve">Australian Government has agreed to implement </w:t>
      </w:r>
      <w:r>
        <w:rPr>
          <w:rFonts w:cs="Open Sans"/>
          <w:sz w:val="22"/>
          <w:szCs w:val="22"/>
          <w:shd w:val="clear" w:color="auto" w:fill="FFFFFF"/>
        </w:rPr>
        <w:t xml:space="preserve">the </w:t>
      </w:r>
      <w:r w:rsidRPr="009D55B0">
        <w:rPr>
          <w:rFonts w:cs="Open Sans"/>
          <w:sz w:val="22"/>
          <w:szCs w:val="22"/>
          <w:shd w:val="clear" w:color="auto" w:fill="FFFFFF"/>
        </w:rPr>
        <w:t>UNGPs.</w:t>
      </w:r>
      <w:r w:rsidRPr="009D55B0">
        <w:rPr>
          <w:rStyle w:val="EndnoteReference"/>
          <w:rFonts w:cs="Open Sans"/>
          <w:sz w:val="22"/>
          <w:szCs w:val="22"/>
          <w:shd w:val="clear" w:color="auto" w:fill="FFFFFF"/>
        </w:rPr>
        <w:endnoteReference w:id="5"/>
      </w:r>
      <w:r w:rsidRPr="009D55B0">
        <w:rPr>
          <w:rFonts w:cs="Open Sans"/>
          <w:sz w:val="22"/>
          <w:szCs w:val="22"/>
          <w:shd w:val="clear" w:color="auto" w:fill="FFFFFF"/>
        </w:rPr>
        <w:t xml:space="preserve"> </w:t>
      </w:r>
    </w:p>
    <w:p w14:paraId="13FCE64B" w14:textId="66C590A2" w:rsidR="00166F33" w:rsidRPr="009D55B0" w:rsidRDefault="00166F33" w:rsidP="008C34F1">
      <w:pPr>
        <w:rPr>
          <w:rFonts w:cs="Open Sans"/>
          <w:sz w:val="22"/>
          <w:szCs w:val="22"/>
          <w:shd w:val="clear" w:color="auto" w:fill="FFFFFF"/>
        </w:rPr>
      </w:pPr>
      <w:r w:rsidRPr="009D55B0">
        <w:rPr>
          <w:rFonts w:cs="Open Sans"/>
          <w:sz w:val="22"/>
          <w:szCs w:val="22"/>
          <w:shd w:val="clear" w:color="auto" w:fill="FFFFFF"/>
        </w:rPr>
        <w:t>The expectations on nation states and businesses, set out in the three Pillars of the UNGPs are summarised below. This Policy supports the Commission in implementing Pillar I of the UNGPs by promoting business respect for human rights through Commission procurement.</w:t>
      </w:r>
    </w:p>
    <w:tbl>
      <w:tblPr>
        <w:tblStyle w:val="TableGrid"/>
        <w:tblpPr w:leftFromText="180" w:rightFromText="180" w:vertAnchor="text" w:tblpY="1"/>
        <w:tblOverlap w:val="never"/>
        <w:tblW w:w="9067" w:type="dxa"/>
        <w:tblLook w:val="04A0" w:firstRow="1" w:lastRow="0" w:firstColumn="1" w:lastColumn="0" w:noHBand="0" w:noVBand="1"/>
      </w:tblPr>
      <w:tblGrid>
        <w:gridCol w:w="1287"/>
        <w:gridCol w:w="7780"/>
      </w:tblGrid>
      <w:tr w:rsidR="00166F33" w:rsidRPr="009D55B0" w14:paraId="50C06866" w14:textId="77777777" w:rsidTr="45C62E58">
        <w:trPr>
          <w:trHeight w:val="588"/>
        </w:trPr>
        <w:tc>
          <w:tcPr>
            <w:tcW w:w="9067" w:type="dxa"/>
            <w:gridSpan w:val="2"/>
          </w:tcPr>
          <w:p w14:paraId="575E1E62" w14:textId="29912CA3" w:rsidR="00166F33" w:rsidRPr="009D55B0" w:rsidRDefault="00166F33" w:rsidP="00643082">
            <w:pPr>
              <w:contextualSpacing/>
              <w:jc w:val="center"/>
              <w:rPr>
                <w:rFonts w:cs="Open Sans"/>
                <w:sz w:val="22"/>
                <w:szCs w:val="22"/>
                <w:shd w:val="clear" w:color="auto" w:fill="FFFFFF"/>
              </w:rPr>
            </w:pPr>
            <w:r w:rsidRPr="009D55B0">
              <w:rPr>
                <w:rFonts w:cs="Open Sans"/>
                <w:b/>
                <w:bCs/>
                <w:sz w:val="22"/>
                <w:szCs w:val="22"/>
              </w:rPr>
              <w:t>United Nations Guiding Principles on Business and Human Rights</w:t>
            </w:r>
          </w:p>
        </w:tc>
      </w:tr>
      <w:tr w:rsidR="00166F33" w:rsidRPr="009D55B0" w14:paraId="4E7A66E3" w14:textId="77777777" w:rsidTr="45C62E58">
        <w:tc>
          <w:tcPr>
            <w:tcW w:w="1287" w:type="dxa"/>
          </w:tcPr>
          <w:p w14:paraId="3DBCB41E" w14:textId="2A0E3267" w:rsidR="00166F33" w:rsidRPr="009D55B0" w:rsidRDefault="00166F33" w:rsidP="00643082">
            <w:pPr>
              <w:jc w:val="center"/>
              <w:rPr>
                <w:rFonts w:cs="Open Sans"/>
                <w:b/>
                <w:bCs/>
                <w:sz w:val="22"/>
                <w:szCs w:val="22"/>
                <w:shd w:val="clear" w:color="auto" w:fill="FFFFFF"/>
              </w:rPr>
            </w:pPr>
            <w:r w:rsidRPr="009D55B0">
              <w:rPr>
                <w:rFonts w:cs="Open Sans"/>
                <w:b/>
                <w:bCs/>
                <w:sz w:val="22"/>
                <w:szCs w:val="22"/>
                <w:shd w:val="clear" w:color="auto" w:fill="FFFFFF"/>
              </w:rPr>
              <w:t xml:space="preserve">Pillar </w:t>
            </w:r>
            <w:r>
              <w:rPr>
                <w:rFonts w:cs="Open Sans"/>
                <w:b/>
                <w:bCs/>
                <w:sz w:val="22"/>
                <w:szCs w:val="22"/>
                <w:shd w:val="clear" w:color="auto" w:fill="FFFFFF"/>
              </w:rPr>
              <w:t>I</w:t>
            </w:r>
            <w:r w:rsidRPr="009D55B0">
              <w:rPr>
                <w:rFonts w:cs="Open Sans"/>
                <w:b/>
                <w:bCs/>
                <w:sz w:val="22"/>
                <w:szCs w:val="22"/>
                <w:shd w:val="clear" w:color="auto" w:fill="FFFFFF"/>
              </w:rPr>
              <w:br/>
              <w:t>‘Protect’</w:t>
            </w:r>
          </w:p>
        </w:tc>
        <w:tc>
          <w:tcPr>
            <w:tcW w:w="7780" w:type="dxa"/>
          </w:tcPr>
          <w:p w14:paraId="0B56B15A" w14:textId="72C4595B" w:rsidR="00166F33" w:rsidRPr="009D55B0" w:rsidRDefault="00166F33" w:rsidP="009E7FE9">
            <w:pPr>
              <w:rPr>
                <w:rFonts w:cs="Open Sans"/>
                <w:sz w:val="22"/>
                <w:szCs w:val="22"/>
                <w:shd w:val="clear" w:color="auto" w:fill="FFFFFF"/>
              </w:rPr>
            </w:pPr>
            <w:r w:rsidRPr="45C62E58">
              <w:rPr>
                <w:rFonts w:cs="Open Sans"/>
                <w:i/>
                <w:iCs/>
                <w:sz w:val="22"/>
                <w:szCs w:val="22"/>
                <w:shd w:val="clear" w:color="auto" w:fill="FFFFFF"/>
              </w:rPr>
              <w:t>Nation states have a duty to protect</w:t>
            </w:r>
            <w:r w:rsidRPr="009D55B0">
              <w:rPr>
                <w:rFonts w:cs="Open Sans"/>
                <w:sz w:val="22"/>
                <w:szCs w:val="22"/>
                <w:shd w:val="clear" w:color="auto" w:fill="FFFFFF"/>
              </w:rPr>
              <w:t xml:space="preserve"> against human rights violations by businesses, through measures such as laws, regulation, policy and adjudication. Pillar I</w:t>
            </w:r>
            <w:r w:rsidRPr="009D55B0">
              <w:rPr>
                <w:rFonts w:cs="Open Sans"/>
                <w:sz w:val="22"/>
                <w:szCs w:val="22"/>
              </w:rPr>
              <w:t xml:space="preserve"> also focuses on the ‘nation state-business nexus,’ providing that States should promote business respect for human rights via </w:t>
            </w:r>
            <w:r w:rsidRPr="009D55B0">
              <w:rPr>
                <w:rFonts w:cs="Open Sans"/>
                <w:b/>
                <w:bCs/>
                <w:sz w:val="22"/>
                <w:szCs w:val="22"/>
              </w:rPr>
              <w:t>government procurement</w:t>
            </w:r>
            <w:r w:rsidRPr="009D55B0">
              <w:rPr>
                <w:rFonts w:cs="Open Sans"/>
                <w:sz w:val="22"/>
                <w:szCs w:val="22"/>
              </w:rPr>
              <w:t xml:space="preserve"> through their relationships with suppliers of goods and services.</w:t>
            </w:r>
          </w:p>
        </w:tc>
      </w:tr>
      <w:tr w:rsidR="00166F33" w:rsidRPr="009D55B0" w14:paraId="5683EF39" w14:textId="77777777" w:rsidTr="45C62E58">
        <w:tc>
          <w:tcPr>
            <w:tcW w:w="1287" w:type="dxa"/>
          </w:tcPr>
          <w:p w14:paraId="48C9F479" w14:textId="287E9AC8" w:rsidR="00166F33" w:rsidRPr="009D55B0" w:rsidRDefault="00166F33" w:rsidP="00643082">
            <w:pPr>
              <w:jc w:val="center"/>
              <w:rPr>
                <w:rFonts w:cs="Open Sans"/>
                <w:b/>
                <w:bCs/>
                <w:sz w:val="22"/>
                <w:szCs w:val="22"/>
                <w:shd w:val="clear" w:color="auto" w:fill="FFFFFF"/>
              </w:rPr>
            </w:pPr>
            <w:r w:rsidRPr="009D55B0">
              <w:rPr>
                <w:rFonts w:cs="Open Sans"/>
                <w:b/>
                <w:bCs/>
                <w:sz w:val="22"/>
                <w:szCs w:val="22"/>
                <w:shd w:val="clear" w:color="auto" w:fill="FFFFFF"/>
              </w:rPr>
              <w:t>Pillar II</w:t>
            </w:r>
            <w:r w:rsidRPr="009D55B0">
              <w:rPr>
                <w:rFonts w:cs="Open Sans"/>
                <w:b/>
                <w:bCs/>
                <w:sz w:val="22"/>
                <w:szCs w:val="22"/>
                <w:shd w:val="clear" w:color="auto" w:fill="FFFFFF"/>
              </w:rPr>
              <w:br/>
              <w:t>‘Respect’</w:t>
            </w:r>
          </w:p>
        </w:tc>
        <w:tc>
          <w:tcPr>
            <w:tcW w:w="7780" w:type="dxa"/>
          </w:tcPr>
          <w:p w14:paraId="2CD335BF" w14:textId="59B0BB17" w:rsidR="00166F33" w:rsidRPr="009D55B0" w:rsidRDefault="00166F33" w:rsidP="00643082">
            <w:pPr>
              <w:rPr>
                <w:rFonts w:cs="Open Sans"/>
                <w:sz w:val="22"/>
                <w:szCs w:val="22"/>
                <w:shd w:val="clear" w:color="auto" w:fill="FFFFFF"/>
              </w:rPr>
            </w:pPr>
            <w:r w:rsidRPr="009D55B0">
              <w:rPr>
                <w:rFonts w:cs="Open Sans"/>
                <w:sz w:val="22"/>
                <w:szCs w:val="22"/>
                <w:shd w:val="clear" w:color="auto" w:fill="FFFFFF"/>
              </w:rPr>
              <w:t>All business</w:t>
            </w:r>
            <w:r>
              <w:rPr>
                <w:rFonts w:cs="Open Sans"/>
                <w:sz w:val="22"/>
                <w:szCs w:val="22"/>
                <w:shd w:val="clear" w:color="auto" w:fill="FFFFFF"/>
              </w:rPr>
              <w:t>es</w:t>
            </w:r>
            <w:r w:rsidRPr="009D55B0">
              <w:rPr>
                <w:rFonts w:cs="Open Sans"/>
                <w:sz w:val="22"/>
                <w:szCs w:val="22"/>
                <w:shd w:val="clear" w:color="auto" w:fill="FFFFFF"/>
              </w:rPr>
              <w:t xml:space="preserve"> have a </w:t>
            </w:r>
            <w:r w:rsidRPr="009D55B0">
              <w:rPr>
                <w:rFonts w:cs="Open Sans"/>
                <w:i/>
                <w:iCs/>
                <w:sz w:val="22"/>
                <w:szCs w:val="22"/>
                <w:shd w:val="clear" w:color="auto" w:fill="FFFFFF"/>
              </w:rPr>
              <w:t>responsibility to respect</w:t>
            </w:r>
            <w:r w:rsidRPr="009D55B0">
              <w:rPr>
                <w:rFonts w:cs="Open Sans"/>
                <w:sz w:val="22"/>
                <w:szCs w:val="22"/>
                <w:shd w:val="clear" w:color="auto" w:fill="FFFFFF"/>
              </w:rPr>
              <w:t xml:space="preserve"> </w:t>
            </w:r>
            <w:r w:rsidRPr="009D55B0">
              <w:rPr>
                <w:rFonts w:cs="Open Sans"/>
                <w:i/>
                <w:sz w:val="22"/>
                <w:szCs w:val="22"/>
                <w:shd w:val="clear" w:color="auto" w:fill="FFFFFF"/>
              </w:rPr>
              <w:t>human rights</w:t>
            </w:r>
            <w:r w:rsidRPr="009D55B0">
              <w:rPr>
                <w:rFonts w:cs="Open Sans"/>
                <w:sz w:val="22"/>
                <w:szCs w:val="22"/>
                <w:shd w:val="clear" w:color="auto" w:fill="FFFFFF"/>
              </w:rPr>
              <w:t xml:space="preserve"> in their operations and business relationships (including supply chains). This is a ‘do no harm standard’ that asks businesses to avoiding infringing on the human rights of others and remediating adverse impacts with which they are involved. </w:t>
            </w:r>
          </w:p>
          <w:p w14:paraId="06B48FEA" w14:textId="71421CC8" w:rsidR="00166F33" w:rsidRPr="009D55B0" w:rsidRDefault="00166F33" w:rsidP="005A713D">
            <w:pPr>
              <w:rPr>
                <w:rFonts w:cs="Open Sans"/>
                <w:sz w:val="22"/>
                <w:szCs w:val="22"/>
                <w:shd w:val="clear" w:color="auto" w:fill="FFFFFF"/>
              </w:rPr>
            </w:pPr>
            <w:r w:rsidRPr="009D55B0">
              <w:rPr>
                <w:rFonts w:cs="Open Sans"/>
                <w:sz w:val="22"/>
                <w:szCs w:val="22"/>
                <w:shd w:val="clear" w:color="auto" w:fill="FFFFFF"/>
              </w:rPr>
              <w:t>Businesses do this by engaging in a process of ‘human rights due diligence</w:t>
            </w:r>
            <w:r w:rsidR="00CF1314">
              <w:rPr>
                <w:rFonts w:cs="Open Sans"/>
                <w:sz w:val="22"/>
                <w:szCs w:val="22"/>
                <w:shd w:val="clear" w:color="auto" w:fill="FFFFFF"/>
              </w:rPr>
              <w:t>’</w:t>
            </w:r>
            <w:r w:rsidRPr="009D55B0">
              <w:rPr>
                <w:rFonts w:cs="Open Sans"/>
                <w:sz w:val="22"/>
                <w:szCs w:val="22"/>
                <w:shd w:val="clear" w:color="auto" w:fill="FFFFFF"/>
              </w:rPr>
              <w:t>. This is a process to identify, prevent, mitigate and account for adverse human rights impacts the business may cause, contribute or be directly linked to. The scale of the measures required to meet this responsibility should reflect the business’ size, operational context, ownership, structure and the severity of the business’ actual or potential human rights impacts.</w:t>
            </w:r>
          </w:p>
        </w:tc>
      </w:tr>
      <w:tr w:rsidR="00166F33" w:rsidRPr="009D55B0" w14:paraId="3D19426C" w14:textId="77777777" w:rsidTr="45C62E58">
        <w:tc>
          <w:tcPr>
            <w:tcW w:w="1287" w:type="dxa"/>
          </w:tcPr>
          <w:p w14:paraId="1E7D4F9A" w14:textId="6C057FC9" w:rsidR="00166F33" w:rsidRPr="009D55B0" w:rsidRDefault="00166F33" w:rsidP="00643082">
            <w:pPr>
              <w:jc w:val="center"/>
              <w:rPr>
                <w:rFonts w:cs="Open Sans"/>
                <w:b/>
                <w:bCs/>
                <w:sz w:val="22"/>
                <w:szCs w:val="22"/>
                <w:shd w:val="clear" w:color="auto" w:fill="FFFFFF"/>
              </w:rPr>
            </w:pPr>
            <w:r w:rsidRPr="009D55B0">
              <w:rPr>
                <w:rFonts w:cs="Open Sans"/>
                <w:b/>
                <w:bCs/>
                <w:sz w:val="22"/>
                <w:szCs w:val="22"/>
                <w:shd w:val="clear" w:color="auto" w:fill="FFFFFF"/>
              </w:rPr>
              <w:t>Pillar III</w:t>
            </w:r>
            <w:r w:rsidRPr="009D55B0">
              <w:rPr>
                <w:rFonts w:cs="Open Sans"/>
                <w:b/>
                <w:bCs/>
                <w:sz w:val="22"/>
                <w:szCs w:val="22"/>
                <w:shd w:val="clear" w:color="auto" w:fill="FFFFFF"/>
              </w:rPr>
              <w:br/>
              <w:t>‘Remedy’</w:t>
            </w:r>
          </w:p>
        </w:tc>
        <w:tc>
          <w:tcPr>
            <w:tcW w:w="7780" w:type="dxa"/>
          </w:tcPr>
          <w:p w14:paraId="48637E04" w14:textId="38E56565" w:rsidR="00166F33" w:rsidRPr="009D55B0" w:rsidRDefault="00166F33" w:rsidP="00643082">
            <w:pPr>
              <w:rPr>
                <w:rFonts w:cs="Open Sans"/>
                <w:sz w:val="22"/>
                <w:szCs w:val="22"/>
                <w:shd w:val="clear" w:color="auto" w:fill="FFFFFF"/>
              </w:rPr>
            </w:pPr>
            <w:r w:rsidRPr="009D55B0">
              <w:rPr>
                <w:rFonts w:cs="Open Sans"/>
                <w:sz w:val="22"/>
                <w:szCs w:val="22"/>
                <w:shd w:val="clear" w:color="auto" w:fill="FFFFFF"/>
              </w:rPr>
              <w:t xml:space="preserve">Sets out the expectation that victims have a right to remedy, and that states and business should enable </w:t>
            </w:r>
            <w:r w:rsidRPr="009D55B0">
              <w:rPr>
                <w:rFonts w:cs="Open Sans"/>
                <w:i/>
                <w:iCs/>
                <w:sz w:val="22"/>
                <w:szCs w:val="22"/>
                <w:shd w:val="clear" w:color="auto" w:fill="FFFFFF"/>
              </w:rPr>
              <w:t>access to effective remedy</w:t>
            </w:r>
            <w:r w:rsidRPr="009D55B0">
              <w:rPr>
                <w:rFonts w:cs="Open Sans"/>
                <w:sz w:val="22"/>
                <w:szCs w:val="22"/>
                <w:shd w:val="clear" w:color="auto" w:fill="FFFFFF"/>
              </w:rPr>
              <w:t xml:space="preserve"> for victims.</w:t>
            </w:r>
          </w:p>
        </w:tc>
      </w:tr>
    </w:tbl>
    <w:p w14:paraId="0895F82D" w14:textId="5ED35B48" w:rsidR="00166F33" w:rsidRPr="009D55B0" w:rsidRDefault="00166F33" w:rsidP="00BE3C77">
      <w:pPr>
        <w:pStyle w:val="Heading2"/>
        <w:rPr>
          <w:color w:val="FF0000"/>
          <w:shd w:val="clear" w:color="auto" w:fill="FFFFFF"/>
        </w:rPr>
      </w:pPr>
      <w:bookmarkStart w:id="12" w:name="_Toc40773910"/>
      <w:r w:rsidRPr="009D55B0">
        <w:t>UN Sustainable Development Goals</w:t>
      </w:r>
      <w:bookmarkEnd w:id="12"/>
      <w:r w:rsidRPr="009D55B0" w:rsidDel="006F51D6">
        <w:rPr>
          <w:color w:val="FF0000"/>
          <w:shd w:val="clear" w:color="auto" w:fill="FFFFFF"/>
        </w:rPr>
        <w:t xml:space="preserve"> </w:t>
      </w:r>
    </w:p>
    <w:p w14:paraId="7C5E89F8" w14:textId="115638F7" w:rsidR="00166F33" w:rsidRPr="009D55B0" w:rsidRDefault="00166F33" w:rsidP="004456FD">
      <w:pPr>
        <w:rPr>
          <w:rStyle w:val="normaltextrun"/>
          <w:rFonts w:cs="Open Sans"/>
          <w:color w:val="000000"/>
          <w:sz w:val="22"/>
          <w:szCs w:val="22"/>
        </w:rPr>
      </w:pPr>
      <w:r w:rsidRPr="009D55B0">
        <w:rPr>
          <w:rStyle w:val="normaltextrun"/>
          <w:rFonts w:cs="Open Sans"/>
          <w:color w:val="000000"/>
          <w:sz w:val="22"/>
          <w:szCs w:val="22"/>
        </w:rPr>
        <w:t xml:space="preserve">This Policy also aims to support the achievement of the following SDGs: </w:t>
      </w:r>
    </w:p>
    <w:p w14:paraId="51DFF511" w14:textId="07693667" w:rsidR="00166F33" w:rsidRPr="009D55B0" w:rsidRDefault="00166F33" w:rsidP="00332A8E">
      <w:pPr>
        <w:keepNext/>
        <w:rPr>
          <w:rStyle w:val="normaltextrun"/>
          <w:rFonts w:cs="Open Sans"/>
          <w:color w:val="000000"/>
          <w:sz w:val="22"/>
          <w:szCs w:val="22"/>
        </w:rPr>
      </w:pPr>
      <w:r w:rsidRPr="009D55B0">
        <w:rPr>
          <w:rStyle w:val="normaltextrun"/>
          <w:rFonts w:cs="Open Sans"/>
          <w:color w:val="000000"/>
          <w:sz w:val="22"/>
          <w:szCs w:val="22"/>
        </w:rPr>
        <w:lastRenderedPageBreak/>
        <w:t xml:space="preserve">Goal 8, Target 8.7: </w:t>
      </w:r>
    </w:p>
    <w:p w14:paraId="17C95E53" w14:textId="787EB110" w:rsidR="00166F33" w:rsidRPr="009D55B0" w:rsidRDefault="00166F33" w:rsidP="004456FD">
      <w:pPr>
        <w:ind w:left="720"/>
        <w:rPr>
          <w:rStyle w:val="normaltextrun"/>
          <w:rFonts w:cs="Open Sans"/>
          <w:color w:val="000000"/>
          <w:sz w:val="22"/>
          <w:szCs w:val="22"/>
        </w:rPr>
      </w:pPr>
      <w:r w:rsidRPr="009D55B0">
        <w:rPr>
          <w:rStyle w:val="normaltextrun"/>
          <w:rFonts w:cs="Open Sans"/>
          <w:color w:val="000000"/>
          <w:sz w:val="22"/>
          <w:szCs w:val="22"/>
        </w:rPr>
        <w:t>Take immediate and effective measures to eradicate forced labour, end modern slavery and human trafficking and secure the prohibition and elimination of the worst forms of child labour… and by 2025 end child labour in all its forms.</w:t>
      </w:r>
    </w:p>
    <w:p w14:paraId="23346521" w14:textId="6A58D32D" w:rsidR="00166F33" w:rsidRPr="009D55B0" w:rsidRDefault="00166F33" w:rsidP="00332A8E">
      <w:pPr>
        <w:keepNext/>
        <w:rPr>
          <w:rStyle w:val="normaltextrun"/>
          <w:rFonts w:cs="Open Sans"/>
          <w:color w:val="000000"/>
          <w:sz w:val="22"/>
          <w:szCs w:val="22"/>
        </w:rPr>
      </w:pPr>
      <w:r w:rsidRPr="009D55B0">
        <w:rPr>
          <w:rStyle w:val="normaltextrun"/>
          <w:rFonts w:cs="Open Sans"/>
          <w:color w:val="000000"/>
          <w:sz w:val="22"/>
          <w:szCs w:val="22"/>
        </w:rPr>
        <w:t>Goal 12, Target 12.7:</w:t>
      </w:r>
    </w:p>
    <w:p w14:paraId="3E72288A" w14:textId="51DC0929" w:rsidR="00166F33" w:rsidRPr="009D55B0" w:rsidRDefault="00166F33" w:rsidP="004456FD">
      <w:pPr>
        <w:ind w:left="720"/>
        <w:rPr>
          <w:rStyle w:val="normaltextrun"/>
          <w:rFonts w:cs="Open Sans"/>
          <w:color w:val="000000"/>
          <w:sz w:val="22"/>
          <w:szCs w:val="22"/>
        </w:rPr>
      </w:pPr>
      <w:r w:rsidRPr="009D55B0">
        <w:rPr>
          <w:rStyle w:val="normaltextrun"/>
          <w:rFonts w:cs="Open Sans"/>
          <w:color w:val="000000"/>
          <w:sz w:val="22"/>
          <w:szCs w:val="22"/>
        </w:rPr>
        <w:t>Promote public procurement practices that are sustainable, in accordance with national policies and priorities.</w:t>
      </w:r>
      <w:r w:rsidRPr="009D55B0">
        <w:rPr>
          <w:rStyle w:val="EndnoteReference"/>
          <w:rFonts w:cs="Open Sans"/>
          <w:color w:val="000000"/>
          <w:sz w:val="22"/>
          <w:szCs w:val="22"/>
        </w:rPr>
        <w:endnoteReference w:id="6"/>
      </w:r>
    </w:p>
    <w:p w14:paraId="673FD966" w14:textId="4A320458" w:rsidR="00166F33" w:rsidRPr="009D55B0" w:rsidRDefault="00166F33" w:rsidP="00A9216B">
      <w:pPr>
        <w:rPr>
          <w:rFonts w:cs="Open Sans"/>
          <w:color w:val="000000"/>
          <w:sz w:val="22"/>
          <w:szCs w:val="22"/>
        </w:rPr>
      </w:pPr>
      <w:r w:rsidRPr="009D55B0">
        <w:rPr>
          <w:rFonts w:cs="Open Sans"/>
          <w:sz w:val="22"/>
          <w:szCs w:val="22"/>
        </w:rPr>
        <w:t>Sustainable procurement practices should reflect the environmental, social and economic dimensions of sustainable development, including human rights.</w:t>
      </w:r>
      <w:r w:rsidRPr="009D55B0">
        <w:rPr>
          <w:rStyle w:val="EndnoteReference"/>
          <w:rFonts w:cs="Open Sans"/>
          <w:sz w:val="22"/>
          <w:szCs w:val="22"/>
        </w:rPr>
        <w:endnoteReference w:id="7"/>
      </w:r>
      <w:r w:rsidRPr="009D55B0">
        <w:rPr>
          <w:rFonts w:cs="Open Sans"/>
          <w:sz w:val="22"/>
          <w:szCs w:val="22"/>
        </w:rPr>
        <w:t xml:space="preserve"> </w:t>
      </w:r>
    </w:p>
    <w:p w14:paraId="6C9A5235" w14:textId="0813EA98" w:rsidR="00166F33" w:rsidRPr="009D55B0" w:rsidRDefault="00166F33" w:rsidP="00BE3C77">
      <w:pPr>
        <w:pStyle w:val="Heading2"/>
      </w:pPr>
      <w:bookmarkStart w:id="14" w:name="_Toc31202218"/>
      <w:bookmarkStart w:id="15" w:name="_Toc31202990"/>
      <w:bookmarkStart w:id="16" w:name="_Toc31206034"/>
      <w:bookmarkStart w:id="17" w:name="_Toc31207501"/>
      <w:bookmarkStart w:id="18" w:name="_Toc31202219"/>
      <w:bookmarkStart w:id="19" w:name="_Toc31202991"/>
      <w:bookmarkStart w:id="20" w:name="_Toc31206035"/>
      <w:bookmarkStart w:id="21" w:name="_Toc31207502"/>
      <w:bookmarkStart w:id="22" w:name="_Toc40773911"/>
      <w:bookmarkEnd w:id="14"/>
      <w:bookmarkEnd w:id="15"/>
      <w:bookmarkEnd w:id="16"/>
      <w:bookmarkEnd w:id="17"/>
      <w:bookmarkEnd w:id="18"/>
      <w:bookmarkEnd w:id="19"/>
      <w:bookmarkEnd w:id="20"/>
      <w:bookmarkEnd w:id="21"/>
      <w:r w:rsidRPr="006366A7">
        <w:rPr>
          <w:i/>
          <w:iCs/>
        </w:rPr>
        <w:t>Modern Slavery Act 2018</w:t>
      </w:r>
      <w:r w:rsidRPr="009D55B0">
        <w:t xml:space="preserve"> (</w:t>
      </w:r>
      <w:proofErr w:type="spellStart"/>
      <w:r w:rsidRPr="009D55B0">
        <w:t>Cth</w:t>
      </w:r>
      <w:proofErr w:type="spellEnd"/>
      <w:r w:rsidRPr="009D55B0">
        <w:t>)</w:t>
      </w:r>
      <w:bookmarkEnd w:id="22"/>
    </w:p>
    <w:p w14:paraId="529D3137" w14:textId="0158483C" w:rsidR="00166F33" w:rsidRPr="009D55B0" w:rsidRDefault="00166F33" w:rsidP="005D02FF">
      <w:pPr>
        <w:rPr>
          <w:rStyle w:val="normaltextrun"/>
          <w:rFonts w:cs="Open Sans"/>
          <w:color w:val="000000"/>
          <w:sz w:val="22"/>
          <w:szCs w:val="22"/>
          <w:shd w:val="clear" w:color="auto" w:fill="FFFFFF"/>
        </w:rPr>
      </w:pPr>
      <w:r w:rsidRPr="009D55B0">
        <w:rPr>
          <w:rStyle w:val="normaltextrun"/>
          <w:rFonts w:cs="Open Sans"/>
          <w:color w:val="000000"/>
          <w:sz w:val="22"/>
          <w:szCs w:val="22"/>
          <w:shd w:val="clear" w:color="auto" w:fill="FFFFFF"/>
        </w:rPr>
        <w:t>The Modern Slavery Act draws on principles in the UNGPs. The Modern Slavery Act requires businesses with a consolidated annual revenue of $100 million or more, and the Commonwealth Government, to publish annual modern slavery statements outlining the steps they are taking to identify and address the risks of modern slavery in their operations and supply chains.</w:t>
      </w:r>
      <w:r w:rsidRPr="009D55B0">
        <w:rPr>
          <w:rStyle w:val="EndnoteReference"/>
          <w:rFonts w:cs="Open Sans"/>
          <w:color w:val="000000"/>
          <w:sz w:val="22"/>
          <w:szCs w:val="22"/>
          <w:shd w:val="clear" w:color="auto" w:fill="FFFFFF"/>
        </w:rPr>
        <w:endnoteReference w:id="8"/>
      </w:r>
      <w:r w:rsidRPr="009D55B0">
        <w:rPr>
          <w:rStyle w:val="normaltextrun"/>
          <w:rFonts w:cs="Open Sans"/>
          <w:color w:val="000000"/>
          <w:sz w:val="22"/>
          <w:szCs w:val="22"/>
          <w:shd w:val="clear" w:color="auto" w:fill="FFFFFF"/>
        </w:rPr>
        <w:t xml:space="preserve">  </w:t>
      </w:r>
      <w:r w:rsidRPr="009D55B0">
        <w:rPr>
          <w:rFonts w:cs="Open Sans"/>
          <w:sz w:val="22"/>
          <w:szCs w:val="22"/>
        </w:rPr>
        <w:t>The purpose of this law is to ‘support the Australian business community to identify and address their modern slavery risks and maintain responsible and transparent supply chains</w:t>
      </w:r>
      <w:r w:rsidR="005E5688">
        <w:rPr>
          <w:rFonts w:cs="Open Sans"/>
          <w:sz w:val="22"/>
          <w:szCs w:val="22"/>
        </w:rPr>
        <w:t>’</w:t>
      </w:r>
      <w:r w:rsidRPr="009D55B0">
        <w:rPr>
          <w:rFonts w:cs="Open Sans"/>
          <w:sz w:val="22"/>
          <w:szCs w:val="22"/>
        </w:rPr>
        <w:t>.</w:t>
      </w:r>
      <w:r w:rsidRPr="009D55B0">
        <w:rPr>
          <w:rStyle w:val="EndnoteReference"/>
          <w:rFonts w:cs="Open Sans"/>
          <w:sz w:val="22"/>
          <w:szCs w:val="22"/>
        </w:rPr>
        <w:endnoteReference w:id="9"/>
      </w:r>
      <w:r w:rsidRPr="009D55B0">
        <w:rPr>
          <w:rFonts w:cs="Open Sans"/>
          <w:sz w:val="22"/>
          <w:szCs w:val="22"/>
        </w:rPr>
        <w:t xml:space="preserve"> </w:t>
      </w:r>
    </w:p>
    <w:p w14:paraId="638A0427" w14:textId="32D7CD36" w:rsidR="00166F33" w:rsidRPr="009D55B0" w:rsidRDefault="00166F33" w:rsidP="00D95EEA">
      <w:pPr>
        <w:autoSpaceDE w:val="0"/>
        <w:autoSpaceDN w:val="0"/>
        <w:adjustRightInd w:val="0"/>
        <w:rPr>
          <w:rFonts w:cs="Open Sans"/>
          <w:sz w:val="22"/>
          <w:szCs w:val="22"/>
        </w:rPr>
      </w:pPr>
      <w:r w:rsidRPr="009D55B0">
        <w:rPr>
          <w:rFonts w:cs="Open Sans"/>
          <w:sz w:val="22"/>
          <w:szCs w:val="22"/>
        </w:rPr>
        <w:t>The Global Slavery Index estimates there are 40.3 million victims of modern slavery worldwide.</w:t>
      </w:r>
      <w:r w:rsidRPr="009D55B0">
        <w:rPr>
          <w:rStyle w:val="EndnoteReference"/>
          <w:rFonts w:cs="Open Sans"/>
          <w:sz w:val="22"/>
          <w:szCs w:val="22"/>
        </w:rPr>
        <w:endnoteReference w:id="10"/>
      </w:r>
      <w:r w:rsidRPr="009D55B0">
        <w:rPr>
          <w:rFonts w:cs="Open Sans"/>
          <w:sz w:val="22"/>
          <w:szCs w:val="22"/>
        </w:rPr>
        <w:t xml:space="preserve"> The Government has explained that there is a ‘high risk Australian businesses are exposed to modern slavery risks and that Australian goods and services are tainted by modern slavery</w:t>
      </w:r>
      <w:r w:rsidR="005E5688">
        <w:rPr>
          <w:rFonts w:cs="Open Sans"/>
          <w:sz w:val="22"/>
          <w:szCs w:val="22"/>
        </w:rPr>
        <w:t>’</w:t>
      </w:r>
      <w:r w:rsidRPr="009D55B0">
        <w:rPr>
          <w:rFonts w:cs="Open Sans"/>
          <w:sz w:val="22"/>
          <w:szCs w:val="22"/>
        </w:rPr>
        <w:t>.</w:t>
      </w:r>
      <w:r w:rsidRPr="009D55B0">
        <w:rPr>
          <w:rStyle w:val="EndnoteReference"/>
          <w:rFonts w:cs="Open Sans"/>
          <w:sz w:val="22"/>
          <w:szCs w:val="22"/>
        </w:rPr>
        <w:endnoteReference w:id="11"/>
      </w:r>
      <w:r w:rsidRPr="009D55B0">
        <w:rPr>
          <w:rFonts w:cs="Open Sans"/>
          <w:sz w:val="22"/>
          <w:szCs w:val="22"/>
        </w:rPr>
        <w:t xml:space="preserve"> </w:t>
      </w:r>
    </w:p>
    <w:p w14:paraId="7E2CBF8E" w14:textId="42503277" w:rsidR="00166F33" w:rsidRPr="009D55B0" w:rsidRDefault="00166F33" w:rsidP="00D95EEA">
      <w:pPr>
        <w:autoSpaceDE w:val="0"/>
        <w:autoSpaceDN w:val="0"/>
        <w:adjustRightInd w:val="0"/>
        <w:rPr>
          <w:rFonts w:cs="Open Sans"/>
          <w:sz w:val="22"/>
          <w:szCs w:val="22"/>
        </w:rPr>
      </w:pPr>
      <w:r w:rsidRPr="009D55B0">
        <w:rPr>
          <w:rStyle w:val="normaltextrun"/>
          <w:rFonts w:cs="Open Sans"/>
          <w:color w:val="000000"/>
          <w:sz w:val="22"/>
          <w:szCs w:val="22"/>
          <w:shd w:val="clear" w:color="auto" w:fill="FFFFFF"/>
        </w:rPr>
        <w:t>While the Commission is not required to report under the Modern Slavery Act,</w:t>
      </w:r>
      <w:r w:rsidRPr="009D55B0">
        <w:rPr>
          <w:rStyle w:val="EndnoteReference"/>
          <w:rFonts w:cs="Open Sans"/>
          <w:color w:val="000000"/>
          <w:sz w:val="22"/>
          <w:szCs w:val="22"/>
          <w:shd w:val="clear" w:color="auto" w:fill="FFFFFF"/>
        </w:rPr>
        <w:endnoteReference w:id="12"/>
      </w:r>
      <w:r w:rsidRPr="009D55B0">
        <w:rPr>
          <w:rStyle w:val="normaltextrun"/>
          <w:rFonts w:cs="Open Sans"/>
          <w:color w:val="000000"/>
          <w:sz w:val="22"/>
          <w:szCs w:val="22"/>
          <w:shd w:val="clear" w:color="auto" w:fill="FFFFFF"/>
        </w:rPr>
        <w:t xml:space="preserve"> the Commission will take steps to identify and manage its modern slavery risks, by taking a human rights approach </w:t>
      </w:r>
      <w:r>
        <w:rPr>
          <w:rStyle w:val="normaltextrun"/>
          <w:rFonts w:cs="Open Sans"/>
          <w:color w:val="000000"/>
          <w:sz w:val="22"/>
          <w:szCs w:val="22"/>
          <w:shd w:val="clear" w:color="auto" w:fill="FFFFFF"/>
        </w:rPr>
        <w:t>in</w:t>
      </w:r>
      <w:r w:rsidRPr="009D55B0">
        <w:rPr>
          <w:rStyle w:val="normaltextrun"/>
          <w:rFonts w:cs="Open Sans"/>
          <w:color w:val="000000"/>
          <w:sz w:val="22"/>
          <w:szCs w:val="22"/>
          <w:shd w:val="clear" w:color="auto" w:fill="FFFFFF"/>
        </w:rPr>
        <w:t xml:space="preserve"> its procurement</w:t>
      </w:r>
      <w:r>
        <w:rPr>
          <w:rStyle w:val="normaltextrun"/>
          <w:rFonts w:cs="Open Sans"/>
          <w:color w:val="000000"/>
          <w:sz w:val="22"/>
          <w:szCs w:val="22"/>
          <w:shd w:val="clear" w:color="auto" w:fill="FFFFFF"/>
        </w:rPr>
        <w:t xml:space="preserve"> practices</w:t>
      </w:r>
      <w:r w:rsidRPr="009D55B0">
        <w:rPr>
          <w:rStyle w:val="normaltextrun"/>
          <w:rFonts w:cs="Open Sans"/>
          <w:color w:val="000000"/>
          <w:sz w:val="22"/>
          <w:szCs w:val="22"/>
          <w:shd w:val="clear" w:color="auto" w:fill="FFFFFF"/>
        </w:rPr>
        <w:t>, in accordance with this Policy. The Commission’s procurement</w:t>
      </w:r>
      <w:r>
        <w:rPr>
          <w:rStyle w:val="normaltextrun"/>
          <w:rFonts w:cs="Open Sans"/>
          <w:color w:val="000000"/>
          <w:sz w:val="22"/>
          <w:szCs w:val="22"/>
          <w:shd w:val="clear" w:color="auto" w:fill="FFFFFF"/>
        </w:rPr>
        <w:t xml:space="preserve"> practices</w:t>
      </w:r>
      <w:r w:rsidRPr="009D55B0">
        <w:rPr>
          <w:rStyle w:val="normaltextrun"/>
          <w:rFonts w:cs="Open Sans"/>
          <w:color w:val="000000"/>
          <w:sz w:val="22"/>
          <w:szCs w:val="22"/>
          <w:shd w:val="clear" w:color="auto" w:fill="FFFFFF"/>
        </w:rPr>
        <w:t xml:space="preserve"> will also be </w:t>
      </w:r>
      <w:r>
        <w:rPr>
          <w:rStyle w:val="normaltextrun"/>
          <w:rFonts w:cs="Open Sans"/>
          <w:color w:val="000000"/>
          <w:sz w:val="22"/>
          <w:szCs w:val="22"/>
          <w:shd w:val="clear" w:color="auto" w:fill="FFFFFF"/>
        </w:rPr>
        <w:t xml:space="preserve">governed </w:t>
      </w:r>
      <w:r w:rsidRPr="009D55B0">
        <w:rPr>
          <w:rStyle w:val="normaltextrun"/>
          <w:rFonts w:cs="Open Sans"/>
          <w:color w:val="000000"/>
          <w:sz w:val="22"/>
          <w:szCs w:val="22"/>
          <w:shd w:val="clear" w:color="auto" w:fill="FFFFFF"/>
        </w:rPr>
        <w:t xml:space="preserve">by </w:t>
      </w:r>
      <w:r>
        <w:rPr>
          <w:rStyle w:val="normaltextrun"/>
          <w:rFonts w:cs="Open Sans"/>
          <w:color w:val="000000"/>
          <w:sz w:val="22"/>
          <w:szCs w:val="22"/>
          <w:shd w:val="clear" w:color="auto" w:fill="FFFFFF"/>
        </w:rPr>
        <w:t>the Commonwealth Resource Management Framework, Procurement Framework and other regulations where relevant</w:t>
      </w:r>
      <w:r w:rsidRPr="009D55B0">
        <w:rPr>
          <w:rFonts w:cs="Open Sans"/>
          <w:sz w:val="22"/>
          <w:szCs w:val="22"/>
        </w:rPr>
        <w:t>, including in relation to modern slavery.</w:t>
      </w:r>
    </w:p>
    <w:p w14:paraId="40FF7721" w14:textId="4CA2F4B6" w:rsidR="00166F33" w:rsidRPr="009D55B0" w:rsidRDefault="00166F33" w:rsidP="00D95EEA">
      <w:pPr>
        <w:autoSpaceDE w:val="0"/>
        <w:autoSpaceDN w:val="0"/>
        <w:adjustRightInd w:val="0"/>
        <w:rPr>
          <w:rStyle w:val="normaltextrun"/>
          <w:rFonts w:cs="Open Sans"/>
          <w:color w:val="000000"/>
          <w:sz w:val="22"/>
          <w:szCs w:val="22"/>
          <w:shd w:val="clear" w:color="auto" w:fill="FFFFFF"/>
        </w:rPr>
      </w:pPr>
      <w:r w:rsidRPr="009D55B0">
        <w:rPr>
          <w:rStyle w:val="normaltextrun"/>
          <w:rFonts w:cs="Open Sans"/>
          <w:color w:val="000000"/>
          <w:sz w:val="22"/>
          <w:szCs w:val="22"/>
          <w:shd w:val="clear" w:color="auto" w:fill="FFFFFF"/>
        </w:rPr>
        <w:t>As the primary work of the Commission is office-based work in Australia, the Commission considers the risk of modern slavery arising in its direct internal operations and in relation to Commission staff to be low. However</w:t>
      </w:r>
      <w:r w:rsidR="005E5688">
        <w:rPr>
          <w:rStyle w:val="normaltextrun"/>
          <w:rFonts w:cs="Open Sans"/>
          <w:color w:val="000000"/>
          <w:sz w:val="22"/>
          <w:szCs w:val="22"/>
          <w:shd w:val="clear" w:color="auto" w:fill="FFFFFF"/>
        </w:rPr>
        <w:t>,</w:t>
      </w:r>
      <w:r w:rsidRPr="009D55B0">
        <w:rPr>
          <w:rStyle w:val="normaltextrun"/>
          <w:rFonts w:cs="Open Sans"/>
          <w:color w:val="000000"/>
          <w:sz w:val="22"/>
          <w:szCs w:val="22"/>
          <w:shd w:val="clear" w:color="auto" w:fill="FFFFFF"/>
        </w:rPr>
        <w:t xml:space="preserve"> given the prevalence of modern slavery globally, an</w:t>
      </w:r>
      <w:r>
        <w:rPr>
          <w:rStyle w:val="normaltextrun"/>
          <w:rFonts w:cs="Open Sans"/>
          <w:color w:val="000000"/>
          <w:sz w:val="22"/>
          <w:szCs w:val="22"/>
          <w:shd w:val="clear" w:color="auto" w:fill="FFFFFF"/>
        </w:rPr>
        <w:t>d</w:t>
      </w:r>
      <w:r w:rsidRPr="009D55B0">
        <w:rPr>
          <w:rStyle w:val="normaltextrun"/>
          <w:rFonts w:cs="Open Sans"/>
          <w:color w:val="000000"/>
          <w:sz w:val="22"/>
          <w:szCs w:val="22"/>
          <w:shd w:val="clear" w:color="auto" w:fill="FFFFFF"/>
        </w:rPr>
        <w:t xml:space="preserve"> the complex nature of supply chains in a globalised economy, the Commission may have modern slavery risks that arise through its relationships with Supplier businesses who in turn may have their own supply chains both in Australia and overseas. In addition, the Commission acknowledges that modern slavery is unlikely to flourish in contexts where other human rights are respected.</w:t>
      </w:r>
      <w:r w:rsidRPr="009D55B0">
        <w:rPr>
          <w:rFonts w:cs="Open Sans"/>
          <w:sz w:val="22"/>
          <w:szCs w:val="22"/>
        </w:rPr>
        <w:t xml:space="preserve"> </w:t>
      </w:r>
      <w:r w:rsidRPr="009D55B0">
        <w:rPr>
          <w:rStyle w:val="normaltextrun"/>
          <w:rFonts w:cs="Open Sans"/>
          <w:color w:val="000000"/>
          <w:sz w:val="22"/>
          <w:szCs w:val="22"/>
          <w:shd w:val="clear" w:color="auto" w:fill="FFFFFF"/>
        </w:rPr>
        <w:t xml:space="preserve"> </w:t>
      </w:r>
    </w:p>
    <w:p w14:paraId="6BB35BCF" w14:textId="002FB355" w:rsidR="00166F33" w:rsidRPr="009D55B0" w:rsidRDefault="00166F33" w:rsidP="00BE3C77">
      <w:pPr>
        <w:pStyle w:val="Heading2"/>
      </w:pPr>
      <w:bookmarkStart w:id="23" w:name="_Toc40773912"/>
      <w:r w:rsidRPr="009D55B0">
        <w:lastRenderedPageBreak/>
        <w:t>Commonwealth Procurement Rules</w:t>
      </w:r>
      <w:bookmarkEnd w:id="23"/>
      <w:r w:rsidRPr="009D55B0">
        <w:t xml:space="preserve"> </w:t>
      </w:r>
    </w:p>
    <w:p w14:paraId="202543C8" w14:textId="253FEDDB" w:rsidR="00166F33" w:rsidRPr="009D55B0" w:rsidRDefault="00166F33" w:rsidP="001D6774">
      <w:pPr>
        <w:rPr>
          <w:rFonts w:cs="Open Sans"/>
          <w:sz w:val="22"/>
          <w:szCs w:val="22"/>
        </w:rPr>
      </w:pPr>
      <w:r w:rsidRPr="009D55B0">
        <w:rPr>
          <w:rFonts w:cs="Open Sans"/>
          <w:sz w:val="22"/>
          <w:szCs w:val="22"/>
        </w:rPr>
        <w:t>The Commonwealth Procurement Rules,</w:t>
      </w:r>
      <w:r w:rsidRPr="009D55B0">
        <w:rPr>
          <w:rStyle w:val="EndnoteReference"/>
          <w:rFonts w:cs="Open Sans"/>
          <w:sz w:val="22"/>
          <w:szCs w:val="22"/>
        </w:rPr>
        <w:endnoteReference w:id="13"/>
      </w:r>
      <w:r w:rsidRPr="009D55B0">
        <w:rPr>
          <w:rFonts w:cs="Open Sans"/>
          <w:sz w:val="22"/>
          <w:szCs w:val="22"/>
        </w:rPr>
        <w:t xml:space="preserve"> in particular rule 10.19 and the accompanying Government guidance,</w:t>
      </w:r>
      <w:r w:rsidRPr="009D55B0">
        <w:rPr>
          <w:rStyle w:val="EndnoteReference"/>
          <w:rFonts w:cs="Open Sans"/>
          <w:sz w:val="22"/>
          <w:szCs w:val="22"/>
        </w:rPr>
        <w:endnoteReference w:id="14"/>
      </w:r>
      <w:r w:rsidRPr="009D55B0">
        <w:rPr>
          <w:rFonts w:cs="Open Sans"/>
          <w:sz w:val="22"/>
          <w:szCs w:val="22"/>
        </w:rPr>
        <w:t xml:space="preserve"> support Commission staff making reasonable enquiries of Suppliers to support the human rights and social procurement approach to procurement outlined in this Policy (see further details in </w:t>
      </w:r>
      <w:r w:rsidRPr="009D55B0">
        <w:rPr>
          <w:rFonts w:cs="Open Sans"/>
          <w:b/>
          <w:sz w:val="22"/>
          <w:szCs w:val="22"/>
        </w:rPr>
        <w:t>Appendix B</w:t>
      </w:r>
      <w:r w:rsidRPr="009D55B0">
        <w:rPr>
          <w:rFonts w:cs="Open Sans"/>
          <w:sz w:val="22"/>
          <w:szCs w:val="22"/>
        </w:rPr>
        <w:t>).</w:t>
      </w:r>
    </w:p>
    <w:p w14:paraId="4AB36C8F" w14:textId="1BE858ED" w:rsidR="00166F33" w:rsidRPr="002E323F" w:rsidRDefault="00166F33" w:rsidP="009D55B0">
      <w:pPr>
        <w:pStyle w:val="Heading1"/>
      </w:pPr>
      <w:bookmarkStart w:id="24" w:name="_Ref443162219"/>
      <w:bookmarkStart w:id="25" w:name="_Toc40773913"/>
      <w:bookmarkEnd w:id="5"/>
      <w:r w:rsidRPr="002E323F">
        <w:t>Expectations of Suppliers</w:t>
      </w:r>
      <w:bookmarkEnd w:id="24"/>
      <w:bookmarkEnd w:id="25"/>
    </w:p>
    <w:p w14:paraId="13A217FF" w14:textId="3D1C3513" w:rsidR="00166F33" w:rsidRPr="009D55B0" w:rsidRDefault="00166F33" w:rsidP="00776A66">
      <w:pPr>
        <w:rPr>
          <w:rFonts w:cs="Open Sans"/>
          <w:sz w:val="22"/>
          <w:szCs w:val="22"/>
        </w:rPr>
      </w:pPr>
      <w:r w:rsidRPr="002E323F">
        <w:rPr>
          <w:rFonts w:cs="Open Sans"/>
          <w:sz w:val="22"/>
          <w:szCs w:val="22"/>
        </w:rPr>
        <w:t xml:space="preserve">The Commission expects that all its Suppliers will take reasonable </w:t>
      </w:r>
      <w:r>
        <w:rPr>
          <w:rFonts w:cs="Open Sans"/>
          <w:sz w:val="22"/>
          <w:szCs w:val="22"/>
        </w:rPr>
        <w:t xml:space="preserve">steps </w:t>
      </w:r>
      <w:r w:rsidRPr="002E323F">
        <w:rPr>
          <w:rFonts w:cs="Open Sans"/>
          <w:sz w:val="22"/>
          <w:szCs w:val="22"/>
        </w:rPr>
        <w:t>to respect human rights in their operations and business relationships (including in their supply chains).</w:t>
      </w:r>
      <w:r>
        <w:rPr>
          <w:rFonts w:cs="Open Sans"/>
          <w:sz w:val="22"/>
          <w:szCs w:val="22"/>
        </w:rPr>
        <w:t xml:space="preserve"> </w:t>
      </w:r>
    </w:p>
    <w:p w14:paraId="64E5A7DE" w14:textId="0FF058CC" w:rsidR="00166F33" w:rsidRPr="009D55B0" w:rsidRDefault="00166F33" w:rsidP="00776A66">
      <w:pPr>
        <w:rPr>
          <w:rFonts w:cs="Open Sans"/>
          <w:sz w:val="22"/>
          <w:szCs w:val="22"/>
          <w:shd w:val="clear" w:color="auto" w:fill="FFFFFF"/>
        </w:rPr>
      </w:pPr>
      <w:r w:rsidRPr="009D55B0">
        <w:rPr>
          <w:rFonts w:cs="Open Sans"/>
          <w:sz w:val="22"/>
          <w:szCs w:val="22"/>
        </w:rPr>
        <w:t xml:space="preserve">The Commission expects that our Suppliers adhere to all applicable laws and regulations in their countries of operation and, in accordance with the UNGPs, will </w:t>
      </w:r>
      <w:r w:rsidRPr="009D55B0">
        <w:rPr>
          <w:rFonts w:cs="Open Sans"/>
          <w:sz w:val="22"/>
          <w:szCs w:val="22"/>
          <w:shd w:val="clear" w:color="auto" w:fill="FFFFFF"/>
        </w:rPr>
        <w:t xml:space="preserve">seek ways to honour the principles of internationally recognised human rights when faced with conflicting requirements’ between national laws and human rights. </w:t>
      </w:r>
    </w:p>
    <w:p w14:paraId="704D36BE" w14:textId="3BA487CB" w:rsidR="00166F33" w:rsidRPr="009D55B0" w:rsidRDefault="00166F33" w:rsidP="009D55B0">
      <w:pPr>
        <w:pStyle w:val="Heading1"/>
      </w:pPr>
      <w:bookmarkStart w:id="26" w:name="_Toc40773914"/>
      <w:r w:rsidRPr="009D55B0">
        <w:t>Managing human rights risks in Commission procurement</w:t>
      </w:r>
      <w:bookmarkEnd w:id="26"/>
      <w:r w:rsidRPr="009D55B0">
        <w:t xml:space="preserve"> </w:t>
      </w:r>
    </w:p>
    <w:p w14:paraId="21FFE468" w14:textId="2EEA2DB3" w:rsidR="00166F33" w:rsidRPr="009D55B0" w:rsidRDefault="00166F33" w:rsidP="00BE3C77">
      <w:pPr>
        <w:pStyle w:val="Heading2"/>
        <w:rPr>
          <w:shd w:val="clear" w:color="auto" w:fill="FFFFFF"/>
        </w:rPr>
      </w:pPr>
      <w:bookmarkStart w:id="27" w:name="_Toc40773915"/>
      <w:r w:rsidRPr="009D55B0">
        <w:rPr>
          <w:shd w:val="clear" w:color="auto" w:fill="FFFFFF"/>
        </w:rPr>
        <w:t>Risk management in Commission procurement</w:t>
      </w:r>
      <w:bookmarkEnd w:id="27"/>
      <w:r w:rsidRPr="009D55B0">
        <w:rPr>
          <w:shd w:val="clear" w:color="auto" w:fill="FFFFFF"/>
        </w:rPr>
        <w:t xml:space="preserve"> </w:t>
      </w:r>
    </w:p>
    <w:p w14:paraId="4F7157CC" w14:textId="1DF5677E" w:rsidR="00166F33" w:rsidRDefault="00166F33" w:rsidP="00D329DC">
      <w:pPr>
        <w:rPr>
          <w:rFonts w:cs="Open Sans"/>
          <w:sz w:val="22"/>
          <w:szCs w:val="22"/>
          <w:shd w:val="clear" w:color="auto" w:fill="FFFFFF"/>
        </w:rPr>
      </w:pPr>
      <w:r w:rsidRPr="009D55B0">
        <w:rPr>
          <w:rFonts w:cs="Open Sans"/>
          <w:sz w:val="22"/>
          <w:szCs w:val="22"/>
          <w:shd w:val="clear" w:color="auto" w:fill="FFFFFF"/>
        </w:rPr>
        <w:t xml:space="preserve">Under this Policy, the Commission </w:t>
      </w:r>
      <w:r w:rsidRPr="009D55B0">
        <w:rPr>
          <w:rFonts w:cs="Open Sans"/>
          <w:color w:val="000000"/>
          <w:sz w:val="22"/>
          <w:szCs w:val="22"/>
        </w:rPr>
        <w:t xml:space="preserve">will identify and manage risks of adverse human rights impacts arising in the context of procurement </w:t>
      </w:r>
      <w:r>
        <w:rPr>
          <w:rFonts w:cs="Open Sans"/>
          <w:color w:val="000000"/>
          <w:sz w:val="22"/>
          <w:szCs w:val="22"/>
        </w:rPr>
        <w:t xml:space="preserve">undertaken by the </w:t>
      </w:r>
      <w:r w:rsidRPr="009D55B0">
        <w:rPr>
          <w:rFonts w:cs="Open Sans"/>
          <w:color w:val="000000"/>
          <w:sz w:val="22"/>
          <w:szCs w:val="22"/>
        </w:rPr>
        <w:t xml:space="preserve">Commission, </w:t>
      </w:r>
      <w:r w:rsidRPr="009D55B0">
        <w:rPr>
          <w:rFonts w:cs="Open Sans"/>
          <w:sz w:val="22"/>
          <w:szCs w:val="22"/>
          <w:shd w:val="clear" w:color="auto" w:fill="FFFFFF"/>
        </w:rPr>
        <w:t>using the ‘human rights due diligence’ approach.</w:t>
      </w:r>
      <w:r w:rsidRPr="009D55B0">
        <w:rPr>
          <w:rStyle w:val="EndnoteReference"/>
          <w:rFonts w:cs="Open Sans"/>
          <w:sz w:val="22"/>
          <w:szCs w:val="22"/>
          <w:shd w:val="clear" w:color="auto" w:fill="FFFFFF"/>
        </w:rPr>
        <w:endnoteReference w:id="15"/>
      </w:r>
      <w:r w:rsidRPr="009D55B0">
        <w:rPr>
          <w:rFonts w:cs="Open Sans"/>
          <w:sz w:val="22"/>
          <w:szCs w:val="22"/>
          <w:shd w:val="clear" w:color="auto" w:fill="FFFFFF"/>
        </w:rPr>
        <w:t xml:space="preserve"> </w:t>
      </w:r>
    </w:p>
    <w:p w14:paraId="14C1ABB1" w14:textId="475D6262" w:rsidR="00166F33" w:rsidRPr="009D55B0" w:rsidRDefault="00166F33" w:rsidP="00D329DC">
      <w:pPr>
        <w:rPr>
          <w:rFonts w:cs="Open Sans"/>
          <w:sz w:val="22"/>
          <w:szCs w:val="22"/>
          <w:shd w:val="clear" w:color="auto" w:fill="FFFFFF"/>
        </w:rPr>
      </w:pPr>
      <w:r w:rsidRPr="009D55B0">
        <w:rPr>
          <w:rFonts w:cs="Open Sans"/>
          <w:sz w:val="22"/>
          <w:szCs w:val="22"/>
          <w:shd w:val="clear" w:color="auto" w:fill="FFFFFF"/>
        </w:rPr>
        <w:t xml:space="preserve">The Commission already has </w:t>
      </w:r>
      <w:r>
        <w:rPr>
          <w:rFonts w:cs="Open Sans"/>
          <w:sz w:val="22"/>
          <w:szCs w:val="22"/>
          <w:shd w:val="clear" w:color="auto" w:fill="FFFFFF"/>
        </w:rPr>
        <w:t>an</w:t>
      </w:r>
      <w:r w:rsidRPr="009D55B0">
        <w:rPr>
          <w:rFonts w:cs="Open Sans"/>
          <w:sz w:val="22"/>
          <w:szCs w:val="22"/>
          <w:shd w:val="clear" w:color="auto" w:fill="FFFFFF"/>
        </w:rPr>
        <w:t xml:space="preserve"> active risk management program to identify, assess, monitor and manage perceived </w:t>
      </w:r>
      <w:r>
        <w:rPr>
          <w:rFonts w:cs="Open Sans"/>
          <w:sz w:val="22"/>
          <w:szCs w:val="22"/>
          <w:shd w:val="clear" w:color="auto" w:fill="FFFFFF"/>
        </w:rPr>
        <w:t xml:space="preserve">strategic and </w:t>
      </w:r>
      <w:r w:rsidRPr="009D55B0">
        <w:rPr>
          <w:rFonts w:cs="Open Sans"/>
          <w:sz w:val="22"/>
          <w:szCs w:val="22"/>
          <w:shd w:val="clear" w:color="auto" w:fill="FFFFFF"/>
        </w:rPr>
        <w:t>business risks. There are legal, financial, political and reputational risks for state actors that fail to manage the human rights risks in their supply chains. However, taking a human rights due diligence approach to managing human rights risks means focusing on ‘risks to people’, rather than the traditional risk management approach of focusing on ‘risks to business</w:t>
      </w:r>
      <w:r w:rsidR="005E5688">
        <w:rPr>
          <w:rFonts w:cs="Open Sans"/>
          <w:sz w:val="22"/>
          <w:szCs w:val="22"/>
          <w:shd w:val="clear" w:color="auto" w:fill="FFFFFF"/>
        </w:rPr>
        <w:t>’</w:t>
      </w:r>
      <w:r w:rsidRPr="009D55B0">
        <w:rPr>
          <w:rFonts w:cs="Open Sans"/>
          <w:sz w:val="22"/>
          <w:szCs w:val="22"/>
          <w:shd w:val="clear" w:color="auto" w:fill="FFFFFF"/>
        </w:rPr>
        <w:t>.</w:t>
      </w:r>
    </w:p>
    <w:p w14:paraId="4B7A31C8" w14:textId="379FBAA8" w:rsidR="00166F33" w:rsidRPr="009D55B0" w:rsidRDefault="00166F33" w:rsidP="00CE61A6">
      <w:pPr>
        <w:rPr>
          <w:rFonts w:cs="Open Sans"/>
          <w:sz w:val="22"/>
          <w:szCs w:val="22"/>
          <w:shd w:val="clear" w:color="auto" w:fill="FFFFFF"/>
        </w:rPr>
      </w:pPr>
      <w:r w:rsidRPr="009D55B0">
        <w:rPr>
          <w:rFonts w:cs="Open Sans"/>
          <w:sz w:val="22"/>
          <w:szCs w:val="22"/>
          <w:shd w:val="clear" w:color="auto" w:fill="FFFFFF"/>
        </w:rPr>
        <w:t xml:space="preserve">Where necessary, </w:t>
      </w:r>
      <w:r>
        <w:rPr>
          <w:rFonts w:cs="Open Sans"/>
          <w:sz w:val="22"/>
          <w:szCs w:val="22"/>
          <w:shd w:val="clear" w:color="auto" w:fill="FFFFFF"/>
        </w:rPr>
        <w:t>the existing</w:t>
      </w:r>
      <w:r w:rsidRPr="009D55B0">
        <w:rPr>
          <w:rFonts w:cs="Open Sans"/>
          <w:sz w:val="22"/>
          <w:szCs w:val="22"/>
          <w:shd w:val="clear" w:color="auto" w:fill="FFFFFF"/>
        </w:rPr>
        <w:t xml:space="preserve"> Commission procurement </w:t>
      </w:r>
      <w:r>
        <w:rPr>
          <w:rFonts w:cs="Open Sans"/>
          <w:sz w:val="22"/>
          <w:szCs w:val="22"/>
          <w:shd w:val="clear" w:color="auto" w:fill="FFFFFF"/>
        </w:rPr>
        <w:t xml:space="preserve">policy and procedures </w:t>
      </w:r>
      <w:r w:rsidRPr="009D55B0">
        <w:rPr>
          <w:rFonts w:cs="Open Sans"/>
          <w:sz w:val="22"/>
          <w:szCs w:val="22"/>
          <w:shd w:val="clear" w:color="auto" w:fill="FFFFFF"/>
        </w:rPr>
        <w:t>will be</w:t>
      </w:r>
      <w:r>
        <w:rPr>
          <w:rFonts w:cs="Open Sans"/>
          <w:sz w:val="22"/>
          <w:szCs w:val="22"/>
          <w:shd w:val="clear" w:color="auto" w:fill="FFFFFF"/>
        </w:rPr>
        <w:t xml:space="preserve"> </w:t>
      </w:r>
      <w:r w:rsidRPr="009D55B0">
        <w:rPr>
          <w:rFonts w:cs="Open Sans"/>
          <w:sz w:val="22"/>
          <w:szCs w:val="22"/>
          <w:shd w:val="clear" w:color="auto" w:fill="FFFFFF"/>
        </w:rPr>
        <w:t>amended</w:t>
      </w:r>
      <w:r>
        <w:rPr>
          <w:rFonts w:cs="Open Sans"/>
          <w:sz w:val="22"/>
          <w:szCs w:val="22"/>
          <w:shd w:val="clear" w:color="auto" w:fill="FFFFFF"/>
        </w:rPr>
        <w:t xml:space="preserve"> and regularly reviewed </w:t>
      </w:r>
      <w:r w:rsidRPr="009D55B0">
        <w:rPr>
          <w:rFonts w:cs="Open Sans"/>
          <w:sz w:val="22"/>
          <w:szCs w:val="22"/>
          <w:shd w:val="clear" w:color="auto" w:fill="FFFFFF"/>
        </w:rPr>
        <w:t xml:space="preserve">to support </w:t>
      </w:r>
      <w:r>
        <w:rPr>
          <w:rFonts w:cs="Open Sans"/>
          <w:sz w:val="22"/>
          <w:szCs w:val="22"/>
          <w:shd w:val="clear" w:color="auto" w:fill="FFFFFF"/>
        </w:rPr>
        <w:t>the Commission’s inclusion of a human rights due diligence approach in its procurement practices</w:t>
      </w:r>
      <w:r w:rsidRPr="009D55B0">
        <w:rPr>
          <w:rFonts w:cs="Open Sans"/>
          <w:sz w:val="22"/>
          <w:szCs w:val="22"/>
          <w:shd w:val="clear" w:color="auto" w:fill="FFFFFF"/>
        </w:rPr>
        <w:t>.</w:t>
      </w:r>
    </w:p>
    <w:p w14:paraId="3E544A7C" w14:textId="17C78177" w:rsidR="00166F33" w:rsidRPr="009D55B0" w:rsidRDefault="00166F33" w:rsidP="00BE3C77">
      <w:pPr>
        <w:pStyle w:val="Heading2"/>
        <w:rPr>
          <w:shd w:val="clear" w:color="auto" w:fill="FFFFFF"/>
        </w:rPr>
      </w:pPr>
      <w:bookmarkStart w:id="28" w:name="_Toc40773916"/>
      <w:r w:rsidRPr="009D55B0">
        <w:rPr>
          <w:shd w:val="clear" w:color="auto" w:fill="FFFFFF"/>
        </w:rPr>
        <w:t>Human rights due diligence</w:t>
      </w:r>
      <w:bookmarkEnd w:id="28"/>
      <w:r w:rsidRPr="009D55B0">
        <w:rPr>
          <w:shd w:val="clear" w:color="auto" w:fill="FFFFFF"/>
        </w:rPr>
        <w:t xml:space="preserve"> </w:t>
      </w:r>
    </w:p>
    <w:p w14:paraId="0BEABDFB" w14:textId="6BFE5A72" w:rsidR="00166F33" w:rsidRPr="009D55B0" w:rsidRDefault="00166F33" w:rsidP="00EC4BB5">
      <w:pPr>
        <w:rPr>
          <w:rFonts w:cs="Open Sans"/>
          <w:sz w:val="22"/>
          <w:szCs w:val="22"/>
          <w:shd w:val="clear" w:color="auto" w:fill="FFFFFF"/>
        </w:rPr>
      </w:pPr>
      <w:r w:rsidRPr="009D55B0">
        <w:rPr>
          <w:rFonts w:cs="Open Sans"/>
          <w:sz w:val="22"/>
          <w:szCs w:val="22"/>
          <w:shd w:val="clear" w:color="auto" w:fill="FFFFFF"/>
        </w:rPr>
        <w:t xml:space="preserve">Human rights due diligence is an ongoing risk management process which asks businesses to identify, prevent, mitigate and account for how an organisation addresses </w:t>
      </w:r>
      <w:r w:rsidRPr="009D55B0">
        <w:rPr>
          <w:rFonts w:cs="Open Sans"/>
          <w:sz w:val="22"/>
          <w:szCs w:val="22"/>
          <w:shd w:val="clear" w:color="auto" w:fill="FFFFFF"/>
        </w:rPr>
        <w:lastRenderedPageBreak/>
        <w:t>its adverse human rights impacts.  The human rights due diligence approach asks organisations to prioritise addressing their most severe risks first, which allows for a targeted deployment of resources.</w:t>
      </w:r>
    </w:p>
    <w:p w14:paraId="6DB294C2" w14:textId="427FAEE7" w:rsidR="00166F33" w:rsidRPr="009D55B0" w:rsidRDefault="00166F33" w:rsidP="00006830">
      <w:pPr>
        <w:rPr>
          <w:rFonts w:cs="Open Sans"/>
          <w:sz w:val="22"/>
          <w:szCs w:val="22"/>
          <w:shd w:val="clear" w:color="auto" w:fill="FFFFFF"/>
        </w:rPr>
      </w:pPr>
      <w:r w:rsidRPr="009D55B0">
        <w:rPr>
          <w:rFonts w:cs="Open Sans"/>
          <w:sz w:val="22"/>
          <w:szCs w:val="22"/>
          <w:shd w:val="clear" w:color="auto" w:fill="FFFFFF"/>
        </w:rPr>
        <w:t>There are four key aspects of human rights due diligence:</w:t>
      </w:r>
    </w:p>
    <w:p w14:paraId="7701C930" w14:textId="64941F8B" w:rsidR="00166F33" w:rsidRPr="009D55B0" w:rsidRDefault="005E5688" w:rsidP="00920594">
      <w:pPr>
        <w:pStyle w:val="ListParagraph"/>
        <w:numPr>
          <w:ilvl w:val="0"/>
          <w:numId w:val="39"/>
        </w:numPr>
        <w:rPr>
          <w:rFonts w:cs="Open Sans"/>
          <w:sz w:val="22"/>
          <w:szCs w:val="22"/>
          <w:shd w:val="clear" w:color="auto" w:fill="FFFFFF"/>
        </w:rPr>
      </w:pPr>
      <w:r>
        <w:rPr>
          <w:rFonts w:cs="Open Sans"/>
          <w:sz w:val="22"/>
          <w:szCs w:val="22"/>
          <w:shd w:val="clear" w:color="auto" w:fill="FFFFFF"/>
        </w:rPr>
        <w:t>i</w:t>
      </w:r>
      <w:r w:rsidRPr="009D55B0">
        <w:rPr>
          <w:rFonts w:cs="Open Sans"/>
          <w:sz w:val="22"/>
          <w:szCs w:val="22"/>
          <w:shd w:val="clear" w:color="auto" w:fill="FFFFFF"/>
        </w:rPr>
        <w:t xml:space="preserve">dentifying </w:t>
      </w:r>
      <w:r w:rsidR="00166F33" w:rsidRPr="009D55B0">
        <w:rPr>
          <w:rFonts w:cs="Open Sans"/>
          <w:sz w:val="22"/>
          <w:szCs w:val="22"/>
          <w:shd w:val="clear" w:color="auto" w:fill="FFFFFF"/>
        </w:rPr>
        <w:t xml:space="preserve">and assessing actual and potential adverse human rights impacts  </w:t>
      </w:r>
    </w:p>
    <w:p w14:paraId="1A903A3D" w14:textId="3D7BF5C4" w:rsidR="00166F33" w:rsidRPr="009D55B0" w:rsidRDefault="005E5688" w:rsidP="00920594">
      <w:pPr>
        <w:pStyle w:val="ListParagraph"/>
        <w:numPr>
          <w:ilvl w:val="0"/>
          <w:numId w:val="39"/>
        </w:numPr>
        <w:rPr>
          <w:rFonts w:cs="Open Sans"/>
          <w:sz w:val="22"/>
          <w:szCs w:val="22"/>
          <w:shd w:val="clear" w:color="auto" w:fill="FFFFFF"/>
        </w:rPr>
      </w:pPr>
      <w:r>
        <w:rPr>
          <w:rFonts w:cs="Open Sans"/>
          <w:sz w:val="22"/>
          <w:szCs w:val="22"/>
          <w:shd w:val="clear" w:color="auto" w:fill="FFFFFF"/>
        </w:rPr>
        <w:t>i</w:t>
      </w:r>
      <w:r w:rsidRPr="009D55B0">
        <w:rPr>
          <w:rFonts w:cs="Open Sans"/>
          <w:sz w:val="22"/>
          <w:szCs w:val="22"/>
          <w:shd w:val="clear" w:color="auto" w:fill="FFFFFF"/>
        </w:rPr>
        <w:t xml:space="preserve">ntegrating </w:t>
      </w:r>
      <w:r w:rsidR="00166F33" w:rsidRPr="009D55B0">
        <w:rPr>
          <w:rFonts w:cs="Open Sans"/>
          <w:sz w:val="22"/>
          <w:szCs w:val="22"/>
          <w:shd w:val="clear" w:color="auto" w:fill="FFFFFF"/>
        </w:rPr>
        <w:t>and acting upon the findings by taking context appropriate action to prevent or mitigate risks of adverse human rights impacts, starting with the most severe risks</w:t>
      </w:r>
      <w:r w:rsidR="00166F33" w:rsidRPr="009D55B0">
        <w:rPr>
          <w:rStyle w:val="EndnoteReference"/>
          <w:rFonts w:cs="Open Sans"/>
          <w:sz w:val="22"/>
          <w:szCs w:val="22"/>
          <w:shd w:val="clear" w:color="auto" w:fill="FFFFFF"/>
        </w:rPr>
        <w:endnoteReference w:id="16"/>
      </w:r>
      <w:r w:rsidR="00166F33" w:rsidRPr="009D55B0">
        <w:rPr>
          <w:rFonts w:cs="Open Sans"/>
          <w:sz w:val="22"/>
          <w:szCs w:val="22"/>
          <w:shd w:val="clear" w:color="auto" w:fill="FFFFFF"/>
        </w:rPr>
        <w:t xml:space="preserve"> </w:t>
      </w:r>
    </w:p>
    <w:p w14:paraId="2A16FD1E" w14:textId="5790297B" w:rsidR="00166F33" w:rsidRPr="009D55B0" w:rsidRDefault="005E5688" w:rsidP="00920594">
      <w:pPr>
        <w:pStyle w:val="ListParagraph"/>
        <w:numPr>
          <w:ilvl w:val="0"/>
          <w:numId w:val="39"/>
        </w:numPr>
        <w:rPr>
          <w:rFonts w:cs="Open Sans"/>
          <w:sz w:val="22"/>
          <w:szCs w:val="22"/>
          <w:shd w:val="clear" w:color="auto" w:fill="FFFFFF"/>
        </w:rPr>
      </w:pPr>
      <w:r>
        <w:rPr>
          <w:rFonts w:cs="Open Sans"/>
          <w:sz w:val="22"/>
          <w:szCs w:val="22"/>
          <w:shd w:val="clear" w:color="auto" w:fill="FFFFFF"/>
        </w:rPr>
        <w:t>t</w:t>
      </w:r>
      <w:r w:rsidRPr="009D55B0">
        <w:rPr>
          <w:rFonts w:cs="Open Sans"/>
          <w:sz w:val="22"/>
          <w:szCs w:val="22"/>
          <w:shd w:val="clear" w:color="auto" w:fill="FFFFFF"/>
        </w:rPr>
        <w:t xml:space="preserve">racking </w:t>
      </w:r>
      <w:r w:rsidR="00166F33" w:rsidRPr="009D55B0">
        <w:rPr>
          <w:rFonts w:cs="Open Sans"/>
          <w:sz w:val="22"/>
          <w:szCs w:val="22"/>
          <w:shd w:val="clear" w:color="auto" w:fill="FFFFFF"/>
        </w:rPr>
        <w:t>and measuring the effectiveness of the measures implemented</w:t>
      </w:r>
    </w:p>
    <w:p w14:paraId="338FD3E4" w14:textId="50944640" w:rsidR="00166F33" w:rsidRPr="009D55B0" w:rsidRDefault="005E5688" w:rsidP="00920594">
      <w:pPr>
        <w:pStyle w:val="ListParagraph"/>
        <w:numPr>
          <w:ilvl w:val="0"/>
          <w:numId w:val="39"/>
        </w:numPr>
        <w:rPr>
          <w:rFonts w:cs="Open Sans"/>
          <w:sz w:val="22"/>
          <w:szCs w:val="22"/>
          <w:shd w:val="clear" w:color="auto" w:fill="FFFFFF"/>
        </w:rPr>
      </w:pPr>
      <w:r>
        <w:rPr>
          <w:rFonts w:cs="Open Sans"/>
          <w:sz w:val="22"/>
          <w:szCs w:val="22"/>
          <w:shd w:val="clear" w:color="auto" w:fill="FFFFFF"/>
        </w:rPr>
        <w:t>c</w:t>
      </w:r>
      <w:r w:rsidRPr="009D55B0">
        <w:rPr>
          <w:rFonts w:cs="Open Sans"/>
          <w:sz w:val="22"/>
          <w:szCs w:val="22"/>
          <w:shd w:val="clear" w:color="auto" w:fill="FFFFFF"/>
        </w:rPr>
        <w:t xml:space="preserve">ommunicating </w:t>
      </w:r>
      <w:r w:rsidR="00166F33" w:rsidRPr="009D55B0">
        <w:rPr>
          <w:rFonts w:cs="Open Sans"/>
          <w:sz w:val="22"/>
          <w:szCs w:val="22"/>
          <w:shd w:val="clear" w:color="auto" w:fill="FFFFFF"/>
        </w:rPr>
        <w:t xml:space="preserve">how impacts are addressed. </w:t>
      </w:r>
    </w:p>
    <w:p w14:paraId="4BD89130" w14:textId="1AFD206E" w:rsidR="00166F33" w:rsidRPr="009D55B0" w:rsidRDefault="00166F33" w:rsidP="00BE3C77">
      <w:pPr>
        <w:pStyle w:val="Heading2"/>
        <w:rPr>
          <w:shd w:val="clear" w:color="auto" w:fill="FFFFFF"/>
        </w:rPr>
      </w:pPr>
      <w:bookmarkStart w:id="29" w:name="_Toc31378223"/>
      <w:bookmarkStart w:id="30" w:name="_Toc40773917"/>
      <w:bookmarkEnd w:id="29"/>
      <w:r w:rsidRPr="009D55B0">
        <w:rPr>
          <w:shd w:val="clear" w:color="auto" w:fill="FFFFFF"/>
        </w:rPr>
        <w:t>Implementing human rights due diligence in Commission Procurement</w:t>
      </w:r>
      <w:bookmarkEnd w:id="30"/>
    </w:p>
    <w:p w14:paraId="05EECE30" w14:textId="266BAE25" w:rsidR="00166F33" w:rsidRDefault="00166F33" w:rsidP="00017E2C">
      <w:pPr>
        <w:rPr>
          <w:rFonts w:cs="Open Sans"/>
          <w:sz w:val="22"/>
          <w:szCs w:val="22"/>
          <w:shd w:val="clear" w:color="auto" w:fill="FFFFFF"/>
        </w:rPr>
      </w:pPr>
      <w:r w:rsidRPr="009D55B0">
        <w:rPr>
          <w:rFonts w:cs="Open Sans"/>
          <w:sz w:val="22"/>
          <w:szCs w:val="22"/>
          <w:shd w:val="clear" w:color="auto" w:fill="FFFFFF"/>
        </w:rPr>
        <w:t xml:space="preserve">Human rights due diligence is an ongoing process, which will be embedded into the </w:t>
      </w:r>
      <w:r>
        <w:rPr>
          <w:rFonts w:cs="Open Sans"/>
          <w:sz w:val="22"/>
          <w:szCs w:val="22"/>
          <w:shd w:val="clear" w:color="auto" w:fill="FFFFFF"/>
        </w:rPr>
        <w:t>Commission’s R</w:t>
      </w:r>
      <w:r w:rsidRPr="009D55B0">
        <w:rPr>
          <w:rFonts w:cs="Open Sans"/>
          <w:sz w:val="22"/>
          <w:szCs w:val="22"/>
          <w:shd w:val="clear" w:color="auto" w:fill="FFFFFF"/>
        </w:rPr>
        <w:t xml:space="preserve">isk </w:t>
      </w:r>
      <w:r>
        <w:rPr>
          <w:rFonts w:cs="Open Sans"/>
          <w:sz w:val="22"/>
          <w:szCs w:val="22"/>
          <w:shd w:val="clear" w:color="auto" w:fill="FFFFFF"/>
        </w:rPr>
        <w:t xml:space="preserve">Management Framework </w:t>
      </w:r>
      <w:r w:rsidRPr="009D55B0">
        <w:rPr>
          <w:rFonts w:cs="Open Sans"/>
          <w:sz w:val="22"/>
          <w:szCs w:val="22"/>
          <w:shd w:val="clear" w:color="auto" w:fill="FFFFFF"/>
        </w:rPr>
        <w:t xml:space="preserve">and procurement practices. </w:t>
      </w:r>
    </w:p>
    <w:p w14:paraId="4FDFFE19" w14:textId="43E366E2" w:rsidR="00166F33" w:rsidRPr="009D55B0" w:rsidRDefault="00166F33" w:rsidP="00017E2C">
      <w:pPr>
        <w:rPr>
          <w:rFonts w:cs="Open Sans"/>
          <w:sz w:val="22"/>
          <w:szCs w:val="22"/>
        </w:rPr>
      </w:pPr>
      <w:r w:rsidRPr="009D55B0">
        <w:rPr>
          <w:rFonts w:cs="Open Sans"/>
          <w:sz w:val="22"/>
          <w:szCs w:val="22"/>
        </w:rPr>
        <w:t>T</w:t>
      </w:r>
      <w:r w:rsidRPr="009D55B0">
        <w:rPr>
          <w:rFonts w:cs="Open Sans"/>
          <w:sz w:val="22"/>
          <w:szCs w:val="22"/>
          <w:shd w:val="clear" w:color="auto" w:fill="FFFFFF"/>
        </w:rPr>
        <w:t xml:space="preserve">he Commission will undertake a risk identification and assessment to identify the Commission’s actual and potential adverse human rights impacts in its procurement. </w:t>
      </w:r>
      <w:r w:rsidRPr="009D55B0">
        <w:rPr>
          <w:rFonts w:cs="Open Sans"/>
          <w:sz w:val="22"/>
          <w:szCs w:val="22"/>
        </w:rPr>
        <w:t>The Commission will take action to prevent and mitigate the Commission’s potential adverse human rights impacts, using context appropriate measures and prioritising action on the most severe risks first.</w:t>
      </w:r>
    </w:p>
    <w:p w14:paraId="7453B47F" w14:textId="01F8F676" w:rsidR="00166F33" w:rsidRPr="009D55B0" w:rsidRDefault="00166F33" w:rsidP="00E23F86">
      <w:pPr>
        <w:pBdr>
          <w:top w:val="single" w:sz="4" w:space="1" w:color="auto"/>
          <w:left w:val="single" w:sz="4" w:space="4" w:color="auto"/>
          <w:bottom w:val="single" w:sz="4" w:space="1" w:color="auto"/>
          <w:right w:val="single" w:sz="4" w:space="4" w:color="auto"/>
        </w:pBdr>
        <w:rPr>
          <w:rFonts w:cs="Open Sans"/>
          <w:sz w:val="22"/>
          <w:szCs w:val="22"/>
        </w:rPr>
      </w:pPr>
      <w:r w:rsidRPr="009D55B0">
        <w:rPr>
          <w:rFonts w:cs="Open Sans"/>
          <w:b/>
          <w:i/>
          <w:sz w:val="22"/>
          <w:szCs w:val="22"/>
        </w:rPr>
        <w:t>Example</w:t>
      </w:r>
      <w:r w:rsidRPr="009D55B0">
        <w:rPr>
          <w:rFonts w:cs="Open Sans"/>
          <w:b/>
          <w:i/>
          <w:sz w:val="22"/>
          <w:szCs w:val="22"/>
        </w:rPr>
        <w:br/>
      </w:r>
      <w:r w:rsidRPr="009D55B0">
        <w:rPr>
          <w:rFonts w:cs="Open Sans"/>
          <w:sz w:val="22"/>
          <w:szCs w:val="22"/>
        </w:rPr>
        <w:t xml:space="preserve">Examples of potentially appropriate responses to human rights risks in Commission procurement </w:t>
      </w:r>
      <w:r>
        <w:rPr>
          <w:rFonts w:cs="Open Sans"/>
          <w:sz w:val="22"/>
          <w:szCs w:val="22"/>
        </w:rPr>
        <w:t>which may be developed as part of the Commission’s human rights response to procurement in coming years may</w:t>
      </w:r>
      <w:r w:rsidRPr="009D55B0">
        <w:rPr>
          <w:rFonts w:cs="Open Sans"/>
          <w:sz w:val="22"/>
          <w:szCs w:val="22"/>
        </w:rPr>
        <w:t xml:space="preserve"> include measure</w:t>
      </w:r>
      <w:r>
        <w:rPr>
          <w:rFonts w:cs="Open Sans"/>
          <w:sz w:val="22"/>
          <w:szCs w:val="22"/>
        </w:rPr>
        <w:t>s</w:t>
      </w:r>
      <w:r w:rsidRPr="009D55B0">
        <w:rPr>
          <w:rFonts w:cs="Open Sans"/>
          <w:sz w:val="22"/>
          <w:szCs w:val="22"/>
        </w:rPr>
        <w:t xml:space="preserve"> such as: engaging with Suppliers about human rights and modern slavery risks in their operations and supply chains; requesting Suppliers provide the Commission information about their visibility of their supply chain and awareness and management of their business’ human rights risks; incorporating</w:t>
      </w:r>
      <w:r w:rsidR="005D75B5">
        <w:rPr>
          <w:rFonts w:cs="Open Sans"/>
          <w:sz w:val="22"/>
          <w:szCs w:val="22"/>
        </w:rPr>
        <w:t xml:space="preserve"> modern slavery related</w:t>
      </w:r>
      <w:r w:rsidRPr="009D55B0">
        <w:rPr>
          <w:rFonts w:cs="Open Sans"/>
          <w:sz w:val="22"/>
          <w:szCs w:val="22"/>
        </w:rPr>
        <w:t xml:space="preserve"> tender criteria; incorporating contractual clauses in Supplier agreements such as requirements for social auditing; working with Suppliers to progressively </w:t>
      </w:r>
      <w:r>
        <w:rPr>
          <w:rFonts w:cs="Open Sans"/>
          <w:sz w:val="22"/>
          <w:szCs w:val="22"/>
        </w:rPr>
        <w:t>address</w:t>
      </w:r>
      <w:r w:rsidRPr="009D55B0">
        <w:rPr>
          <w:rFonts w:cs="Open Sans"/>
          <w:sz w:val="22"/>
          <w:szCs w:val="22"/>
        </w:rPr>
        <w:t xml:space="preserve"> their human rights risks.</w:t>
      </w:r>
    </w:p>
    <w:p w14:paraId="2221F308" w14:textId="6ED9EE9D" w:rsidR="00166F33" w:rsidRPr="009D55B0" w:rsidRDefault="00166F33" w:rsidP="00B63455">
      <w:pPr>
        <w:rPr>
          <w:rFonts w:cs="Open Sans"/>
          <w:sz w:val="22"/>
          <w:szCs w:val="22"/>
        </w:rPr>
      </w:pPr>
      <w:r w:rsidRPr="009D55B0">
        <w:rPr>
          <w:rFonts w:cs="Open Sans"/>
          <w:sz w:val="22"/>
          <w:szCs w:val="22"/>
          <w:shd w:val="clear" w:color="auto" w:fill="FFFFFF"/>
        </w:rPr>
        <w:t xml:space="preserve">The Commission will assess the human rights risks arising in Commission procurement, and </w:t>
      </w:r>
      <w:r>
        <w:rPr>
          <w:rFonts w:cs="Open Sans"/>
          <w:sz w:val="22"/>
          <w:szCs w:val="22"/>
          <w:shd w:val="clear" w:color="auto" w:fill="FFFFFF"/>
        </w:rPr>
        <w:t xml:space="preserve">the </w:t>
      </w:r>
      <w:r w:rsidRPr="009D55B0">
        <w:rPr>
          <w:rFonts w:cs="Open Sans"/>
          <w:sz w:val="22"/>
          <w:szCs w:val="22"/>
          <w:shd w:val="clear" w:color="auto" w:fill="FFFFFF"/>
        </w:rPr>
        <w:t xml:space="preserve">Commission’s responses on an ongoing basis. The Commission </w:t>
      </w:r>
      <w:r>
        <w:rPr>
          <w:rFonts w:cs="Open Sans"/>
          <w:sz w:val="22"/>
          <w:szCs w:val="22"/>
          <w:shd w:val="clear" w:color="auto" w:fill="FFFFFF"/>
        </w:rPr>
        <w:t>will also</w:t>
      </w:r>
      <w:r w:rsidRPr="009D55B0">
        <w:rPr>
          <w:rFonts w:cs="Open Sans"/>
          <w:sz w:val="22"/>
          <w:szCs w:val="22"/>
          <w:shd w:val="clear" w:color="auto" w:fill="FFFFFF"/>
        </w:rPr>
        <w:t xml:space="preserve"> track the effectiveness of </w:t>
      </w:r>
      <w:r>
        <w:rPr>
          <w:rFonts w:cs="Open Sans"/>
          <w:sz w:val="22"/>
          <w:szCs w:val="22"/>
          <w:shd w:val="clear" w:color="auto" w:fill="FFFFFF"/>
        </w:rPr>
        <w:t xml:space="preserve">its </w:t>
      </w:r>
      <w:r w:rsidRPr="009D55B0">
        <w:rPr>
          <w:rFonts w:cs="Open Sans"/>
          <w:sz w:val="22"/>
          <w:szCs w:val="22"/>
          <w:shd w:val="clear" w:color="auto" w:fill="FFFFFF"/>
        </w:rPr>
        <w:t xml:space="preserve">responses to human rights risks (including in relation to internal awareness raising and training) in Commission procurement </w:t>
      </w:r>
      <w:r>
        <w:rPr>
          <w:rFonts w:cs="Open Sans"/>
          <w:sz w:val="22"/>
          <w:szCs w:val="22"/>
          <w:shd w:val="clear" w:color="auto" w:fill="FFFFFF"/>
        </w:rPr>
        <w:t xml:space="preserve">and </w:t>
      </w:r>
      <w:r w:rsidRPr="009D55B0">
        <w:rPr>
          <w:rFonts w:cs="Open Sans"/>
          <w:sz w:val="22"/>
          <w:szCs w:val="22"/>
          <w:shd w:val="clear" w:color="auto" w:fill="FFFFFF"/>
        </w:rPr>
        <w:t>communicat</w:t>
      </w:r>
      <w:r>
        <w:rPr>
          <w:rFonts w:cs="Open Sans"/>
          <w:sz w:val="22"/>
          <w:szCs w:val="22"/>
          <w:shd w:val="clear" w:color="auto" w:fill="FFFFFF"/>
        </w:rPr>
        <w:t>e</w:t>
      </w:r>
      <w:r w:rsidRPr="009D55B0">
        <w:rPr>
          <w:rFonts w:cs="Open Sans"/>
          <w:sz w:val="22"/>
          <w:szCs w:val="22"/>
          <w:shd w:val="clear" w:color="auto" w:fill="FFFFFF"/>
        </w:rPr>
        <w:t xml:space="preserve"> progress</w:t>
      </w:r>
      <w:r>
        <w:rPr>
          <w:rFonts w:cs="Open Sans"/>
          <w:sz w:val="22"/>
          <w:szCs w:val="22"/>
          <w:shd w:val="clear" w:color="auto" w:fill="FFFFFF"/>
        </w:rPr>
        <w:t xml:space="preserve"> annually and publicly</w:t>
      </w:r>
      <w:r w:rsidRPr="009D55B0">
        <w:rPr>
          <w:rFonts w:cs="Open Sans"/>
          <w:sz w:val="22"/>
          <w:szCs w:val="22"/>
          <w:shd w:val="clear" w:color="auto" w:fill="FFFFFF"/>
        </w:rPr>
        <w:t xml:space="preserve">.  </w:t>
      </w:r>
    </w:p>
    <w:p w14:paraId="1A9CB62A" w14:textId="259659AD" w:rsidR="00166F33" w:rsidRPr="009D55B0" w:rsidRDefault="00166F33" w:rsidP="00BE3C77">
      <w:pPr>
        <w:pStyle w:val="Heading2"/>
      </w:pPr>
      <w:bookmarkStart w:id="31" w:name="_Toc40773918"/>
      <w:r w:rsidRPr="009D55B0">
        <w:lastRenderedPageBreak/>
        <w:t>The Commission context</w:t>
      </w:r>
      <w:bookmarkEnd w:id="31"/>
      <w:r w:rsidRPr="009D55B0">
        <w:t xml:space="preserve"> </w:t>
      </w:r>
    </w:p>
    <w:p w14:paraId="3E5B1649" w14:textId="6357D4AC" w:rsidR="00166F33" w:rsidRPr="009D55B0" w:rsidRDefault="00166F33" w:rsidP="001565D2">
      <w:pPr>
        <w:rPr>
          <w:rFonts w:cs="Open Sans"/>
          <w:sz w:val="22"/>
          <w:szCs w:val="22"/>
        </w:rPr>
      </w:pPr>
      <w:r w:rsidRPr="009D55B0">
        <w:rPr>
          <w:rFonts w:cs="Open Sans"/>
          <w:sz w:val="22"/>
          <w:szCs w:val="22"/>
        </w:rPr>
        <w:t>In the context of the Commission’s procurement there are certain human rights</w:t>
      </w:r>
      <w:r>
        <w:rPr>
          <w:rFonts w:cs="Open Sans"/>
          <w:sz w:val="22"/>
          <w:szCs w:val="22"/>
        </w:rPr>
        <w:t>—</w:t>
      </w:r>
      <w:r w:rsidRPr="009D55B0">
        <w:rPr>
          <w:rFonts w:cs="Open Sans"/>
          <w:sz w:val="22"/>
          <w:szCs w:val="22"/>
        </w:rPr>
        <w:t>in particular labour rights</w:t>
      </w:r>
      <w:r>
        <w:rPr>
          <w:rFonts w:cs="Open Sans"/>
          <w:sz w:val="22"/>
          <w:szCs w:val="22"/>
        </w:rPr>
        <w:t>—</w:t>
      </w:r>
      <w:r w:rsidRPr="009D55B0">
        <w:rPr>
          <w:rFonts w:cs="Open Sans"/>
          <w:sz w:val="22"/>
          <w:szCs w:val="22"/>
        </w:rPr>
        <w:t xml:space="preserve">that are more likely to be at risk of violation, </w:t>
      </w:r>
      <w:r w:rsidR="005E5688">
        <w:rPr>
          <w:rFonts w:cs="Open Sans"/>
          <w:sz w:val="22"/>
          <w:szCs w:val="22"/>
        </w:rPr>
        <w:t>especially</w:t>
      </w:r>
      <w:r w:rsidRPr="009D55B0">
        <w:rPr>
          <w:rFonts w:cs="Open Sans"/>
          <w:sz w:val="22"/>
          <w:szCs w:val="22"/>
        </w:rPr>
        <w:t xml:space="preserve"> in its supply chains.  The Commission will prioritise responding to more severe risk to human rights (such as modern slavery) in its procurement in accordance with the UNGPs.</w:t>
      </w:r>
    </w:p>
    <w:p w14:paraId="5EA37763" w14:textId="3444ED6A" w:rsidR="00166F33" w:rsidRPr="009D55B0" w:rsidRDefault="00166F33" w:rsidP="001565D2">
      <w:pPr>
        <w:rPr>
          <w:rFonts w:cs="Open Sans"/>
          <w:sz w:val="22"/>
          <w:szCs w:val="22"/>
          <w:shd w:val="clear" w:color="auto" w:fill="FFFFFF"/>
        </w:rPr>
      </w:pPr>
      <w:r>
        <w:rPr>
          <w:rFonts w:cs="Open Sans"/>
          <w:sz w:val="22"/>
          <w:szCs w:val="22"/>
        </w:rPr>
        <w:t>A</w:t>
      </w:r>
      <w:r w:rsidRPr="009D55B0">
        <w:rPr>
          <w:rFonts w:cs="Open Sans"/>
          <w:sz w:val="22"/>
          <w:szCs w:val="22"/>
        </w:rPr>
        <w:t xml:space="preserve">s a small </w:t>
      </w:r>
      <w:r>
        <w:rPr>
          <w:rFonts w:cs="Open Sans"/>
          <w:sz w:val="22"/>
          <w:szCs w:val="22"/>
        </w:rPr>
        <w:t>corporate Commonwealth</w:t>
      </w:r>
      <w:r w:rsidRPr="009D55B0">
        <w:rPr>
          <w:rFonts w:cs="Open Sans"/>
          <w:sz w:val="22"/>
          <w:szCs w:val="22"/>
        </w:rPr>
        <w:t xml:space="preserve"> entity, the Commission </w:t>
      </w:r>
      <w:r>
        <w:rPr>
          <w:rFonts w:cs="Open Sans"/>
          <w:sz w:val="22"/>
          <w:szCs w:val="22"/>
        </w:rPr>
        <w:t xml:space="preserve">acknowledges it </w:t>
      </w:r>
      <w:r w:rsidRPr="009D55B0">
        <w:rPr>
          <w:rFonts w:cs="Open Sans"/>
          <w:sz w:val="22"/>
          <w:szCs w:val="22"/>
        </w:rPr>
        <w:t>may not have the same market leverage, and therefore the same capacity</w:t>
      </w:r>
      <w:r>
        <w:rPr>
          <w:rFonts w:cs="Open Sans"/>
          <w:sz w:val="22"/>
          <w:szCs w:val="22"/>
        </w:rPr>
        <w:t xml:space="preserve">, </w:t>
      </w:r>
      <w:r w:rsidRPr="009D55B0">
        <w:rPr>
          <w:rFonts w:cs="Open Sans"/>
          <w:sz w:val="22"/>
          <w:szCs w:val="22"/>
        </w:rPr>
        <w:t>as large businesses or large government agencies</w:t>
      </w:r>
      <w:r>
        <w:rPr>
          <w:rFonts w:cs="Open Sans"/>
          <w:sz w:val="22"/>
          <w:szCs w:val="22"/>
        </w:rPr>
        <w:t>,</w:t>
      </w:r>
      <w:r w:rsidRPr="009D55B0">
        <w:rPr>
          <w:rFonts w:cs="Open Sans"/>
          <w:sz w:val="22"/>
          <w:szCs w:val="22"/>
        </w:rPr>
        <w:t xml:space="preserve"> to influence the behaviour of its Suppliers</w:t>
      </w:r>
      <w:r>
        <w:rPr>
          <w:rFonts w:cs="Open Sans"/>
          <w:sz w:val="22"/>
          <w:szCs w:val="22"/>
        </w:rPr>
        <w:t>.</w:t>
      </w:r>
      <w:r w:rsidRPr="009D55B0">
        <w:rPr>
          <w:rFonts w:cs="Open Sans"/>
          <w:sz w:val="22"/>
          <w:szCs w:val="22"/>
        </w:rPr>
        <w:t xml:space="preserve"> The Commission also acknowledges the benefits of whole of government or cross Government approaches to procurement when seeking to influence Suppliers and </w:t>
      </w:r>
      <w:r>
        <w:rPr>
          <w:rFonts w:cs="Open Sans"/>
          <w:sz w:val="22"/>
          <w:szCs w:val="22"/>
        </w:rPr>
        <w:t xml:space="preserve">recognises </w:t>
      </w:r>
      <w:r w:rsidRPr="009D55B0">
        <w:rPr>
          <w:rFonts w:cs="Open Sans"/>
          <w:sz w:val="22"/>
          <w:szCs w:val="22"/>
        </w:rPr>
        <w:t xml:space="preserve">the need to avoid the creation </w:t>
      </w:r>
      <w:r>
        <w:rPr>
          <w:rFonts w:cs="Open Sans"/>
          <w:sz w:val="22"/>
          <w:szCs w:val="22"/>
        </w:rPr>
        <w:t xml:space="preserve">of </w:t>
      </w:r>
      <w:r w:rsidRPr="009D55B0">
        <w:rPr>
          <w:rFonts w:cs="Open Sans"/>
          <w:sz w:val="22"/>
          <w:szCs w:val="22"/>
        </w:rPr>
        <w:t xml:space="preserve">unnecessary compliance burdens. </w:t>
      </w:r>
    </w:p>
    <w:p w14:paraId="5A740906" w14:textId="55DDCF64" w:rsidR="00166F33" w:rsidRPr="009D55B0" w:rsidRDefault="00166F33" w:rsidP="00E23F86">
      <w:pPr>
        <w:rPr>
          <w:rFonts w:cs="Open Sans"/>
          <w:color w:val="000000"/>
          <w:sz w:val="22"/>
          <w:szCs w:val="22"/>
        </w:rPr>
      </w:pPr>
      <w:r w:rsidRPr="009D55B0">
        <w:rPr>
          <w:rFonts w:cs="Open Sans"/>
          <w:color w:val="000000"/>
          <w:sz w:val="22"/>
          <w:szCs w:val="22"/>
        </w:rPr>
        <w:t>The Commission will seek opportunities to increase its leverage when managing procurement-related human rights risks, including where appropriate, by aligning its efforts under this Policy with existing Commonwealth Government efforts relating to modern slavery or other human rights considerations in procurement.</w:t>
      </w:r>
    </w:p>
    <w:p w14:paraId="5981F0BE" w14:textId="6ADA068B" w:rsidR="00166F33" w:rsidRPr="003D10B9" w:rsidRDefault="00166F33" w:rsidP="00BE3C77">
      <w:pPr>
        <w:pStyle w:val="Heading2"/>
      </w:pPr>
      <w:bookmarkStart w:id="32" w:name="_Toc40773919"/>
      <w:r w:rsidRPr="003D10B9">
        <w:t xml:space="preserve">Grievances and responding to </w:t>
      </w:r>
      <w:r w:rsidR="007523EF">
        <w:t>allegations of</w:t>
      </w:r>
      <w:r w:rsidRPr="003D10B9">
        <w:t xml:space="preserve"> human rights breaches</w:t>
      </w:r>
      <w:bookmarkEnd w:id="32"/>
    </w:p>
    <w:p w14:paraId="7A0FEC58" w14:textId="0F8F6F25" w:rsidR="00166F33" w:rsidRDefault="00166F33" w:rsidP="002E323F">
      <w:pPr>
        <w:spacing w:before="120" w:after="120"/>
        <w:rPr>
          <w:rFonts w:cs="Open Sans"/>
          <w:sz w:val="22"/>
          <w:szCs w:val="22"/>
        </w:rPr>
      </w:pPr>
      <w:r w:rsidRPr="009D55B0">
        <w:rPr>
          <w:rFonts w:cs="Open Sans"/>
          <w:sz w:val="22"/>
          <w:szCs w:val="22"/>
        </w:rPr>
        <w:t>Commission staff, Suppliers and any other stakeholder</w:t>
      </w:r>
      <w:r>
        <w:rPr>
          <w:rFonts w:cs="Open Sans"/>
          <w:sz w:val="22"/>
          <w:szCs w:val="22"/>
        </w:rPr>
        <w:t>s</w:t>
      </w:r>
      <w:r w:rsidRPr="009D55B0">
        <w:rPr>
          <w:rFonts w:cs="Open Sans"/>
          <w:sz w:val="22"/>
          <w:szCs w:val="22"/>
        </w:rPr>
        <w:t xml:space="preserve"> that ha</w:t>
      </w:r>
      <w:r>
        <w:rPr>
          <w:rFonts w:cs="Open Sans"/>
          <w:sz w:val="22"/>
          <w:szCs w:val="22"/>
        </w:rPr>
        <w:t>ve</w:t>
      </w:r>
      <w:r w:rsidRPr="009D55B0">
        <w:rPr>
          <w:rFonts w:cs="Open Sans"/>
          <w:sz w:val="22"/>
          <w:szCs w:val="22"/>
        </w:rPr>
        <w:t xml:space="preserve"> concern</w:t>
      </w:r>
      <w:r>
        <w:rPr>
          <w:rFonts w:cs="Open Sans"/>
          <w:sz w:val="22"/>
          <w:szCs w:val="22"/>
        </w:rPr>
        <w:t>s</w:t>
      </w:r>
      <w:r w:rsidRPr="009D55B0">
        <w:rPr>
          <w:rFonts w:cs="Open Sans"/>
          <w:sz w:val="22"/>
          <w:szCs w:val="22"/>
        </w:rPr>
        <w:t xml:space="preserve"> about potential or actual adverse human rights impacts arising </w:t>
      </w:r>
      <w:r>
        <w:rPr>
          <w:rFonts w:cs="Open Sans"/>
          <w:sz w:val="22"/>
          <w:szCs w:val="22"/>
        </w:rPr>
        <w:t xml:space="preserve">in the </w:t>
      </w:r>
      <w:r w:rsidRPr="009D55B0">
        <w:rPr>
          <w:rFonts w:cs="Open Sans"/>
          <w:sz w:val="22"/>
          <w:szCs w:val="22"/>
        </w:rPr>
        <w:t>Commission’s procurement can report the</w:t>
      </w:r>
      <w:r>
        <w:rPr>
          <w:rFonts w:cs="Open Sans"/>
          <w:sz w:val="22"/>
          <w:szCs w:val="22"/>
        </w:rPr>
        <w:t>se</w:t>
      </w:r>
      <w:r w:rsidRPr="009D55B0">
        <w:rPr>
          <w:rFonts w:cs="Open Sans"/>
          <w:sz w:val="22"/>
          <w:szCs w:val="22"/>
        </w:rPr>
        <w:t xml:space="preserve"> </w:t>
      </w:r>
      <w:r w:rsidR="00800591">
        <w:rPr>
          <w:rFonts w:cs="Open Sans"/>
          <w:sz w:val="22"/>
          <w:szCs w:val="22"/>
        </w:rPr>
        <w:t xml:space="preserve">to the Commission at </w:t>
      </w:r>
      <w:r w:rsidR="00800591" w:rsidRPr="006768FB">
        <w:rPr>
          <w:rFonts w:cs="Open Sans"/>
          <w:b/>
          <w:bCs/>
          <w:sz w:val="22"/>
          <w:szCs w:val="22"/>
        </w:rPr>
        <w:t>bhr@humanrights.gov.au</w:t>
      </w:r>
      <w:r>
        <w:rPr>
          <w:rFonts w:cs="Open Sans"/>
          <w:sz w:val="22"/>
          <w:szCs w:val="22"/>
        </w:rPr>
        <w:t xml:space="preserve"> </w:t>
      </w:r>
      <w:r w:rsidR="00A45699">
        <w:rPr>
          <w:rFonts w:cs="Open Sans"/>
          <w:sz w:val="22"/>
          <w:szCs w:val="22"/>
        </w:rPr>
        <w:t>for consideration by the</w:t>
      </w:r>
      <w:r>
        <w:rPr>
          <w:rFonts w:cs="Open Sans"/>
          <w:sz w:val="22"/>
          <w:szCs w:val="22"/>
        </w:rPr>
        <w:t xml:space="preserve"> Commission’s Chief Executive where appropriate</w:t>
      </w:r>
      <w:r w:rsidRPr="009D55B0">
        <w:rPr>
          <w:rFonts w:cs="Open Sans"/>
          <w:sz w:val="22"/>
          <w:szCs w:val="22"/>
        </w:rPr>
        <w:t xml:space="preserve">. </w:t>
      </w:r>
    </w:p>
    <w:p w14:paraId="6BFC9439" w14:textId="16FAAEFC" w:rsidR="00166F33" w:rsidRPr="00FE7144" w:rsidRDefault="00166F33" w:rsidP="002E323F">
      <w:pPr>
        <w:spacing w:before="120" w:after="120"/>
        <w:rPr>
          <w:rFonts w:cs="Open Sans"/>
          <w:sz w:val="22"/>
          <w:szCs w:val="22"/>
        </w:rPr>
      </w:pPr>
      <w:r>
        <w:rPr>
          <w:rFonts w:cs="Open Sans"/>
          <w:sz w:val="22"/>
          <w:szCs w:val="22"/>
        </w:rPr>
        <w:t xml:space="preserve">Where adverse human rights impacts are identified in the </w:t>
      </w:r>
      <w:r w:rsidRPr="00FE7144">
        <w:rPr>
          <w:rFonts w:cs="Open Sans"/>
          <w:sz w:val="22"/>
          <w:szCs w:val="22"/>
        </w:rPr>
        <w:t>Commission’s procurement</w:t>
      </w:r>
      <w:r w:rsidR="005E5688">
        <w:rPr>
          <w:rFonts w:cs="Open Sans"/>
          <w:sz w:val="22"/>
          <w:szCs w:val="22"/>
        </w:rPr>
        <w:t>,</w:t>
      </w:r>
      <w:r w:rsidRPr="00FE7144">
        <w:rPr>
          <w:rFonts w:cs="Open Sans"/>
          <w:sz w:val="22"/>
          <w:szCs w:val="22"/>
        </w:rPr>
        <w:t xml:space="preserve"> the Commission will be guided by the UNGPs in its response.</w:t>
      </w:r>
      <w:r w:rsidRPr="00FE7144">
        <w:rPr>
          <w:rStyle w:val="EndnoteReference"/>
          <w:rFonts w:cs="Open Sans"/>
          <w:sz w:val="22"/>
          <w:szCs w:val="22"/>
        </w:rPr>
        <w:endnoteReference w:id="17"/>
      </w:r>
      <w:r w:rsidR="00D83F41" w:rsidRPr="00FE7144">
        <w:rPr>
          <w:rFonts w:cs="Open Sans"/>
          <w:sz w:val="22"/>
          <w:szCs w:val="22"/>
        </w:rPr>
        <w:t xml:space="preserve"> Where the Commission is directly linked to an adverse human rights impact through a </w:t>
      </w:r>
      <w:r w:rsidR="005E5688">
        <w:rPr>
          <w:rFonts w:cs="Open Sans"/>
          <w:sz w:val="22"/>
          <w:szCs w:val="22"/>
        </w:rPr>
        <w:t>S</w:t>
      </w:r>
      <w:r w:rsidR="005E5688" w:rsidRPr="00FE7144">
        <w:rPr>
          <w:rFonts w:cs="Open Sans"/>
          <w:sz w:val="22"/>
          <w:szCs w:val="22"/>
        </w:rPr>
        <w:t>upplier</w:t>
      </w:r>
      <w:r w:rsidRPr="00FE7144">
        <w:rPr>
          <w:rFonts w:cs="Open Sans"/>
          <w:sz w:val="22"/>
          <w:szCs w:val="22"/>
        </w:rPr>
        <w:t xml:space="preserve">, the Commission will use its leverage to work with the relevant </w:t>
      </w:r>
      <w:r w:rsidR="005E5688">
        <w:rPr>
          <w:rFonts w:cs="Open Sans"/>
          <w:sz w:val="22"/>
          <w:szCs w:val="22"/>
        </w:rPr>
        <w:t>S</w:t>
      </w:r>
      <w:r w:rsidR="005E5688" w:rsidRPr="00FE7144">
        <w:rPr>
          <w:rFonts w:cs="Open Sans"/>
          <w:sz w:val="22"/>
          <w:szCs w:val="22"/>
        </w:rPr>
        <w:t xml:space="preserve">upplier </w:t>
      </w:r>
      <w:r w:rsidRPr="00FE7144">
        <w:rPr>
          <w:rFonts w:cs="Open Sans"/>
          <w:sz w:val="22"/>
          <w:szCs w:val="22"/>
        </w:rPr>
        <w:t xml:space="preserve">to prevent or mitigate the harm and its recurrence, and play a role in ensuring the victims are remediated by the </w:t>
      </w:r>
      <w:r w:rsidR="005E5688">
        <w:rPr>
          <w:rFonts w:cs="Open Sans"/>
          <w:sz w:val="22"/>
          <w:szCs w:val="22"/>
        </w:rPr>
        <w:t>S</w:t>
      </w:r>
      <w:r w:rsidR="005E5688" w:rsidRPr="00FE7144">
        <w:rPr>
          <w:rFonts w:cs="Open Sans"/>
          <w:sz w:val="22"/>
          <w:szCs w:val="22"/>
        </w:rPr>
        <w:t>upplier</w:t>
      </w:r>
      <w:r w:rsidRPr="00FE7144">
        <w:rPr>
          <w:rFonts w:cs="Open Sans"/>
          <w:sz w:val="22"/>
          <w:szCs w:val="22"/>
        </w:rPr>
        <w:t xml:space="preserve">. If this is unsuccessful, the Commission will consider ending their business relationship with the </w:t>
      </w:r>
      <w:r w:rsidR="005E5688">
        <w:rPr>
          <w:rFonts w:cs="Open Sans"/>
          <w:sz w:val="22"/>
          <w:szCs w:val="22"/>
        </w:rPr>
        <w:t>S</w:t>
      </w:r>
      <w:r w:rsidR="005E5688" w:rsidRPr="00FE7144">
        <w:rPr>
          <w:rFonts w:cs="Open Sans"/>
          <w:sz w:val="22"/>
          <w:szCs w:val="22"/>
        </w:rPr>
        <w:t>upplier</w:t>
      </w:r>
      <w:r w:rsidRPr="00FE7144">
        <w:rPr>
          <w:rFonts w:cs="Open Sans"/>
          <w:sz w:val="22"/>
          <w:szCs w:val="22"/>
        </w:rPr>
        <w:t xml:space="preserve">. Where the Commission lacks leverage with the relevant </w:t>
      </w:r>
      <w:r w:rsidR="005E5688">
        <w:rPr>
          <w:rFonts w:cs="Open Sans"/>
          <w:sz w:val="22"/>
          <w:szCs w:val="22"/>
        </w:rPr>
        <w:t>S</w:t>
      </w:r>
      <w:r w:rsidR="005E5688" w:rsidRPr="00FE7144">
        <w:rPr>
          <w:rFonts w:cs="Open Sans"/>
          <w:sz w:val="22"/>
          <w:szCs w:val="22"/>
        </w:rPr>
        <w:t>upplier</w:t>
      </w:r>
      <w:r w:rsidRPr="00FE7144">
        <w:rPr>
          <w:rFonts w:cs="Open Sans"/>
          <w:sz w:val="22"/>
          <w:szCs w:val="22"/>
        </w:rPr>
        <w:t xml:space="preserve">, the Commission will seek ways to increase its leverage including through engaging with other Government entities who use the same </w:t>
      </w:r>
      <w:r w:rsidR="005E5688">
        <w:rPr>
          <w:rFonts w:cs="Open Sans"/>
          <w:sz w:val="22"/>
          <w:szCs w:val="22"/>
        </w:rPr>
        <w:t>S</w:t>
      </w:r>
      <w:r w:rsidR="005E5688" w:rsidRPr="00FE7144">
        <w:rPr>
          <w:rFonts w:cs="Open Sans"/>
          <w:sz w:val="22"/>
          <w:szCs w:val="22"/>
        </w:rPr>
        <w:t>upplier</w:t>
      </w:r>
      <w:r w:rsidRPr="00FE7144">
        <w:rPr>
          <w:rFonts w:cs="Open Sans"/>
          <w:sz w:val="22"/>
          <w:szCs w:val="22"/>
        </w:rPr>
        <w:t xml:space="preserve">. </w:t>
      </w:r>
    </w:p>
    <w:p w14:paraId="74E2A91E" w14:textId="6A60E4D2" w:rsidR="00166F33" w:rsidRDefault="00166F33" w:rsidP="00CC0EE4">
      <w:pPr>
        <w:spacing w:before="120" w:after="120"/>
        <w:rPr>
          <w:rFonts w:cs="Open Sans"/>
          <w:sz w:val="22"/>
          <w:szCs w:val="22"/>
        </w:rPr>
      </w:pPr>
      <w:r w:rsidRPr="00FE7144">
        <w:rPr>
          <w:rFonts w:cs="Open Sans"/>
          <w:sz w:val="22"/>
          <w:szCs w:val="22"/>
        </w:rPr>
        <w:t>Where instances</w:t>
      </w:r>
      <w:r w:rsidR="002840C5" w:rsidRPr="00FE7144">
        <w:rPr>
          <w:rFonts w:cs="Open Sans"/>
          <w:sz w:val="22"/>
          <w:szCs w:val="22"/>
        </w:rPr>
        <w:t xml:space="preserve"> or allegations</w:t>
      </w:r>
      <w:r w:rsidRPr="00FE7144">
        <w:rPr>
          <w:rFonts w:cs="Open Sans"/>
          <w:sz w:val="22"/>
          <w:szCs w:val="22"/>
        </w:rPr>
        <w:t xml:space="preserve"> of modern slavery are identified in the Commission’s</w:t>
      </w:r>
      <w:r>
        <w:rPr>
          <w:rFonts w:cs="Open Sans"/>
          <w:sz w:val="22"/>
          <w:szCs w:val="22"/>
        </w:rPr>
        <w:t xml:space="preserve"> procurement the Commission will work with the Commonwealth Modern Slavery</w:t>
      </w:r>
      <w:r w:rsidR="00210529">
        <w:rPr>
          <w:rFonts w:cs="Open Sans"/>
          <w:sz w:val="22"/>
          <w:szCs w:val="22"/>
        </w:rPr>
        <w:t xml:space="preserve"> Business Engagement</w:t>
      </w:r>
      <w:r>
        <w:rPr>
          <w:rFonts w:cs="Open Sans"/>
          <w:sz w:val="22"/>
          <w:szCs w:val="22"/>
        </w:rPr>
        <w:t xml:space="preserve"> Unit to respond. The Commission’s response will prioritise the safety of potential victims and draw on best practice guidance for responding to instances of modern slavery</w:t>
      </w:r>
      <w:r w:rsidR="000115D3">
        <w:rPr>
          <w:rFonts w:cs="Open Sans"/>
          <w:sz w:val="22"/>
          <w:szCs w:val="22"/>
        </w:rPr>
        <w:t xml:space="preserve">. Where allegations </w:t>
      </w:r>
      <w:r w:rsidR="0026124F">
        <w:rPr>
          <w:rFonts w:cs="Open Sans"/>
          <w:sz w:val="22"/>
          <w:szCs w:val="22"/>
        </w:rPr>
        <w:t>relate to modern slavery occurring in Australia,</w:t>
      </w:r>
      <w:r w:rsidR="000115D3" w:rsidRPr="000115D3">
        <w:rPr>
          <w:rFonts w:cs="Open Sans"/>
          <w:sz w:val="22"/>
          <w:szCs w:val="22"/>
        </w:rPr>
        <w:t xml:space="preserve"> the Commission will engage where appropriate</w:t>
      </w:r>
      <w:r w:rsidR="0026124F">
        <w:rPr>
          <w:rFonts w:cs="Open Sans"/>
          <w:sz w:val="22"/>
          <w:szCs w:val="22"/>
        </w:rPr>
        <w:t xml:space="preserve"> with</w:t>
      </w:r>
      <w:r w:rsidR="000115D3" w:rsidRPr="000115D3">
        <w:rPr>
          <w:rFonts w:cs="Open Sans"/>
          <w:sz w:val="22"/>
          <w:szCs w:val="22"/>
        </w:rPr>
        <w:t xml:space="preserve"> </w:t>
      </w:r>
      <w:r w:rsidR="008B2397" w:rsidRPr="000115D3">
        <w:rPr>
          <w:rFonts w:cs="Open Sans"/>
          <w:sz w:val="22"/>
          <w:szCs w:val="22"/>
        </w:rPr>
        <w:t xml:space="preserve">relevant </w:t>
      </w:r>
      <w:r w:rsidR="00101B3A" w:rsidRPr="009B75B9">
        <w:rPr>
          <w:rFonts w:cs="Open Sans"/>
          <w:sz w:val="22"/>
          <w:szCs w:val="22"/>
        </w:rPr>
        <w:t>civil society</w:t>
      </w:r>
      <w:r w:rsidR="009B75B9">
        <w:rPr>
          <w:rFonts w:cs="Open Sans"/>
          <w:sz w:val="22"/>
          <w:szCs w:val="22"/>
        </w:rPr>
        <w:t xml:space="preserve"> </w:t>
      </w:r>
      <w:r w:rsidR="005E5688">
        <w:rPr>
          <w:rFonts w:cs="Open Sans"/>
          <w:sz w:val="22"/>
          <w:szCs w:val="22"/>
        </w:rPr>
        <w:t>experts</w:t>
      </w:r>
      <w:r w:rsidR="005E5688" w:rsidRPr="009B75B9">
        <w:rPr>
          <w:rFonts w:cs="Open Sans"/>
          <w:sz w:val="22"/>
          <w:szCs w:val="22"/>
        </w:rPr>
        <w:t xml:space="preserve"> </w:t>
      </w:r>
      <w:r w:rsidR="00101B3A" w:rsidRPr="009B75B9">
        <w:rPr>
          <w:rFonts w:cs="Open Sans"/>
          <w:sz w:val="22"/>
          <w:szCs w:val="22"/>
        </w:rPr>
        <w:t xml:space="preserve">and </w:t>
      </w:r>
      <w:r w:rsidR="009B75B9">
        <w:rPr>
          <w:rFonts w:cs="Open Sans"/>
          <w:sz w:val="22"/>
          <w:szCs w:val="22"/>
        </w:rPr>
        <w:t>government</w:t>
      </w:r>
      <w:r w:rsidR="00101B3A" w:rsidRPr="000115D3">
        <w:rPr>
          <w:rFonts w:cs="Open Sans"/>
          <w:sz w:val="22"/>
          <w:szCs w:val="22"/>
        </w:rPr>
        <w:t xml:space="preserve"> agencies </w:t>
      </w:r>
      <w:r w:rsidR="000115D3" w:rsidRPr="000115D3">
        <w:rPr>
          <w:rFonts w:cs="Open Sans"/>
          <w:sz w:val="22"/>
          <w:szCs w:val="22"/>
        </w:rPr>
        <w:t xml:space="preserve">such as </w:t>
      </w:r>
      <w:r w:rsidR="00101B3A" w:rsidRPr="000115D3">
        <w:rPr>
          <w:rFonts w:cs="Open Sans"/>
          <w:sz w:val="22"/>
          <w:szCs w:val="22"/>
        </w:rPr>
        <w:t>the Australian F</w:t>
      </w:r>
      <w:r w:rsidR="00101B3A">
        <w:rPr>
          <w:rFonts w:cs="Open Sans"/>
          <w:sz w:val="22"/>
          <w:szCs w:val="22"/>
        </w:rPr>
        <w:t>ed</w:t>
      </w:r>
      <w:r w:rsidR="000115D3">
        <w:rPr>
          <w:rFonts w:cs="Open Sans"/>
          <w:sz w:val="22"/>
          <w:szCs w:val="22"/>
        </w:rPr>
        <w:t>eral Police or the Fair Work Ombudsman</w:t>
      </w:r>
      <w:r>
        <w:rPr>
          <w:rFonts w:cs="Open Sans"/>
          <w:sz w:val="22"/>
          <w:szCs w:val="22"/>
        </w:rPr>
        <w:t>.</w:t>
      </w:r>
      <w:r>
        <w:rPr>
          <w:rStyle w:val="EndnoteReference"/>
          <w:rFonts w:cs="Open Sans"/>
          <w:sz w:val="22"/>
          <w:szCs w:val="22"/>
        </w:rPr>
        <w:endnoteReference w:id="18"/>
      </w:r>
      <w:r>
        <w:rPr>
          <w:rFonts w:cs="Open Sans"/>
          <w:sz w:val="22"/>
          <w:szCs w:val="22"/>
        </w:rPr>
        <w:t xml:space="preserve"> </w:t>
      </w:r>
    </w:p>
    <w:p w14:paraId="25A8A3AC" w14:textId="78F5D376" w:rsidR="00166F33" w:rsidRPr="00CB602E" w:rsidRDefault="00166F33" w:rsidP="00CB602E">
      <w:pPr>
        <w:pStyle w:val="Heading1"/>
      </w:pPr>
      <w:bookmarkStart w:id="33" w:name="_Toc40773920"/>
      <w:bookmarkStart w:id="34" w:name="_Toc525894100"/>
      <w:r w:rsidRPr="00CB602E">
        <w:lastRenderedPageBreak/>
        <w:t>Social procurement</w:t>
      </w:r>
      <w:bookmarkEnd w:id="33"/>
      <w:r w:rsidRPr="00CB602E">
        <w:t xml:space="preserve">  </w:t>
      </w:r>
    </w:p>
    <w:p w14:paraId="19B03349" w14:textId="1500828B" w:rsidR="00166F33" w:rsidRPr="009D55B0" w:rsidRDefault="00166F33" w:rsidP="00BE3C77">
      <w:pPr>
        <w:pStyle w:val="Heading2"/>
      </w:pPr>
      <w:bookmarkStart w:id="35" w:name="_Toc40773921"/>
      <w:r w:rsidRPr="009D55B0">
        <w:t>Social procurement policy statement</w:t>
      </w:r>
      <w:bookmarkEnd w:id="35"/>
    </w:p>
    <w:p w14:paraId="562CB0EF" w14:textId="11537D6C" w:rsidR="00166F33" w:rsidRPr="009D55B0" w:rsidRDefault="00166F33" w:rsidP="00F1745F">
      <w:pPr>
        <w:tabs>
          <w:tab w:val="num" w:pos="680"/>
        </w:tabs>
        <w:rPr>
          <w:rFonts w:cs="Open Sans"/>
          <w:sz w:val="22"/>
          <w:szCs w:val="22"/>
        </w:rPr>
      </w:pPr>
      <w:r w:rsidRPr="009D55B0">
        <w:rPr>
          <w:rFonts w:cs="Open Sans"/>
          <w:sz w:val="22"/>
          <w:szCs w:val="22"/>
        </w:rPr>
        <w:t xml:space="preserve">Public procurement can also be used to </w:t>
      </w:r>
      <w:r w:rsidRPr="009D55B0">
        <w:rPr>
          <w:rFonts w:cs="Open Sans"/>
          <w:iCs/>
          <w:sz w:val="22"/>
          <w:szCs w:val="22"/>
        </w:rPr>
        <w:t>help</w:t>
      </w:r>
      <w:r w:rsidRPr="009D55B0">
        <w:rPr>
          <w:rFonts w:cs="Open Sans"/>
          <w:sz w:val="22"/>
          <w:szCs w:val="22"/>
        </w:rPr>
        <w:t xml:space="preserve"> realise</w:t>
      </w:r>
      <w:r w:rsidRPr="009D55B0">
        <w:rPr>
          <w:rFonts w:cs="Open Sans"/>
          <w:i/>
          <w:iCs/>
          <w:sz w:val="22"/>
          <w:szCs w:val="22"/>
        </w:rPr>
        <w:t xml:space="preserve"> </w:t>
      </w:r>
      <w:r w:rsidRPr="009D55B0">
        <w:rPr>
          <w:rFonts w:cs="Open Sans"/>
          <w:sz w:val="22"/>
          <w:szCs w:val="22"/>
        </w:rPr>
        <w:t xml:space="preserve">the human rights of minorities or </w:t>
      </w:r>
      <w:r>
        <w:rPr>
          <w:rFonts w:cs="Open Sans"/>
          <w:sz w:val="22"/>
          <w:szCs w:val="22"/>
        </w:rPr>
        <w:t xml:space="preserve">marginalised </w:t>
      </w:r>
      <w:r w:rsidRPr="009D55B0">
        <w:rPr>
          <w:rFonts w:cs="Open Sans"/>
          <w:sz w:val="22"/>
          <w:szCs w:val="22"/>
        </w:rPr>
        <w:t>groups, by sourcing from Suppliers that support, employ or are owned by such groups (</w:t>
      </w:r>
      <w:r w:rsidRPr="009D55B0">
        <w:rPr>
          <w:rFonts w:cs="Open Sans"/>
          <w:b/>
          <w:sz w:val="22"/>
          <w:szCs w:val="22"/>
        </w:rPr>
        <w:t>social procurement</w:t>
      </w:r>
      <w:r w:rsidRPr="009D55B0">
        <w:rPr>
          <w:rFonts w:cs="Open Sans"/>
          <w:sz w:val="22"/>
          <w:szCs w:val="22"/>
        </w:rPr>
        <w:t xml:space="preserve">). </w:t>
      </w:r>
      <w:r w:rsidRPr="00EE0ACF">
        <w:rPr>
          <w:rFonts w:cs="Open Sans"/>
          <w:sz w:val="22"/>
          <w:szCs w:val="22"/>
        </w:rPr>
        <w:t>Social procurement can help support marginalised communities and reduce disadvantage.</w:t>
      </w:r>
    </w:p>
    <w:p w14:paraId="3F1BC151" w14:textId="5191ED57" w:rsidR="00166F33" w:rsidRDefault="00166F33" w:rsidP="00F1745F">
      <w:pPr>
        <w:tabs>
          <w:tab w:val="num" w:pos="680"/>
        </w:tabs>
        <w:rPr>
          <w:rFonts w:cs="Open Sans"/>
          <w:sz w:val="22"/>
          <w:szCs w:val="22"/>
        </w:rPr>
      </w:pPr>
      <w:r w:rsidRPr="45C62E58">
        <w:rPr>
          <w:rFonts w:cs="Open Sans"/>
          <w:sz w:val="22"/>
          <w:szCs w:val="22"/>
        </w:rPr>
        <w:t>These Suppliers may include</w:t>
      </w:r>
      <w:r w:rsidR="006768FB">
        <w:rPr>
          <w:rFonts w:cs="Open Sans"/>
          <w:sz w:val="22"/>
          <w:szCs w:val="22"/>
        </w:rPr>
        <w:t>, for example</w:t>
      </w:r>
      <w:r w:rsidRPr="45C62E58">
        <w:rPr>
          <w:rFonts w:cs="Open Sans"/>
          <w:sz w:val="22"/>
          <w:szCs w:val="22"/>
        </w:rPr>
        <w:t>:</w:t>
      </w:r>
    </w:p>
    <w:p w14:paraId="7B719611" w14:textId="4844F9B5" w:rsidR="00166F33" w:rsidRDefault="00166F33" w:rsidP="00CB48E6">
      <w:pPr>
        <w:pStyle w:val="ListParagraph"/>
        <w:numPr>
          <w:ilvl w:val="0"/>
          <w:numId w:val="42"/>
        </w:numPr>
        <w:rPr>
          <w:rFonts w:cs="Open Sans"/>
          <w:sz w:val="22"/>
          <w:szCs w:val="22"/>
        </w:rPr>
      </w:pPr>
      <w:r w:rsidRPr="00E21A62">
        <w:rPr>
          <w:rFonts w:cs="Open Sans"/>
          <w:sz w:val="22"/>
          <w:szCs w:val="22"/>
        </w:rPr>
        <w:t xml:space="preserve">NGOs </w:t>
      </w:r>
    </w:p>
    <w:p w14:paraId="4E27C0E1" w14:textId="4D62A0D5" w:rsidR="00166F33" w:rsidRDefault="00166F33" w:rsidP="00CB48E6">
      <w:pPr>
        <w:pStyle w:val="ListParagraph"/>
        <w:numPr>
          <w:ilvl w:val="0"/>
          <w:numId w:val="42"/>
        </w:numPr>
        <w:rPr>
          <w:rFonts w:cs="Open Sans"/>
          <w:sz w:val="22"/>
          <w:szCs w:val="22"/>
        </w:rPr>
      </w:pPr>
      <w:r w:rsidRPr="00E21A62">
        <w:rPr>
          <w:rFonts w:cs="Open Sans"/>
          <w:sz w:val="22"/>
          <w:szCs w:val="22"/>
        </w:rPr>
        <w:t xml:space="preserve">social enterprises </w:t>
      </w:r>
    </w:p>
    <w:p w14:paraId="5BC0EF7B" w14:textId="0976C6A0" w:rsidR="00166F33" w:rsidRDefault="00166F33" w:rsidP="00CB48E6">
      <w:pPr>
        <w:pStyle w:val="ListParagraph"/>
        <w:numPr>
          <w:ilvl w:val="0"/>
          <w:numId w:val="42"/>
        </w:numPr>
        <w:rPr>
          <w:rFonts w:cs="Open Sans"/>
          <w:sz w:val="22"/>
          <w:szCs w:val="22"/>
        </w:rPr>
      </w:pPr>
      <w:r>
        <w:rPr>
          <w:rFonts w:cs="Open Sans"/>
          <w:sz w:val="22"/>
          <w:szCs w:val="22"/>
        </w:rPr>
        <w:t>Indigenous suppliers</w:t>
      </w:r>
    </w:p>
    <w:p w14:paraId="58465B78" w14:textId="02CC34E7" w:rsidR="00166F33" w:rsidRPr="000C1EC5" w:rsidRDefault="00166F33" w:rsidP="000C1EC5">
      <w:pPr>
        <w:pStyle w:val="ListParagraph"/>
        <w:numPr>
          <w:ilvl w:val="0"/>
          <w:numId w:val="42"/>
        </w:numPr>
        <w:rPr>
          <w:rFonts w:cs="Open Sans"/>
          <w:sz w:val="22"/>
          <w:szCs w:val="22"/>
        </w:rPr>
      </w:pPr>
      <w:r w:rsidRPr="00E21A62">
        <w:rPr>
          <w:rFonts w:cs="Open Sans"/>
          <w:sz w:val="22"/>
          <w:szCs w:val="22"/>
        </w:rPr>
        <w:t xml:space="preserve">businesses that promote fair trade, ethical employment or work practices in contexts where exploitation is common. </w:t>
      </w:r>
    </w:p>
    <w:p w14:paraId="404C6515" w14:textId="14F3A242" w:rsidR="00166F33" w:rsidRPr="009D55B0" w:rsidRDefault="00166F33" w:rsidP="0010632C">
      <w:pPr>
        <w:pBdr>
          <w:top w:val="single" w:sz="4" w:space="1" w:color="auto"/>
          <w:left w:val="single" w:sz="4" w:space="4" w:color="auto"/>
          <w:bottom w:val="single" w:sz="4" w:space="1" w:color="auto"/>
          <w:right w:val="single" w:sz="4" w:space="4" w:color="auto"/>
        </w:pBdr>
        <w:rPr>
          <w:rFonts w:cs="Open Sans"/>
          <w:b/>
          <w:i/>
          <w:sz w:val="22"/>
          <w:szCs w:val="22"/>
        </w:rPr>
      </w:pPr>
      <w:r w:rsidRPr="009D55B0">
        <w:rPr>
          <w:rFonts w:cs="Open Sans"/>
          <w:b/>
          <w:i/>
          <w:sz w:val="22"/>
          <w:szCs w:val="22"/>
        </w:rPr>
        <w:t>Example</w:t>
      </w:r>
      <w:r w:rsidRPr="009D55B0">
        <w:rPr>
          <w:rFonts w:cs="Open Sans"/>
          <w:b/>
          <w:i/>
          <w:sz w:val="22"/>
          <w:szCs w:val="22"/>
        </w:rPr>
        <w:br/>
      </w:r>
      <w:r w:rsidRPr="009D55B0">
        <w:rPr>
          <w:rFonts w:cs="Open Sans"/>
          <w:sz w:val="22"/>
          <w:szCs w:val="22"/>
        </w:rPr>
        <w:t>In 2019 the Commission’s Business and Human Rights team purchased beaded lanyards for approximately 130 people for the annual Business and Human Rights Dialogue event from the Trading Circle. The Trading Circle is an NGO that aims to create economic and educational opportunities for women and girls in poverty, with six producer groups in South East Asia that make hand crafted products.</w:t>
      </w:r>
      <w:r w:rsidRPr="009D55B0">
        <w:rPr>
          <w:rStyle w:val="EndnoteReference"/>
          <w:rFonts w:cs="Open Sans"/>
          <w:sz w:val="22"/>
          <w:szCs w:val="22"/>
        </w:rPr>
        <w:endnoteReference w:id="19"/>
      </w:r>
    </w:p>
    <w:p w14:paraId="4F9CCBA3" w14:textId="17F1E82E" w:rsidR="00166F33" w:rsidRPr="009D55B0" w:rsidRDefault="00166F33" w:rsidP="0080444D">
      <w:pPr>
        <w:rPr>
          <w:rFonts w:cs="Open Sans"/>
          <w:color w:val="000000"/>
          <w:sz w:val="22"/>
          <w:szCs w:val="22"/>
        </w:rPr>
      </w:pPr>
      <w:r w:rsidRPr="009D55B0">
        <w:rPr>
          <w:rFonts w:cs="Open Sans"/>
          <w:color w:val="000000"/>
          <w:sz w:val="22"/>
          <w:szCs w:val="22"/>
        </w:rPr>
        <w:t xml:space="preserve">The Commission commits to the promotion and realisation of human rights of vulnerable groups through social procurement </w:t>
      </w:r>
      <w:r w:rsidRPr="00F17549">
        <w:rPr>
          <w:sz w:val="22"/>
          <w:szCs w:val="22"/>
        </w:rPr>
        <w:t>and will set a target and strategy for this each year</w:t>
      </w:r>
      <w:r>
        <w:rPr>
          <w:rFonts w:cs="Open Sans"/>
          <w:color w:val="000000"/>
          <w:sz w:val="22"/>
          <w:szCs w:val="22"/>
        </w:rPr>
        <w:t xml:space="preserve">. </w:t>
      </w:r>
    </w:p>
    <w:p w14:paraId="2C39E400" w14:textId="22374C6B" w:rsidR="00166F33" w:rsidRPr="009D55B0" w:rsidRDefault="00166F33" w:rsidP="006143B4">
      <w:pPr>
        <w:pStyle w:val="CommentText"/>
        <w:rPr>
          <w:rFonts w:cs="Open Sans"/>
          <w:color w:val="000000"/>
          <w:sz w:val="22"/>
          <w:szCs w:val="22"/>
        </w:rPr>
      </w:pPr>
      <w:r w:rsidRPr="009D55B0">
        <w:rPr>
          <w:rFonts w:cs="Open Sans"/>
          <w:color w:val="000000"/>
          <w:sz w:val="22"/>
          <w:szCs w:val="22"/>
        </w:rPr>
        <w:t>The Commission will set a social procurement target and strategy for each financial year</w:t>
      </w:r>
      <w:r>
        <w:rPr>
          <w:rFonts w:cs="Open Sans"/>
          <w:color w:val="000000"/>
          <w:sz w:val="22"/>
          <w:szCs w:val="22"/>
        </w:rPr>
        <w:t>, which will be subject to monitoring and evaluation</w:t>
      </w:r>
      <w:r w:rsidRPr="009D55B0">
        <w:rPr>
          <w:rFonts w:cs="Open Sans"/>
          <w:color w:val="000000"/>
          <w:sz w:val="22"/>
          <w:szCs w:val="22"/>
        </w:rPr>
        <w:t xml:space="preserve">.  </w:t>
      </w:r>
    </w:p>
    <w:p w14:paraId="10A113EA" w14:textId="3413D40D" w:rsidR="00166F33" w:rsidRPr="00CB602E" w:rsidRDefault="00166F33" w:rsidP="00CB602E">
      <w:pPr>
        <w:pStyle w:val="Heading1"/>
      </w:pPr>
      <w:bookmarkStart w:id="36" w:name="_Toc39831461"/>
      <w:bookmarkStart w:id="37" w:name="_Toc39831462"/>
      <w:bookmarkStart w:id="38" w:name="_Toc39831463"/>
      <w:bookmarkStart w:id="39" w:name="_Toc39831464"/>
      <w:bookmarkStart w:id="40" w:name="_Toc39831465"/>
      <w:bookmarkStart w:id="41" w:name="_Toc39831466"/>
      <w:bookmarkStart w:id="42" w:name="_Toc39831467"/>
      <w:bookmarkStart w:id="43" w:name="_Toc39831468"/>
      <w:bookmarkStart w:id="44" w:name="_Toc39831469"/>
      <w:bookmarkStart w:id="45" w:name="_Toc39831470"/>
      <w:bookmarkStart w:id="46" w:name="_Ref442618015"/>
      <w:bookmarkStart w:id="47" w:name="_Toc40773922"/>
      <w:bookmarkEnd w:id="36"/>
      <w:bookmarkEnd w:id="37"/>
      <w:bookmarkEnd w:id="38"/>
      <w:bookmarkEnd w:id="39"/>
      <w:bookmarkEnd w:id="40"/>
      <w:bookmarkEnd w:id="41"/>
      <w:bookmarkEnd w:id="42"/>
      <w:bookmarkEnd w:id="43"/>
      <w:bookmarkEnd w:id="44"/>
      <w:bookmarkEnd w:id="45"/>
      <w:r w:rsidRPr="00CB602E">
        <w:t>Roles and responsibilities</w:t>
      </w:r>
      <w:bookmarkEnd w:id="46"/>
      <w:bookmarkEnd w:id="47"/>
      <w:r w:rsidRPr="00CB602E">
        <w:t xml:space="preserve"> </w:t>
      </w:r>
    </w:p>
    <w:p w14:paraId="2CEBB33E" w14:textId="614682E0" w:rsidR="00166F33" w:rsidRPr="009D55B0" w:rsidRDefault="00166F33" w:rsidP="00BE3C77">
      <w:pPr>
        <w:pStyle w:val="Heading2"/>
      </w:pPr>
      <w:bookmarkStart w:id="48" w:name="_Toc40773923"/>
      <w:r w:rsidRPr="009D55B0">
        <w:t>Key responsibilities and oversight</w:t>
      </w:r>
      <w:bookmarkEnd w:id="48"/>
      <w:r w:rsidRPr="009D55B0">
        <w:t xml:space="preserve"> </w:t>
      </w:r>
    </w:p>
    <w:p w14:paraId="41109317" w14:textId="74EFC1D3" w:rsidR="00166F33" w:rsidRPr="009D55B0" w:rsidRDefault="00166F33" w:rsidP="00A163DB">
      <w:pPr>
        <w:rPr>
          <w:rFonts w:cs="Open Sans"/>
          <w:sz w:val="22"/>
          <w:szCs w:val="22"/>
        </w:rPr>
      </w:pPr>
      <w:r w:rsidRPr="009D55B0">
        <w:rPr>
          <w:rFonts w:cs="Open Sans"/>
          <w:sz w:val="22"/>
          <w:szCs w:val="22"/>
        </w:rPr>
        <w:t>This section describes which roles will be accountable and responsible for implementation of this Policy.</w:t>
      </w:r>
    </w:p>
    <w:p w14:paraId="79125A11" w14:textId="164C7E61" w:rsidR="00166F33" w:rsidRPr="009D55B0" w:rsidRDefault="00166F33" w:rsidP="45C62E58">
      <w:pPr>
        <w:pStyle w:val="ListParagraph"/>
        <w:numPr>
          <w:ilvl w:val="0"/>
          <w:numId w:val="1"/>
        </w:numPr>
        <w:spacing w:before="0" w:after="160" w:line="259" w:lineRule="auto"/>
        <w:contextualSpacing/>
        <w:rPr>
          <w:rFonts w:cs="Open Sans"/>
          <w:sz w:val="22"/>
          <w:szCs w:val="22"/>
        </w:rPr>
      </w:pPr>
      <w:r w:rsidRPr="45C62E58">
        <w:rPr>
          <w:rFonts w:cs="Open Sans"/>
          <w:sz w:val="22"/>
          <w:szCs w:val="22"/>
        </w:rPr>
        <w:t xml:space="preserve">The </w:t>
      </w:r>
      <w:r w:rsidRPr="45C62E58">
        <w:rPr>
          <w:rFonts w:cs="Open Sans"/>
          <w:b/>
          <w:bCs/>
          <w:sz w:val="22"/>
          <w:szCs w:val="22"/>
        </w:rPr>
        <w:t>President</w:t>
      </w:r>
      <w:r w:rsidRPr="45C62E58">
        <w:rPr>
          <w:rFonts w:cs="Open Sans"/>
          <w:sz w:val="22"/>
          <w:szCs w:val="22"/>
        </w:rPr>
        <w:t xml:space="preserve"> has overall responsibility for implementation of this Policy. </w:t>
      </w:r>
    </w:p>
    <w:p w14:paraId="3708B00B" w14:textId="614DAA59" w:rsidR="00166F33" w:rsidRPr="009D55B0" w:rsidRDefault="00166F33" w:rsidP="45C62E58">
      <w:pPr>
        <w:pStyle w:val="ListParagraph"/>
        <w:numPr>
          <w:ilvl w:val="0"/>
          <w:numId w:val="1"/>
        </w:numPr>
        <w:spacing w:before="0" w:after="160" w:line="259" w:lineRule="auto"/>
        <w:contextualSpacing/>
        <w:rPr>
          <w:rFonts w:cs="Open Sans"/>
          <w:sz w:val="22"/>
          <w:szCs w:val="22"/>
        </w:rPr>
      </w:pPr>
      <w:r w:rsidRPr="45C62E58">
        <w:rPr>
          <w:rFonts w:cs="Open Sans"/>
          <w:sz w:val="22"/>
          <w:szCs w:val="22"/>
        </w:rPr>
        <w:lastRenderedPageBreak/>
        <w:t xml:space="preserve">The </w:t>
      </w:r>
      <w:r w:rsidRPr="45C62E58">
        <w:rPr>
          <w:rFonts w:cs="Open Sans"/>
          <w:b/>
          <w:bCs/>
          <w:sz w:val="22"/>
          <w:szCs w:val="22"/>
        </w:rPr>
        <w:t>Chief Executive</w:t>
      </w:r>
      <w:r w:rsidRPr="45C62E58">
        <w:rPr>
          <w:rFonts w:cs="Open Sans"/>
          <w:sz w:val="22"/>
          <w:szCs w:val="22"/>
        </w:rPr>
        <w:t>, supported by the Modern Slavery Steering Committee, has overall responsibility for direction and efficacy of human rights approach to procurement outlined in this Policy.</w:t>
      </w:r>
    </w:p>
    <w:p w14:paraId="00724045" w14:textId="2591D9DC" w:rsidR="00166F33" w:rsidRPr="00737418" w:rsidRDefault="00166F33" w:rsidP="45C62E58">
      <w:pPr>
        <w:pStyle w:val="ListParagraph"/>
        <w:numPr>
          <w:ilvl w:val="0"/>
          <w:numId w:val="1"/>
        </w:numPr>
        <w:spacing w:before="0" w:after="160" w:line="259" w:lineRule="auto"/>
        <w:contextualSpacing/>
        <w:rPr>
          <w:rFonts w:cs="Open Sans"/>
          <w:sz w:val="22"/>
          <w:szCs w:val="22"/>
        </w:rPr>
      </w:pPr>
      <w:r w:rsidRPr="00737418">
        <w:rPr>
          <w:rFonts w:cs="Open Sans"/>
          <w:sz w:val="22"/>
          <w:szCs w:val="22"/>
        </w:rPr>
        <w:t xml:space="preserve">The </w:t>
      </w:r>
      <w:r w:rsidRPr="00737418">
        <w:rPr>
          <w:rFonts w:cs="Open Sans"/>
          <w:b/>
          <w:bCs/>
          <w:sz w:val="22"/>
          <w:szCs w:val="22"/>
        </w:rPr>
        <w:t>Senior Policy Executive</w:t>
      </w:r>
      <w:r w:rsidR="005E5688">
        <w:rPr>
          <w:rFonts w:cs="Open Sans"/>
          <w:b/>
          <w:bCs/>
          <w:sz w:val="22"/>
          <w:szCs w:val="22"/>
        </w:rPr>
        <w:t>—</w:t>
      </w:r>
      <w:r w:rsidRPr="00737418">
        <w:rPr>
          <w:rFonts w:cs="Open Sans"/>
          <w:b/>
          <w:bCs/>
          <w:sz w:val="22"/>
          <w:szCs w:val="22"/>
        </w:rPr>
        <w:t xml:space="preserve">Partnerships and International Engagement </w:t>
      </w:r>
      <w:r w:rsidRPr="00737418">
        <w:rPr>
          <w:rFonts w:cs="Open Sans"/>
          <w:sz w:val="22"/>
          <w:szCs w:val="22"/>
        </w:rPr>
        <w:t>and the</w:t>
      </w:r>
      <w:r w:rsidRPr="00737418">
        <w:rPr>
          <w:rFonts w:cs="Open Sans"/>
          <w:b/>
          <w:bCs/>
          <w:sz w:val="22"/>
          <w:szCs w:val="22"/>
        </w:rPr>
        <w:t xml:space="preserve"> </w:t>
      </w:r>
      <w:r w:rsidRPr="00737418">
        <w:rPr>
          <w:rFonts w:eastAsia="Times New Roman" w:cs="Open Sans"/>
          <w:b/>
          <w:bCs/>
          <w:sz w:val="22"/>
          <w:szCs w:val="22"/>
        </w:rPr>
        <w:t>Chief Finance Officer</w:t>
      </w:r>
      <w:r w:rsidRPr="00737418">
        <w:rPr>
          <w:rFonts w:eastAsia="Times New Roman" w:cs="Open Sans"/>
          <w:sz w:val="22"/>
          <w:szCs w:val="22"/>
        </w:rPr>
        <w:t xml:space="preserve"> </w:t>
      </w:r>
      <w:r w:rsidR="00E8419E">
        <w:rPr>
          <w:rFonts w:eastAsia="Times New Roman" w:cs="Open Sans"/>
          <w:sz w:val="22"/>
          <w:szCs w:val="22"/>
        </w:rPr>
        <w:t>will have input into ensuring the Policy</w:t>
      </w:r>
      <w:r w:rsidRPr="00737418">
        <w:rPr>
          <w:rFonts w:cs="Open Sans"/>
          <w:sz w:val="22"/>
          <w:szCs w:val="22"/>
        </w:rPr>
        <w:t xml:space="preserve"> remains accurate, up to date, reflects relevant activities within the Commission and incorporates expertise from the Business and Human Rights policy area at the Commission. </w:t>
      </w:r>
    </w:p>
    <w:p w14:paraId="0ED0D82D" w14:textId="0BFA6B48" w:rsidR="00166F33" w:rsidRPr="00CB602E" w:rsidRDefault="00166F33" w:rsidP="00CB602E">
      <w:pPr>
        <w:pStyle w:val="Heading1"/>
      </w:pPr>
      <w:bookmarkStart w:id="49" w:name="_Toc39836794"/>
      <w:bookmarkStart w:id="50" w:name="_Toc39836849"/>
      <w:bookmarkStart w:id="51" w:name="_Toc40773924"/>
      <w:bookmarkStart w:id="52" w:name="_Toc525894102"/>
      <w:bookmarkEnd w:id="34"/>
      <w:bookmarkEnd w:id="49"/>
      <w:bookmarkEnd w:id="50"/>
      <w:r w:rsidRPr="00CB602E">
        <w:t>Review</w:t>
      </w:r>
      <w:bookmarkEnd w:id="51"/>
    </w:p>
    <w:p w14:paraId="58D16995" w14:textId="456C64D1" w:rsidR="00166F33" w:rsidRPr="009D55B0" w:rsidRDefault="00166F33" w:rsidP="00CF2D36">
      <w:pPr>
        <w:rPr>
          <w:rFonts w:cs="Open Sans"/>
          <w:sz w:val="22"/>
          <w:szCs w:val="22"/>
        </w:rPr>
      </w:pPr>
      <w:r w:rsidRPr="009D55B0">
        <w:rPr>
          <w:rFonts w:cs="Open Sans"/>
          <w:sz w:val="22"/>
          <w:szCs w:val="22"/>
        </w:rPr>
        <w:t>This Policy was developed with input from representatives across the Commission. This Policy will be reviewed</w:t>
      </w:r>
      <w:r>
        <w:rPr>
          <w:rFonts w:cs="Open Sans"/>
          <w:sz w:val="22"/>
          <w:szCs w:val="22"/>
        </w:rPr>
        <w:t xml:space="preserve"> </w:t>
      </w:r>
      <w:r w:rsidR="0090330E">
        <w:rPr>
          <w:rFonts w:cs="Open Sans"/>
          <w:sz w:val="22"/>
          <w:szCs w:val="22"/>
        </w:rPr>
        <w:t xml:space="preserve">at least </w:t>
      </w:r>
      <w:r w:rsidR="005E5688">
        <w:rPr>
          <w:rFonts w:cs="Open Sans"/>
          <w:sz w:val="22"/>
          <w:szCs w:val="22"/>
        </w:rPr>
        <w:t>e</w:t>
      </w:r>
      <w:r w:rsidR="0090330E">
        <w:rPr>
          <w:rFonts w:cs="Open Sans"/>
          <w:sz w:val="22"/>
          <w:szCs w:val="22"/>
        </w:rPr>
        <w:t>very two years</w:t>
      </w:r>
      <w:r w:rsidR="000C1A9B">
        <w:rPr>
          <w:rFonts w:cs="Open Sans"/>
          <w:sz w:val="22"/>
          <w:szCs w:val="22"/>
        </w:rPr>
        <w:t>, with the first review one year after the effective date of this Policy</w:t>
      </w:r>
      <w:r w:rsidR="00A052D8">
        <w:rPr>
          <w:rFonts w:cs="Open Sans"/>
          <w:sz w:val="22"/>
          <w:szCs w:val="22"/>
        </w:rPr>
        <w:t xml:space="preserve"> (see </w:t>
      </w:r>
      <w:r w:rsidR="00A052D8" w:rsidRPr="00317549">
        <w:rPr>
          <w:rFonts w:cs="Open Sans"/>
          <w:b/>
          <w:bCs/>
          <w:sz w:val="22"/>
          <w:szCs w:val="22"/>
        </w:rPr>
        <w:t>Appendix C</w:t>
      </w:r>
      <w:r w:rsidR="00A052D8">
        <w:rPr>
          <w:rFonts w:cs="Open Sans"/>
          <w:sz w:val="22"/>
          <w:szCs w:val="22"/>
        </w:rPr>
        <w:t>)</w:t>
      </w:r>
      <w:r>
        <w:rPr>
          <w:rFonts w:cs="Open Sans"/>
          <w:sz w:val="22"/>
          <w:szCs w:val="22"/>
        </w:rPr>
        <w:t xml:space="preserve">. </w:t>
      </w:r>
      <w:r w:rsidRPr="009D55B0">
        <w:rPr>
          <w:rFonts w:cs="Open Sans"/>
          <w:sz w:val="22"/>
          <w:szCs w:val="22"/>
        </w:rPr>
        <w:t xml:space="preserve"> </w:t>
      </w:r>
      <w:r>
        <w:rPr>
          <w:rFonts w:cs="Open Sans"/>
          <w:sz w:val="22"/>
          <w:szCs w:val="22"/>
        </w:rPr>
        <w:t xml:space="preserve"> </w:t>
      </w:r>
      <w:r w:rsidRPr="009D55B0">
        <w:rPr>
          <w:rFonts w:cs="Open Sans"/>
          <w:sz w:val="22"/>
          <w:szCs w:val="22"/>
        </w:rPr>
        <w:t xml:space="preserve"> </w:t>
      </w:r>
    </w:p>
    <w:p w14:paraId="38A2F674" w14:textId="77777777" w:rsidR="00166F33" w:rsidRPr="00CB602E" w:rsidRDefault="00166F33" w:rsidP="00CB602E">
      <w:pPr>
        <w:pStyle w:val="Heading1"/>
      </w:pPr>
      <w:bookmarkStart w:id="53" w:name="_Toc40773925"/>
      <w:r w:rsidRPr="00CB602E">
        <w:t>Definitions</w:t>
      </w:r>
      <w:bookmarkEnd w:id="53"/>
      <w:r w:rsidRPr="00CB602E">
        <w:t xml:space="preserve"> </w:t>
      </w:r>
    </w:p>
    <w:p w14:paraId="5ED5A24C" w14:textId="2205C694" w:rsidR="00166F33" w:rsidRPr="009D55B0" w:rsidRDefault="00BA5E3B" w:rsidP="00796E57">
      <w:pPr>
        <w:spacing w:before="0" w:after="160" w:line="259" w:lineRule="auto"/>
        <w:contextualSpacing/>
        <w:rPr>
          <w:rFonts w:cs="Open Sans"/>
          <w:bCs/>
          <w:sz w:val="22"/>
          <w:szCs w:val="22"/>
        </w:rPr>
      </w:pPr>
      <w:r>
        <w:rPr>
          <w:rFonts w:cs="Open Sans"/>
          <w:b/>
          <w:bCs/>
          <w:sz w:val="22"/>
          <w:szCs w:val="22"/>
        </w:rPr>
        <w:t>‘</w:t>
      </w:r>
      <w:r w:rsidR="00166F33" w:rsidRPr="009D55B0">
        <w:rPr>
          <w:rFonts w:cs="Open Sans"/>
          <w:b/>
          <w:bCs/>
          <w:sz w:val="22"/>
          <w:szCs w:val="22"/>
        </w:rPr>
        <w:t>Human rights</w:t>
      </w:r>
      <w:r>
        <w:rPr>
          <w:rFonts w:cs="Open Sans"/>
          <w:b/>
          <w:bCs/>
          <w:sz w:val="22"/>
          <w:szCs w:val="22"/>
        </w:rPr>
        <w:t>’</w:t>
      </w:r>
      <w:r w:rsidR="00166F33" w:rsidRPr="009D55B0">
        <w:rPr>
          <w:rFonts w:cs="Open Sans"/>
          <w:b/>
          <w:bCs/>
          <w:sz w:val="22"/>
          <w:szCs w:val="22"/>
        </w:rPr>
        <w:t xml:space="preserve"> </w:t>
      </w:r>
      <w:r w:rsidR="00166F33" w:rsidRPr="009D55B0">
        <w:rPr>
          <w:rFonts w:cs="Open Sans"/>
          <w:bCs/>
          <w:sz w:val="22"/>
          <w:szCs w:val="22"/>
        </w:rPr>
        <w:t xml:space="preserve">means all internationally recognised human rights. These include: </w:t>
      </w:r>
    </w:p>
    <w:p w14:paraId="0D24CA53" w14:textId="77777777" w:rsidR="00166F33" w:rsidRPr="000C1EC5" w:rsidRDefault="00166F33" w:rsidP="00D30632">
      <w:pPr>
        <w:numPr>
          <w:ilvl w:val="0"/>
          <w:numId w:val="46"/>
        </w:numPr>
        <w:spacing w:before="100" w:beforeAutospacing="1" w:after="100" w:afterAutospacing="1"/>
        <w:rPr>
          <w:rFonts w:eastAsia="Times New Roman" w:cs="Open Sans"/>
          <w:sz w:val="22"/>
          <w:szCs w:val="22"/>
          <w:lang w:eastAsia="en-US"/>
        </w:rPr>
      </w:pPr>
      <w:r w:rsidRPr="000C1EC5">
        <w:rPr>
          <w:rFonts w:eastAsia="Times New Roman" w:cs="Open Sans"/>
          <w:sz w:val="22"/>
          <w:szCs w:val="22"/>
          <w:lang w:eastAsia="en-US"/>
        </w:rPr>
        <w:t>the International Bill of Human Rights (consisting of the Universal Declaration of Human Rights and the main instruments through which it has been codified: the International Covenant on Civil and Political Rights and the International Covenant on Economic, Social and Cultural Rights) and </w:t>
      </w:r>
    </w:p>
    <w:p w14:paraId="44C01580" w14:textId="32377953" w:rsidR="00166F33" w:rsidRPr="000C1EC5" w:rsidRDefault="00166F33" w:rsidP="00D30632">
      <w:pPr>
        <w:numPr>
          <w:ilvl w:val="0"/>
          <w:numId w:val="46"/>
        </w:numPr>
        <w:spacing w:before="100" w:beforeAutospacing="1" w:after="100" w:afterAutospacing="1"/>
        <w:rPr>
          <w:rFonts w:eastAsia="Times New Roman" w:cs="Open Sans"/>
          <w:sz w:val="22"/>
          <w:szCs w:val="22"/>
          <w:lang w:eastAsia="en-US"/>
        </w:rPr>
      </w:pPr>
      <w:r w:rsidRPr="000C1EC5">
        <w:rPr>
          <w:rFonts w:eastAsia="Times New Roman" w:cs="Open Sans"/>
          <w:sz w:val="22"/>
          <w:szCs w:val="22"/>
          <w:lang w:eastAsia="en-US"/>
        </w:rPr>
        <w:t>the principles concerning fundamental rights set out in the International Labour Organization’s Declaration on Fundamental Principles and Rights at Work.</w:t>
      </w:r>
    </w:p>
    <w:p w14:paraId="1805ABD0" w14:textId="08433637" w:rsidR="00166F33" w:rsidRPr="009D55B0" w:rsidRDefault="00BA5E3B" w:rsidP="00796E57">
      <w:pPr>
        <w:spacing w:before="0" w:after="160" w:line="259" w:lineRule="auto"/>
        <w:contextualSpacing/>
        <w:rPr>
          <w:rFonts w:cs="Open Sans"/>
          <w:sz w:val="22"/>
          <w:szCs w:val="22"/>
        </w:rPr>
      </w:pPr>
      <w:r>
        <w:rPr>
          <w:rFonts w:cs="Open Sans"/>
          <w:b/>
          <w:bCs/>
          <w:sz w:val="22"/>
          <w:szCs w:val="22"/>
        </w:rPr>
        <w:t>‘</w:t>
      </w:r>
      <w:r w:rsidR="00166F33" w:rsidRPr="009D55B0">
        <w:rPr>
          <w:rFonts w:cs="Open Sans"/>
          <w:b/>
          <w:bCs/>
          <w:sz w:val="22"/>
          <w:szCs w:val="22"/>
        </w:rPr>
        <w:t>Modern slavery</w:t>
      </w:r>
      <w:r>
        <w:rPr>
          <w:rFonts w:cs="Open Sans"/>
          <w:b/>
          <w:bCs/>
          <w:sz w:val="22"/>
          <w:szCs w:val="22"/>
        </w:rPr>
        <w:t>’</w:t>
      </w:r>
      <w:r w:rsidR="00166F33" w:rsidRPr="009D55B0">
        <w:rPr>
          <w:rFonts w:cs="Open Sans"/>
          <w:b/>
          <w:bCs/>
          <w:sz w:val="22"/>
          <w:szCs w:val="22"/>
        </w:rPr>
        <w:t xml:space="preserve"> </w:t>
      </w:r>
      <w:r w:rsidR="00166F33" w:rsidRPr="009D55B0">
        <w:rPr>
          <w:rFonts w:cs="Open Sans"/>
          <w:sz w:val="22"/>
          <w:szCs w:val="22"/>
        </w:rPr>
        <w:t>refers to a range of serious human rights violations that are also crimes in Australia: trafficking in persons; slavery; servitude; forced marriage; forced labour; debt bondage; deceptive recruiting for labour or services; and the worst forms of child labour.</w:t>
      </w:r>
      <w:r w:rsidR="00166F33" w:rsidRPr="009D55B0">
        <w:rPr>
          <w:rStyle w:val="EndnoteReference"/>
          <w:rFonts w:cs="Open Sans"/>
          <w:sz w:val="22"/>
          <w:szCs w:val="22"/>
        </w:rPr>
        <w:endnoteReference w:id="20"/>
      </w:r>
      <w:r w:rsidR="00166F33" w:rsidRPr="009D55B0">
        <w:rPr>
          <w:rFonts w:cs="Open Sans"/>
          <w:sz w:val="22"/>
          <w:szCs w:val="22"/>
        </w:rPr>
        <w:t xml:space="preserve"> </w:t>
      </w:r>
    </w:p>
    <w:p w14:paraId="2C9D1C03" w14:textId="77777777" w:rsidR="00166F33" w:rsidRPr="009D55B0" w:rsidRDefault="00166F33" w:rsidP="00796E57">
      <w:pPr>
        <w:spacing w:before="0" w:after="160" w:line="259" w:lineRule="auto"/>
        <w:contextualSpacing/>
        <w:rPr>
          <w:rFonts w:cs="Open Sans"/>
          <w:b/>
          <w:bCs/>
          <w:sz w:val="22"/>
          <w:szCs w:val="22"/>
        </w:rPr>
      </w:pPr>
    </w:p>
    <w:p w14:paraId="48463E76" w14:textId="12137947" w:rsidR="00166F33" w:rsidRPr="009D55B0" w:rsidRDefault="00BA5E3B" w:rsidP="00796E57">
      <w:pPr>
        <w:spacing w:before="0" w:after="160" w:line="259" w:lineRule="auto"/>
        <w:contextualSpacing/>
        <w:rPr>
          <w:rFonts w:cs="Open Sans"/>
          <w:sz w:val="22"/>
          <w:szCs w:val="22"/>
        </w:rPr>
      </w:pPr>
      <w:r>
        <w:rPr>
          <w:rFonts w:cs="Open Sans"/>
          <w:b/>
          <w:sz w:val="22"/>
          <w:szCs w:val="22"/>
        </w:rPr>
        <w:t>‘</w:t>
      </w:r>
      <w:r w:rsidR="00166F33" w:rsidRPr="009D55B0">
        <w:rPr>
          <w:rFonts w:cs="Open Sans"/>
          <w:b/>
          <w:sz w:val="22"/>
          <w:szCs w:val="22"/>
        </w:rPr>
        <w:t>Procurement</w:t>
      </w:r>
      <w:r>
        <w:rPr>
          <w:rFonts w:cs="Open Sans"/>
          <w:b/>
          <w:sz w:val="22"/>
          <w:szCs w:val="22"/>
        </w:rPr>
        <w:t>’</w:t>
      </w:r>
      <w:r w:rsidR="00166F33" w:rsidRPr="009D55B0">
        <w:rPr>
          <w:rFonts w:cs="Open Sans"/>
          <w:sz w:val="22"/>
          <w:szCs w:val="22"/>
        </w:rPr>
        <w:t xml:space="preserve"> has the same meaning as ‘procurement’ as set out in the Commonwealth Procurement Rules, as outlined in Appendix A.</w:t>
      </w:r>
      <w:r w:rsidR="00166F33" w:rsidRPr="009D55B0">
        <w:rPr>
          <w:rStyle w:val="EndnoteReference"/>
          <w:rFonts w:cs="Open Sans"/>
          <w:sz w:val="22"/>
          <w:szCs w:val="22"/>
        </w:rPr>
        <w:endnoteReference w:id="21"/>
      </w:r>
      <w:r w:rsidR="00166F33" w:rsidRPr="009D55B0">
        <w:rPr>
          <w:rFonts w:cs="Open Sans"/>
          <w:sz w:val="22"/>
          <w:szCs w:val="22"/>
        </w:rPr>
        <w:t xml:space="preserve"> However, under this Policy ‘procurement’ is limited to goods and services that have been acquired by the Commission in exchange for payment of money. </w:t>
      </w:r>
    </w:p>
    <w:p w14:paraId="2E0696E7" w14:textId="2DF5AE4B" w:rsidR="00166F33" w:rsidRPr="009D55B0" w:rsidRDefault="00BA5E3B" w:rsidP="002B63C9">
      <w:pPr>
        <w:rPr>
          <w:rFonts w:eastAsia="Times New Roman" w:cs="Open Sans"/>
          <w:sz w:val="20"/>
          <w:szCs w:val="20"/>
          <w:lang w:eastAsia="en-US"/>
        </w:rPr>
      </w:pPr>
      <w:r>
        <w:rPr>
          <w:rFonts w:eastAsia="Times New Roman" w:cs="Open Sans"/>
          <w:b/>
          <w:sz w:val="22"/>
          <w:szCs w:val="22"/>
          <w:lang w:eastAsia="en-US"/>
        </w:rPr>
        <w:t>‘</w:t>
      </w:r>
      <w:r w:rsidR="00166F33" w:rsidRPr="009D55B0">
        <w:rPr>
          <w:rFonts w:eastAsia="Times New Roman" w:cs="Open Sans"/>
          <w:b/>
          <w:sz w:val="22"/>
          <w:szCs w:val="22"/>
          <w:lang w:eastAsia="en-US"/>
        </w:rPr>
        <w:t>Severe risks</w:t>
      </w:r>
      <w:r>
        <w:rPr>
          <w:rFonts w:eastAsia="Times New Roman" w:cs="Open Sans"/>
          <w:b/>
          <w:sz w:val="22"/>
          <w:szCs w:val="22"/>
          <w:lang w:eastAsia="en-US"/>
        </w:rPr>
        <w:t>’</w:t>
      </w:r>
      <w:r w:rsidR="00166F33" w:rsidRPr="009D55B0">
        <w:rPr>
          <w:rFonts w:eastAsia="Times New Roman" w:cs="Open Sans"/>
          <w:sz w:val="22"/>
          <w:szCs w:val="22"/>
          <w:lang w:eastAsia="en-US"/>
        </w:rPr>
        <w:t xml:space="preserve"> means the human rights potentially at risk of the most negative impact through the activities and business relationships of the Commission’s Suppliers. Severity</w:t>
      </w:r>
      <w:r w:rsidR="00166F33" w:rsidRPr="009D55B0">
        <w:rPr>
          <w:rFonts w:cs="Open Sans"/>
          <w:color w:val="1D1D18"/>
          <w:sz w:val="22"/>
          <w:szCs w:val="22"/>
          <w:shd w:val="clear" w:color="auto" w:fill="FFFFFF"/>
        </w:rPr>
        <w:t xml:space="preserve"> is</w:t>
      </w:r>
      <w:r w:rsidR="00166F33" w:rsidRPr="009D55B0">
        <w:rPr>
          <w:rFonts w:cs="Open Sans"/>
          <w:bCs/>
          <w:sz w:val="22"/>
          <w:szCs w:val="22"/>
        </w:rPr>
        <w:t xml:space="preserve"> determined by reference to the </w:t>
      </w:r>
      <w:r w:rsidR="00166F33" w:rsidRPr="009D55B0">
        <w:rPr>
          <w:rFonts w:eastAsia="Times New Roman" w:cs="Open Sans"/>
          <w:sz w:val="22"/>
          <w:szCs w:val="22"/>
          <w:lang w:eastAsia="en-US"/>
        </w:rPr>
        <w:t>scope (number of people affected), scale (seriousness of the impact) and whether the harm is irremediable (are there any limits to restoring the individual impacted to at least the same as, or equivalent to, her or his situation before the adverse impact occurred).</w:t>
      </w:r>
      <w:r w:rsidR="00166F33" w:rsidRPr="009D55B0">
        <w:rPr>
          <w:rStyle w:val="EndnoteReference"/>
          <w:rFonts w:eastAsia="Times New Roman" w:cs="Open Sans"/>
          <w:sz w:val="22"/>
          <w:szCs w:val="22"/>
          <w:lang w:eastAsia="en-US"/>
        </w:rPr>
        <w:endnoteReference w:id="22"/>
      </w:r>
      <w:r w:rsidR="00166F33" w:rsidRPr="009D55B0">
        <w:rPr>
          <w:rFonts w:eastAsia="Times New Roman" w:cs="Open Sans"/>
          <w:sz w:val="22"/>
          <w:szCs w:val="22"/>
          <w:lang w:eastAsia="en-US"/>
        </w:rPr>
        <w:t xml:space="preserve"> Severity is also tied to likelihood of a risk </w:t>
      </w:r>
      <w:r w:rsidR="00166F33" w:rsidRPr="009D55B0">
        <w:rPr>
          <w:rFonts w:eastAsia="Times New Roman" w:cs="Open Sans"/>
          <w:sz w:val="22"/>
          <w:szCs w:val="22"/>
          <w:lang w:eastAsia="en-US"/>
        </w:rPr>
        <w:lastRenderedPageBreak/>
        <w:t>occurring, though due attention should be paid to high severity, low likelihood adverse impacts.</w:t>
      </w:r>
      <w:r w:rsidR="00166F33" w:rsidRPr="009D55B0">
        <w:rPr>
          <w:rStyle w:val="EndnoteReference"/>
          <w:rFonts w:eastAsia="Times New Roman" w:cs="Open Sans"/>
          <w:sz w:val="22"/>
          <w:szCs w:val="22"/>
          <w:lang w:eastAsia="en-US"/>
        </w:rPr>
        <w:endnoteReference w:id="23"/>
      </w:r>
    </w:p>
    <w:p w14:paraId="49D706D7" w14:textId="65BB4EDD" w:rsidR="00166F33" w:rsidRPr="009D55B0" w:rsidRDefault="00BA5E3B" w:rsidP="00796E57">
      <w:pPr>
        <w:spacing w:before="0" w:after="160" w:line="259" w:lineRule="auto"/>
        <w:contextualSpacing/>
        <w:rPr>
          <w:rFonts w:cs="Open Sans"/>
          <w:sz w:val="22"/>
          <w:szCs w:val="22"/>
        </w:rPr>
      </w:pPr>
      <w:r>
        <w:rPr>
          <w:rFonts w:cs="Open Sans"/>
          <w:b/>
          <w:bCs/>
          <w:sz w:val="22"/>
          <w:szCs w:val="22"/>
        </w:rPr>
        <w:t>‘</w:t>
      </w:r>
      <w:r w:rsidR="00166F33" w:rsidRPr="009D55B0">
        <w:rPr>
          <w:rFonts w:cs="Open Sans"/>
          <w:b/>
          <w:bCs/>
          <w:sz w:val="22"/>
          <w:szCs w:val="22"/>
        </w:rPr>
        <w:t>Supplier</w:t>
      </w:r>
      <w:r>
        <w:rPr>
          <w:rFonts w:cs="Open Sans"/>
          <w:b/>
          <w:bCs/>
          <w:sz w:val="22"/>
          <w:szCs w:val="22"/>
        </w:rPr>
        <w:t>’</w:t>
      </w:r>
      <w:r w:rsidR="00166F33" w:rsidRPr="009D55B0">
        <w:rPr>
          <w:rFonts w:cs="Open Sans"/>
          <w:b/>
          <w:bCs/>
          <w:sz w:val="22"/>
          <w:szCs w:val="22"/>
        </w:rPr>
        <w:t xml:space="preserve"> </w:t>
      </w:r>
      <w:r w:rsidR="00166F33" w:rsidRPr="009D55B0">
        <w:rPr>
          <w:rFonts w:cs="Open Sans"/>
          <w:sz w:val="22"/>
          <w:szCs w:val="22"/>
        </w:rPr>
        <w:t>means a business that is paid to supply goods or services to the Commission.</w:t>
      </w:r>
      <w:r w:rsidR="00166F33">
        <w:rPr>
          <w:rFonts w:cs="Open Sans"/>
          <w:sz w:val="22"/>
          <w:szCs w:val="22"/>
        </w:rPr>
        <w:t xml:space="preserve"> In the Commission context a Supplier may also be an individual without an ABN. </w:t>
      </w:r>
      <w:r w:rsidR="00166F33" w:rsidRPr="009D55B0">
        <w:rPr>
          <w:rFonts w:cs="Open Sans"/>
          <w:sz w:val="22"/>
          <w:szCs w:val="22"/>
        </w:rPr>
        <w:t xml:space="preserve"> </w:t>
      </w:r>
    </w:p>
    <w:p w14:paraId="592E3501" w14:textId="77777777" w:rsidR="00166F33" w:rsidRPr="009D55B0" w:rsidRDefault="00166F33" w:rsidP="00796E57">
      <w:pPr>
        <w:spacing w:before="0" w:after="160" w:line="259" w:lineRule="auto"/>
        <w:contextualSpacing/>
        <w:rPr>
          <w:rFonts w:cs="Open Sans"/>
          <w:sz w:val="22"/>
          <w:szCs w:val="22"/>
        </w:rPr>
      </w:pPr>
    </w:p>
    <w:p w14:paraId="36FB17E1" w14:textId="615092EE" w:rsidR="00166F33" w:rsidRPr="009D55B0" w:rsidRDefault="00BA5E3B" w:rsidP="005472D8">
      <w:pPr>
        <w:spacing w:before="0" w:after="160" w:line="259" w:lineRule="auto"/>
        <w:contextualSpacing/>
        <w:rPr>
          <w:rFonts w:eastAsia="Times New Roman" w:cs="Open Sans"/>
          <w:color w:val="353535"/>
          <w:sz w:val="22"/>
          <w:szCs w:val="22"/>
          <w:lang w:val="en-US"/>
        </w:rPr>
      </w:pPr>
      <w:r>
        <w:rPr>
          <w:rFonts w:cs="Open Sans"/>
          <w:b/>
          <w:sz w:val="22"/>
          <w:szCs w:val="22"/>
        </w:rPr>
        <w:t>‘</w:t>
      </w:r>
      <w:r w:rsidR="00166F33" w:rsidRPr="009D55B0">
        <w:rPr>
          <w:rFonts w:cs="Open Sans"/>
          <w:b/>
          <w:sz w:val="22"/>
          <w:szCs w:val="22"/>
        </w:rPr>
        <w:t>Supply chain</w:t>
      </w:r>
      <w:r>
        <w:rPr>
          <w:rFonts w:cs="Open Sans"/>
          <w:b/>
          <w:sz w:val="22"/>
          <w:szCs w:val="22"/>
        </w:rPr>
        <w:t>’</w:t>
      </w:r>
      <w:r w:rsidR="00166F33" w:rsidRPr="009D55B0">
        <w:rPr>
          <w:rFonts w:cs="Open Sans"/>
          <w:sz w:val="22"/>
          <w:szCs w:val="22"/>
        </w:rPr>
        <w:t xml:space="preserve"> means all </w:t>
      </w:r>
      <w:r w:rsidR="00166F33" w:rsidRPr="009D55B0">
        <w:rPr>
          <w:rFonts w:eastAsia="Times New Roman" w:cs="Open Sans"/>
          <w:color w:val="353535"/>
          <w:sz w:val="22"/>
          <w:szCs w:val="22"/>
          <w:lang w:val="en-US"/>
        </w:rPr>
        <w:t>activities and materials that go into goods or services. It covers the production of raw materials, manufacturing stages, transport, delivery, and end-of-life disposal. It includes activities of Suppliers and sub-contractors.</w:t>
      </w:r>
    </w:p>
    <w:p w14:paraId="66241FC9" w14:textId="77777777" w:rsidR="00166F33" w:rsidRPr="009D55B0" w:rsidRDefault="00166F33" w:rsidP="005472D8">
      <w:pPr>
        <w:spacing w:before="0" w:after="160" w:line="259" w:lineRule="auto"/>
        <w:contextualSpacing/>
        <w:rPr>
          <w:rFonts w:eastAsia="Times New Roman" w:cs="Open Sans"/>
          <w:color w:val="353535"/>
          <w:sz w:val="22"/>
          <w:szCs w:val="22"/>
          <w:lang w:val="en-US"/>
        </w:rPr>
      </w:pPr>
    </w:p>
    <w:p w14:paraId="7F70A162" w14:textId="567CCD9F" w:rsidR="00166F33" w:rsidRPr="009D55B0" w:rsidRDefault="00BA5E3B" w:rsidP="005472D8">
      <w:pPr>
        <w:spacing w:before="0" w:after="160" w:line="259" w:lineRule="auto"/>
        <w:contextualSpacing/>
        <w:rPr>
          <w:rFonts w:eastAsia="Times New Roman" w:cs="Open Sans"/>
          <w:color w:val="353535"/>
          <w:sz w:val="22"/>
          <w:szCs w:val="22"/>
          <w:lang w:val="en-US"/>
        </w:rPr>
      </w:pPr>
      <w:r>
        <w:rPr>
          <w:rFonts w:eastAsia="Times New Roman" w:cs="Open Sans"/>
          <w:b/>
          <w:color w:val="353535"/>
          <w:sz w:val="22"/>
          <w:szCs w:val="22"/>
          <w:lang w:val="en-US"/>
        </w:rPr>
        <w:t>‘</w:t>
      </w:r>
      <w:r w:rsidR="00204C00">
        <w:rPr>
          <w:rFonts w:eastAsia="Times New Roman" w:cs="Open Sans"/>
          <w:b/>
          <w:color w:val="353535"/>
          <w:sz w:val="22"/>
          <w:szCs w:val="22"/>
          <w:lang w:val="en-US"/>
        </w:rPr>
        <w:t>M</w:t>
      </w:r>
      <w:r w:rsidR="009C4B96">
        <w:rPr>
          <w:rFonts w:eastAsia="Times New Roman" w:cs="Open Sans"/>
          <w:b/>
          <w:color w:val="353535"/>
          <w:sz w:val="22"/>
          <w:szCs w:val="22"/>
          <w:lang w:val="en-US"/>
        </w:rPr>
        <w:t xml:space="preserve">inorities or </w:t>
      </w:r>
      <w:proofErr w:type="spellStart"/>
      <w:r w:rsidR="009C4B96">
        <w:rPr>
          <w:rFonts w:eastAsia="Times New Roman" w:cs="Open Sans"/>
          <w:b/>
          <w:color w:val="353535"/>
          <w:sz w:val="22"/>
          <w:szCs w:val="22"/>
          <w:lang w:val="en-US"/>
        </w:rPr>
        <w:t>m</w:t>
      </w:r>
      <w:r w:rsidR="00204C00">
        <w:rPr>
          <w:rFonts w:eastAsia="Times New Roman" w:cs="Open Sans"/>
          <w:b/>
          <w:color w:val="353535"/>
          <w:sz w:val="22"/>
          <w:szCs w:val="22"/>
          <w:lang w:val="en-US"/>
        </w:rPr>
        <w:t>arginalised</w:t>
      </w:r>
      <w:proofErr w:type="spellEnd"/>
      <w:r w:rsidR="00204C00">
        <w:rPr>
          <w:rFonts w:eastAsia="Times New Roman" w:cs="Open Sans"/>
          <w:b/>
          <w:color w:val="353535"/>
          <w:sz w:val="22"/>
          <w:szCs w:val="22"/>
          <w:lang w:val="en-US"/>
        </w:rPr>
        <w:t xml:space="preserve"> groups</w:t>
      </w:r>
      <w:r>
        <w:rPr>
          <w:rFonts w:eastAsia="Times New Roman" w:cs="Open Sans"/>
          <w:b/>
          <w:color w:val="353535"/>
          <w:sz w:val="22"/>
          <w:szCs w:val="22"/>
          <w:lang w:val="en-US"/>
        </w:rPr>
        <w:t>’</w:t>
      </w:r>
      <w:r w:rsidR="00166F33" w:rsidRPr="009D55B0">
        <w:rPr>
          <w:rFonts w:eastAsia="Times New Roman" w:cs="Open Sans"/>
          <w:color w:val="353535"/>
          <w:sz w:val="22"/>
          <w:szCs w:val="22"/>
          <w:lang w:val="en-US"/>
        </w:rPr>
        <w:t xml:space="preserve"> include but are not limited to:</w:t>
      </w:r>
    </w:p>
    <w:p w14:paraId="62B6742F" w14:textId="66D2EAE3" w:rsidR="00166F33" w:rsidRPr="009D55B0" w:rsidRDefault="00166F33" w:rsidP="00ED4DFF">
      <w:pPr>
        <w:pStyle w:val="ListParagraph"/>
        <w:numPr>
          <w:ilvl w:val="0"/>
          <w:numId w:val="27"/>
        </w:numPr>
        <w:spacing w:before="0" w:after="160" w:line="259" w:lineRule="auto"/>
        <w:contextualSpacing/>
        <w:rPr>
          <w:rFonts w:cs="Open Sans"/>
          <w:sz w:val="22"/>
          <w:szCs w:val="22"/>
        </w:rPr>
      </w:pPr>
      <w:r>
        <w:rPr>
          <w:rFonts w:cs="Open Sans"/>
          <w:sz w:val="22"/>
          <w:szCs w:val="22"/>
        </w:rPr>
        <w:t xml:space="preserve">people with disability </w:t>
      </w:r>
    </w:p>
    <w:p w14:paraId="367A6432" w14:textId="19C729AE" w:rsidR="00166F33" w:rsidRDefault="00166F33" w:rsidP="00ED4DFF">
      <w:pPr>
        <w:pStyle w:val="ListParagraph"/>
        <w:numPr>
          <w:ilvl w:val="0"/>
          <w:numId w:val="27"/>
        </w:numPr>
        <w:spacing w:before="0" w:after="160" w:line="259" w:lineRule="auto"/>
        <w:contextualSpacing/>
        <w:rPr>
          <w:rFonts w:cs="Open Sans"/>
          <w:sz w:val="22"/>
          <w:szCs w:val="22"/>
        </w:rPr>
      </w:pPr>
      <w:r>
        <w:rPr>
          <w:rFonts w:cs="Open Sans"/>
          <w:sz w:val="22"/>
          <w:szCs w:val="22"/>
        </w:rPr>
        <w:t>Aboriginal and Torres Strait Islander peoples</w:t>
      </w:r>
    </w:p>
    <w:p w14:paraId="27DE96E5" w14:textId="24BE6020" w:rsidR="00166F33" w:rsidRPr="009D55B0" w:rsidRDefault="00166F33" w:rsidP="00ED4DFF">
      <w:pPr>
        <w:pStyle w:val="ListParagraph"/>
        <w:numPr>
          <w:ilvl w:val="0"/>
          <w:numId w:val="27"/>
        </w:numPr>
        <w:spacing w:before="0" w:after="160" w:line="259" w:lineRule="auto"/>
        <w:contextualSpacing/>
        <w:rPr>
          <w:rFonts w:cs="Open Sans"/>
          <w:sz w:val="22"/>
          <w:szCs w:val="22"/>
        </w:rPr>
      </w:pPr>
      <w:r w:rsidRPr="009D55B0">
        <w:rPr>
          <w:rFonts w:cs="Open Sans"/>
          <w:sz w:val="22"/>
          <w:szCs w:val="22"/>
        </w:rPr>
        <w:t>indigenous groups</w:t>
      </w:r>
    </w:p>
    <w:p w14:paraId="214F97E0" w14:textId="432F8DC4" w:rsidR="00166F33" w:rsidRPr="009D55B0" w:rsidRDefault="00166F33" w:rsidP="00ED4DFF">
      <w:pPr>
        <w:pStyle w:val="ListParagraph"/>
        <w:numPr>
          <w:ilvl w:val="0"/>
          <w:numId w:val="27"/>
        </w:numPr>
        <w:spacing w:before="0" w:after="160" w:line="259" w:lineRule="auto"/>
        <w:contextualSpacing/>
        <w:rPr>
          <w:rFonts w:cs="Open Sans"/>
          <w:sz w:val="22"/>
          <w:szCs w:val="22"/>
        </w:rPr>
      </w:pPr>
      <w:r w:rsidRPr="009D55B0">
        <w:rPr>
          <w:rFonts w:cs="Open Sans"/>
          <w:sz w:val="22"/>
          <w:szCs w:val="22"/>
        </w:rPr>
        <w:t xml:space="preserve">present and former refugees and asylum seekers </w:t>
      </w:r>
    </w:p>
    <w:p w14:paraId="2F707A9B" w14:textId="43053C35" w:rsidR="00166F33" w:rsidRPr="009D55B0" w:rsidRDefault="00166F33" w:rsidP="00ED4DFF">
      <w:pPr>
        <w:pStyle w:val="ListParagraph"/>
        <w:numPr>
          <w:ilvl w:val="0"/>
          <w:numId w:val="27"/>
        </w:numPr>
        <w:spacing w:before="0" w:after="160" w:line="259" w:lineRule="auto"/>
        <w:contextualSpacing/>
        <w:rPr>
          <w:rFonts w:cs="Open Sans"/>
          <w:sz w:val="22"/>
          <w:szCs w:val="22"/>
        </w:rPr>
      </w:pPr>
      <w:r w:rsidRPr="009D55B0">
        <w:rPr>
          <w:rFonts w:cs="Open Sans"/>
          <w:sz w:val="22"/>
          <w:szCs w:val="22"/>
        </w:rPr>
        <w:t xml:space="preserve">economically disadvantaged minorities or other communities </w:t>
      </w:r>
    </w:p>
    <w:p w14:paraId="5507008B" w14:textId="77777777" w:rsidR="00166F33" w:rsidRPr="009D55B0" w:rsidRDefault="00166F33" w:rsidP="00ED4DFF">
      <w:pPr>
        <w:pStyle w:val="ListParagraph"/>
        <w:numPr>
          <w:ilvl w:val="0"/>
          <w:numId w:val="27"/>
        </w:numPr>
        <w:spacing w:before="0" w:after="160" w:line="259" w:lineRule="auto"/>
        <w:contextualSpacing/>
        <w:rPr>
          <w:rFonts w:cs="Open Sans"/>
          <w:sz w:val="22"/>
          <w:szCs w:val="22"/>
        </w:rPr>
      </w:pPr>
      <w:r w:rsidRPr="009D55B0">
        <w:rPr>
          <w:rFonts w:cs="Open Sans"/>
          <w:sz w:val="22"/>
          <w:szCs w:val="22"/>
        </w:rPr>
        <w:t>former prisoners</w:t>
      </w:r>
    </w:p>
    <w:p w14:paraId="7DF3D25D" w14:textId="77777777" w:rsidR="00166F33" w:rsidRPr="009D55B0" w:rsidRDefault="00166F33" w:rsidP="00ED4DFF">
      <w:pPr>
        <w:pStyle w:val="ListParagraph"/>
        <w:numPr>
          <w:ilvl w:val="0"/>
          <w:numId w:val="27"/>
        </w:numPr>
        <w:spacing w:before="0" w:after="160" w:line="259" w:lineRule="auto"/>
        <w:contextualSpacing/>
        <w:rPr>
          <w:rFonts w:cs="Open Sans"/>
          <w:sz w:val="22"/>
          <w:szCs w:val="22"/>
        </w:rPr>
      </w:pPr>
      <w:r w:rsidRPr="009D55B0">
        <w:rPr>
          <w:rFonts w:cs="Open Sans"/>
          <w:sz w:val="22"/>
          <w:szCs w:val="22"/>
        </w:rPr>
        <w:t xml:space="preserve">veterans </w:t>
      </w:r>
    </w:p>
    <w:p w14:paraId="433317A0" w14:textId="4525A182" w:rsidR="00166F33" w:rsidRPr="009D55B0" w:rsidRDefault="00166F33" w:rsidP="00ED4DFF">
      <w:pPr>
        <w:pStyle w:val="ListParagraph"/>
        <w:numPr>
          <w:ilvl w:val="0"/>
          <w:numId w:val="27"/>
        </w:numPr>
        <w:spacing w:before="0" w:after="160" w:line="259" w:lineRule="auto"/>
        <w:contextualSpacing/>
        <w:rPr>
          <w:rFonts w:cs="Open Sans"/>
          <w:sz w:val="22"/>
          <w:szCs w:val="22"/>
        </w:rPr>
      </w:pPr>
      <w:r w:rsidRPr="009D55B0">
        <w:rPr>
          <w:rFonts w:cs="Open Sans"/>
          <w:sz w:val="22"/>
          <w:szCs w:val="22"/>
        </w:rPr>
        <w:t>persons living in conflict zones.</w:t>
      </w:r>
    </w:p>
    <w:p w14:paraId="33791072" w14:textId="7DA1727D" w:rsidR="00166F33" w:rsidRPr="00CB602E" w:rsidRDefault="00166F33" w:rsidP="00CB602E">
      <w:pPr>
        <w:pStyle w:val="Heading1"/>
      </w:pPr>
      <w:bookmarkStart w:id="54" w:name="_Toc40773926"/>
      <w:r w:rsidRPr="00CB602E">
        <w:t>Appendi</w:t>
      </w:r>
      <w:bookmarkEnd w:id="52"/>
      <w:r w:rsidRPr="00CB602E">
        <w:t>ces</w:t>
      </w:r>
      <w:bookmarkEnd w:id="54"/>
    </w:p>
    <w:p w14:paraId="37540EF8" w14:textId="1BE14A52" w:rsidR="00166F33" w:rsidRPr="00BE3C77" w:rsidRDefault="00166F33" w:rsidP="006B06FB">
      <w:pPr>
        <w:pStyle w:val="Heading2"/>
        <w:numPr>
          <w:ilvl w:val="0"/>
          <w:numId w:val="0"/>
        </w:numPr>
      </w:pPr>
      <w:bookmarkStart w:id="55" w:name="_Toc40773927"/>
      <w:r w:rsidRPr="00BE3C77">
        <w:t>Appendix A Commonwealth Procurement Rules – meaning of procurement</w:t>
      </w:r>
      <w:bookmarkEnd w:id="55"/>
      <w:r w:rsidRPr="00BE3C77">
        <w:t xml:space="preserve"> </w:t>
      </w:r>
    </w:p>
    <w:p w14:paraId="7D4EB3AF" w14:textId="153A736D" w:rsidR="00166F33" w:rsidRPr="009D55B0" w:rsidRDefault="00166F33" w:rsidP="00860A9A">
      <w:pPr>
        <w:rPr>
          <w:rFonts w:cs="Open Sans"/>
          <w:i/>
          <w:sz w:val="22"/>
          <w:szCs w:val="22"/>
        </w:rPr>
      </w:pPr>
      <w:r w:rsidRPr="009D55B0">
        <w:rPr>
          <w:rFonts w:cs="Open Sans"/>
          <w:i/>
          <w:sz w:val="22"/>
          <w:szCs w:val="22"/>
        </w:rPr>
        <w:t>Definition of Procurement in the Commonwealth Procurement Rules, paragraphs 2.7 – 2.10</w:t>
      </w:r>
    </w:p>
    <w:p w14:paraId="361800A2" w14:textId="5381933F" w:rsidR="00166F33" w:rsidRPr="006366A7" w:rsidRDefault="00166F33" w:rsidP="00860A9A">
      <w:pPr>
        <w:spacing w:before="180" w:after="60" w:line="280" w:lineRule="atLeast"/>
        <w:ind w:left="680" w:hanging="680"/>
        <w:rPr>
          <w:rFonts w:eastAsia="Times New Roman" w:cs="Open Sans"/>
          <w:color w:val="000000"/>
          <w:sz w:val="22"/>
          <w:szCs w:val="22"/>
          <w:lang w:eastAsia="en-US"/>
        </w:rPr>
      </w:pPr>
      <w:r w:rsidRPr="30173DDF">
        <w:rPr>
          <w:rFonts w:eastAsia="Times New Roman" w:cs="Open Sans"/>
          <w:i/>
          <w:iCs/>
          <w:color w:val="000000" w:themeColor="text1"/>
          <w:sz w:val="22"/>
          <w:szCs w:val="22"/>
          <w:lang w:eastAsia="en-US"/>
        </w:rPr>
        <w:t>2.7 Procurement</w:t>
      </w:r>
      <w:r w:rsidRPr="30173DDF">
        <w:rPr>
          <w:rFonts w:eastAsia="Times New Roman" w:cs="Open Sans"/>
          <w:color w:val="000000" w:themeColor="text1"/>
          <w:sz w:val="22"/>
          <w:szCs w:val="22"/>
          <w:lang w:eastAsia="en-US"/>
        </w:rPr>
        <w:t xml:space="preserve"> is the process </w:t>
      </w:r>
      <w:r w:rsidRPr="006366A7">
        <w:rPr>
          <w:rFonts w:eastAsia="Times New Roman" w:cs="Open Sans"/>
          <w:color w:val="000000" w:themeColor="text1"/>
          <w:sz w:val="22"/>
          <w:szCs w:val="22"/>
          <w:lang w:eastAsia="en-US"/>
        </w:rPr>
        <w:t xml:space="preserve">of </w:t>
      </w:r>
      <w:r w:rsidRPr="008F47BF">
        <w:rPr>
          <w:rFonts w:eastAsia="Times New Roman" w:cs="Open Sans"/>
          <w:i/>
          <w:iCs/>
          <w:color w:val="000000" w:themeColor="text1"/>
          <w:sz w:val="22"/>
          <w:szCs w:val="22"/>
          <w:lang w:eastAsia="en-US"/>
        </w:rPr>
        <w:t>acquiring</w:t>
      </w:r>
      <w:r w:rsidRPr="008F47BF">
        <w:rPr>
          <w:rFonts w:eastAsia="Times New Roman" w:cs="Open Sans"/>
          <w:color w:val="000000" w:themeColor="text1"/>
          <w:sz w:val="22"/>
          <w:szCs w:val="22"/>
          <w:lang w:eastAsia="en-US"/>
        </w:rPr>
        <w:t> goods</w:t>
      </w:r>
      <w:r w:rsidRPr="006366A7">
        <w:rPr>
          <w:rFonts w:eastAsia="Times New Roman" w:cs="Open Sans"/>
          <w:color w:val="000000" w:themeColor="text1"/>
          <w:sz w:val="22"/>
          <w:szCs w:val="22"/>
          <w:lang w:eastAsia="en-US"/>
        </w:rPr>
        <w:t> and services. It begins when a need has been identified and a decision has been made on the procurement requirement. </w:t>
      </w:r>
      <w:r w:rsidRPr="006366A7">
        <w:rPr>
          <w:rFonts w:eastAsia="Times New Roman" w:cs="Open Sans"/>
          <w:i/>
          <w:iCs/>
          <w:color w:val="000000" w:themeColor="text1"/>
          <w:sz w:val="22"/>
          <w:szCs w:val="22"/>
          <w:lang w:eastAsia="en-US"/>
        </w:rPr>
        <w:t>Procurement</w:t>
      </w:r>
      <w:r w:rsidRPr="006366A7">
        <w:rPr>
          <w:rFonts w:eastAsia="Times New Roman" w:cs="Open Sans"/>
          <w:color w:val="000000" w:themeColor="text1"/>
          <w:sz w:val="22"/>
          <w:szCs w:val="22"/>
          <w:lang w:eastAsia="en-US"/>
        </w:rPr>
        <w:t> continues through the processes of risk assessment, seeking and evaluating alternative solutions, and the awarding and reporting of a </w:t>
      </w:r>
      <w:r w:rsidRPr="006366A7">
        <w:rPr>
          <w:rFonts w:eastAsia="Times New Roman" w:cs="Open Sans"/>
          <w:i/>
          <w:iCs/>
          <w:color w:val="000000" w:themeColor="text1"/>
          <w:sz w:val="22"/>
          <w:szCs w:val="22"/>
          <w:lang w:eastAsia="en-US"/>
        </w:rPr>
        <w:t>contract</w:t>
      </w:r>
      <w:r w:rsidRPr="006366A7">
        <w:rPr>
          <w:rFonts w:eastAsia="Times New Roman" w:cs="Open Sans"/>
          <w:color w:val="000000" w:themeColor="text1"/>
          <w:sz w:val="22"/>
          <w:szCs w:val="22"/>
          <w:lang w:eastAsia="en-US"/>
        </w:rPr>
        <w:t>. </w:t>
      </w:r>
    </w:p>
    <w:p w14:paraId="51DD154D" w14:textId="3C8E7169" w:rsidR="00166F33" w:rsidRPr="006366A7" w:rsidRDefault="00166F33" w:rsidP="00860A9A">
      <w:pPr>
        <w:spacing w:before="180" w:after="60" w:line="280" w:lineRule="atLeast"/>
        <w:ind w:left="680" w:hanging="680"/>
        <w:rPr>
          <w:rFonts w:eastAsia="Times New Roman" w:cs="Open Sans"/>
          <w:color w:val="000000"/>
          <w:sz w:val="22"/>
          <w:szCs w:val="22"/>
          <w:lang w:eastAsia="en-US"/>
        </w:rPr>
      </w:pPr>
      <w:r w:rsidRPr="006366A7">
        <w:rPr>
          <w:rFonts w:eastAsia="Times New Roman" w:cs="Open Sans"/>
          <w:color w:val="000000" w:themeColor="text1"/>
          <w:sz w:val="22"/>
          <w:szCs w:val="22"/>
          <w:lang w:eastAsia="en-US"/>
        </w:rPr>
        <w:t xml:space="preserve">2.8       In addition to the </w:t>
      </w:r>
      <w:r w:rsidRPr="008F47BF">
        <w:rPr>
          <w:rFonts w:eastAsia="Times New Roman" w:cs="Open Sans"/>
          <w:i/>
          <w:iCs/>
          <w:color w:val="000000" w:themeColor="text1"/>
          <w:sz w:val="22"/>
          <w:szCs w:val="22"/>
          <w:lang w:eastAsia="en-US"/>
        </w:rPr>
        <w:t>acquisition</w:t>
      </w:r>
      <w:r w:rsidRPr="008F47BF">
        <w:rPr>
          <w:rFonts w:eastAsia="Times New Roman" w:cs="Open Sans"/>
          <w:color w:val="000000" w:themeColor="text1"/>
          <w:sz w:val="22"/>
          <w:szCs w:val="22"/>
          <w:lang w:eastAsia="en-US"/>
        </w:rPr>
        <w:t xml:space="preserve"> </w:t>
      </w:r>
      <w:r w:rsidRPr="006366A7">
        <w:rPr>
          <w:rFonts w:eastAsia="Times New Roman" w:cs="Open Sans"/>
          <w:color w:val="000000" w:themeColor="text1"/>
          <w:sz w:val="22"/>
          <w:szCs w:val="22"/>
          <w:lang w:eastAsia="en-US"/>
        </w:rPr>
        <w:t>of </w:t>
      </w:r>
      <w:r w:rsidRPr="008F47BF">
        <w:rPr>
          <w:rFonts w:eastAsia="Times New Roman" w:cs="Open Sans"/>
          <w:color w:val="000000" w:themeColor="text1"/>
          <w:sz w:val="22"/>
          <w:szCs w:val="22"/>
          <w:lang w:eastAsia="en-US"/>
        </w:rPr>
        <w:t>goods</w:t>
      </w:r>
      <w:r w:rsidRPr="006366A7">
        <w:rPr>
          <w:rFonts w:eastAsia="Times New Roman" w:cs="Open Sans"/>
          <w:color w:val="000000" w:themeColor="text1"/>
          <w:sz w:val="22"/>
          <w:szCs w:val="22"/>
          <w:lang w:eastAsia="en-US"/>
        </w:rPr>
        <w:t> and services by a </w:t>
      </w:r>
      <w:r w:rsidRPr="006366A7">
        <w:rPr>
          <w:rFonts w:eastAsia="Times New Roman" w:cs="Open Sans"/>
          <w:i/>
          <w:iCs/>
          <w:color w:val="000000" w:themeColor="text1"/>
          <w:sz w:val="22"/>
          <w:szCs w:val="22"/>
          <w:lang w:eastAsia="en-US"/>
        </w:rPr>
        <w:t>relevant entity</w:t>
      </w:r>
      <w:r w:rsidRPr="006366A7">
        <w:rPr>
          <w:rFonts w:eastAsia="Times New Roman" w:cs="Open Sans"/>
          <w:color w:val="000000" w:themeColor="text1"/>
          <w:sz w:val="22"/>
          <w:szCs w:val="22"/>
          <w:lang w:eastAsia="en-US"/>
        </w:rPr>
        <w:t> for its own use, </w:t>
      </w:r>
      <w:r w:rsidRPr="006366A7">
        <w:rPr>
          <w:rFonts w:eastAsia="Times New Roman" w:cs="Open Sans"/>
          <w:i/>
          <w:iCs/>
          <w:color w:val="000000" w:themeColor="text1"/>
          <w:sz w:val="22"/>
          <w:szCs w:val="22"/>
          <w:lang w:eastAsia="en-US"/>
        </w:rPr>
        <w:t>procurement</w:t>
      </w:r>
      <w:r w:rsidRPr="006366A7">
        <w:rPr>
          <w:rFonts w:eastAsia="Times New Roman" w:cs="Open Sans"/>
          <w:color w:val="000000" w:themeColor="text1"/>
          <w:sz w:val="22"/>
          <w:szCs w:val="22"/>
          <w:lang w:eastAsia="en-US"/>
        </w:rPr>
        <w:t xml:space="preserve"> includes the </w:t>
      </w:r>
      <w:r w:rsidRPr="008F47BF">
        <w:rPr>
          <w:rFonts w:eastAsia="Times New Roman" w:cs="Open Sans"/>
          <w:i/>
          <w:iCs/>
          <w:color w:val="000000" w:themeColor="text1"/>
          <w:sz w:val="22"/>
          <w:szCs w:val="22"/>
          <w:lang w:eastAsia="en-US"/>
        </w:rPr>
        <w:t>acquisition</w:t>
      </w:r>
      <w:r w:rsidRPr="008F47BF">
        <w:rPr>
          <w:rFonts w:eastAsia="Times New Roman" w:cs="Open Sans"/>
          <w:color w:val="000000" w:themeColor="text1"/>
          <w:sz w:val="22"/>
          <w:szCs w:val="22"/>
          <w:lang w:eastAsia="en-US"/>
        </w:rPr>
        <w:t xml:space="preserve"> </w:t>
      </w:r>
      <w:r w:rsidRPr="006366A7">
        <w:rPr>
          <w:rFonts w:eastAsia="Times New Roman" w:cs="Open Sans"/>
          <w:color w:val="000000" w:themeColor="text1"/>
          <w:sz w:val="22"/>
          <w:szCs w:val="22"/>
          <w:lang w:eastAsia="en-US"/>
        </w:rPr>
        <w:t>of </w:t>
      </w:r>
      <w:r w:rsidRPr="008F47BF">
        <w:rPr>
          <w:rFonts w:eastAsia="Times New Roman" w:cs="Open Sans"/>
          <w:color w:val="000000" w:themeColor="text1"/>
          <w:sz w:val="22"/>
          <w:szCs w:val="22"/>
          <w:lang w:eastAsia="en-US"/>
        </w:rPr>
        <w:t>goods</w:t>
      </w:r>
      <w:r w:rsidRPr="006366A7">
        <w:rPr>
          <w:rFonts w:eastAsia="Times New Roman" w:cs="Open Sans"/>
          <w:color w:val="000000" w:themeColor="text1"/>
          <w:sz w:val="22"/>
          <w:szCs w:val="22"/>
          <w:lang w:eastAsia="en-US"/>
        </w:rPr>
        <w:t> and services on behalf of another </w:t>
      </w:r>
      <w:r w:rsidRPr="006366A7">
        <w:rPr>
          <w:rFonts w:eastAsia="Times New Roman" w:cs="Open Sans"/>
          <w:i/>
          <w:iCs/>
          <w:color w:val="000000" w:themeColor="text1"/>
          <w:sz w:val="22"/>
          <w:szCs w:val="22"/>
          <w:lang w:eastAsia="en-US"/>
        </w:rPr>
        <w:t>relevant entity</w:t>
      </w:r>
      <w:r w:rsidRPr="006366A7">
        <w:rPr>
          <w:rFonts w:eastAsia="Times New Roman" w:cs="Open Sans"/>
          <w:color w:val="000000" w:themeColor="text1"/>
          <w:sz w:val="22"/>
          <w:szCs w:val="22"/>
          <w:lang w:eastAsia="en-US"/>
        </w:rPr>
        <w:t> or a third party.</w:t>
      </w:r>
    </w:p>
    <w:p w14:paraId="29870BA2" w14:textId="77777777" w:rsidR="00166F33" w:rsidRPr="009D55B0" w:rsidRDefault="00166F33" w:rsidP="00860A9A">
      <w:pPr>
        <w:spacing w:before="180" w:after="60" w:line="280" w:lineRule="atLeast"/>
        <w:ind w:left="680" w:hanging="680"/>
        <w:rPr>
          <w:rFonts w:eastAsia="Times New Roman" w:cs="Open Sans"/>
          <w:color w:val="000000"/>
          <w:sz w:val="22"/>
          <w:szCs w:val="22"/>
          <w:lang w:eastAsia="en-US"/>
        </w:rPr>
      </w:pPr>
      <w:r w:rsidRPr="006366A7">
        <w:rPr>
          <w:rFonts w:eastAsia="Times New Roman" w:cs="Open Sans"/>
          <w:color w:val="000000"/>
          <w:sz w:val="22"/>
          <w:szCs w:val="22"/>
          <w:lang w:eastAsia="en-US"/>
        </w:rPr>
        <w:t>2.9         </w:t>
      </w:r>
      <w:r w:rsidRPr="006366A7">
        <w:rPr>
          <w:rFonts w:eastAsia="Times New Roman" w:cs="Open Sans"/>
          <w:i/>
          <w:iCs/>
          <w:color w:val="000000"/>
          <w:sz w:val="22"/>
          <w:szCs w:val="22"/>
          <w:lang w:eastAsia="en-US"/>
        </w:rPr>
        <w:t>Procurement</w:t>
      </w:r>
      <w:r w:rsidRPr="006366A7">
        <w:rPr>
          <w:rFonts w:eastAsia="Times New Roman" w:cs="Open Sans"/>
          <w:color w:val="000000"/>
          <w:sz w:val="22"/>
          <w:szCs w:val="22"/>
          <w:lang w:eastAsia="en-US"/>
        </w:rPr>
        <w:t> does not include:</w:t>
      </w:r>
    </w:p>
    <w:p w14:paraId="3CD60577" w14:textId="0CEE8E01" w:rsidR="00166F33" w:rsidRPr="009D55B0" w:rsidRDefault="00166F33" w:rsidP="00860A9A">
      <w:pPr>
        <w:spacing w:before="120" w:after="60" w:line="280" w:lineRule="atLeast"/>
        <w:ind w:left="1004" w:hanging="360"/>
        <w:rPr>
          <w:rFonts w:eastAsia="Times New Roman" w:cs="Open Sans"/>
          <w:color w:val="000000"/>
          <w:sz w:val="22"/>
          <w:szCs w:val="22"/>
          <w:lang w:eastAsia="en-US"/>
        </w:rPr>
      </w:pPr>
      <w:r w:rsidRPr="009D55B0">
        <w:rPr>
          <w:rFonts w:eastAsia="Times New Roman" w:cs="Open Sans"/>
          <w:color w:val="000000"/>
          <w:sz w:val="22"/>
          <w:szCs w:val="22"/>
          <w:lang w:eastAsia="en-US"/>
        </w:rPr>
        <w:t>a.    grants (whether in the form of a </w:t>
      </w:r>
      <w:r w:rsidRPr="009D55B0">
        <w:rPr>
          <w:rFonts w:eastAsia="Times New Roman" w:cs="Open Sans"/>
          <w:i/>
          <w:iCs/>
          <w:color w:val="000000"/>
          <w:sz w:val="22"/>
          <w:szCs w:val="22"/>
          <w:lang w:eastAsia="en-US"/>
        </w:rPr>
        <w:t>contract</w:t>
      </w:r>
      <w:r w:rsidRPr="009D55B0">
        <w:rPr>
          <w:rFonts w:eastAsia="Times New Roman" w:cs="Open Sans"/>
          <w:color w:val="000000"/>
          <w:sz w:val="22"/>
          <w:szCs w:val="22"/>
          <w:lang w:eastAsia="en-US"/>
        </w:rPr>
        <w:t>, conditional gift or deed)</w:t>
      </w:r>
      <w:bookmarkStart w:id="56" w:name="_ftnref2"/>
      <w:r w:rsidRPr="009D55B0">
        <w:rPr>
          <w:rFonts w:eastAsia="Times New Roman" w:cs="Open Sans"/>
          <w:color w:val="000000"/>
          <w:sz w:val="22"/>
          <w:szCs w:val="22"/>
          <w:shd w:val="clear" w:color="auto" w:fill="E6E6E6"/>
          <w:lang w:eastAsia="en-US"/>
        </w:rPr>
        <w:fldChar w:fldCharType="begin"/>
      </w:r>
      <w:r w:rsidRPr="009D55B0">
        <w:rPr>
          <w:rFonts w:eastAsia="Times New Roman" w:cs="Open Sans"/>
          <w:color w:val="000000"/>
          <w:sz w:val="22"/>
          <w:szCs w:val="22"/>
          <w:lang w:eastAsia="en-US"/>
        </w:rPr>
        <w:instrText xml:space="preserve"> HYPERLINK "https://www.legislation.gov.au/Details/F2019L00536/Html/Text" \l "_ftn2" \o "" </w:instrText>
      </w:r>
      <w:r w:rsidRPr="009D55B0">
        <w:rPr>
          <w:rFonts w:eastAsia="Times New Roman" w:cs="Open Sans"/>
          <w:color w:val="000000"/>
          <w:sz w:val="22"/>
          <w:szCs w:val="22"/>
          <w:shd w:val="clear" w:color="auto" w:fill="E6E6E6"/>
          <w:lang w:eastAsia="en-US"/>
        </w:rPr>
        <w:fldChar w:fldCharType="separate"/>
      </w:r>
      <w:r w:rsidR="00C41B6F" w:rsidRPr="009D55B0" w:rsidDel="00C41B6F">
        <w:rPr>
          <w:rFonts w:eastAsia="Times New Roman" w:cs="Open Sans"/>
          <w:color w:val="0D4A88"/>
          <w:sz w:val="22"/>
          <w:szCs w:val="22"/>
          <w:u w:val="single"/>
          <w:vertAlign w:val="superscript"/>
          <w:lang w:eastAsia="en-US"/>
        </w:rPr>
        <w:t xml:space="preserve"> </w:t>
      </w:r>
      <w:r w:rsidRPr="009D55B0">
        <w:rPr>
          <w:rFonts w:eastAsia="Times New Roman" w:cs="Open Sans"/>
          <w:color w:val="000000"/>
          <w:sz w:val="22"/>
          <w:szCs w:val="22"/>
          <w:shd w:val="clear" w:color="auto" w:fill="E6E6E6"/>
          <w:lang w:eastAsia="en-US"/>
        </w:rPr>
        <w:fldChar w:fldCharType="end"/>
      </w:r>
      <w:bookmarkEnd w:id="56"/>
      <w:r w:rsidRPr="009D55B0">
        <w:rPr>
          <w:rFonts w:eastAsia="Times New Roman" w:cs="Open Sans"/>
          <w:color w:val="000000"/>
          <w:sz w:val="22"/>
          <w:szCs w:val="22"/>
          <w:lang w:eastAsia="en-US"/>
        </w:rPr>
        <w:t>;</w:t>
      </w:r>
    </w:p>
    <w:p w14:paraId="799C883C" w14:textId="77777777" w:rsidR="00166F33" w:rsidRPr="009D55B0" w:rsidRDefault="00166F33" w:rsidP="00860A9A">
      <w:pPr>
        <w:spacing w:before="120" w:after="60" w:line="280" w:lineRule="atLeast"/>
        <w:ind w:left="1004" w:hanging="360"/>
        <w:rPr>
          <w:rFonts w:eastAsia="Times New Roman" w:cs="Open Sans"/>
          <w:color w:val="000000"/>
          <w:sz w:val="22"/>
          <w:szCs w:val="22"/>
          <w:lang w:eastAsia="en-US"/>
        </w:rPr>
      </w:pPr>
      <w:r w:rsidRPr="009D55B0">
        <w:rPr>
          <w:rFonts w:eastAsia="Times New Roman" w:cs="Open Sans"/>
          <w:color w:val="000000"/>
          <w:sz w:val="22"/>
          <w:szCs w:val="22"/>
          <w:lang w:eastAsia="en-US"/>
        </w:rPr>
        <w:t>b.    investments (or divestments);</w:t>
      </w:r>
    </w:p>
    <w:p w14:paraId="0523561E" w14:textId="77777777" w:rsidR="00166F33" w:rsidRPr="009D55B0" w:rsidRDefault="00166F33" w:rsidP="00860A9A">
      <w:pPr>
        <w:spacing w:before="120" w:after="60" w:line="280" w:lineRule="atLeast"/>
        <w:ind w:left="1004" w:hanging="360"/>
        <w:rPr>
          <w:rFonts w:eastAsia="Times New Roman" w:cs="Open Sans"/>
          <w:color w:val="000000"/>
          <w:sz w:val="22"/>
          <w:szCs w:val="22"/>
          <w:lang w:eastAsia="en-US"/>
        </w:rPr>
      </w:pPr>
      <w:r w:rsidRPr="009D55B0">
        <w:rPr>
          <w:rFonts w:eastAsia="Times New Roman" w:cs="Open Sans"/>
          <w:color w:val="000000"/>
          <w:sz w:val="22"/>
          <w:szCs w:val="22"/>
          <w:lang w:eastAsia="en-US"/>
        </w:rPr>
        <w:t>c.    sales by tender;</w:t>
      </w:r>
    </w:p>
    <w:p w14:paraId="37AB7B2A" w14:textId="77777777" w:rsidR="00166F33" w:rsidRPr="009D55B0" w:rsidRDefault="00166F33" w:rsidP="00860A9A">
      <w:pPr>
        <w:spacing w:before="120" w:after="60" w:line="280" w:lineRule="atLeast"/>
        <w:ind w:left="1004" w:hanging="360"/>
        <w:rPr>
          <w:rFonts w:eastAsia="Times New Roman" w:cs="Open Sans"/>
          <w:color w:val="000000"/>
          <w:sz w:val="22"/>
          <w:szCs w:val="22"/>
          <w:lang w:eastAsia="en-US"/>
        </w:rPr>
      </w:pPr>
      <w:r w:rsidRPr="009D55B0">
        <w:rPr>
          <w:rFonts w:eastAsia="Times New Roman" w:cs="Open Sans"/>
          <w:color w:val="000000"/>
          <w:sz w:val="22"/>
          <w:szCs w:val="22"/>
          <w:lang w:eastAsia="en-US"/>
        </w:rPr>
        <w:lastRenderedPageBreak/>
        <w:t>d.    loans;</w:t>
      </w:r>
    </w:p>
    <w:p w14:paraId="48A0D1EC" w14:textId="77777777" w:rsidR="00166F33" w:rsidRPr="009D55B0" w:rsidRDefault="00166F33" w:rsidP="00860A9A">
      <w:pPr>
        <w:spacing w:before="120" w:after="60" w:line="280" w:lineRule="atLeast"/>
        <w:ind w:left="1004" w:hanging="360"/>
        <w:rPr>
          <w:rFonts w:eastAsia="Times New Roman" w:cs="Open Sans"/>
          <w:color w:val="000000"/>
          <w:sz w:val="22"/>
          <w:szCs w:val="22"/>
          <w:lang w:eastAsia="en-US"/>
        </w:rPr>
      </w:pPr>
      <w:r w:rsidRPr="009D55B0">
        <w:rPr>
          <w:rFonts w:eastAsia="Times New Roman" w:cs="Open Sans"/>
          <w:color w:val="000000"/>
          <w:sz w:val="22"/>
          <w:szCs w:val="22"/>
          <w:lang w:eastAsia="en-US"/>
        </w:rPr>
        <w:t>e.    </w:t>
      </w:r>
      <w:r w:rsidRPr="009D55B0">
        <w:rPr>
          <w:rFonts w:eastAsia="Times New Roman" w:cs="Open Sans"/>
          <w:i/>
          <w:iCs/>
          <w:color w:val="000000"/>
          <w:sz w:val="22"/>
          <w:szCs w:val="22"/>
          <w:lang w:eastAsia="en-US"/>
        </w:rPr>
        <w:t>procurement</w:t>
      </w:r>
      <w:r w:rsidRPr="009D55B0">
        <w:rPr>
          <w:rFonts w:eastAsia="Times New Roman" w:cs="Open Sans"/>
          <w:color w:val="000000"/>
          <w:sz w:val="22"/>
          <w:szCs w:val="22"/>
          <w:lang w:eastAsia="en-US"/>
        </w:rPr>
        <w:t> of </w:t>
      </w:r>
      <w:r w:rsidRPr="009D55B0">
        <w:rPr>
          <w:rFonts w:eastAsia="Times New Roman" w:cs="Open Sans"/>
          <w:i/>
          <w:iCs/>
          <w:color w:val="000000"/>
          <w:sz w:val="22"/>
          <w:szCs w:val="22"/>
          <w:lang w:eastAsia="en-US"/>
        </w:rPr>
        <w:t>goods</w:t>
      </w:r>
      <w:r w:rsidRPr="009D55B0">
        <w:rPr>
          <w:rFonts w:eastAsia="Times New Roman" w:cs="Open Sans"/>
          <w:color w:val="000000"/>
          <w:sz w:val="22"/>
          <w:szCs w:val="22"/>
          <w:lang w:eastAsia="en-US"/>
        </w:rPr>
        <w:t> and services for resale or </w:t>
      </w:r>
      <w:r w:rsidRPr="009D55B0">
        <w:rPr>
          <w:rFonts w:eastAsia="Times New Roman" w:cs="Open Sans"/>
          <w:i/>
          <w:iCs/>
          <w:color w:val="000000"/>
          <w:sz w:val="22"/>
          <w:szCs w:val="22"/>
          <w:lang w:eastAsia="en-US"/>
        </w:rPr>
        <w:t>procurement</w:t>
      </w:r>
      <w:r w:rsidRPr="009D55B0">
        <w:rPr>
          <w:rFonts w:eastAsia="Times New Roman" w:cs="Open Sans"/>
          <w:color w:val="000000"/>
          <w:sz w:val="22"/>
          <w:szCs w:val="22"/>
          <w:lang w:eastAsia="en-US"/>
        </w:rPr>
        <w:t> of </w:t>
      </w:r>
      <w:r w:rsidRPr="009D55B0">
        <w:rPr>
          <w:rFonts w:eastAsia="Times New Roman" w:cs="Open Sans"/>
          <w:i/>
          <w:iCs/>
          <w:color w:val="000000"/>
          <w:sz w:val="22"/>
          <w:szCs w:val="22"/>
          <w:lang w:eastAsia="en-US"/>
        </w:rPr>
        <w:t>goods</w:t>
      </w:r>
      <w:r w:rsidRPr="009D55B0">
        <w:rPr>
          <w:rFonts w:eastAsia="Times New Roman" w:cs="Open Sans"/>
          <w:color w:val="000000"/>
          <w:sz w:val="22"/>
          <w:szCs w:val="22"/>
          <w:lang w:eastAsia="en-US"/>
        </w:rPr>
        <w:t> and services used in the production of </w:t>
      </w:r>
      <w:r w:rsidRPr="009D55B0">
        <w:rPr>
          <w:rFonts w:eastAsia="Times New Roman" w:cs="Open Sans"/>
          <w:i/>
          <w:iCs/>
          <w:color w:val="000000"/>
          <w:sz w:val="22"/>
          <w:szCs w:val="22"/>
          <w:lang w:eastAsia="en-US"/>
        </w:rPr>
        <w:t>goods</w:t>
      </w:r>
      <w:r w:rsidRPr="009D55B0">
        <w:rPr>
          <w:rFonts w:eastAsia="Times New Roman" w:cs="Open Sans"/>
          <w:color w:val="000000"/>
          <w:sz w:val="22"/>
          <w:szCs w:val="22"/>
          <w:lang w:eastAsia="en-US"/>
        </w:rPr>
        <w:t> for resale;</w:t>
      </w:r>
    </w:p>
    <w:p w14:paraId="5CA23881" w14:textId="77777777" w:rsidR="00166F33" w:rsidRPr="009D55B0" w:rsidRDefault="00166F33" w:rsidP="00860A9A">
      <w:pPr>
        <w:spacing w:before="120" w:after="60" w:line="280" w:lineRule="atLeast"/>
        <w:ind w:left="1004" w:hanging="360"/>
        <w:rPr>
          <w:rFonts w:eastAsia="Times New Roman" w:cs="Open Sans"/>
          <w:color w:val="000000"/>
          <w:sz w:val="22"/>
          <w:szCs w:val="22"/>
          <w:lang w:eastAsia="en-US"/>
        </w:rPr>
      </w:pPr>
      <w:r w:rsidRPr="009D55B0">
        <w:rPr>
          <w:rFonts w:eastAsia="Times New Roman" w:cs="Open Sans"/>
          <w:color w:val="000000"/>
          <w:sz w:val="22"/>
          <w:szCs w:val="22"/>
          <w:lang w:eastAsia="en-US"/>
        </w:rPr>
        <w:t>f.     any property right not acquired through the expenditure of </w:t>
      </w:r>
      <w:r w:rsidRPr="009D55B0">
        <w:rPr>
          <w:rFonts w:eastAsia="Times New Roman" w:cs="Open Sans"/>
          <w:i/>
          <w:iCs/>
          <w:color w:val="000000"/>
          <w:sz w:val="22"/>
          <w:szCs w:val="22"/>
          <w:lang w:eastAsia="en-US"/>
        </w:rPr>
        <w:t>relevant money</w:t>
      </w:r>
      <w:r w:rsidRPr="009D55B0">
        <w:rPr>
          <w:rFonts w:eastAsia="Times New Roman" w:cs="Open Sans"/>
          <w:color w:val="000000"/>
          <w:sz w:val="22"/>
          <w:szCs w:val="22"/>
          <w:lang w:eastAsia="en-US"/>
        </w:rPr>
        <w:t> (for example, a right to pursue a legal claim for negligence);</w:t>
      </w:r>
    </w:p>
    <w:p w14:paraId="565E8AAC" w14:textId="77777777" w:rsidR="00166F33" w:rsidRPr="009D55B0" w:rsidRDefault="00166F33" w:rsidP="00860A9A">
      <w:pPr>
        <w:spacing w:before="120" w:after="60" w:line="280" w:lineRule="atLeast"/>
        <w:ind w:left="1004" w:hanging="360"/>
        <w:rPr>
          <w:rFonts w:eastAsia="Times New Roman" w:cs="Open Sans"/>
          <w:color w:val="000000"/>
          <w:sz w:val="22"/>
          <w:szCs w:val="22"/>
          <w:lang w:eastAsia="en-US"/>
        </w:rPr>
      </w:pPr>
      <w:r w:rsidRPr="009D55B0">
        <w:rPr>
          <w:rFonts w:eastAsia="Times New Roman" w:cs="Open Sans"/>
          <w:color w:val="000000"/>
          <w:sz w:val="22"/>
          <w:szCs w:val="22"/>
          <w:lang w:eastAsia="en-US"/>
        </w:rPr>
        <w:t>g.    statutory appointments;</w:t>
      </w:r>
    </w:p>
    <w:p w14:paraId="03FAD236" w14:textId="3FA19A38" w:rsidR="00166F33" w:rsidRPr="009D55B0" w:rsidRDefault="00166F33" w:rsidP="00860A9A">
      <w:pPr>
        <w:spacing w:before="120" w:after="60" w:line="280" w:lineRule="atLeast"/>
        <w:ind w:left="1004" w:hanging="360"/>
        <w:rPr>
          <w:rFonts w:eastAsia="Times New Roman" w:cs="Open Sans"/>
          <w:color w:val="000000"/>
          <w:sz w:val="22"/>
          <w:szCs w:val="22"/>
          <w:lang w:eastAsia="en-US"/>
        </w:rPr>
      </w:pPr>
      <w:r w:rsidRPr="009D55B0">
        <w:rPr>
          <w:rFonts w:eastAsia="Times New Roman" w:cs="Open Sans"/>
          <w:color w:val="000000"/>
          <w:sz w:val="22"/>
          <w:szCs w:val="22"/>
          <w:lang w:eastAsia="en-US"/>
        </w:rPr>
        <w:t>h.   appointments made by a Minister using the executive power (for example, the appointment of a person to an advisory board); or</w:t>
      </w:r>
    </w:p>
    <w:p w14:paraId="485F2068" w14:textId="35A61E5A" w:rsidR="00166F33" w:rsidRPr="009D55B0" w:rsidRDefault="00166F33" w:rsidP="00860A9A">
      <w:pPr>
        <w:spacing w:before="120" w:after="60" w:line="280" w:lineRule="atLeast"/>
        <w:ind w:left="1004" w:hanging="360"/>
        <w:rPr>
          <w:rFonts w:eastAsia="Times New Roman" w:cs="Open Sans"/>
          <w:color w:val="000000"/>
          <w:sz w:val="22"/>
          <w:szCs w:val="22"/>
          <w:lang w:eastAsia="en-US"/>
        </w:rPr>
      </w:pPr>
      <w:proofErr w:type="spellStart"/>
      <w:r w:rsidRPr="009D55B0">
        <w:rPr>
          <w:rFonts w:eastAsia="Times New Roman" w:cs="Open Sans"/>
          <w:color w:val="000000"/>
          <w:sz w:val="22"/>
          <w:szCs w:val="22"/>
          <w:lang w:eastAsia="en-US"/>
        </w:rPr>
        <w:t>i</w:t>
      </w:r>
      <w:proofErr w:type="spellEnd"/>
      <w:r w:rsidRPr="009D55B0">
        <w:rPr>
          <w:rFonts w:eastAsia="Times New Roman" w:cs="Open Sans"/>
          <w:color w:val="000000"/>
          <w:sz w:val="22"/>
          <w:szCs w:val="22"/>
          <w:lang w:eastAsia="en-US"/>
        </w:rPr>
        <w:t>.     the engagement of employees, such as under the </w:t>
      </w:r>
      <w:r w:rsidRPr="009D55B0">
        <w:rPr>
          <w:rFonts w:eastAsia="Times New Roman" w:cs="Open Sans"/>
          <w:i/>
          <w:iCs/>
          <w:color w:val="000000"/>
          <w:sz w:val="22"/>
          <w:szCs w:val="22"/>
          <w:lang w:eastAsia="en-US"/>
        </w:rPr>
        <w:t>Public Service Act 1999</w:t>
      </w:r>
      <w:r w:rsidRPr="009D55B0">
        <w:rPr>
          <w:rFonts w:eastAsia="Times New Roman" w:cs="Open Sans"/>
          <w:color w:val="000000"/>
          <w:sz w:val="22"/>
          <w:szCs w:val="22"/>
          <w:lang w:eastAsia="en-US"/>
        </w:rPr>
        <w:t>, the </w:t>
      </w:r>
      <w:r w:rsidRPr="009D55B0">
        <w:rPr>
          <w:rFonts w:eastAsia="Times New Roman" w:cs="Open Sans"/>
          <w:i/>
          <w:iCs/>
          <w:color w:val="000000"/>
          <w:sz w:val="22"/>
          <w:szCs w:val="22"/>
          <w:lang w:eastAsia="en-US"/>
        </w:rPr>
        <w:t>Parliamentary Services Act 1999</w:t>
      </w:r>
      <w:r w:rsidRPr="009D55B0">
        <w:rPr>
          <w:rFonts w:eastAsia="Times New Roman" w:cs="Open Sans"/>
          <w:color w:val="000000"/>
          <w:sz w:val="22"/>
          <w:szCs w:val="22"/>
          <w:lang w:eastAsia="en-US"/>
        </w:rPr>
        <w:t>, a </w:t>
      </w:r>
      <w:r w:rsidRPr="009D55B0">
        <w:rPr>
          <w:rFonts w:eastAsia="Times New Roman" w:cs="Open Sans"/>
          <w:i/>
          <w:iCs/>
          <w:color w:val="000000"/>
          <w:sz w:val="22"/>
          <w:szCs w:val="22"/>
          <w:lang w:eastAsia="en-US"/>
        </w:rPr>
        <w:t>relevant entity’s</w:t>
      </w:r>
      <w:r w:rsidRPr="009D55B0">
        <w:rPr>
          <w:rFonts w:eastAsia="Times New Roman" w:cs="Open Sans"/>
          <w:color w:val="000000"/>
          <w:sz w:val="22"/>
          <w:szCs w:val="22"/>
          <w:lang w:eastAsia="en-US"/>
        </w:rPr>
        <w:t> enabling legislation or the common law concept of employment.</w:t>
      </w:r>
    </w:p>
    <w:p w14:paraId="046B17DE" w14:textId="40E72B87" w:rsidR="00166F33" w:rsidRPr="009D55B0" w:rsidRDefault="00166F33" w:rsidP="00860A9A">
      <w:pPr>
        <w:spacing w:before="180" w:after="60" w:line="280" w:lineRule="atLeast"/>
        <w:ind w:left="680" w:hanging="680"/>
        <w:rPr>
          <w:rFonts w:eastAsia="Times New Roman" w:cs="Open Sans"/>
          <w:color w:val="000000"/>
          <w:sz w:val="22"/>
          <w:szCs w:val="22"/>
          <w:lang w:eastAsia="en-US"/>
        </w:rPr>
      </w:pPr>
      <w:r w:rsidRPr="30173DDF">
        <w:rPr>
          <w:rFonts w:eastAsia="Times New Roman" w:cs="Open Sans"/>
          <w:color w:val="000000" w:themeColor="text1"/>
          <w:sz w:val="22"/>
          <w:szCs w:val="22"/>
          <w:lang w:eastAsia="en-US"/>
        </w:rPr>
        <w:t>2.10    Following the awarding of the </w:t>
      </w:r>
      <w:r w:rsidRPr="30173DDF">
        <w:rPr>
          <w:rFonts w:eastAsia="Times New Roman" w:cs="Open Sans"/>
          <w:i/>
          <w:iCs/>
          <w:color w:val="000000" w:themeColor="text1"/>
          <w:sz w:val="22"/>
          <w:szCs w:val="22"/>
          <w:lang w:eastAsia="en-US"/>
        </w:rPr>
        <w:t>contract</w:t>
      </w:r>
      <w:r w:rsidRPr="30173DDF">
        <w:rPr>
          <w:rFonts w:eastAsia="Times New Roman" w:cs="Open Sans"/>
          <w:color w:val="000000" w:themeColor="text1"/>
          <w:sz w:val="22"/>
          <w:szCs w:val="22"/>
          <w:lang w:eastAsia="en-US"/>
        </w:rPr>
        <w:t>, the delivery of and payment for the </w:t>
      </w:r>
      <w:r w:rsidRPr="008F47BF">
        <w:rPr>
          <w:rFonts w:eastAsia="Times New Roman" w:cs="Open Sans"/>
          <w:color w:val="000000" w:themeColor="text1"/>
          <w:sz w:val="22"/>
          <w:szCs w:val="22"/>
          <w:lang w:eastAsia="en-US"/>
        </w:rPr>
        <w:t>goods</w:t>
      </w:r>
      <w:r w:rsidRPr="005A085C">
        <w:rPr>
          <w:rFonts w:eastAsia="Times New Roman" w:cs="Open Sans"/>
          <w:color w:val="000000" w:themeColor="text1"/>
          <w:sz w:val="22"/>
          <w:szCs w:val="22"/>
          <w:shd w:val="clear" w:color="auto" w:fill="E6E6E6"/>
          <w:lang w:eastAsia="en-US"/>
        </w:rPr>
        <w:t xml:space="preserve"> </w:t>
      </w:r>
      <w:r w:rsidRPr="30173DDF">
        <w:rPr>
          <w:rFonts w:eastAsia="Times New Roman" w:cs="Open Sans"/>
          <w:color w:val="000000" w:themeColor="text1"/>
          <w:sz w:val="22"/>
          <w:szCs w:val="22"/>
          <w:lang w:eastAsia="en-US"/>
        </w:rPr>
        <w:t>and services and, where relevant, the ongoing management of the </w:t>
      </w:r>
      <w:r w:rsidRPr="30173DDF">
        <w:rPr>
          <w:rFonts w:eastAsia="Times New Roman" w:cs="Open Sans"/>
          <w:i/>
          <w:iCs/>
          <w:color w:val="000000" w:themeColor="text1"/>
          <w:sz w:val="22"/>
          <w:szCs w:val="22"/>
          <w:lang w:eastAsia="en-US"/>
        </w:rPr>
        <w:t>contract</w:t>
      </w:r>
      <w:r w:rsidRPr="30173DDF">
        <w:rPr>
          <w:rFonts w:eastAsia="Times New Roman" w:cs="Open Sans"/>
          <w:color w:val="000000" w:themeColor="text1"/>
          <w:sz w:val="22"/>
          <w:szCs w:val="22"/>
          <w:lang w:eastAsia="en-US"/>
        </w:rPr>
        <w:t> and consideration of disposal of </w:t>
      </w:r>
      <w:r w:rsidRPr="008F47BF">
        <w:rPr>
          <w:rFonts w:eastAsia="Times New Roman" w:cs="Open Sans"/>
          <w:color w:val="000000" w:themeColor="text1"/>
          <w:sz w:val="22"/>
          <w:szCs w:val="22"/>
          <w:lang w:eastAsia="en-US"/>
        </w:rPr>
        <w:t>goods</w:t>
      </w:r>
      <w:r w:rsidRPr="30173DDF">
        <w:rPr>
          <w:rFonts w:eastAsia="Times New Roman" w:cs="Open Sans"/>
          <w:color w:val="000000" w:themeColor="text1"/>
          <w:sz w:val="22"/>
          <w:szCs w:val="22"/>
          <w:lang w:eastAsia="en-US"/>
        </w:rPr>
        <w:t>, are important elements in achieving the objectives of the </w:t>
      </w:r>
      <w:r w:rsidRPr="30173DDF">
        <w:rPr>
          <w:rFonts w:eastAsia="Times New Roman" w:cs="Open Sans"/>
          <w:i/>
          <w:iCs/>
          <w:color w:val="000000" w:themeColor="text1"/>
          <w:sz w:val="22"/>
          <w:szCs w:val="22"/>
          <w:lang w:eastAsia="en-US"/>
        </w:rPr>
        <w:t>procurement</w:t>
      </w:r>
      <w:r w:rsidRPr="30173DDF">
        <w:rPr>
          <w:rFonts w:eastAsia="Times New Roman" w:cs="Open Sans"/>
          <w:color w:val="000000" w:themeColor="text1"/>
          <w:sz w:val="22"/>
          <w:szCs w:val="22"/>
          <w:lang w:eastAsia="en-US"/>
        </w:rPr>
        <w:t>. </w:t>
      </w:r>
    </w:p>
    <w:p w14:paraId="5007ED38" w14:textId="1C8C60A3" w:rsidR="00166F33" w:rsidRPr="006B06FB" w:rsidRDefault="00166F33" w:rsidP="006B06FB">
      <w:pPr>
        <w:pStyle w:val="Heading2"/>
        <w:numPr>
          <w:ilvl w:val="0"/>
          <w:numId w:val="0"/>
        </w:numPr>
        <w:ind w:left="851" w:hanging="851"/>
      </w:pPr>
      <w:bookmarkStart w:id="57" w:name="_Toc40773928"/>
      <w:r w:rsidRPr="006B06FB">
        <w:t>Appendix B Commonwealth Procurement Rules</w:t>
      </w:r>
      <w:bookmarkEnd w:id="57"/>
      <w:r w:rsidRPr="006B06FB">
        <w:t xml:space="preserve">   </w:t>
      </w:r>
    </w:p>
    <w:p w14:paraId="0031B656" w14:textId="74E39130" w:rsidR="00166F33" w:rsidRPr="009D55B0" w:rsidRDefault="00166F33" w:rsidP="00002AFE">
      <w:pPr>
        <w:spacing w:before="0" w:after="0"/>
        <w:rPr>
          <w:rFonts w:eastAsia="Times New Roman" w:cs="Open Sans"/>
          <w:sz w:val="22"/>
          <w:szCs w:val="22"/>
        </w:rPr>
      </w:pPr>
      <w:r w:rsidRPr="009D55B0">
        <w:rPr>
          <w:rFonts w:cs="Open Sans"/>
          <w:sz w:val="22"/>
          <w:szCs w:val="22"/>
        </w:rPr>
        <w:t>The approach to procurement outlined in this Policy is supported by the Commonwealth Procurement Rules.</w:t>
      </w:r>
      <w:r w:rsidRPr="009D55B0">
        <w:rPr>
          <w:rStyle w:val="EndnoteReference"/>
          <w:rFonts w:cs="Open Sans"/>
          <w:sz w:val="22"/>
          <w:szCs w:val="22"/>
        </w:rPr>
        <w:endnoteReference w:id="24"/>
      </w:r>
      <w:r w:rsidRPr="009D55B0">
        <w:rPr>
          <w:rFonts w:cs="Open Sans"/>
          <w:sz w:val="22"/>
          <w:szCs w:val="22"/>
        </w:rPr>
        <w:t xml:space="preserve"> Rule 10.19 provides: </w:t>
      </w:r>
    </w:p>
    <w:p w14:paraId="0E2CA9B5" w14:textId="20EF6C82" w:rsidR="00166F33" w:rsidRPr="009D55B0" w:rsidRDefault="00166F33" w:rsidP="008C751A">
      <w:pPr>
        <w:ind w:left="720"/>
        <w:rPr>
          <w:rFonts w:cs="Open Sans"/>
          <w:sz w:val="22"/>
          <w:szCs w:val="22"/>
        </w:rPr>
      </w:pPr>
      <w:r w:rsidRPr="009D55B0">
        <w:rPr>
          <w:rFonts w:cs="Open Sans"/>
          <w:i/>
          <w:iCs/>
          <w:sz w:val="22"/>
          <w:szCs w:val="22"/>
        </w:rPr>
        <w:t xml:space="preserve">Officials </w:t>
      </w:r>
      <w:r w:rsidRPr="009D55B0">
        <w:rPr>
          <w:rFonts w:cs="Open Sans"/>
          <w:b/>
          <w:bCs/>
          <w:sz w:val="22"/>
          <w:szCs w:val="22"/>
        </w:rPr>
        <w:t xml:space="preserve">must </w:t>
      </w:r>
      <w:r w:rsidRPr="009D55B0">
        <w:rPr>
          <w:rFonts w:cs="Open Sans"/>
          <w:sz w:val="22"/>
          <w:szCs w:val="22"/>
        </w:rPr>
        <w:t xml:space="preserve">make reasonable enquiries that the </w:t>
      </w:r>
      <w:r w:rsidRPr="009D55B0">
        <w:rPr>
          <w:rFonts w:cs="Open Sans"/>
          <w:i/>
          <w:iCs/>
          <w:sz w:val="22"/>
          <w:szCs w:val="22"/>
        </w:rPr>
        <w:t xml:space="preserve">procurement </w:t>
      </w:r>
      <w:r w:rsidRPr="009D55B0">
        <w:rPr>
          <w:rFonts w:cs="Open Sans"/>
          <w:sz w:val="22"/>
          <w:szCs w:val="22"/>
        </w:rPr>
        <w:t xml:space="preserve">is carried out considering relevant regulations and/or regulatory frameworks, including but not limited to </w:t>
      </w:r>
      <w:r w:rsidRPr="009D55B0">
        <w:rPr>
          <w:rFonts w:cs="Open Sans"/>
          <w:i/>
          <w:iCs/>
          <w:sz w:val="22"/>
          <w:szCs w:val="22"/>
        </w:rPr>
        <w:t xml:space="preserve">tenderers’ </w:t>
      </w:r>
      <w:r w:rsidRPr="009D55B0">
        <w:rPr>
          <w:rFonts w:cs="Open Sans"/>
          <w:sz w:val="22"/>
          <w:szCs w:val="22"/>
        </w:rPr>
        <w:t xml:space="preserve">practices regarding: </w:t>
      </w:r>
    </w:p>
    <w:p w14:paraId="62773B87" w14:textId="77777777" w:rsidR="00166F33" w:rsidRPr="009D55B0" w:rsidRDefault="00166F33" w:rsidP="008C751A">
      <w:pPr>
        <w:pStyle w:val="Default"/>
        <w:ind w:left="1440"/>
        <w:contextualSpacing/>
        <w:rPr>
          <w:rFonts w:ascii="Open Sans" w:hAnsi="Open Sans" w:cs="Open Sans"/>
          <w:sz w:val="22"/>
          <w:szCs w:val="22"/>
        </w:rPr>
      </w:pPr>
      <w:r w:rsidRPr="009D55B0">
        <w:rPr>
          <w:rFonts w:ascii="Open Sans" w:hAnsi="Open Sans" w:cs="Open Sans"/>
          <w:sz w:val="22"/>
          <w:szCs w:val="22"/>
        </w:rPr>
        <w:t xml:space="preserve">a. labour regulations, including ethical employment practices; </w:t>
      </w:r>
    </w:p>
    <w:p w14:paraId="133389C9" w14:textId="77777777" w:rsidR="00166F33" w:rsidRPr="009D55B0" w:rsidRDefault="00166F33" w:rsidP="008C751A">
      <w:pPr>
        <w:pStyle w:val="Default"/>
        <w:ind w:left="1440"/>
        <w:contextualSpacing/>
        <w:rPr>
          <w:rFonts w:ascii="Open Sans" w:hAnsi="Open Sans" w:cs="Open Sans"/>
          <w:sz w:val="22"/>
          <w:szCs w:val="22"/>
        </w:rPr>
      </w:pPr>
      <w:r w:rsidRPr="009D55B0">
        <w:rPr>
          <w:rFonts w:ascii="Open Sans" w:hAnsi="Open Sans" w:cs="Open Sans"/>
          <w:sz w:val="22"/>
          <w:szCs w:val="22"/>
        </w:rPr>
        <w:t xml:space="preserve">b. workplace health and safety; and </w:t>
      </w:r>
    </w:p>
    <w:p w14:paraId="3B39A49C" w14:textId="1C228382" w:rsidR="00166F33" w:rsidRPr="009D55B0" w:rsidRDefault="00166F33" w:rsidP="008C751A">
      <w:pPr>
        <w:pStyle w:val="Default"/>
        <w:ind w:left="1440"/>
        <w:contextualSpacing/>
        <w:rPr>
          <w:rFonts w:ascii="Open Sans" w:hAnsi="Open Sans" w:cs="Open Sans"/>
          <w:sz w:val="22"/>
          <w:szCs w:val="22"/>
        </w:rPr>
      </w:pPr>
      <w:r w:rsidRPr="009D55B0">
        <w:rPr>
          <w:rFonts w:ascii="Open Sans" w:hAnsi="Open Sans" w:cs="Open Sans"/>
          <w:sz w:val="22"/>
          <w:szCs w:val="22"/>
        </w:rPr>
        <w:t xml:space="preserve">c. environmental impacts. </w:t>
      </w:r>
    </w:p>
    <w:p w14:paraId="2D6CBE2E" w14:textId="77777777" w:rsidR="00166F33" w:rsidRPr="009D55B0" w:rsidRDefault="00166F33" w:rsidP="008C751A">
      <w:pPr>
        <w:pStyle w:val="Default"/>
        <w:rPr>
          <w:rFonts w:ascii="Open Sans" w:eastAsia="MS Mincho" w:hAnsi="Open Sans" w:cs="Open Sans"/>
          <w:color w:val="auto"/>
          <w:sz w:val="22"/>
          <w:szCs w:val="22"/>
        </w:rPr>
      </w:pPr>
    </w:p>
    <w:p w14:paraId="3FC8A574" w14:textId="731BC241" w:rsidR="00166F33" w:rsidRPr="009D55B0" w:rsidRDefault="00166F33" w:rsidP="008C751A">
      <w:pPr>
        <w:pStyle w:val="Default"/>
        <w:rPr>
          <w:rFonts w:ascii="Open Sans" w:eastAsia="MS Mincho" w:hAnsi="Open Sans" w:cs="Open Sans"/>
          <w:color w:val="auto"/>
          <w:sz w:val="22"/>
          <w:szCs w:val="22"/>
        </w:rPr>
      </w:pPr>
      <w:r w:rsidRPr="009D55B0">
        <w:rPr>
          <w:rFonts w:ascii="Open Sans" w:eastAsia="MS Mincho" w:hAnsi="Open Sans" w:cs="Open Sans"/>
          <w:color w:val="auto"/>
          <w:sz w:val="22"/>
          <w:szCs w:val="22"/>
        </w:rPr>
        <w:t>Each of these three areas (a</w:t>
      </w:r>
      <w:r w:rsidR="00BA5E3B">
        <w:rPr>
          <w:rFonts w:ascii="Open Sans" w:eastAsia="MS Mincho" w:hAnsi="Open Sans" w:cs="Open Sans"/>
          <w:color w:val="auto"/>
          <w:sz w:val="22"/>
          <w:szCs w:val="22"/>
        </w:rPr>
        <w:t>)–(</w:t>
      </w:r>
      <w:r w:rsidRPr="009D55B0">
        <w:rPr>
          <w:rFonts w:ascii="Open Sans" w:eastAsia="MS Mincho" w:hAnsi="Open Sans" w:cs="Open Sans"/>
          <w:color w:val="auto"/>
          <w:sz w:val="22"/>
          <w:szCs w:val="22"/>
        </w:rPr>
        <w:t>c) can have an impact on human rights. The Government’s guidance on r 10.19 explains that:</w:t>
      </w:r>
    </w:p>
    <w:p w14:paraId="45A04FF5" w14:textId="1273534C" w:rsidR="00166F33" w:rsidRPr="009D55B0" w:rsidRDefault="00166F33" w:rsidP="00ED4DFF">
      <w:pPr>
        <w:pStyle w:val="NormalWeb"/>
        <w:numPr>
          <w:ilvl w:val="0"/>
          <w:numId w:val="25"/>
        </w:numPr>
        <w:spacing w:before="100" w:beforeAutospacing="1" w:after="100" w:afterAutospacing="1"/>
        <w:rPr>
          <w:rFonts w:eastAsia="Times New Roman" w:cs="Open Sans"/>
          <w:sz w:val="22"/>
          <w:szCs w:val="22"/>
          <w:lang w:eastAsia="en-US"/>
        </w:rPr>
      </w:pPr>
      <w:r w:rsidRPr="009D55B0">
        <w:rPr>
          <w:rFonts w:cs="Open Sans"/>
          <w:sz w:val="22"/>
          <w:szCs w:val="22"/>
        </w:rPr>
        <w:t>this rule reaffirms ‘</w:t>
      </w:r>
      <w:r w:rsidRPr="009D55B0">
        <w:rPr>
          <w:rFonts w:cs="Open Sans"/>
          <w:iCs/>
          <w:color w:val="000000" w:themeColor="text1"/>
          <w:sz w:val="22"/>
          <w:szCs w:val="22"/>
        </w:rPr>
        <w:t xml:space="preserve">the Government’s commitment to efficient, effective, economical and </w:t>
      </w:r>
      <w:r w:rsidRPr="009D55B0">
        <w:rPr>
          <w:rFonts w:cs="Open Sans"/>
          <w:b/>
          <w:bCs/>
          <w:iCs/>
          <w:color w:val="000000" w:themeColor="text1"/>
          <w:sz w:val="22"/>
          <w:szCs w:val="22"/>
        </w:rPr>
        <w:t xml:space="preserve">ethical procurement, </w:t>
      </w:r>
      <w:r w:rsidRPr="009D55B0">
        <w:rPr>
          <w:rFonts w:cs="Open Sans"/>
          <w:sz w:val="22"/>
          <w:szCs w:val="22"/>
        </w:rPr>
        <w:t xml:space="preserve">which includes procurement officials making reasonable enquiries that their procurement is carried out considering relevant regulations and/or regulatory frameworks’ </w:t>
      </w:r>
    </w:p>
    <w:p w14:paraId="4BB45EAD" w14:textId="28FDCAEF" w:rsidR="00166F33" w:rsidRPr="009D55B0" w:rsidRDefault="00166F33" w:rsidP="00ED4DFF">
      <w:pPr>
        <w:pStyle w:val="Default"/>
        <w:numPr>
          <w:ilvl w:val="0"/>
          <w:numId w:val="25"/>
        </w:numPr>
        <w:rPr>
          <w:rFonts w:ascii="Open Sans" w:eastAsia="MS Mincho" w:hAnsi="Open Sans" w:cs="Open Sans"/>
          <w:color w:val="auto"/>
          <w:sz w:val="22"/>
          <w:szCs w:val="22"/>
        </w:rPr>
      </w:pPr>
      <w:r w:rsidRPr="009D55B0">
        <w:rPr>
          <w:rFonts w:ascii="Open Sans" w:hAnsi="Open Sans" w:cs="Open Sans"/>
          <w:sz w:val="22"/>
          <w:szCs w:val="22"/>
        </w:rPr>
        <w:t xml:space="preserve">‘where </w:t>
      </w:r>
      <w:r w:rsidRPr="009D55B0">
        <w:rPr>
          <w:rFonts w:ascii="Open Sans" w:hAnsi="Open Sans" w:cs="Open Sans"/>
          <w:b/>
          <w:bCs/>
          <w:sz w:val="22"/>
          <w:szCs w:val="22"/>
        </w:rPr>
        <w:t>one of these areas of regulation is not applicable, or other forms of significant regulation apply</w:t>
      </w:r>
      <w:r w:rsidRPr="009D55B0">
        <w:rPr>
          <w:rFonts w:ascii="Open Sans" w:hAnsi="Open Sans" w:cs="Open Sans"/>
          <w:sz w:val="22"/>
          <w:szCs w:val="22"/>
        </w:rPr>
        <w:t>’, officials ‘should use their judgement to guide the appropriate enquiries’.</w:t>
      </w:r>
      <w:r w:rsidRPr="009D55B0">
        <w:rPr>
          <w:rStyle w:val="EndnoteReference"/>
          <w:rFonts w:eastAsia="MS Mincho" w:cs="Open Sans"/>
          <w:color w:val="auto"/>
          <w:sz w:val="22"/>
          <w:szCs w:val="22"/>
        </w:rPr>
        <w:endnoteReference w:id="25"/>
      </w:r>
      <w:r w:rsidRPr="009D55B0">
        <w:rPr>
          <w:rFonts w:ascii="Open Sans" w:hAnsi="Open Sans" w:cs="Open Sans"/>
          <w:sz w:val="22"/>
          <w:szCs w:val="22"/>
        </w:rPr>
        <w:t xml:space="preserve"> </w:t>
      </w:r>
    </w:p>
    <w:p w14:paraId="21D5FAA8" w14:textId="77777777" w:rsidR="00166F33" w:rsidRPr="009D55B0" w:rsidRDefault="00166F33" w:rsidP="002007A4">
      <w:pPr>
        <w:pStyle w:val="Default"/>
        <w:rPr>
          <w:rFonts w:ascii="Open Sans" w:hAnsi="Open Sans" w:cs="Open Sans"/>
          <w:sz w:val="22"/>
          <w:szCs w:val="22"/>
        </w:rPr>
      </w:pPr>
    </w:p>
    <w:p w14:paraId="61A1015D" w14:textId="22D204B2" w:rsidR="00166F33" w:rsidRPr="009D55B0" w:rsidRDefault="00166F33" w:rsidP="00855F97">
      <w:pPr>
        <w:pStyle w:val="Default"/>
        <w:rPr>
          <w:rFonts w:ascii="Open Sans" w:hAnsi="Open Sans" w:cs="Open Sans"/>
          <w:sz w:val="22"/>
          <w:szCs w:val="22"/>
        </w:rPr>
      </w:pPr>
      <w:r w:rsidRPr="30173DDF">
        <w:rPr>
          <w:rFonts w:ascii="Open Sans" w:hAnsi="Open Sans" w:cs="Open Sans"/>
          <w:sz w:val="22"/>
          <w:szCs w:val="22"/>
        </w:rPr>
        <w:lastRenderedPageBreak/>
        <w:t xml:space="preserve">In addition, the guidance explains that some possible tools and options to this end may include officials requiring potential suppliers to demonstrate their sustainability credentials. </w:t>
      </w:r>
    </w:p>
    <w:p w14:paraId="20DF139E" w14:textId="77777777" w:rsidR="00166F33" w:rsidRPr="009D55B0" w:rsidRDefault="00166F33" w:rsidP="00855F97">
      <w:pPr>
        <w:pStyle w:val="Default"/>
        <w:rPr>
          <w:rFonts w:ascii="Open Sans" w:hAnsi="Open Sans" w:cs="Open Sans"/>
          <w:sz w:val="22"/>
          <w:szCs w:val="22"/>
        </w:rPr>
      </w:pPr>
    </w:p>
    <w:p w14:paraId="78BE49EA" w14:textId="6E0AF0D6" w:rsidR="00166F33" w:rsidRPr="009D55B0" w:rsidRDefault="00166F33" w:rsidP="008C751A">
      <w:pPr>
        <w:spacing w:before="0" w:after="160" w:line="259" w:lineRule="auto"/>
        <w:contextualSpacing/>
        <w:rPr>
          <w:rFonts w:cs="Open Sans"/>
          <w:color w:val="FF0000"/>
          <w:sz w:val="22"/>
          <w:szCs w:val="22"/>
        </w:rPr>
      </w:pPr>
      <w:r w:rsidRPr="30173DDF">
        <w:rPr>
          <w:rFonts w:cs="Open Sans"/>
          <w:sz w:val="22"/>
          <w:szCs w:val="22"/>
        </w:rPr>
        <w:t>Further, r 6.7 notes that government entities</w:t>
      </w:r>
      <w:r w:rsidRPr="009840D5">
        <w:rPr>
          <w:rFonts w:cs="Open Sans"/>
          <w:b/>
          <w:bCs/>
          <w:sz w:val="22"/>
          <w:szCs w:val="22"/>
        </w:rPr>
        <w:t xml:space="preserve"> must</w:t>
      </w:r>
      <w:r w:rsidRPr="009840D5">
        <w:rPr>
          <w:rFonts w:cs="Open Sans"/>
          <w:sz w:val="22"/>
          <w:szCs w:val="22"/>
        </w:rPr>
        <w:t xml:space="preserve"> </w:t>
      </w:r>
      <w:r w:rsidRPr="30173DDF">
        <w:rPr>
          <w:rFonts w:cs="Open Sans"/>
          <w:sz w:val="22"/>
          <w:szCs w:val="22"/>
        </w:rPr>
        <w:t>not seek to benefit from supplier practices that may be dishonest, unethical or unsafe.</w:t>
      </w:r>
    </w:p>
    <w:p w14:paraId="37267CE3" w14:textId="4EBEB457" w:rsidR="00166F33" w:rsidRPr="009D55B0" w:rsidRDefault="00166F33" w:rsidP="008C751A">
      <w:pPr>
        <w:pStyle w:val="Default"/>
        <w:rPr>
          <w:rFonts w:ascii="Open Sans" w:hAnsi="Open Sans" w:cs="Open Sans"/>
          <w:color w:val="auto"/>
          <w:sz w:val="22"/>
          <w:szCs w:val="22"/>
        </w:rPr>
      </w:pPr>
      <w:r w:rsidRPr="009D55B0">
        <w:rPr>
          <w:rFonts w:ascii="Open Sans" w:hAnsi="Open Sans" w:cs="Open Sans"/>
          <w:color w:val="auto"/>
          <w:sz w:val="22"/>
          <w:szCs w:val="22"/>
        </w:rPr>
        <w:t>To meet our obligations under the Commonwealth Procurement Rules, the Commission will use its judgement in the field of human rights to identify those instances where further enquiries and actions in relation to certain Suppliers and procurement are warranted, in accordance with this Policy. In some instances</w:t>
      </w:r>
      <w:r w:rsidR="00BA5E3B">
        <w:rPr>
          <w:rFonts w:ascii="Open Sans" w:hAnsi="Open Sans" w:cs="Open Sans"/>
          <w:color w:val="auto"/>
          <w:sz w:val="22"/>
          <w:szCs w:val="22"/>
        </w:rPr>
        <w:t>,</w:t>
      </w:r>
      <w:r w:rsidRPr="009D55B0">
        <w:rPr>
          <w:rFonts w:ascii="Open Sans" w:hAnsi="Open Sans" w:cs="Open Sans"/>
          <w:color w:val="auto"/>
          <w:sz w:val="22"/>
          <w:szCs w:val="22"/>
        </w:rPr>
        <w:t xml:space="preserve"> these enquiries may look beyond legal compliance with regulations, as envisioned by the Modern Slavery Act. </w:t>
      </w:r>
    </w:p>
    <w:p w14:paraId="5A91D313" w14:textId="77777777" w:rsidR="00166F33" w:rsidRPr="009D55B0" w:rsidRDefault="00166F33" w:rsidP="008C751A">
      <w:pPr>
        <w:pStyle w:val="Default"/>
        <w:rPr>
          <w:rFonts w:ascii="Open Sans" w:hAnsi="Open Sans" w:cs="Open Sans"/>
          <w:color w:val="auto"/>
          <w:sz w:val="22"/>
          <w:szCs w:val="22"/>
        </w:rPr>
      </w:pPr>
    </w:p>
    <w:p w14:paraId="7102CA67" w14:textId="0AF82204" w:rsidR="007A25BC" w:rsidRDefault="00166F33" w:rsidP="0023622E">
      <w:pPr>
        <w:pStyle w:val="Default"/>
        <w:rPr>
          <w:rFonts w:ascii="Open Sans" w:hAnsi="Open Sans" w:cs="Open Sans"/>
          <w:color w:val="auto"/>
          <w:sz w:val="22"/>
          <w:szCs w:val="22"/>
        </w:rPr>
      </w:pPr>
      <w:r w:rsidRPr="009D55B0">
        <w:rPr>
          <w:rFonts w:ascii="Open Sans" w:hAnsi="Open Sans" w:cs="Open Sans"/>
          <w:color w:val="auto"/>
          <w:sz w:val="22"/>
          <w:szCs w:val="22"/>
        </w:rPr>
        <w:t>The Commission acknowledges that while implementing r 10.19, the Commission is expected to be ‘mindful of minimising red tape and additional costs to suppliers</w:t>
      </w:r>
      <w:r w:rsidR="00BA5E3B">
        <w:rPr>
          <w:rFonts w:ascii="Open Sans" w:hAnsi="Open Sans" w:cs="Open Sans"/>
          <w:color w:val="auto"/>
          <w:sz w:val="22"/>
          <w:szCs w:val="22"/>
        </w:rPr>
        <w:t>’</w:t>
      </w:r>
      <w:r w:rsidRPr="009D55B0">
        <w:rPr>
          <w:rFonts w:ascii="Open Sans" w:hAnsi="Open Sans" w:cs="Open Sans"/>
          <w:color w:val="auto"/>
          <w:sz w:val="22"/>
          <w:szCs w:val="22"/>
        </w:rPr>
        <w:t>.</w:t>
      </w:r>
      <w:r w:rsidRPr="009D55B0">
        <w:rPr>
          <w:rStyle w:val="EndnoteReference"/>
          <w:rFonts w:cs="Open Sans"/>
          <w:color w:val="auto"/>
          <w:sz w:val="22"/>
          <w:szCs w:val="22"/>
        </w:rPr>
        <w:endnoteReference w:id="26"/>
      </w:r>
      <w:r w:rsidRPr="009D55B0">
        <w:rPr>
          <w:rFonts w:ascii="Open Sans" w:hAnsi="Open Sans" w:cs="Open Sans"/>
          <w:color w:val="auto"/>
          <w:sz w:val="22"/>
          <w:szCs w:val="22"/>
        </w:rPr>
        <w:t xml:space="preserve"> </w:t>
      </w:r>
    </w:p>
    <w:p w14:paraId="3B3E142D" w14:textId="77777777" w:rsidR="00A052D8" w:rsidRDefault="00A052D8" w:rsidP="0023622E">
      <w:pPr>
        <w:pStyle w:val="Default"/>
        <w:rPr>
          <w:rFonts w:ascii="Open Sans" w:hAnsi="Open Sans" w:cs="Open Sans"/>
          <w:color w:val="auto"/>
          <w:sz w:val="22"/>
          <w:szCs w:val="22"/>
        </w:rPr>
      </w:pPr>
    </w:p>
    <w:p w14:paraId="1429B580" w14:textId="27DD543F" w:rsidR="00D74A03" w:rsidRPr="00E56F26" w:rsidRDefault="00A052D8" w:rsidP="00E56F26">
      <w:pPr>
        <w:pStyle w:val="Heading2"/>
        <w:numPr>
          <w:ilvl w:val="0"/>
          <w:numId w:val="0"/>
        </w:numPr>
        <w:ind w:left="851" w:hanging="851"/>
      </w:pPr>
      <w:bookmarkStart w:id="58" w:name="_Toc40773929"/>
      <w:r w:rsidRPr="00317549">
        <w:t>Appendix C Rev</w:t>
      </w:r>
      <w:r w:rsidR="004B6A0C">
        <w:t>iew of this Policy</w:t>
      </w:r>
      <w:bookmarkEnd w:id="58"/>
      <w:r w:rsidR="004B6A0C">
        <w:t xml:space="preserve"> </w:t>
      </w:r>
      <w:r w:rsidRPr="00317549">
        <w:t xml:space="preserve"> </w:t>
      </w:r>
    </w:p>
    <w:p w14:paraId="600BC881" w14:textId="60F5F89B" w:rsidR="00376AA4" w:rsidRPr="00F17549" w:rsidRDefault="00376AA4" w:rsidP="0023622E">
      <w:pPr>
        <w:pStyle w:val="Default"/>
        <w:rPr>
          <w:rFonts w:ascii="Open Sans" w:hAnsi="Open Sans" w:cs="Open Sans"/>
          <w:color w:val="auto"/>
          <w:sz w:val="22"/>
          <w:szCs w:val="22"/>
        </w:rPr>
      </w:pPr>
      <w:r w:rsidRPr="00F17549">
        <w:rPr>
          <w:rFonts w:ascii="Open Sans" w:hAnsi="Open Sans" w:cs="Open Sans"/>
          <w:color w:val="auto"/>
          <w:sz w:val="22"/>
          <w:szCs w:val="22"/>
        </w:rPr>
        <w:t>See section 9 above</w:t>
      </w:r>
      <w:r w:rsidR="004B6A0C" w:rsidRPr="00F17549">
        <w:rPr>
          <w:rFonts w:ascii="Open Sans" w:hAnsi="Open Sans" w:cs="Open Sans"/>
          <w:color w:val="auto"/>
          <w:sz w:val="22"/>
          <w:szCs w:val="22"/>
        </w:rPr>
        <w:t>.</w:t>
      </w:r>
      <w:r w:rsidRPr="00F17549">
        <w:rPr>
          <w:rFonts w:ascii="Open Sans" w:hAnsi="Open Sans" w:cs="Open Sans"/>
          <w:color w:val="auto"/>
          <w:sz w:val="22"/>
          <w:szCs w:val="22"/>
        </w:rPr>
        <w:t xml:space="preserve"> </w:t>
      </w:r>
    </w:p>
    <w:p w14:paraId="6BF9D773" w14:textId="77777777" w:rsidR="00376AA4" w:rsidRPr="00F17549" w:rsidRDefault="00376AA4" w:rsidP="0023622E">
      <w:pPr>
        <w:pStyle w:val="Default"/>
        <w:rPr>
          <w:rFonts w:ascii="Open Sans" w:eastAsia="MS Mincho" w:hAnsi="Open Sans" w:cs="Times New Roman"/>
          <w:b/>
          <w:color w:val="auto"/>
          <w:sz w:val="28"/>
          <w:szCs w:val="26"/>
        </w:rPr>
      </w:pPr>
    </w:p>
    <w:p w14:paraId="0F2CB280" w14:textId="56BFE1A5" w:rsidR="004F5E4C" w:rsidRPr="00F17549" w:rsidRDefault="004F5E4C" w:rsidP="0023622E">
      <w:pPr>
        <w:pStyle w:val="Default"/>
        <w:rPr>
          <w:rFonts w:ascii="Open Sans" w:hAnsi="Open Sans" w:cs="Open Sans"/>
          <w:color w:val="auto"/>
          <w:sz w:val="22"/>
          <w:szCs w:val="22"/>
        </w:rPr>
      </w:pPr>
      <w:r w:rsidRPr="00F17549">
        <w:rPr>
          <w:rFonts w:ascii="Open Sans" w:hAnsi="Open Sans" w:cs="Open Sans"/>
          <w:color w:val="auto"/>
          <w:sz w:val="22"/>
          <w:szCs w:val="22"/>
        </w:rPr>
        <w:t xml:space="preserve">Policy approval date: </w:t>
      </w:r>
      <w:r w:rsidR="00F17549" w:rsidRPr="00F17549">
        <w:rPr>
          <w:rFonts w:ascii="Open Sans" w:hAnsi="Open Sans" w:cs="Open Sans"/>
          <w:color w:val="auto"/>
          <w:sz w:val="22"/>
          <w:szCs w:val="22"/>
        </w:rPr>
        <w:t xml:space="preserve">20 May 2020 </w:t>
      </w:r>
    </w:p>
    <w:p w14:paraId="69A9073C" w14:textId="45CEEC23" w:rsidR="004F5E4C" w:rsidRPr="00F17549" w:rsidRDefault="004F5E4C" w:rsidP="0023622E">
      <w:pPr>
        <w:pStyle w:val="Default"/>
        <w:rPr>
          <w:rFonts w:ascii="Open Sans" w:hAnsi="Open Sans" w:cs="Open Sans"/>
          <w:color w:val="auto"/>
          <w:sz w:val="22"/>
          <w:szCs w:val="22"/>
        </w:rPr>
      </w:pPr>
      <w:r w:rsidRPr="00F17549">
        <w:rPr>
          <w:rFonts w:ascii="Open Sans" w:hAnsi="Open Sans" w:cs="Open Sans"/>
          <w:color w:val="auto"/>
          <w:sz w:val="22"/>
          <w:szCs w:val="22"/>
        </w:rPr>
        <w:t xml:space="preserve">Policy effective date: 1 July 2020 </w:t>
      </w:r>
      <w:r w:rsidRPr="00F17549">
        <w:rPr>
          <w:rFonts w:ascii="Open Sans" w:hAnsi="Open Sans" w:cs="Open Sans"/>
          <w:b/>
          <w:bCs/>
          <w:color w:val="auto"/>
          <w:sz w:val="22"/>
          <w:szCs w:val="22"/>
        </w:rPr>
        <w:br/>
      </w:r>
    </w:p>
    <w:tbl>
      <w:tblPr>
        <w:tblStyle w:val="TableGrid"/>
        <w:tblW w:w="9175" w:type="dxa"/>
        <w:tblLook w:val="04A0" w:firstRow="1" w:lastRow="0" w:firstColumn="1" w:lastColumn="0" w:noHBand="0" w:noVBand="1"/>
      </w:tblPr>
      <w:tblGrid>
        <w:gridCol w:w="1435"/>
        <w:gridCol w:w="2520"/>
        <w:gridCol w:w="5220"/>
      </w:tblGrid>
      <w:tr w:rsidR="004F5E4C" w:rsidRPr="00F17549" w14:paraId="6D6EAE42" w14:textId="77777777" w:rsidTr="006768FB">
        <w:tc>
          <w:tcPr>
            <w:tcW w:w="1435" w:type="dxa"/>
          </w:tcPr>
          <w:p w14:paraId="2EAF80AB" w14:textId="580D3DF1" w:rsidR="004F5E4C" w:rsidRPr="00F17549" w:rsidRDefault="004F5E4C" w:rsidP="0023622E">
            <w:pPr>
              <w:pStyle w:val="Default"/>
              <w:rPr>
                <w:rFonts w:ascii="Open Sans" w:hAnsi="Open Sans" w:cs="Open Sans"/>
                <w:b/>
                <w:bCs/>
                <w:color w:val="auto"/>
                <w:sz w:val="22"/>
                <w:szCs w:val="22"/>
              </w:rPr>
            </w:pPr>
            <w:r w:rsidRPr="00F17549">
              <w:rPr>
                <w:rFonts w:ascii="Open Sans" w:hAnsi="Open Sans" w:cs="Open Sans"/>
                <w:b/>
                <w:bCs/>
                <w:color w:val="auto"/>
                <w:sz w:val="22"/>
                <w:szCs w:val="22"/>
              </w:rPr>
              <w:t xml:space="preserve">Revision </w:t>
            </w:r>
            <w:r w:rsidR="00361CE4" w:rsidRPr="00F17549">
              <w:rPr>
                <w:rFonts w:ascii="Open Sans" w:hAnsi="Open Sans" w:cs="Open Sans"/>
                <w:b/>
                <w:bCs/>
                <w:color w:val="auto"/>
                <w:sz w:val="22"/>
                <w:szCs w:val="22"/>
              </w:rPr>
              <w:t xml:space="preserve"> date</w:t>
            </w:r>
            <w:r w:rsidRPr="00F17549">
              <w:rPr>
                <w:rFonts w:ascii="Open Sans" w:hAnsi="Open Sans" w:cs="Open Sans"/>
                <w:b/>
                <w:bCs/>
                <w:color w:val="auto"/>
                <w:sz w:val="22"/>
                <w:szCs w:val="22"/>
              </w:rPr>
              <w:t xml:space="preserve"> </w:t>
            </w:r>
          </w:p>
        </w:tc>
        <w:tc>
          <w:tcPr>
            <w:tcW w:w="2520" w:type="dxa"/>
          </w:tcPr>
          <w:p w14:paraId="1DE7E32F" w14:textId="250701F3" w:rsidR="004F5E4C" w:rsidRPr="00F17549" w:rsidRDefault="00B529BD" w:rsidP="0023622E">
            <w:pPr>
              <w:pStyle w:val="Default"/>
              <w:rPr>
                <w:rFonts w:ascii="Open Sans" w:hAnsi="Open Sans" w:cs="Open Sans"/>
                <w:b/>
                <w:bCs/>
                <w:color w:val="auto"/>
                <w:sz w:val="22"/>
                <w:szCs w:val="22"/>
              </w:rPr>
            </w:pPr>
            <w:r w:rsidRPr="00F17549">
              <w:rPr>
                <w:rFonts w:ascii="Open Sans" w:hAnsi="Open Sans" w:cs="Open Sans"/>
                <w:b/>
                <w:bCs/>
                <w:color w:val="auto"/>
                <w:sz w:val="22"/>
                <w:szCs w:val="22"/>
              </w:rPr>
              <w:t>Major, minor or editorial</w:t>
            </w:r>
            <w:r w:rsidR="004F5E4C" w:rsidRPr="00F17549">
              <w:rPr>
                <w:rFonts w:ascii="Open Sans" w:hAnsi="Open Sans" w:cs="Open Sans"/>
                <w:b/>
                <w:bCs/>
                <w:color w:val="auto"/>
                <w:sz w:val="22"/>
                <w:szCs w:val="22"/>
              </w:rPr>
              <w:t xml:space="preserve"> changes</w:t>
            </w:r>
          </w:p>
        </w:tc>
        <w:tc>
          <w:tcPr>
            <w:tcW w:w="5220" w:type="dxa"/>
          </w:tcPr>
          <w:p w14:paraId="64034B5A" w14:textId="222750A8" w:rsidR="004F5E4C" w:rsidRPr="00F17549" w:rsidRDefault="000F11F7" w:rsidP="0023622E">
            <w:pPr>
              <w:pStyle w:val="Default"/>
              <w:rPr>
                <w:rFonts w:ascii="Open Sans" w:hAnsi="Open Sans" w:cs="Open Sans"/>
                <w:b/>
                <w:bCs/>
                <w:color w:val="auto"/>
                <w:sz w:val="22"/>
                <w:szCs w:val="22"/>
              </w:rPr>
            </w:pPr>
            <w:r w:rsidRPr="00F17549">
              <w:rPr>
                <w:rFonts w:ascii="Open Sans" w:hAnsi="Open Sans" w:cs="Open Sans"/>
                <w:b/>
                <w:bCs/>
                <w:color w:val="auto"/>
                <w:sz w:val="22"/>
                <w:szCs w:val="22"/>
              </w:rPr>
              <w:t xml:space="preserve">Description of revisions </w:t>
            </w:r>
            <w:r w:rsidR="004F5E4C" w:rsidRPr="00F17549">
              <w:rPr>
                <w:rFonts w:ascii="Open Sans" w:hAnsi="Open Sans" w:cs="Open Sans"/>
                <w:b/>
                <w:bCs/>
                <w:color w:val="auto"/>
                <w:sz w:val="22"/>
                <w:szCs w:val="22"/>
              </w:rPr>
              <w:t xml:space="preserve"> </w:t>
            </w:r>
          </w:p>
        </w:tc>
      </w:tr>
      <w:tr w:rsidR="004F5E4C" w:rsidRPr="00F17549" w14:paraId="4EBC2250" w14:textId="77777777" w:rsidTr="006768FB">
        <w:tc>
          <w:tcPr>
            <w:tcW w:w="1435" w:type="dxa"/>
          </w:tcPr>
          <w:p w14:paraId="4A200FC3" w14:textId="4B765784" w:rsidR="004F5E4C" w:rsidRPr="00F17549" w:rsidRDefault="00183624" w:rsidP="0023622E">
            <w:pPr>
              <w:pStyle w:val="Default"/>
              <w:rPr>
                <w:rFonts w:ascii="Open Sans" w:hAnsi="Open Sans" w:cs="Open Sans"/>
                <w:color w:val="auto"/>
                <w:sz w:val="22"/>
                <w:szCs w:val="22"/>
              </w:rPr>
            </w:pPr>
            <w:r w:rsidRPr="00F17549">
              <w:rPr>
                <w:rFonts w:ascii="Open Sans" w:hAnsi="Open Sans" w:cs="Open Sans"/>
                <w:color w:val="auto"/>
                <w:sz w:val="22"/>
                <w:szCs w:val="22"/>
              </w:rPr>
              <w:t>July 2021</w:t>
            </w:r>
            <w:r w:rsidR="000B69DA" w:rsidRPr="00F17549">
              <w:rPr>
                <w:rFonts w:ascii="Open Sans" w:hAnsi="Open Sans" w:cs="Open Sans"/>
                <w:color w:val="auto"/>
                <w:sz w:val="22"/>
                <w:szCs w:val="22"/>
              </w:rPr>
              <w:t xml:space="preserve"> </w:t>
            </w:r>
          </w:p>
        </w:tc>
        <w:tc>
          <w:tcPr>
            <w:tcW w:w="2520" w:type="dxa"/>
          </w:tcPr>
          <w:p w14:paraId="4B099A5C" w14:textId="77777777" w:rsidR="004F5E4C" w:rsidRPr="00F17549" w:rsidRDefault="004F5E4C" w:rsidP="0023622E">
            <w:pPr>
              <w:pStyle w:val="Default"/>
              <w:rPr>
                <w:rFonts w:ascii="Open Sans" w:hAnsi="Open Sans" w:cs="Open Sans"/>
                <w:color w:val="auto"/>
                <w:sz w:val="22"/>
                <w:szCs w:val="22"/>
              </w:rPr>
            </w:pPr>
          </w:p>
        </w:tc>
        <w:tc>
          <w:tcPr>
            <w:tcW w:w="5220" w:type="dxa"/>
          </w:tcPr>
          <w:p w14:paraId="4A739230" w14:textId="77777777" w:rsidR="004F5E4C" w:rsidRPr="00F17549" w:rsidRDefault="004F5E4C" w:rsidP="0023622E">
            <w:pPr>
              <w:pStyle w:val="Default"/>
              <w:rPr>
                <w:rFonts w:ascii="Open Sans" w:hAnsi="Open Sans" w:cs="Open Sans"/>
                <w:color w:val="auto"/>
                <w:sz w:val="22"/>
                <w:szCs w:val="22"/>
              </w:rPr>
            </w:pPr>
          </w:p>
        </w:tc>
      </w:tr>
      <w:tr w:rsidR="004F5E4C" w:rsidRPr="00317549" w14:paraId="0A23A0DF" w14:textId="77777777" w:rsidTr="006768FB">
        <w:tc>
          <w:tcPr>
            <w:tcW w:w="1435" w:type="dxa"/>
          </w:tcPr>
          <w:p w14:paraId="227D3FF7" w14:textId="22F41902" w:rsidR="004F5E4C" w:rsidRPr="00317549" w:rsidRDefault="00381A27" w:rsidP="0023622E">
            <w:pPr>
              <w:pStyle w:val="Default"/>
              <w:rPr>
                <w:rFonts w:ascii="Open Sans" w:hAnsi="Open Sans" w:cs="Open Sans"/>
                <w:color w:val="auto"/>
                <w:sz w:val="22"/>
                <w:szCs w:val="22"/>
              </w:rPr>
            </w:pPr>
            <w:r w:rsidRPr="00F17549">
              <w:rPr>
                <w:rFonts w:ascii="Open Sans" w:hAnsi="Open Sans" w:cs="Open Sans"/>
                <w:color w:val="auto"/>
                <w:sz w:val="22"/>
                <w:szCs w:val="22"/>
              </w:rPr>
              <w:t>By July 2023</w:t>
            </w:r>
            <w:r>
              <w:rPr>
                <w:rFonts w:ascii="Open Sans" w:hAnsi="Open Sans" w:cs="Open Sans"/>
                <w:color w:val="auto"/>
                <w:sz w:val="22"/>
                <w:szCs w:val="22"/>
              </w:rPr>
              <w:t xml:space="preserve"> </w:t>
            </w:r>
          </w:p>
        </w:tc>
        <w:tc>
          <w:tcPr>
            <w:tcW w:w="2520" w:type="dxa"/>
          </w:tcPr>
          <w:p w14:paraId="3A0BA599" w14:textId="77777777" w:rsidR="004F5E4C" w:rsidRPr="00317549" w:rsidRDefault="004F5E4C" w:rsidP="0023622E">
            <w:pPr>
              <w:pStyle w:val="Default"/>
              <w:rPr>
                <w:rFonts w:ascii="Open Sans" w:hAnsi="Open Sans" w:cs="Open Sans"/>
                <w:color w:val="auto"/>
                <w:sz w:val="22"/>
                <w:szCs w:val="22"/>
              </w:rPr>
            </w:pPr>
          </w:p>
        </w:tc>
        <w:tc>
          <w:tcPr>
            <w:tcW w:w="5220" w:type="dxa"/>
          </w:tcPr>
          <w:p w14:paraId="6BDCA144" w14:textId="77777777" w:rsidR="004F5E4C" w:rsidRPr="00317549" w:rsidRDefault="004F5E4C" w:rsidP="0023622E">
            <w:pPr>
              <w:pStyle w:val="Default"/>
              <w:rPr>
                <w:rFonts w:ascii="Open Sans" w:hAnsi="Open Sans" w:cs="Open Sans"/>
                <w:color w:val="auto"/>
                <w:sz w:val="22"/>
                <w:szCs w:val="22"/>
              </w:rPr>
            </w:pPr>
          </w:p>
        </w:tc>
      </w:tr>
    </w:tbl>
    <w:p w14:paraId="712B8CC6" w14:textId="77777777" w:rsidR="004F5E4C" w:rsidRPr="00317549" w:rsidRDefault="004F5E4C" w:rsidP="0023622E">
      <w:pPr>
        <w:pStyle w:val="Default"/>
        <w:rPr>
          <w:rFonts w:ascii="Open Sans" w:eastAsia="MS Mincho" w:hAnsi="Open Sans" w:cs="Times New Roman"/>
          <w:bCs/>
          <w:color w:val="auto"/>
          <w:sz w:val="28"/>
          <w:szCs w:val="26"/>
        </w:rPr>
      </w:pPr>
    </w:p>
    <w:p w14:paraId="6A94A82B" w14:textId="72154431" w:rsidR="00C86324" w:rsidRPr="009D55B0" w:rsidRDefault="00C2210E" w:rsidP="00317549">
      <w:pPr>
        <w:spacing w:before="0" w:after="0"/>
      </w:pPr>
      <w:r w:rsidRPr="009D55B0">
        <w:rPr>
          <w:rFonts w:cs="Open Sans"/>
          <w:sz w:val="22"/>
          <w:szCs w:val="22"/>
        </w:rPr>
        <w:br w:type="page"/>
      </w:r>
    </w:p>
    <w:sectPr w:rsidR="00C86324" w:rsidRPr="009D55B0" w:rsidSect="00A7615D">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2438" w:right="1418" w:bottom="1134" w:left="1418" w:header="90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4B924" w14:textId="77777777" w:rsidR="00035C51" w:rsidRDefault="00035C51" w:rsidP="00F14C6D">
      <w:r>
        <w:separator/>
      </w:r>
    </w:p>
  </w:endnote>
  <w:endnote w:type="continuationSeparator" w:id="0">
    <w:p w14:paraId="170D5082" w14:textId="77777777" w:rsidR="00035C51" w:rsidRDefault="00035C51" w:rsidP="00F14C6D">
      <w:r>
        <w:continuationSeparator/>
      </w:r>
    </w:p>
  </w:endnote>
  <w:endnote w:type="continuationNotice" w:id="1">
    <w:p w14:paraId="59E8744B" w14:textId="77777777" w:rsidR="00035C51" w:rsidRDefault="00035C51">
      <w:pPr>
        <w:spacing w:before="0" w:after="0"/>
      </w:pPr>
    </w:p>
  </w:endnote>
  <w:endnote w:id="2">
    <w:p w14:paraId="25982FD5" w14:textId="0F2F0B70" w:rsidR="00166F33" w:rsidRPr="002606E0" w:rsidRDefault="00166F33" w:rsidP="00F04ADE">
      <w:pPr>
        <w:pStyle w:val="EndnoteText"/>
        <w:contextualSpacing/>
        <w:rPr>
          <w:rFonts w:cs="Open Sans"/>
          <w:sz w:val="18"/>
          <w:szCs w:val="18"/>
        </w:rPr>
      </w:pPr>
      <w:r w:rsidRPr="00BE3C77">
        <w:rPr>
          <w:rStyle w:val="EndnoteReference"/>
          <w:rFonts w:cs="Open Sans"/>
          <w:sz w:val="18"/>
          <w:szCs w:val="18"/>
        </w:rPr>
        <w:endnoteRef/>
      </w:r>
      <w:r w:rsidRPr="00BE3C77">
        <w:rPr>
          <w:rFonts w:cs="Open Sans"/>
          <w:sz w:val="18"/>
          <w:szCs w:val="18"/>
        </w:rPr>
        <w:t xml:space="preserve"> </w:t>
      </w:r>
      <w:r w:rsidRPr="00BE3C77">
        <w:rPr>
          <w:rFonts w:eastAsia="Times New Roman" w:cs="Open Sans"/>
          <w:color w:val="000000"/>
          <w:sz w:val="18"/>
          <w:szCs w:val="18"/>
        </w:rPr>
        <w:t xml:space="preserve">United Nations, Office of the High Commissioner for Human Rights, ‘Guiding Principles on Business and Human Rights: Implementing the United Nations ‘Protect, Respect and Remedy’ Framework’ (2011), available at </w:t>
      </w:r>
      <w:r w:rsidRPr="00D30632">
        <w:rPr>
          <w:rFonts w:eastAsia="Times New Roman" w:cs="Open Sans"/>
          <w:sz w:val="18"/>
          <w:szCs w:val="18"/>
        </w:rPr>
        <w:t>http://www.ohchr.org/Documents/Publications/GuidingPrinciplesBusinessHR_EN.pdf</w:t>
      </w:r>
    </w:p>
  </w:endnote>
  <w:endnote w:id="3">
    <w:p w14:paraId="5A6FBD8B" w14:textId="5141AD7E" w:rsidR="00166F33" w:rsidRPr="00BE3C77" w:rsidRDefault="00166F33" w:rsidP="00F04ADE">
      <w:pPr>
        <w:pStyle w:val="EndnoteText"/>
        <w:contextualSpacing/>
        <w:rPr>
          <w:rFonts w:cs="Open Sans"/>
          <w:sz w:val="18"/>
          <w:szCs w:val="18"/>
        </w:rPr>
      </w:pPr>
      <w:r w:rsidRPr="002606E0">
        <w:rPr>
          <w:rStyle w:val="EndnoteReference"/>
          <w:rFonts w:cs="Open Sans"/>
          <w:sz w:val="18"/>
          <w:szCs w:val="18"/>
        </w:rPr>
        <w:endnoteRef/>
      </w:r>
      <w:r w:rsidRPr="002606E0">
        <w:rPr>
          <w:rFonts w:cs="Open Sans"/>
          <w:sz w:val="18"/>
          <w:szCs w:val="18"/>
        </w:rPr>
        <w:t xml:space="preserve"> United Nations General Assembly, Transforming our World: the 2030 Agenda for Sustainable </w:t>
      </w:r>
      <w:r w:rsidRPr="00BE3C77">
        <w:rPr>
          <w:rFonts w:cs="Open Sans"/>
          <w:sz w:val="18"/>
          <w:szCs w:val="18"/>
        </w:rPr>
        <w:t>Development, 21 October 2015, A/RES/70/1</w:t>
      </w:r>
      <w:r w:rsidR="00560B7B">
        <w:rPr>
          <w:rFonts w:cs="Open Sans"/>
          <w:sz w:val="18"/>
          <w:szCs w:val="18"/>
        </w:rPr>
        <w:t xml:space="preserve"> at </w:t>
      </w:r>
      <w:r w:rsidRPr="00BE3C77">
        <w:rPr>
          <w:rFonts w:cs="Open Sans"/>
          <w:sz w:val="18"/>
          <w:szCs w:val="18"/>
        </w:rPr>
        <w:t>https://sustainabledevelopment.un.org/post2015/transformingourworld/publication</w:t>
      </w:r>
    </w:p>
  </w:endnote>
  <w:endnote w:id="4">
    <w:p w14:paraId="7A2367C3" w14:textId="1EA3A2D1" w:rsidR="00166F33" w:rsidRPr="00BE3C77" w:rsidRDefault="00166F33" w:rsidP="00F04ADE">
      <w:pPr>
        <w:pStyle w:val="EndnoteText"/>
        <w:contextualSpacing/>
        <w:rPr>
          <w:rFonts w:cs="Open Sans"/>
          <w:sz w:val="18"/>
          <w:szCs w:val="18"/>
        </w:rPr>
      </w:pPr>
      <w:r w:rsidRPr="00BE3C77">
        <w:rPr>
          <w:rStyle w:val="EndnoteReference"/>
          <w:rFonts w:cs="Open Sans"/>
          <w:sz w:val="18"/>
          <w:szCs w:val="18"/>
        </w:rPr>
        <w:endnoteRef/>
      </w:r>
      <w:r w:rsidRPr="00BE3C77">
        <w:rPr>
          <w:rFonts w:cs="Open Sans"/>
          <w:sz w:val="18"/>
          <w:szCs w:val="18"/>
        </w:rPr>
        <w:t xml:space="preserve"> </w:t>
      </w:r>
      <w:r w:rsidRPr="00BE3C77">
        <w:rPr>
          <w:rFonts w:eastAsia="Times New Roman" w:cs="Open Sans"/>
          <w:color w:val="000000"/>
          <w:sz w:val="18"/>
          <w:szCs w:val="18"/>
          <w:shd w:val="clear" w:color="auto" w:fill="FFFFFF"/>
        </w:rPr>
        <w:t xml:space="preserve">Department of Finance, </w:t>
      </w:r>
      <w:r w:rsidRPr="00BE3C77">
        <w:rPr>
          <w:rFonts w:eastAsia="Times New Roman" w:cs="Open Sans"/>
          <w:i/>
          <w:color w:val="000000"/>
          <w:sz w:val="18"/>
          <w:szCs w:val="18"/>
          <w:shd w:val="clear" w:color="auto" w:fill="FFFFFF"/>
        </w:rPr>
        <w:t>Commonwealth Procurement Rules: Achieving Value for Money</w:t>
      </w:r>
      <w:r w:rsidRPr="00BE3C77">
        <w:rPr>
          <w:rFonts w:eastAsia="Times New Roman" w:cs="Open Sans"/>
          <w:color w:val="000000"/>
          <w:sz w:val="18"/>
          <w:szCs w:val="18"/>
          <w:shd w:val="clear" w:color="auto" w:fill="FFFFFF"/>
        </w:rPr>
        <w:t xml:space="preserve"> (2019) under section 105B(1) of the </w:t>
      </w:r>
      <w:r w:rsidRPr="00BE3C77">
        <w:rPr>
          <w:rFonts w:eastAsia="Times New Roman" w:cs="Open Sans"/>
          <w:i/>
          <w:iCs/>
          <w:color w:val="000000"/>
          <w:sz w:val="18"/>
          <w:szCs w:val="18"/>
        </w:rPr>
        <w:t>Public Governance, Performance and Accountability Act 2013</w:t>
      </w:r>
      <w:r w:rsidRPr="00BE3C77">
        <w:rPr>
          <w:rFonts w:eastAsia="Times New Roman" w:cs="Open Sans"/>
          <w:color w:val="000000"/>
          <w:sz w:val="18"/>
          <w:szCs w:val="18"/>
          <w:shd w:val="clear" w:color="auto" w:fill="FFFFFF"/>
        </w:rPr>
        <w:t xml:space="preserve"> (</w:t>
      </w:r>
      <w:r w:rsidRPr="00BE3C77">
        <w:rPr>
          <w:rFonts w:eastAsia="Times New Roman" w:cs="Open Sans"/>
          <w:color w:val="000000"/>
          <w:sz w:val="18"/>
          <w:szCs w:val="18"/>
          <w:shd w:val="clear" w:color="auto" w:fill="FFFFFF"/>
        </w:rPr>
        <w:t xml:space="preserve">Cth)  </w:t>
      </w:r>
    </w:p>
  </w:endnote>
  <w:endnote w:id="5">
    <w:p w14:paraId="50577F0E" w14:textId="0112CCEC" w:rsidR="00166F33" w:rsidRPr="00BE3C77" w:rsidRDefault="00166F33" w:rsidP="00F04ADE">
      <w:pPr>
        <w:pStyle w:val="EndnoteText"/>
        <w:contextualSpacing/>
        <w:rPr>
          <w:rFonts w:cs="Open Sans"/>
          <w:sz w:val="18"/>
          <w:szCs w:val="18"/>
          <w:lang w:val="en-US"/>
        </w:rPr>
      </w:pPr>
      <w:r w:rsidRPr="00BE3C77">
        <w:rPr>
          <w:rStyle w:val="EndnoteReference"/>
          <w:rFonts w:cs="Open Sans"/>
          <w:sz w:val="18"/>
          <w:szCs w:val="18"/>
        </w:rPr>
        <w:endnoteRef/>
      </w:r>
      <w:r w:rsidRPr="00BE3C77">
        <w:rPr>
          <w:rFonts w:cs="Open Sans"/>
          <w:sz w:val="18"/>
          <w:szCs w:val="18"/>
        </w:rPr>
        <w:t xml:space="preserve"> </w:t>
      </w:r>
      <w:r w:rsidRPr="00BE3C77">
        <w:rPr>
          <w:rFonts w:cs="Open Sans"/>
          <w:sz w:val="18"/>
          <w:szCs w:val="18"/>
          <w:lang w:val="en-US"/>
        </w:rPr>
        <w:t>Danish Institute for Human Rights</w:t>
      </w:r>
      <w:r w:rsidRPr="00BE3C77">
        <w:rPr>
          <w:rFonts w:cs="Open Sans"/>
          <w:i/>
          <w:iCs/>
          <w:sz w:val="18"/>
          <w:szCs w:val="18"/>
          <w:lang w:val="en-US"/>
        </w:rPr>
        <w:t xml:space="preserve">, </w:t>
      </w:r>
      <w:r w:rsidRPr="00BE3C77">
        <w:rPr>
          <w:rFonts w:cs="Open Sans"/>
          <w:i/>
          <w:iCs/>
          <w:sz w:val="18"/>
          <w:szCs w:val="18"/>
        </w:rPr>
        <w:t>Driving change through public procurement: A toolkit on human rights for policy makers and public buyers (Road-testing version)</w:t>
      </w:r>
      <w:r w:rsidRPr="00BE3C77">
        <w:rPr>
          <w:rFonts w:cs="Open Sans"/>
          <w:sz w:val="18"/>
          <w:szCs w:val="18"/>
        </w:rPr>
        <w:t xml:space="preserve">, (November 2019), </w:t>
      </w:r>
      <w:r w:rsidRPr="00BE3C77">
        <w:rPr>
          <w:rFonts w:cs="Open Sans"/>
          <w:sz w:val="18"/>
          <w:szCs w:val="18"/>
          <w:lang w:val="en-US"/>
        </w:rPr>
        <w:t>14</w:t>
      </w:r>
      <w:r w:rsidR="00560B7B">
        <w:rPr>
          <w:rFonts w:cs="Open Sans"/>
          <w:sz w:val="18"/>
          <w:szCs w:val="18"/>
          <w:lang w:val="en-US"/>
        </w:rPr>
        <w:t xml:space="preserve"> at </w:t>
      </w:r>
      <w:r w:rsidRPr="00BE3C77">
        <w:rPr>
          <w:rFonts w:cs="Open Sans"/>
          <w:sz w:val="18"/>
          <w:szCs w:val="18"/>
          <w:lang w:val="en-US"/>
        </w:rPr>
        <w:t xml:space="preserve"> https://www.business-humanrights.org/sites/default/files/documents/danish_institute_driving_change_through_public_procurement_-_a_toolkit_on_human_rights_for_policy_makers_and_public_buyers_.pdf</w:t>
      </w:r>
    </w:p>
  </w:endnote>
  <w:endnote w:id="6">
    <w:p w14:paraId="517983BE" w14:textId="78BF71AA" w:rsidR="00166F33" w:rsidRPr="00BE3C77" w:rsidRDefault="00166F33" w:rsidP="00F04ADE">
      <w:pPr>
        <w:pStyle w:val="EndnoteText"/>
        <w:contextualSpacing/>
        <w:rPr>
          <w:rFonts w:cs="Open Sans"/>
          <w:sz w:val="18"/>
          <w:szCs w:val="18"/>
        </w:rPr>
      </w:pPr>
      <w:r w:rsidRPr="00BE3C77">
        <w:rPr>
          <w:rStyle w:val="EndnoteReference"/>
          <w:rFonts w:cs="Open Sans"/>
          <w:sz w:val="18"/>
          <w:szCs w:val="18"/>
        </w:rPr>
        <w:endnoteRef/>
      </w:r>
      <w:r w:rsidRPr="00BE3C77">
        <w:rPr>
          <w:rFonts w:cs="Open Sans"/>
          <w:sz w:val="18"/>
          <w:szCs w:val="18"/>
        </w:rPr>
        <w:t xml:space="preserve"> </w:t>
      </w:r>
      <w:bookmarkStart w:id="13" w:name="_Hlk31296613"/>
      <w:r w:rsidRPr="00BE3C77">
        <w:rPr>
          <w:rFonts w:cs="Open Sans"/>
          <w:sz w:val="18"/>
          <w:szCs w:val="18"/>
        </w:rPr>
        <w:t>The 2030 that sets out the Sustainable Development Goals are expressly ‘seek to realize the human rights of all’. Preamble; United Nations General Assembly, Transforming our World: the 2030 Agenda for Sustainable Development, 21 October 2015, A/RES/70/1</w:t>
      </w:r>
      <w:r w:rsidR="00560B7B">
        <w:rPr>
          <w:rFonts w:cs="Open Sans"/>
          <w:sz w:val="18"/>
          <w:szCs w:val="18"/>
        </w:rPr>
        <w:t xml:space="preserve"> at </w:t>
      </w:r>
      <w:r w:rsidRPr="00BE3C77">
        <w:rPr>
          <w:rFonts w:cs="Open Sans"/>
          <w:sz w:val="18"/>
          <w:szCs w:val="18"/>
        </w:rPr>
        <w:t>https://sustainabledevelopment.un.org/post2015/transformingourworld/publication&gt;</w:t>
      </w:r>
      <w:bookmarkEnd w:id="13"/>
    </w:p>
  </w:endnote>
  <w:endnote w:id="7">
    <w:p w14:paraId="7BDD8932" w14:textId="0AB3BA4F" w:rsidR="00166F33" w:rsidRPr="00BE3C77" w:rsidRDefault="00166F33" w:rsidP="00F04ADE">
      <w:pPr>
        <w:pStyle w:val="EndnoteText"/>
        <w:contextualSpacing/>
        <w:rPr>
          <w:rFonts w:cs="Open Sans"/>
          <w:sz w:val="18"/>
          <w:szCs w:val="18"/>
          <w:lang w:val="en-US"/>
        </w:rPr>
      </w:pPr>
      <w:r w:rsidRPr="00BE3C77">
        <w:rPr>
          <w:rStyle w:val="EndnoteReference"/>
          <w:rFonts w:cs="Open Sans"/>
          <w:sz w:val="18"/>
          <w:szCs w:val="18"/>
        </w:rPr>
        <w:endnoteRef/>
      </w:r>
      <w:r w:rsidRPr="00BE3C77">
        <w:rPr>
          <w:rFonts w:cs="Open Sans"/>
          <w:sz w:val="18"/>
          <w:szCs w:val="18"/>
        </w:rPr>
        <w:t xml:space="preserve"> </w:t>
      </w:r>
      <w:r w:rsidRPr="00BE3C77">
        <w:rPr>
          <w:rFonts w:cs="Open Sans"/>
          <w:sz w:val="18"/>
          <w:szCs w:val="18"/>
          <w:lang w:val="en-US"/>
        </w:rPr>
        <w:t xml:space="preserve">The Danish Institute for Human Rights,  </w:t>
      </w:r>
      <w:r w:rsidRPr="00BE3C77">
        <w:rPr>
          <w:rFonts w:cs="Open Sans"/>
          <w:sz w:val="18"/>
          <w:szCs w:val="18"/>
        </w:rPr>
        <w:t>The Danish Institute for Human Rights - Business and Human Rights Work, (January 2020)</w:t>
      </w:r>
      <w:r>
        <w:rPr>
          <w:rFonts w:cs="Open Sans"/>
          <w:sz w:val="18"/>
          <w:szCs w:val="18"/>
        </w:rPr>
        <w:t>,</w:t>
      </w:r>
      <w:r w:rsidRPr="00BE3C77">
        <w:rPr>
          <w:rFonts w:cs="Open Sans"/>
          <w:sz w:val="18"/>
          <w:szCs w:val="18"/>
        </w:rPr>
        <w:t xml:space="preserve"> 1</w:t>
      </w:r>
      <w:r w:rsidR="00560B7B">
        <w:rPr>
          <w:rFonts w:cs="Open Sans"/>
          <w:sz w:val="18"/>
          <w:szCs w:val="18"/>
        </w:rPr>
        <w:t xml:space="preserve"> at </w:t>
      </w:r>
      <w:hyperlink r:id="rId1" w:history="1">
        <w:r w:rsidR="00560B7B" w:rsidRPr="00560B7B">
          <w:rPr>
            <w:rStyle w:val="Hyperlink"/>
            <w:rFonts w:cs="Open Sans"/>
            <w:sz w:val="18"/>
            <w:szCs w:val="18"/>
          </w:rPr>
          <w:t>https://www.humanrights.dk/sites/humanrights.dk/files/media/dokumenter/udgivelser/hrd_2020/nhri_case_stories/denmark_nhri_bhr_case_study_2020.pdf</w:t>
        </w:r>
      </w:hyperlink>
    </w:p>
  </w:endnote>
  <w:endnote w:id="8">
    <w:p w14:paraId="2FEF65AD" w14:textId="1EAD2091" w:rsidR="00166F33" w:rsidRPr="00BE3C77" w:rsidRDefault="00166F33" w:rsidP="00F04ADE">
      <w:pPr>
        <w:pStyle w:val="EndnoteText"/>
        <w:contextualSpacing/>
        <w:rPr>
          <w:rFonts w:cs="Open Sans"/>
          <w:sz w:val="18"/>
          <w:szCs w:val="18"/>
        </w:rPr>
      </w:pPr>
      <w:r w:rsidRPr="00BE3C77">
        <w:rPr>
          <w:rStyle w:val="EndnoteReference"/>
          <w:rFonts w:cs="Open Sans"/>
          <w:sz w:val="18"/>
          <w:szCs w:val="18"/>
        </w:rPr>
        <w:endnoteRef/>
      </w:r>
      <w:r w:rsidRPr="00BE3C77">
        <w:rPr>
          <w:rFonts w:cs="Open Sans"/>
          <w:sz w:val="18"/>
          <w:szCs w:val="18"/>
        </w:rPr>
        <w:t xml:space="preserve"> The meaning of Operations and Supply chains is set out in detail in Department of Home Affairs, </w:t>
      </w:r>
      <w:r w:rsidRPr="00BE3C77">
        <w:rPr>
          <w:rFonts w:cs="Open Sans"/>
          <w:bCs/>
          <w:i/>
          <w:sz w:val="18"/>
          <w:szCs w:val="18"/>
        </w:rPr>
        <w:t>Guidance for Reporting Entities: Modern Slavery Act 2018,</w:t>
      </w:r>
      <w:r w:rsidRPr="00BE3C77">
        <w:rPr>
          <w:rFonts w:cs="Open Sans"/>
          <w:bCs/>
          <w:sz w:val="18"/>
          <w:szCs w:val="18"/>
        </w:rPr>
        <w:t xml:space="preserve"> (2019), </w:t>
      </w:r>
      <w:r w:rsidRPr="00BE3C77">
        <w:rPr>
          <w:rFonts w:cs="Open Sans"/>
          <w:sz w:val="18"/>
          <w:szCs w:val="18"/>
        </w:rPr>
        <w:t xml:space="preserve">32-33 </w:t>
      </w:r>
      <w:r w:rsidR="00560B7B">
        <w:rPr>
          <w:rFonts w:cs="Open Sans"/>
          <w:sz w:val="18"/>
          <w:szCs w:val="18"/>
        </w:rPr>
        <w:t xml:space="preserve">at </w:t>
      </w:r>
      <w:hyperlink r:id="rId2" w:history="1">
        <w:r w:rsidR="00560B7B" w:rsidRPr="00560B7B">
          <w:rPr>
            <w:rStyle w:val="Hyperlink"/>
            <w:rFonts w:cs="Open Sans"/>
            <w:sz w:val="18"/>
            <w:szCs w:val="18"/>
          </w:rPr>
          <w:t>https://www.homeaffairs.gov.au/criminal-justice/files/modern-slavery-reporting-entities.pdf</w:t>
        </w:r>
      </w:hyperlink>
      <w:r w:rsidRPr="00BE3C77">
        <w:rPr>
          <w:rStyle w:val="Hyperlink"/>
          <w:rFonts w:cs="Open Sans"/>
          <w:sz w:val="18"/>
          <w:szCs w:val="18"/>
        </w:rPr>
        <w:t xml:space="preserve"> </w:t>
      </w:r>
      <w:r w:rsidRPr="00BE3C77">
        <w:rPr>
          <w:rFonts w:cs="Open Sans"/>
          <w:sz w:val="18"/>
          <w:szCs w:val="18"/>
        </w:rPr>
        <w:t xml:space="preserve"> </w:t>
      </w:r>
    </w:p>
  </w:endnote>
  <w:endnote w:id="9">
    <w:p w14:paraId="0856F05E" w14:textId="658FC099" w:rsidR="00166F33" w:rsidRPr="00BE3C77" w:rsidRDefault="00166F33" w:rsidP="00F04ADE">
      <w:pPr>
        <w:pStyle w:val="ListNumber"/>
        <w:numPr>
          <w:ilvl w:val="0"/>
          <w:numId w:val="0"/>
        </w:numPr>
        <w:spacing w:before="0" w:after="0"/>
        <w:contextualSpacing/>
        <w:rPr>
          <w:rFonts w:cs="Open Sans"/>
          <w:bCs/>
          <w:i/>
          <w:sz w:val="18"/>
          <w:szCs w:val="18"/>
        </w:rPr>
      </w:pPr>
      <w:r w:rsidRPr="00BE3C77">
        <w:rPr>
          <w:rStyle w:val="EndnoteReference"/>
          <w:rFonts w:cs="Open Sans"/>
          <w:sz w:val="18"/>
          <w:szCs w:val="18"/>
        </w:rPr>
        <w:endnoteRef/>
      </w:r>
      <w:r w:rsidRPr="00BE3C77">
        <w:rPr>
          <w:rFonts w:cs="Open Sans"/>
          <w:sz w:val="18"/>
          <w:szCs w:val="18"/>
        </w:rPr>
        <w:t xml:space="preserve"> Department of Home Affairs, </w:t>
      </w:r>
      <w:r w:rsidRPr="00BE3C77">
        <w:rPr>
          <w:rFonts w:cs="Open Sans"/>
          <w:bCs/>
          <w:i/>
          <w:sz w:val="18"/>
          <w:szCs w:val="18"/>
        </w:rPr>
        <w:t>Guidance for Reporting Entities: Modern Slavery Act 2018,</w:t>
      </w:r>
      <w:r w:rsidRPr="00BE3C77">
        <w:rPr>
          <w:rFonts w:cs="Open Sans"/>
          <w:bCs/>
          <w:sz w:val="18"/>
          <w:szCs w:val="18"/>
        </w:rPr>
        <w:t xml:space="preserve"> (2019), 16 </w:t>
      </w:r>
      <w:r w:rsidR="00560B7B">
        <w:rPr>
          <w:rFonts w:cs="Open Sans"/>
          <w:bCs/>
          <w:sz w:val="18"/>
          <w:szCs w:val="18"/>
        </w:rPr>
        <w:t xml:space="preserve">at </w:t>
      </w:r>
      <w:hyperlink r:id="rId3" w:history="1">
        <w:r w:rsidR="00560B7B" w:rsidRPr="00560B7B">
          <w:rPr>
            <w:rStyle w:val="Hyperlink"/>
            <w:rFonts w:cs="Open Sans"/>
            <w:sz w:val="18"/>
            <w:szCs w:val="18"/>
          </w:rPr>
          <w:t>https://www.homeaffairs.gov.au/criminal-justice/files/modern-slavery-reporting-entities.pdf</w:t>
        </w:r>
      </w:hyperlink>
    </w:p>
  </w:endnote>
  <w:endnote w:id="10">
    <w:p w14:paraId="6BB271ED" w14:textId="71D19606" w:rsidR="00166F33" w:rsidRPr="00BE3C77" w:rsidRDefault="00166F33" w:rsidP="00F04ADE">
      <w:pPr>
        <w:pStyle w:val="EndnoteText"/>
        <w:contextualSpacing/>
        <w:rPr>
          <w:rFonts w:cs="Open Sans"/>
          <w:sz w:val="18"/>
          <w:szCs w:val="18"/>
        </w:rPr>
      </w:pPr>
      <w:r w:rsidRPr="00BE3C77">
        <w:rPr>
          <w:rStyle w:val="EndnoteReference"/>
          <w:rFonts w:cs="Open Sans"/>
          <w:sz w:val="18"/>
          <w:szCs w:val="18"/>
        </w:rPr>
        <w:endnoteRef/>
      </w:r>
      <w:r w:rsidRPr="00BE3C77">
        <w:rPr>
          <w:rFonts w:cs="Open Sans"/>
          <w:sz w:val="18"/>
          <w:szCs w:val="18"/>
        </w:rPr>
        <w:t xml:space="preserve">Global Slavery Index, ‘2018 Findings: Global Findings’, </w:t>
      </w:r>
      <w:r w:rsidRPr="00BE3C77">
        <w:rPr>
          <w:rFonts w:cs="Open Sans"/>
          <w:i/>
          <w:iCs/>
          <w:sz w:val="18"/>
          <w:szCs w:val="18"/>
        </w:rPr>
        <w:t>2018 The Minderoo Foundation Pty Ltd,</w:t>
      </w:r>
      <w:r w:rsidRPr="00BE3C77">
        <w:rPr>
          <w:rFonts w:cs="Open Sans"/>
          <w:sz w:val="18"/>
          <w:szCs w:val="18"/>
        </w:rPr>
        <w:t xml:space="preserve"> accessed 23 January 2020</w:t>
      </w:r>
      <w:r w:rsidR="00560B7B">
        <w:rPr>
          <w:rFonts w:cs="Open Sans"/>
          <w:sz w:val="18"/>
          <w:szCs w:val="18"/>
        </w:rPr>
        <w:t xml:space="preserve"> at </w:t>
      </w:r>
      <w:hyperlink r:id="rId4" w:history="1">
        <w:r w:rsidR="00560B7B" w:rsidRPr="00560B7B">
          <w:rPr>
            <w:rStyle w:val="Hyperlink"/>
            <w:rFonts w:cs="Open Sans"/>
            <w:sz w:val="18"/>
            <w:szCs w:val="18"/>
          </w:rPr>
          <w:t>https://www.globalslaveryindex.org/2018/findings/global-findings/</w:t>
        </w:r>
      </w:hyperlink>
      <w:r w:rsidRPr="00BE3C77">
        <w:rPr>
          <w:rFonts w:cs="Open Sans"/>
          <w:sz w:val="18"/>
          <w:szCs w:val="18"/>
        </w:rPr>
        <w:t xml:space="preserve"> </w:t>
      </w:r>
    </w:p>
  </w:endnote>
  <w:endnote w:id="11">
    <w:p w14:paraId="37C99007" w14:textId="23D30B12" w:rsidR="00166F33" w:rsidRPr="00BE3C77" w:rsidRDefault="00166F33" w:rsidP="00F04ADE">
      <w:pPr>
        <w:pStyle w:val="EndnoteText"/>
        <w:contextualSpacing/>
        <w:rPr>
          <w:rFonts w:cs="Open Sans"/>
          <w:sz w:val="18"/>
          <w:szCs w:val="18"/>
        </w:rPr>
      </w:pPr>
      <w:r w:rsidRPr="00BE3C77">
        <w:rPr>
          <w:rStyle w:val="EndnoteReference"/>
          <w:rFonts w:cs="Open Sans"/>
          <w:sz w:val="18"/>
          <w:szCs w:val="18"/>
        </w:rPr>
        <w:endnoteRef/>
      </w:r>
      <w:r w:rsidRPr="00BE3C77">
        <w:rPr>
          <w:rFonts w:cs="Open Sans"/>
          <w:sz w:val="18"/>
          <w:szCs w:val="18"/>
        </w:rPr>
        <w:t xml:space="preserve"> Commonwealth Government of Australia, </w:t>
      </w:r>
      <w:r w:rsidRPr="00BE3C77">
        <w:rPr>
          <w:rFonts w:cs="Open Sans"/>
          <w:i/>
          <w:sz w:val="18"/>
          <w:szCs w:val="18"/>
        </w:rPr>
        <w:t>Explanatory Memorandum</w:t>
      </w:r>
      <w:r w:rsidRPr="00BE3C77">
        <w:rPr>
          <w:rFonts w:cs="Open Sans"/>
          <w:sz w:val="18"/>
          <w:szCs w:val="18"/>
        </w:rPr>
        <w:t xml:space="preserve">: </w:t>
      </w:r>
      <w:r w:rsidRPr="00BE3C77">
        <w:rPr>
          <w:rFonts w:cs="Open Sans"/>
          <w:i/>
          <w:iCs/>
          <w:sz w:val="18"/>
          <w:szCs w:val="18"/>
        </w:rPr>
        <w:t>Modern Slavery Bill 2018</w:t>
      </w:r>
      <w:r w:rsidRPr="00BE3C77">
        <w:rPr>
          <w:rFonts w:cs="Open Sans"/>
          <w:sz w:val="18"/>
          <w:szCs w:val="18"/>
        </w:rPr>
        <w:t xml:space="preserve"> (</w:t>
      </w:r>
      <w:r w:rsidRPr="00BE3C77">
        <w:rPr>
          <w:rFonts w:cs="Open Sans"/>
          <w:sz w:val="18"/>
          <w:szCs w:val="18"/>
        </w:rPr>
        <w:t>Cth), [5]</w:t>
      </w:r>
    </w:p>
  </w:endnote>
  <w:endnote w:id="12">
    <w:p w14:paraId="2A00AB35" w14:textId="10755B8B" w:rsidR="00166F33" w:rsidRPr="00BE3C77" w:rsidRDefault="00166F33" w:rsidP="0023338F">
      <w:pPr>
        <w:pStyle w:val="EndnoteText"/>
        <w:contextualSpacing/>
        <w:rPr>
          <w:rFonts w:cs="Open Sans"/>
          <w:sz w:val="18"/>
          <w:szCs w:val="18"/>
          <w:lang w:val="en-US"/>
        </w:rPr>
      </w:pPr>
      <w:r w:rsidRPr="00BE3C77">
        <w:rPr>
          <w:rStyle w:val="EndnoteReference"/>
          <w:rFonts w:cs="Open Sans"/>
          <w:sz w:val="18"/>
          <w:szCs w:val="18"/>
        </w:rPr>
        <w:endnoteRef/>
      </w:r>
      <w:r w:rsidRPr="00BE3C77">
        <w:rPr>
          <w:rFonts w:cs="Open Sans"/>
          <w:sz w:val="18"/>
          <w:szCs w:val="18"/>
        </w:rPr>
        <w:t xml:space="preserve"> </w:t>
      </w:r>
      <w:r w:rsidRPr="00BE3C77">
        <w:rPr>
          <w:rFonts w:cs="Open Sans"/>
          <w:i/>
          <w:iCs/>
          <w:sz w:val="18"/>
          <w:szCs w:val="18"/>
        </w:rPr>
        <w:t xml:space="preserve">Modern Slavery Act 2018 </w:t>
      </w:r>
      <w:r w:rsidRPr="00BE3C77">
        <w:rPr>
          <w:rFonts w:cs="Open Sans"/>
          <w:sz w:val="18"/>
          <w:szCs w:val="18"/>
        </w:rPr>
        <w:t>(</w:t>
      </w:r>
      <w:r w:rsidRPr="00BE3C77">
        <w:rPr>
          <w:rFonts w:cs="Open Sans"/>
          <w:sz w:val="18"/>
          <w:szCs w:val="18"/>
        </w:rPr>
        <w:t xml:space="preserve">Cth), s 5(c) and </w:t>
      </w:r>
      <w:r w:rsidRPr="00BE3C77">
        <w:rPr>
          <w:rFonts w:cs="Open Sans"/>
          <w:i/>
          <w:iCs/>
          <w:sz w:val="18"/>
          <w:szCs w:val="18"/>
        </w:rPr>
        <w:t>Explanatory Memorandum, Modern Slavery Bill 2018</w:t>
      </w:r>
      <w:r w:rsidRPr="00BE3C77">
        <w:rPr>
          <w:rFonts w:cs="Open Sans"/>
          <w:sz w:val="18"/>
          <w:szCs w:val="18"/>
        </w:rPr>
        <w:t xml:space="preserve"> (Cth), [82]</w:t>
      </w:r>
      <w:r w:rsidR="00560B7B">
        <w:rPr>
          <w:rFonts w:cs="Open Sans"/>
          <w:sz w:val="18"/>
          <w:szCs w:val="18"/>
        </w:rPr>
        <w:t xml:space="preserve">. </w:t>
      </w:r>
      <w:r w:rsidRPr="00BE3C77">
        <w:rPr>
          <w:rFonts w:cs="Open Sans"/>
          <w:sz w:val="18"/>
          <w:szCs w:val="18"/>
        </w:rPr>
        <w:t xml:space="preserve"> The Commission is a Commonwealth Corporate Entity but does not have consolidated revenue of $100 million</w:t>
      </w:r>
    </w:p>
  </w:endnote>
  <w:endnote w:id="13">
    <w:p w14:paraId="4A8D0B68" w14:textId="401CA183" w:rsidR="00166F33" w:rsidRPr="00BE3C77" w:rsidRDefault="00166F33" w:rsidP="00F04ADE">
      <w:pPr>
        <w:spacing w:before="0" w:after="0"/>
        <w:contextualSpacing/>
        <w:rPr>
          <w:rFonts w:eastAsia="Times New Roman" w:cs="Open Sans"/>
          <w:sz w:val="18"/>
          <w:szCs w:val="18"/>
          <w:lang w:eastAsia="en-US"/>
        </w:rPr>
      </w:pPr>
      <w:r w:rsidRPr="00BE3C77">
        <w:rPr>
          <w:rStyle w:val="EndnoteReference"/>
          <w:rFonts w:cs="Open Sans"/>
          <w:sz w:val="18"/>
          <w:szCs w:val="18"/>
        </w:rPr>
        <w:endnoteRef/>
      </w:r>
      <w:r w:rsidRPr="00BE3C77">
        <w:rPr>
          <w:rFonts w:cs="Open Sans"/>
          <w:sz w:val="18"/>
          <w:szCs w:val="18"/>
        </w:rPr>
        <w:t xml:space="preserve"> </w:t>
      </w:r>
      <w:r w:rsidRPr="00BE3C77">
        <w:rPr>
          <w:rFonts w:eastAsia="Times New Roman" w:cs="Open Sans"/>
          <w:color w:val="000000"/>
          <w:sz w:val="18"/>
          <w:szCs w:val="18"/>
          <w:shd w:val="clear" w:color="auto" w:fill="FFFFFF"/>
          <w:lang w:eastAsia="en-US"/>
        </w:rPr>
        <w:t>Department of Finance, Commonwealth Procurement Rules: Achieving Value for Money (2019) under section 105B(1) of the </w:t>
      </w:r>
      <w:r w:rsidRPr="00BE3C77">
        <w:rPr>
          <w:rFonts w:eastAsia="Times New Roman" w:cs="Open Sans"/>
          <w:i/>
          <w:iCs/>
          <w:color w:val="000000"/>
          <w:sz w:val="18"/>
          <w:szCs w:val="18"/>
          <w:lang w:eastAsia="en-US"/>
        </w:rPr>
        <w:t>Public Governance, Performance and Accountability Act 2013</w:t>
      </w:r>
      <w:r w:rsidRPr="00BE3C77">
        <w:rPr>
          <w:rFonts w:eastAsia="Times New Roman" w:cs="Open Sans"/>
          <w:color w:val="000000"/>
          <w:sz w:val="18"/>
          <w:szCs w:val="18"/>
          <w:shd w:val="clear" w:color="auto" w:fill="FFFFFF"/>
          <w:lang w:eastAsia="en-US"/>
        </w:rPr>
        <w:t>  (</w:t>
      </w:r>
      <w:r w:rsidRPr="00BE3C77">
        <w:rPr>
          <w:rFonts w:eastAsia="Times New Roman" w:cs="Open Sans"/>
          <w:color w:val="000000"/>
          <w:sz w:val="18"/>
          <w:szCs w:val="18"/>
          <w:shd w:val="clear" w:color="auto" w:fill="FFFFFF"/>
          <w:lang w:eastAsia="en-US"/>
        </w:rPr>
        <w:t>Cth) accessed at https://www.legislation.gov.au/Details/F2019L00536</w:t>
      </w:r>
    </w:p>
  </w:endnote>
  <w:endnote w:id="14">
    <w:p w14:paraId="638B2894" w14:textId="55AFA625" w:rsidR="00166F33" w:rsidRPr="00BE3C77" w:rsidRDefault="00166F33" w:rsidP="00F04ADE">
      <w:pPr>
        <w:pStyle w:val="EndnoteText"/>
        <w:contextualSpacing/>
        <w:rPr>
          <w:rFonts w:cs="Open Sans"/>
          <w:sz w:val="18"/>
          <w:szCs w:val="18"/>
          <w:lang w:val="en-US"/>
        </w:rPr>
      </w:pPr>
      <w:r w:rsidRPr="00BE3C77">
        <w:rPr>
          <w:rStyle w:val="EndnoteReference"/>
          <w:rFonts w:cs="Open Sans"/>
          <w:sz w:val="18"/>
          <w:szCs w:val="18"/>
        </w:rPr>
        <w:endnoteRef/>
      </w:r>
      <w:r w:rsidRPr="00BE3C77">
        <w:rPr>
          <w:rFonts w:cs="Open Sans"/>
          <w:sz w:val="18"/>
          <w:szCs w:val="18"/>
        </w:rPr>
        <w:t xml:space="preserve"> Commonwealth Department of Finance, </w:t>
      </w:r>
      <w:r w:rsidRPr="00BE3C77">
        <w:rPr>
          <w:rFonts w:cs="Open Sans"/>
          <w:i/>
          <w:sz w:val="18"/>
          <w:szCs w:val="18"/>
        </w:rPr>
        <w:t>Consideration of relevant regulations and/or frameworks</w:t>
      </w:r>
      <w:r w:rsidRPr="00BE3C77">
        <w:rPr>
          <w:rFonts w:cs="Open Sans"/>
          <w:sz w:val="18"/>
          <w:szCs w:val="18"/>
        </w:rPr>
        <w:t xml:space="preserve"> (2019)  accessed at </w:t>
      </w:r>
      <w:hyperlink r:id="rId5" w:history="1">
        <w:r w:rsidRPr="00BE3C77">
          <w:rPr>
            <w:rStyle w:val="Hyperlink"/>
            <w:rFonts w:cs="Open Sans"/>
            <w:sz w:val="18"/>
            <w:szCs w:val="18"/>
          </w:rPr>
          <w:t>https://www.finance.gov.au/sites/default/files/2020-01/consideration-of-relevant-regulations-andor-frameworks.pdf</w:t>
        </w:r>
      </w:hyperlink>
      <w:r w:rsidRPr="00BE3C77">
        <w:rPr>
          <w:rFonts w:cs="Open Sans"/>
          <w:sz w:val="18"/>
          <w:szCs w:val="18"/>
        </w:rPr>
        <w:t xml:space="preserve">  accessed at 7 February 2020</w:t>
      </w:r>
    </w:p>
  </w:endnote>
  <w:endnote w:id="15">
    <w:p w14:paraId="46D19A25" w14:textId="1CC4337B" w:rsidR="00166F33" w:rsidRPr="00BE3C77" w:rsidRDefault="00166F33" w:rsidP="00D30632">
      <w:pPr>
        <w:pStyle w:val="ListNumber"/>
        <w:numPr>
          <w:ilvl w:val="0"/>
          <w:numId w:val="0"/>
        </w:numPr>
        <w:spacing w:before="0" w:after="0"/>
        <w:contextualSpacing/>
      </w:pPr>
      <w:r w:rsidRPr="00BE3C77">
        <w:rPr>
          <w:rStyle w:val="EndnoteReference"/>
          <w:rFonts w:cs="Open Sans"/>
          <w:sz w:val="18"/>
          <w:szCs w:val="18"/>
        </w:rPr>
        <w:endnoteRef/>
      </w:r>
      <w:r w:rsidRPr="00BE3C77">
        <w:rPr>
          <w:rFonts w:cs="Open Sans"/>
          <w:sz w:val="18"/>
          <w:szCs w:val="18"/>
        </w:rPr>
        <w:t xml:space="preserve"> This is the same approach the Commonwealth Government has encouraged reporting entities under the </w:t>
      </w:r>
      <w:r w:rsidRPr="00BE3C77">
        <w:rPr>
          <w:rFonts w:cs="Open Sans"/>
          <w:i/>
          <w:sz w:val="18"/>
          <w:szCs w:val="18"/>
        </w:rPr>
        <w:t>Modern Slavery Act</w:t>
      </w:r>
      <w:r w:rsidRPr="00BE3C77">
        <w:rPr>
          <w:rFonts w:cs="Open Sans"/>
          <w:sz w:val="18"/>
          <w:szCs w:val="18"/>
        </w:rPr>
        <w:t xml:space="preserve"> </w:t>
      </w:r>
      <w:r w:rsidRPr="00BE3C77">
        <w:rPr>
          <w:rFonts w:cs="Open Sans"/>
          <w:i/>
          <w:sz w:val="18"/>
          <w:szCs w:val="18"/>
        </w:rPr>
        <w:t>2018</w:t>
      </w:r>
      <w:r w:rsidRPr="00BE3C77">
        <w:rPr>
          <w:rFonts w:cs="Open Sans"/>
          <w:sz w:val="18"/>
          <w:szCs w:val="18"/>
        </w:rPr>
        <w:t xml:space="preserve"> (</w:t>
      </w:r>
      <w:r w:rsidRPr="00BE3C77">
        <w:rPr>
          <w:rFonts w:cs="Open Sans"/>
          <w:sz w:val="18"/>
          <w:szCs w:val="18"/>
        </w:rPr>
        <w:t xml:space="preserve">Cth) to take in Department of Home Affairs, </w:t>
      </w:r>
      <w:r w:rsidRPr="00BE3C77">
        <w:rPr>
          <w:rFonts w:cs="Open Sans"/>
          <w:bCs/>
          <w:i/>
          <w:sz w:val="18"/>
          <w:szCs w:val="18"/>
        </w:rPr>
        <w:t>Guidance for Reporting Entities: Modern Slavery Act 2018,</w:t>
      </w:r>
      <w:r w:rsidRPr="00BE3C77">
        <w:rPr>
          <w:rFonts w:cs="Open Sans"/>
          <w:bCs/>
          <w:sz w:val="18"/>
          <w:szCs w:val="18"/>
        </w:rPr>
        <w:t xml:space="preserve"> (2019)</w:t>
      </w:r>
      <w:r w:rsidR="00560B7B">
        <w:rPr>
          <w:rFonts w:cs="Open Sans"/>
          <w:bCs/>
          <w:sz w:val="18"/>
          <w:szCs w:val="18"/>
        </w:rPr>
        <w:t xml:space="preserve"> at</w:t>
      </w:r>
      <w:r w:rsidRPr="00BE3C77">
        <w:rPr>
          <w:rFonts w:cs="Open Sans"/>
          <w:bCs/>
          <w:sz w:val="18"/>
          <w:szCs w:val="18"/>
        </w:rPr>
        <w:t xml:space="preserve"> </w:t>
      </w:r>
      <w:hyperlink r:id="rId6" w:history="1">
        <w:r w:rsidRPr="00BE3C77">
          <w:rPr>
            <w:rStyle w:val="Hyperlink"/>
            <w:rFonts w:cs="Open Sans"/>
            <w:sz w:val="18"/>
            <w:szCs w:val="18"/>
          </w:rPr>
          <w:t>https://www.homeaffairs.gov.au/criminal-justice/files/modern-slavery-reporting-entities.pdf</w:t>
        </w:r>
      </w:hyperlink>
    </w:p>
  </w:endnote>
  <w:endnote w:id="16">
    <w:p w14:paraId="1ADC2DA3" w14:textId="42D9838A" w:rsidR="00166F33" w:rsidRPr="00BE3C77" w:rsidRDefault="00166F33" w:rsidP="00F04ADE">
      <w:pPr>
        <w:pStyle w:val="EndnoteText"/>
        <w:contextualSpacing/>
        <w:rPr>
          <w:rFonts w:cs="Open Sans"/>
          <w:sz w:val="18"/>
          <w:szCs w:val="18"/>
          <w:lang w:val="en-US"/>
        </w:rPr>
      </w:pPr>
      <w:r w:rsidRPr="00BE3C77">
        <w:rPr>
          <w:rStyle w:val="EndnoteReference"/>
          <w:rFonts w:cs="Open Sans"/>
          <w:sz w:val="18"/>
          <w:szCs w:val="18"/>
        </w:rPr>
        <w:endnoteRef/>
      </w:r>
      <w:r w:rsidRPr="00BE3C77">
        <w:rPr>
          <w:rFonts w:cs="Open Sans"/>
          <w:sz w:val="18"/>
          <w:szCs w:val="18"/>
        </w:rPr>
        <w:t xml:space="preserve"> ‘</w:t>
      </w:r>
      <w:r w:rsidRPr="00BE3C77">
        <w:rPr>
          <w:rFonts w:cs="Open Sans"/>
          <w:sz w:val="18"/>
          <w:szCs w:val="18"/>
          <w:lang w:val="en-US"/>
        </w:rPr>
        <w:t xml:space="preserve">Severe risks’ are defined in this Policy at Item 10 Definitions </w:t>
      </w:r>
    </w:p>
  </w:endnote>
  <w:endnote w:id="17">
    <w:p w14:paraId="29F39107" w14:textId="77777777" w:rsidR="00166F33" w:rsidRPr="003169EF" w:rsidRDefault="00166F33" w:rsidP="00A60A88">
      <w:pPr>
        <w:pStyle w:val="EndnoteText"/>
        <w:rPr>
          <w:lang w:val="en-US"/>
        </w:rPr>
      </w:pPr>
      <w:r>
        <w:rPr>
          <w:rStyle w:val="EndnoteReference"/>
        </w:rPr>
        <w:endnoteRef/>
      </w:r>
      <w:r>
        <w:t xml:space="preserve"> </w:t>
      </w:r>
      <w:r>
        <w:rPr>
          <w:lang w:val="en-US"/>
        </w:rPr>
        <w:t xml:space="preserve">See UNGPs, Principle 19 </w:t>
      </w:r>
    </w:p>
  </w:endnote>
  <w:endnote w:id="18">
    <w:p w14:paraId="2DF3343E" w14:textId="2CEB2AEA" w:rsidR="00166F33" w:rsidRPr="002E323F" w:rsidRDefault="00166F33" w:rsidP="00D30632">
      <w:pPr>
        <w:pStyle w:val="ListNumber"/>
        <w:numPr>
          <w:ilvl w:val="0"/>
          <w:numId w:val="0"/>
        </w:numPr>
        <w:spacing w:before="0" w:after="0"/>
        <w:contextualSpacing/>
        <w:rPr>
          <w:lang w:val="en-US"/>
        </w:rPr>
      </w:pPr>
      <w:r w:rsidRPr="00A60A88">
        <w:rPr>
          <w:rFonts w:asciiTheme="minorHAnsi" w:eastAsiaTheme="minorHAnsi" w:hAnsiTheme="minorHAnsi" w:cstheme="minorBidi"/>
          <w:sz w:val="20"/>
          <w:szCs w:val="20"/>
          <w:lang w:val="en-US" w:eastAsia="en-US"/>
        </w:rPr>
        <w:endnoteRef/>
      </w:r>
      <w:r w:rsidRPr="00A60A88">
        <w:rPr>
          <w:rFonts w:asciiTheme="minorHAnsi" w:eastAsiaTheme="minorHAnsi" w:hAnsiTheme="minorHAnsi" w:cstheme="minorBidi"/>
          <w:sz w:val="20"/>
          <w:szCs w:val="20"/>
          <w:lang w:val="en-US" w:eastAsia="en-US"/>
        </w:rPr>
        <w:t xml:space="preserve"> In particular drawing on commentary Department of Home Affairs, Guidance for Reporting Entities: Modern Slavery Act 2018, (2019) , Appendix 3, 83 and other up-to-date best practice guidance from civil society and other experts. </w:t>
      </w:r>
    </w:p>
  </w:endnote>
  <w:endnote w:id="19">
    <w:p w14:paraId="4DCEAA19" w14:textId="09453DF9" w:rsidR="00166F33" w:rsidRPr="00BE3C77" w:rsidRDefault="00166F33" w:rsidP="00F04ADE">
      <w:pPr>
        <w:pStyle w:val="EndnoteText"/>
        <w:contextualSpacing/>
        <w:rPr>
          <w:rFonts w:cs="Open Sans"/>
          <w:sz w:val="18"/>
          <w:szCs w:val="18"/>
          <w:lang w:val="en-US"/>
        </w:rPr>
      </w:pPr>
      <w:r w:rsidRPr="00BE3C77">
        <w:rPr>
          <w:rStyle w:val="EndnoteReference"/>
          <w:rFonts w:cs="Open Sans"/>
          <w:sz w:val="18"/>
          <w:szCs w:val="18"/>
        </w:rPr>
        <w:endnoteRef/>
      </w:r>
      <w:r w:rsidRPr="00BE3C77">
        <w:rPr>
          <w:rFonts w:cs="Open Sans"/>
          <w:sz w:val="18"/>
          <w:szCs w:val="18"/>
        </w:rPr>
        <w:t xml:space="preserve"> </w:t>
      </w:r>
      <w:r w:rsidRPr="00BE3C77">
        <w:rPr>
          <w:rFonts w:cs="Open Sans"/>
          <w:sz w:val="18"/>
          <w:szCs w:val="18"/>
          <w:lang w:val="en-US"/>
        </w:rPr>
        <w:t xml:space="preserve">The Trading Circle, Our Story, http://www.thetradingcircle.com.au/our-story accessed 6 February 2020  </w:t>
      </w:r>
    </w:p>
  </w:endnote>
  <w:endnote w:id="20">
    <w:p w14:paraId="0BC007D9" w14:textId="1F61FC5B" w:rsidR="00166F33" w:rsidRPr="00BE3C77" w:rsidRDefault="00166F33" w:rsidP="00F04ADE">
      <w:pPr>
        <w:pStyle w:val="EndnoteText"/>
        <w:contextualSpacing/>
        <w:rPr>
          <w:rFonts w:cs="Open Sans"/>
          <w:sz w:val="18"/>
          <w:szCs w:val="18"/>
        </w:rPr>
      </w:pPr>
      <w:r w:rsidRPr="00BE3C77">
        <w:rPr>
          <w:rStyle w:val="EndnoteReference"/>
          <w:rFonts w:cs="Open Sans"/>
          <w:sz w:val="18"/>
          <w:szCs w:val="18"/>
        </w:rPr>
        <w:endnoteRef/>
      </w:r>
      <w:r w:rsidRPr="00BE3C77">
        <w:rPr>
          <w:rFonts w:cs="Open Sans"/>
          <w:sz w:val="18"/>
          <w:szCs w:val="18"/>
        </w:rPr>
        <w:t xml:space="preserve"> </w:t>
      </w:r>
      <w:r w:rsidRPr="00BE3C77">
        <w:rPr>
          <w:rFonts w:cs="Open Sans"/>
          <w:i/>
          <w:iCs/>
          <w:sz w:val="18"/>
          <w:szCs w:val="18"/>
        </w:rPr>
        <w:t>Modern Slavery Act 2018</w:t>
      </w:r>
      <w:r w:rsidRPr="00BE3C77">
        <w:rPr>
          <w:rFonts w:cs="Open Sans"/>
          <w:sz w:val="18"/>
          <w:szCs w:val="18"/>
        </w:rPr>
        <w:t xml:space="preserve"> (</w:t>
      </w:r>
      <w:r w:rsidRPr="00BE3C77">
        <w:rPr>
          <w:rFonts w:cs="Open Sans"/>
          <w:sz w:val="18"/>
          <w:szCs w:val="18"/>
        </w:rPr>
        <w:t xml:space="preserve">Cth), s 4 which references to offences under Division 270 or 271 of the Commonwealth </w:t>
      </w:r>
      <w:r w:rsidRPr="00BE3C77">
        <w:rPr>
          <w:rFonts w:cs="Open Sans"/>
          <w:i/>
          <w:iCs/>
          <w:sz w:val="18"/>
          <w:szCs w:val="18"/>
        </w:rPr>
        <w:t>Criminal Code</w:t>
      </w:r>
      <w:r w:rsidRPr="00BE3C77">
        <w:rPr>
          <w:rFonts w:cs="Open Sans"/>
          <w:sz w:val="18"/>
          <w:szCs w:val="18"/>
        </w:rPr>
        <w:t xml:space="preserve"> </w:t>
      </w:r>
    </w:p>
  </w:endnote>
  <w:endnote w:id="21">
    <w:p w14:paraId="60F9CDB9" w14:textId="799CA583" w:rsidR="00166F33" w:rsidRPr="00BE3C77" w:rsidRDefault="00166F33" w:rsidP="00F04ADE">
      <w:pPr>
        <w:pStyle w:val="EndnoteText"/>
        <w:contextualSpacing/>
        <w:rPr>
          <w:rFonts w:cs="Open Sans"/>
          <w:sz w:val="18"/>
          <w:szCs w:val="18"/>
          <w:lang w:val="en-US"/>
        </w:rPr>
      </w:pPr>
      <w:r w:rsidRPr="00BE3C77">
        <w:rPr>
          <w:rStyle w:val="EndnoteReference"/>
          <w:rFonts w:cs="Open Sans"/>
          <w:sz w:val="18"/>
          <w:szCs w:val="18"/>
        </w:rPr>
        <w:endnoteRef/>
      </w:r>
      <w:r w:rsidRPr="00BE3C77">
        <w:rPr>
          <w:rFonts w:cs="Open Sans"/>
          <w:sz w:val="18"/>
          <w:szCs w:val="18"/>
        </w:rPr>
        <w:t xml:space="preserve"> </w:t>
      </w:r>
      <w:r w:rsidRPr="00BE3C77">
        <w:rPr>
          <w:rFonts w:eastAsia="Times New Roman" w:cs="Open Sans"/>
          <w:color w:val="000000"/>
          <w:sz w:val="18"/>
          <w:szCs w:val="18"/>
          <w:shd w:val="clear" w:color="auto" w:fill="FFFFFF"/>
        </w:rPr>
        <w:t>Department of Finance, Commonwealth Procurement Rules: Achieving Value for Money (2019), at [2.7] – [2.10]</w:t>
      </w:r>
    </w:p>
  </w:endnote>
  <w:endnote w:id="22">
    <w:p w14:paraId="260B1814" w14:textId="49335232" w:rsidR="00166F33" w:rsidRPr="00BE3C77" w:rsidRDefault="00166F33" w:rsidP="00F04ADE">
      <w:pPr>
        <w:pStyle w:val="EndnoteText"/>
        <w:contextualSpacing/>
        <w:rPr>
          <w:rFonts w:cs="Open Sans"/>
          <w:sz w:val="18"/>
          <w:szCs w:val="18"/>
          <w:lang w:val="en-US"/>
        </w:rPr>
      </w:pPr>
      <w:r w:rsidRPr="00BE3C77">
        <w:rPr>
          <w:rStyle w:val="EndnoteReference"/>
          <w:rFonts w:cs="Open Sans"/>
          <w:sz w:val="18"/>
          <w:szCs w:val="18"/>
        </w:rPr>
        <w:endnoteRef/>
      </w:r>
      <w:r w:rsidRPr="00BE3C77">
        <w:rPr>
          <w:rFonts w:cs="Open Sans"/>
          <w:sz w:val="18"/>
          <w:szCs w:val="18"/>
        </w:rPr>
        <w:t xml:space="preserve"> </w:t>
      </w:r>
      <w:r w:rsidRPr="00BE3C77">
        <w:rPr>
          <w:rFonts w:cs="Open Sans"/>
          <w:sz w:val="18"/>
          <w:szCs w:val="18"/>
          <w:lang w:val="en-US"/>
        </w:rPr>
        <w:t>Danish Institute for Human Rights</w:t>
      </w:r>
      <w:r w:rsidRPr="00BE3C77">
        <w:rPr>
          <w:rFonts w:cs="Open Sans"/>
          <w:i/>
          <w:iCs/>
          <w:sz w:val="18"/>
          <w:szCs w:val="18"/>
          <w:lang w:val="en-US"/>
        </w:rPr>
        <w:t xml:space="preserve">, </w:t>
      </w:r>
      <w:r w:rsidRPr="00BE3C77">
        <w:rPr>
          <w:rFonts w:cs="Open Sans"/>
          <w:i/>
          <w:iCs/>
          <w:sz w:val="18"/>
          <w:szCs w:val="18"/>
        </w:rPr>
        <w:t>Driving change through public procurement: A toolkit on human rights for policy makers and public buyers (Road-testing version)</w:t>
      </w:r>
      <w:r w:rsidRPr="00BE3C77">
        <w:rPr>
          <w:rFonts w:cs="Open Sans"/>
          <w:sz w:val="18"/>
          <w:szCs w:val="18"/>
        </w:rPr>
        <w:t xml:space="preserve">, (November 2019) </w:t>
      </w:r>
      <w:r w:rsidRPr="00BE3C77">
        <w:rPr>
          <w:rFonts w:cs="Open Sans"/>
          <w:sz w:val="18"/>
          <w:szCs w:val="18"/>
          <w:lang w:val="en-US"/>
        </w:rPr>
        <w:t xml:space="preserve"> p.37 https://www.business-humanrights.org/sites/default/files/documents/danish_institute_driving_change_through_public_procurement_-_a_toolkit_on_human_rights_for_policy_makers_and_public_buyers_.pdf. See further commentary about severe risks at the UNGPs Reporting Framework, </w:t>
      </w:r>
      <w:r w:rsidRPr="00BE3C77">
        <w:rPr>
          <w:rFonts w:cs="Open Sans"/>
          <w:i/>
          <w:sz w:val="18"/>
          <w:szCs w:val="18"/>
          <w:lang w:val="en-US"/>
        </w:rPr>
        <w:t>Salient Human Rights Issues,</w:t>
      </w:r>
      <w:r w:rsidRPr="00BE3C77">
        <w:rPr>
          <w:rFonts w:cs="Open Sans"/>
          <w:sz w:val="18"/>
          <w:szCs w:val="18"/>
          <w:lang w:val="en-US"/>
        </w:rPr>
        <w:t xml:space="preserve">  </w:t>
      </w:r>
      <w:hyperlink r:id="rId7" w:history="1">
        <w:r w:rsidRPr="00BE3C77">
          <w:rPr>
            <w:rStyle w:val="Hyperlink"/>
            <w:rFonts w:cs="Open Sans"/>
            <w:sz w:val="18"/>
            <w:szCs w:val="18"/>
            <w:lang w:val="en-US"/>
          </w:rPr>
          <w:t>https://www.ungpreporting.org/resources/salient-human-rights-issues/</w:t>
        </w:r>
      </w:hyperlink>
      <w:r w:rsidRPr="00BE3C77">
        <w:rPr>
          <w:rFonts w:cs="Open Sans"/>
          <w:sz w:val="18"/>
          <w:szCs w:val="18"/>
          <w:lang w:val="en-US"/>
        </w:rPr>
        <w:t xml:space="preserve"> accessed at 12 February 2020</w:t>
      </w:r>
    </w:p>
  </w:endnote>
  <w:endnote w:id="23">
    <w:p w14:paraId="39751D8A" w14:textId="26808AEB" w:rsidR="00166F33" w:rsidRPr="00BE3C77" w:rsidRDefault="00166F33" w:rsidP="002606E0">
      <w:pPr>
        <w:pStyle w:val="EndnoteText"/>
        <w:contextualSpacing/>
        <w:rPr>
          <w:rFonts w:cs="Open Sans"/>
          <w:sz w:val="18"/>
          <w:szCs w:val="18"/>
          <w:lang w:val="en-US"/>
        </w:rPr>
      </w:pPr>
      <w:r w:rsidRPr="00BE3C77">
        <w:rPr>
          <w:rStyle w:val="EndnoteReference"/>
          <w:rFonts w:cs="Open Sans"/>
          <w:sz w:val="18"/>
          <w:szCs w:val="18"/>
        </w:rPr>
        <w:endnoteRef/>
      </w:r>
      <w:r w:rsidRPr="00BE3C77">
        <w:rPr>
          <w:rFonts w:cs="Open Sans"/>
          <w:sz w:val="18"/>
          <w:szCs w:val="18"/>
        </w:rPr>
        <w:t xml:space="preserve"> </w:t>
      </w:r>
      <w:r w:rsidRPr="00BE3C77">
        <w:rPr>
          <w:rFonts w:cs="Open Sans"/>
          <w:sz w:val="18"/>
          <w:szCs w:val="18"/>
          <w:lang w:val="en-US"/>
        </w:rPr>
        <w:t xml:space="preserve">UNGPs Reporting Framework, </w:t>
      </w:r>
      <w:r w:rsidRPr="00BE3C77">
        <w:rPr>
          <w:rFonts w:cs="Open Sans"/>
          <w:i/>
          <w:sz w:val="18"/>
          <w:szCs w:val="18"/>
          <w:lang w:val="en-US"/>
        </w:rPr>
        <w:t>Salient Human Rights Issues,</w:t>
      </w:r>
      <w:r w:rsidRPr="00BE3C77">
        <w:rPr>
          <w:rFonts w:cs="Open Sans"/>
          <w:sz w:val="18"/>
          <w:szCs w:val="18"/>
          <w:lang w:val="en-US"/>
        </w:rPr>
        <w:t xml:space="preserve">  </w:t>
      </w:r>
      <w:hyperlink r:id="rId8" w:history="1">
        <w:r w:rsidRPr="00BE3C77">
          <w:rPr>
            <w:rStyle w:val="Hyperlink"/>
            <w:rFonts w:cs="Open Sans"/>
            <w:sz w:val="18"/>
            <w:szCs w:val="18"/>
            <w:lang w:val="en-US"/>
          </w:rPr>
          <w:t>https://www.ungpreporting.org/resources/salient-human-rights-issues/</w:t>
        </w:r>
      </w:hyperlink>
      <w:r w:rsidRPr="00BE3C77">
        <w:rPr>
          <w:rFonts w:cs="Open Sans"/>
          <w:sz w:val="18"/>
          <w:szCs w:val="18"/>
          <w:lang w:val="en-US"/>
        </w:rPr>
        <w:t xml:space="preserve"> accessed at 12 February 2020</w:t>
      </w:r>
    </w:p>
  </w:endnote>
  <w:endnote w:id="24">
    <w:p w14:paraId="00B52E25" w14:textId="217654CE" w:rsidR="00166F33" w:rsidRPr="00BE3C77" w:rsidRDefault="00166F33" w:rsidP="00F04ADE">
      <w:pPr>
        <w:autoSpaceDE w:val="0"/>
        <w:autoSpaceDN w:val="0"/>
        <w:adjustRightInd w:val="0"/>
        <w:spacing w:before="0" w:after="0"/>
        <w:contextualSpacing/>
        <w:rPr>
          <w:rFonts w:eastAsia="Times New Roman" w:cs="Open Sans"/>
          <w:color w:val="1C1C1C"/>
          <w:sz w:val="18"/>
          <w:szCs w:val="18"/>
        </w:rPr>
      </w:pPr>
      <w:r w:rsidRPr="00BE3C77">
        <w:rPr>
          <w:rStyle w:val="EndnoteReference"/>
          <w:rFonts w:cs="Open Sans"/>
          <w:sz w:val="18"/>
          <w:szCs w:val="18"/>
        </w:rPr>
        <w:endnoteRef/>
      </w:r>
      <w:r w:rsidRPr="00BE3C77">
        <w:rPr>
          <w:rFonts w:cs="Open Sans"/>
          <w:sz w:val="18"/>
          <w:szCs w:val="18"/>
        </w:rPr>
        <w:t xml:space="preserve"> Commonwealth Department of Finance, </w:t>
      </w:r>
      <w:r w:rsidRPr="00BE3C77">
        <w:rPr>
          <w:rFonts w:eastAsia="Times New Roman" w:cs="Open Sans"/>
          <w:color w:val="1C1C1C"/>
          <w:sz w:val="18"/>
          <w:szCs w:val="18"/>
        </w:rPr>
        <w:t xml:space="preserve">Commonwealth Procurement Rules: </w:t>
      </w:r>
      <w:r w:rsidRPr="00BE3C77">
        <w:rPr>
          <w:rFonts w:eastAsia="Times New Roman" w:cs="Open Sans"/>
          <w:color w:val="000000"/>
          <w:sz w:val="18"/>
          <w:szCs w:val="18"/>
        </w:rPr>
        <w:t>Achieving value for money (</w:t>
      </w:r>
      <w:r w:rsidRPr="00BE3C77">
        <w:rPr>
          <w:rFonts w:eastAsia="Times New Roman" w:cs="Open Sans"/>
          <w:color w:val="1C1C1C"/>
          <w:sz w:val="18"/>
          <w:szCs w:val="18"/>
        </w:rPr>
        <w:t xml:space="preserve">20 April 2019 ) </w:t>
      </w:r>
      <w:r w:rsidRPr="00BE3C77">
        <w:rPr>
          <w:rFonts w:eastAsia="Times New Roman" w:cs="Open Sans"/>
          <w:sz w:val="18"/>
          <w:szCs w:val="18"/>
        </w:rPr>
        <w:t xml:space="preserve">Authorised Version F2019L00536 registered 05/04/2019 </w:t>
      </w:r>
    </w:p>
  </w:endnote>
  <w:endnote w:id="25">
    <w:p w14:paraId="41B7E1F6" w14:textId="642AEB50" w:rsidR="00166F33" w:rsidRPr="00BE3C77" w:rsidRDefault="00166F33" w:rsidP="00F04ADE">
      <w:pPr>
        <w:pStyle w:val="EndnoteText"/>
        <w:contextualSpacing/>
        <w:rPr>
          <w:rFonts w:cs="Open Sans"/>
          <w:sz w:val="18"/>
          <w:szCs w:val="18"/>
        </w:rPr>
      </w:pPr>
      <w:r w:rsidRPr="00BE3C77">
        <w:rPr>
          <w:rStyle w:val="EndnoteReference"/>
          <w:rFonts w:cs="Open Sans"/>
          <w:sz w:val="18"/>
          <w:szCs w:val="18"/>
        </w:rPr>
        <w:endnoteRef/>
      </w:r>
      <w:r w:rsidRPr="00BE3C77">
        <w:rPr>
          <w:rFonts w:cs="Open Sans"/>
          <w:sz w:val="18"/>
          <w:szCs w:val="18"/>
        </w:rPr>
        <w:t xml:space="preserve"> Commonwealth Department of Finance, </w:t>
      </w:r>
      <w:r w:rsidRPr="30173DDF">
        <w:rPr>
          <w:rFonts w:cs="Open Sans"/>
          <w:i/>
          <w:iCs/>
          <w:sz w:val="18"/>
          <w:szCs w:val="18"/>
        </w:rPr>
        <w:t>Consideration of relevant regulations and/or frameworks</w:t>
      </w:r>
      <w:r w:rsidRPr="00BE3C77">
        <w:rPr>
          <w:rFonts w:cs="Open Sans"/>
          <w:sz w:val="18"/>
          <w:szCs w:val="18"/>
        </w:rPr>
        <w:t xml:space="preserve"> (2019)  accessed at </w:t>
      </w:r>
      <w:hyperlink r:id="rId9" w:history="1">
        <w:r w:rsidRPr="00BE3C77">
          <w:rPr>
            <w:rStyle w:val="Hyperlink"/>
            <w:rFonts w:cs="Open Sans"/>
            <w:sz w:val="18"/>
            <w:szCs w:val="18"/>
          </w:rPr>
          <w:t>https://www.finance.gov.au/sites/default/files/2020-01/consideration-of-relevant-regulations-andor-frameworks.pdf</w:t>
        </w:r>
      </w:hyperlink>
      <w:r w:rsidRPr="00BE3C77">
        <w:rPr>
          <w:rFonts w:cs="Open Sans"/>
          <w:sz w:val="18"/>
          <w:szCs w:val="18"/>
        </w:rPr>
        <w:t xml:space="preserve">  accessed at 7 February 2020 (emphasis added)</w:t>
      </w:r>
    </w:p>
  </w:endnote>
  <w:endnote w:id="26">
    <w:p w14:paraId="46646DC3" w14:textId="31709043" w:rsidR="00166F33" w:rsidRPr="00BE3C77" w:rsidRDefault="00166F33" w:rsidP="00F04ADE">
      <w:pPr>
        <w:pStyle w:val="EndnoteText"/>
        <w:contextualSpacing/>
        <w:rPr>
          <w:rFonts w:cs="Open Sans"/>
          <w:sz w:val="18"/>
          <w:szCs w:val="18"/>
          <w:lang w:val="en-US"/>
        </w:rPr>
      </w:pPr>
      <w:r w:rsidRPr="00BE3C77">
        <w:rPr>
          <w:rStyle w:val="EndnoteReference"/>
          <w:rFonts w:cs="Open Sans"/>
          <w:sz w:val="18"/>
          <w:szCs w:val="18"/>
        </w:rPr>
        <w:endnoteRef/>
      </w:r>
      <w:r w:rsidRPr="00BE3C77">
        <w:rPr>
          <w:rFonts w:cs="Open Sans"/>
          <w:sz w:val="18"/>
          <w:szCs w:val="18"/>
        </w:rPr>
        <w:t xml:space="preserve"> Commonwealth Department of Finance, </w:t>
      </w:r>
      <w:r w:rsidRPr="00BE3C77">
        <w:rPr>
          <w:rFonts w:cs="Open Sans"/>
          <w:i/>
          <w:sz w:val="18"/>
          <w:szCs w:val="18"/>
        </w:rPr>
        <w:t>Consideration of relevant regulations and/or frameworks</w:t>
      </w:r>
      <w:r w:rsidRPr="00BE3C77">
        <w:rPr>
          <w:rFonts w:cs="Open Sans"/>
          <w:sz w:val="18"/>
          <w:szCs w:val="18"/>
        </w:rPr>
        <w:t xml:space="preserve"> (2019)  accessed at </w:t>
      </w:r>
      <w:hyperlink r:id="rId10" w:history="1">
        <w:r w:rsidRPr="00BE3C77">
          <w:rPr>
            <w:rStyle w:val="Hyperlink"/>
            <w:rFonts w:cs="Open Sans"/>
            <w:sz w:val="18"/>
            <w:szCs w:val="18"/>
          </w:rPr>
          <w:t>https://www.finance.gov.au/sites/default/files/2020-01/consideration-of-relevant-regulations-andor-frameworks.pdf</w:t>
        </w:r>
      </w:hyperlink>
      <w:r w:rsidRPr="00BE3C77">
        <w:rPr>
          <w:rFonts w:cs="Open Sans"/>
          <w:sz w:val="18"/>
          <w:szCs w:val="18"/>
        </w:rPr>
        <w:t xml:space="preserve">  accessed at 7 February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E670C" w14:textId="77777777" w:rsidR="0001542A" w:rsidRPr="000465F1" w:rsidRDefault="0001542A" w:rsidP="000465F1">
    <w:pPr>
      <w:pStyle w:val="Footer"/>
    </w:pPr>
    <w:r w:rsidRPr="000465F1">
      <w:t>ABN 47 996 232 602</w:t>
    </w:r>
  </w:p>
  <w:p w14:paraId="3713E165" w14:textId="77777777" w:rsidR="0001542A" w:rsidRPr="000465F1" w:rsidRDefault="0001542A" w:rsidP="000465F1">
    <w:pPr>
      <w:pStyle w:val="Footer"/>
    </w:pPr>
    <w:r w:rsidRPr="000465F1">
      <w:t>Level 3, 175 Pitt Street, Sydney NSW 2000</w:t>
    </w:r>
  </w:p>
  <w:p w14:paraId="10BAB5B6" w14:textId="77777777" w:rsidR="0001542A" w:rsidRPr="000465F1" w:rsidRDefault="0001542A" w:rsidP="000465F1">
    <w:pPr>
      <w:pStyle w:val="Footer"/>
    </w:pPr>
    <w:r w:rsidRPr="000465F1">
      <w:t>GPO Box 5218, Sydney NSW 2001</w:t>
    </w:r>
  </w:p>
  <w:p w14:paraId="65D9CEAC" w14:textId="77777777" w:rsidR="0001542A" w:rsidRPr="000465F1" w:rsidRDefault="0001542A" w:rsidP="000465F1">
    <w:pPr>
      <w:pStyle w:val="Footer"/>
    </w:pPr>
    <w:r w:rsidRPr="000465F1">
      <w:t>General enquiries 1300 369 711</w:t>
    </w:r>
  </w:p>
  <w:p w14:paraId="6FDA883B" w14:textId="77777777" w:rsidR="0001542A" w:rsidRPr="000465F1" w:rsidRDefault="0001542A" w:rsidP="000465F1">
    <w:pPr>
      <w:pStyle w:val="Footer"/>
    </w:pPr>
    <w:r>
      <w:t xml:space="preserve">National Information Service </w:t>
    </w:r>
    <w:r w:rsidRPr="000465F1">
      <w:t>1300 656 419</w:t>
    </w:r>
  </w:p>
  <w:p w14:paraId="2DA920EB" w14:textId="77777777" w:rsidR="0001542A" w:rsidRPr="000465F1" w:rsidRDefault="0001542A"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65FA5" w14:textId="77777777" w:rsidR="0001542A" w:rsidRDefault="0001542A">
    <w:pPr>
      <w:pStyle w:val="Footer"/>
    </w:pPr>
    <w:r w:rsidRPr="00622508">
      <w:rPr>
        <w:color w:val="2B579A"/>
        <w:shd w:val="clear" w:color="auto" w:fill="E6E6E6"/>
      </w:rPr>
      <w:fldChar w:fldCharType="begin"/>
    </w:r>
    <w:r>
      <w:instrText xml:space="preserve"> PAGE   \* MERGEFORMAT </w:instrText>
    </w:r>
    <w:r w:rsidRPr="00622508">
      <w:rPr>
        <w:color w:val="2B579A"/>
        <w:shd w:val="clear" w:color="auto" w:fill="E6E6E6"/>
      </w:rPr>
      <w:fldChar w:fldCharType="separate"/>
    </w:r>
    <w:r w:rsidRPr="00AB7C8F">
      <w:t>4</w:t>
    </w:r>
    <w:r w:rsidRPr="00622508">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E3504" w14:textId="77777777" w:rsidR="0001542A" w:rsidRDefault="0001542A" w:rsidP="00E53546">
    <w:pPr>
      <w:pStyle w:val="FooterOddPageNumber"/>
    </w:pPr>
    <w:r w:rsidRPr="00AB7C8F">
      <w:rPr>
        <w:color w:val="2B579A"/>
        <w:shd w:val="clear" w:color="auto" w:fill="E6E6E6"/>
      </w:rPr>
      <w:fldChar w:fldCharType="begin"/>
    </w:r>
    <w:r>
      <w:instrText xml:space="preserve"> PAGE   \* MERGEFORMAT </w:instrText>
    </w:r>
    <w:r w:rsidRPr="00AB7C8F">
      <w:rPr>
        <w:color w:val="2B579A"/>
        <w:shd w:val="clear" w:color="auto" w:fill="E6E6E6"/>
      </w:rPr>
      <w:fldChar w:fldCharType="separate"/>
    </w:r>
    <w:r>
      <w:rPr>
        <w:noProof/>
      </w:rPr>
      <w:t>10</w:t>
    </w:r>
    <w:r w:rsidRPr="00AB7C8F">
      <w:rPr>
        <w:color w:val="2B579A"/>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7F005" w14:textId="77777777" w:rsidR="0001542A" w:rsidRDefault="0001542A" w:rsidP="00E53546">
    <w:pPr>
      <w:pStyle w:val="FooterEvenPageNumber"/>
    </w:pPr>
    <w:r w:rsidRPr="00F127A8">
      <w:rPr>
        <w:color w:val="2B579A"/>
        <w:shd w:val="clear" w:color="auto" w:fill="E6E6E6"/>
      </w:rPr>
      <w:fldChar w:fldCharType="begin"/>
    </w:r>
    <w:r>
      <w:instrText xml:space="preserve"> PAGE   \* MERGEFORMAT </w:instrText>
    </w:r>
    <w:r w:rsidRPr="00F127A8">
      <w:rPr>
        <w:color w:val="2B579A"/>
        <w:shd w:val="clear" w:color="auto" w:fill="E6E6E6"/>
      </w:rPr>
      <w:fldChar w:fldCharType="separate"/>
    </w:r>
    <w:r>
      <w:rPr>
        <w:noProof/>
      </w:rPr>
      <w:t>2</w:t>
    </w:r>
    <w:r w:rsidRPr="00F127A8">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9D0A2" w14:textId="77777777" w:rsidR="00035C51" w:rsidRDefault="00035C51" w:rsidP="00F14C6D">
      <w:r>
        <w:separator/>
      </w:r>
    </w:p>
  </w:footnote>
  <w:footnote w:type="continuationSeparator" w:id="0">
    <w:p w14:paraId="39620BDA" w14:textId="77777777" w:rsidR="00035C51" w:rsidRDefault="00035C51" w:rsidP="00F14C6D">
      <w:r>
        <w:continuationSeparator/>
      </w:r>
    </w:p>
  </w:footnote>
  <w:footnote w:type="continuationNotice" w:id="1">
    <w:p w14:paraId="62A590F9" w14:textId="77777777" w:rsidR="00035C51" w:rsidRDefault="00035C5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E5C2" w14:textId="77777777" w:rsidR="0001542A" w:rsidRPr="000465F1" w:rsidRDefault="00617184" w:rsidP="000465F1">
    <w:pPr>
      <w:pStyle w:val="Header"/>
    </w:pPr>
    <w:r>
      <w:rPr>
        <w:color w:val="2B579A"/>
        <w:shd w:val="clear" w:color="auto" w:fill="E6E6E6"/>
      </w:rPr>
      <w:pict w14:anchorId="799D6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2067"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01542A" w:rsidRPr="000465F1">
      <w:t>Australian Human Rights Commission</w:t>
    </w:r>
  </w:p>
  <w:p w14:paraId="47740244" w14:textId="77777777" w:rsidR="0001542A" w:rsidRPr="00622508" w:rsidRDefault="0001542A"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81A55" w14:textId="77777777" w:rsidR="0001542A" w:rsidRPr="000465F1" w:rsidRDefault="00617184" w:rsidP="000465F1">
    <w:r>
      <w:rPr>
        <w:color w:val="2B579A"/>
        <w:shd w:val="clear" w:color="auto" w:fill="E6E6E6"/>
      </w:rPr>
      <w:pict w14:anchorId="26168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2068"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01542A" w:rsidRPr="000465F1">
      <w:t>Australian Human Rights Commission</w:t>
    </w:r>
  </w:p>
  <w:p w14:paraId="43A6E427" w14:textId="77777777" w:rsidR="0001542A" w:rsidRPr="000465F1" w:rsidRDefault="0001542A"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862B3" w14:textId="77777777" w:rsidR="0001542A" w:rsidRDefault="00617184" w:rsidP="002012F7">
    <w:pPr>
      <w:pStyle w:val="Header"/>
    </w:pPr>
    <w:r>
      <w:rPr>
        <w:color w:val="2B579A"/>
        <w:shd w:val="clear" w:color="auto" w:fill="E6E6E6"/>
      </w:rPr>
      <w:pict w14:anchorId="492DE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71" type="#_x0000_t75" style="position:absolute;left:0;text-align:left;margin-left:-71.05pt;margin-top:-108.5pt;width:595.65pt;height:870.15pt;z-index:-251658237;mso-position-horizontal-relative:margin;mso-position-vertical-relative:margin" o:allowincell="f">
          <v:imagedata r:id="rId1" o:title="MS word cover1"/>
          <w10:wrap anchorx="margin" anchory="margin"/>
        </v:shape>
      </w:pict>
    </w:r>
    <w:r>
      <w:rPr>
        <w:color w:val="2B579A"/>
        <w:shd w:val="clear" w:color="auto" w:fill="E6E6E6"/>
      </w:rPr>
      <w:pict w14:anchorId="005BCE20">
        <v:shape id="WordPictureWatermark1034832" o:spid="_x0000_s2066"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2D6F4452" w14:textId="77777777" w:rsidR="0001542A" w:rsidRDefault="0001542A" w:rsidP="002012F7">
    <w:pPr>
      <w:pStyle w:val="Header"/>
    </w:pPr>
  </w:p>
  <w:p w14:paraId="209CC8B8" w14:textId="77777777" w:rsidR="0001542A" w:rsidRDefault="0001542A"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D238E" w14:textId="77777777" w:rsidR="0001542A" w:rsidRPr="000465F1" w:rsidRDefault="0001542A" w:rsidP="0015239E">
    <w:pPr>
      <w:pStyle w:val="Header"/>
    </w:pPr>
    <w:r w:rsidRPr="000465F1">
      <w:t>Australian Human Rights Commission</w:t>
    </w:r>
  </w:p>
  <w:p w14:paraId="3199C88B" w14:textId="77777777" w:rsidR="0001542A" w:rsidRPr="000465F1" w:rsidRDefault="0001542A" w:rsidP="0015239E">
    <w:pPr>
      <w:pStyle w:val="HeaderDocumentDate"/>
    </w:pPr>
    <w:r w:rsidRPr="001F62CC">
      <w:rPr>
        <w:rStyle w:val="HeaderDocumentTitle"/>
      </w:rPr>
      <w:t>Short title, report name,</w:t>
    </w:r>
    <w:r>
      <w:t xml:space="preserve"> </w:t>
    </w:r>
    <w:r w:rsidRPr="002850B0">
      <w:t>Date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B42A3" w14:textId="77777777" w:rsidR="0001542A" w:rsidRPr="000465F1" w:rsidRDefault="0001542A" w:rsidP="00CA5D90">
    <w:pPr>
      <w:pStyle w:val="Header"/>
    </w:pPr>
    <w:bookmarkStart w:id="59" w:name="_Hlk514672172"/>
    <w:bookmarkStart w:id="60" w:name="_Hlk514672173"/>
    <w:r w:rsidRPr="000465F1">
      <w:t>Australian Human Rights Commission</w:t>
    </w:r>
  </w:p>
  <w:bookmarkEnd w:id="59"/>
  <w:bookmarkEnd w:id="60"/>
  <w:p w14:paraId="41E832D1" w14:textId="6D490DC2" w:rsidR="0001542A" w:rsidRPr="000465F1" w:rsidRDefault="00380963" w:rsidP="002F5E96">
    <w:pPr>
      <w:pStyle w:val="HeaderDocumentDate"/>
    </w:pPr>
    <w:r>
      <w:rPr>
        <w:rStyle w:val="HeaderDocumentTitle"/>
      </w:rPr>
      <w:t>Responible</w:t>
    </w:r>
    <w:r w:rsidR="00E432BC">
      <w:rPr>
        <w:rStyle w:val="HeaderDocumentTitle"/>
      </w:rPr>
      <w:t xml:space="preserve"> Sourcing</w:t>
    </w:r>
    <w:r>
      <w:rPr>
        <w:rStyle w:val="HeaderDocumentTitle"/>
      </w:rPr>
      <w:t xml:space="preserve"> </w:t>
    </w:r>
    <w:r w:rsidR="0001542A">
      <w:rPr>
        <w:rStyle w:val="HeaderDocumentTitle"/>
      </w:rPr>
      <w:t>Policy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C2543" w14:textId="77777777" w:rsidR="0001542A" w:rsidRPr="000465F1" w:rsidRDefault="0001542A" w:rsidP="0063009F">
    <w:pPr>
      <w:pStyle w:val="Header"/>
    </w:pPr>
    <w:r w:rsidRPr="000465F1">
      <w:t>Australian Human Rights Commission</w:t>
    </w:r>
  </w:p>
  <w:p w14:paraId="7D6E7E3C" w14:textId="6D59F964" w:rsidR="0001542A" w:rsidRPr="000465F1" w:rsidRDefault="00B57007" w:rsidP="0063009F">
    <w:pPr>
      <w:pStyle w:val="HeaderDocumentDate"/>
    </w:pPr>
    <w:r>
      <w:rPr>
        <w:rStyle w:val="HeaderDocumentTitle"/>
        <w:i/>
        <w:iCs/>
      </w:rPr>
      <w:t xml:space="preserve">Responsible Sourcing </w:t>
    </w:r>
    <w:r w:rsidR="0001542A">
      <w:rPr>
        <w:rStyle w:val="HeaderDocumentTitle"/>
        <w:i/>
        <w:iCs/>
      </w:rPr>
      <w:t>Policy</w:t>
    </w:r>
    <w:r w:rsidR="0001542A">
      <w:rPr>
        <w:rStyle w:val="HeaderDocumentTit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32A8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0740CBB"/>
    <w:multiLevelType w:val="hybridMultilevel"/>
    <w:tmpl w:val="07E66216"/>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11" w15:restartNumberingAfterBreak="0">
    <w:nsid w:val="00CA743B"/>
    <w:multiLevelType w:val="hybridMultilevel"/>
    <w:tmpl w:val="BE289F82"/>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829F3"/>
    <w:multiLevelType w:val="hybridMultilevel"/>
    <w:tmpl w:val="1AF0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50CCC"/>
    <w:multiLevelType w:val="hybridMultilevel"/>
    <w:tmpl w:val="47FC06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9A10E2"/>
    <w:multiLevelType w:val="hybridMultilevel"/>
    <w:tmpl w:val="C87A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DD233D"/>
    <w:multiLevelType w:val="hybridMultilevel"/>
    <w:tmpl w:val="1A50DF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163B0021"/>
    <w:multiLevelType w:val="hybridMultilevel"/>
    <w:tmpl w:val="233884E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1DBF54CB"/>
    <w:multiLevelType w:val="hybridMultilevel"/>
    <w:tmpl w:val="8D103136"/>
    <w:lvl w:ilvl="0" w:tplc="49FCDFC2">
      <w:start w:val="1"/>
      <w:numFmt w:val="bullet"/>
      <w:lvlText w:val=""/>
      <w:lvlJc w:val="left"/>
      <w:pPr>
        <w:ind w:left="720" w:hanging="360"/>
      </w:pPr>
      <w:rPr>
        <w:rFonts w:ascii="Symbol" w:hAnsi="Symbol" w:hint="default"/>
      </w:rPr>
    </w:lvl>
    <w:lvl w:ilvl="1" w:tplc="91201292">
      <w:start w:val="1"/>
      <w:numFmt w:val="bullet"/>
      <w:lvlText w:val="o"/>
      <w:lvlJc w:val="left"/>
      <w:pPr>
        <w:ind w:left="1440" w:hanging="360"/>
      </w:pPr>
      <w:rPr>
        <w:rFonts w:ascii="Courier New" w:hAnsi="Courier New" w:hint="default"/>
      </w:rPr>
    </w:lvl>
    <w:lvl w:ilvl="2" w:tplc="F234635E">
      <w:start w:val="1"/>
      <w:numFmt w:val="bullet"/>
      <w:lvlText w:val=""/>
      <w:lvlJc w:val="left"/>
      <w:pPr>
        <w:ind w:left="2160" w:hanging="360"/>
      </w:pPr>
      <w:rPr>
        <w:rFonts w:ascii="Wingdings" w:hAnsi="Wingdings" w:hint="default"/>
      </w:rPr>
    </w:lvl>
    <w:lvl w:ilvl="3" w:tplc="717899CC">
      <w:start w:val="1"/>
      <w:numFmt w:val="bullet"/>
      <w:lvlText w:val=""/>
      <w:lvlJc w:val="left"/>
      <w:pPr>
        <w:ind w:left="2880" w:hanging="360"/>
      </w:pPr>
      <w:rPr>
        <w:rFonts w:ascii="Symbol" w:hAnsi="Symbol" w:hint="default"/>
      </w:rPr>
    </w:lvl>
    <w:lvl w:ilvl="4" w:tplc="9C82BBE0">
      <w:start w:val="1"/>
      <w:numFmt w:val="bullet"/>
      <w:lvlText w:val="o"/>
      <w:lvlJc w:val="left"/>
      <w:pPr>
        <w:ind w:left="3600" w:hanging="360"/>
      </w:pPr>
      <w:rPr>
        <w:rFonts w:ascii="Courier New" w:hAnsi="Courier New" w:hint="default"/>
      </w:rPr>
    </w:lvl>
    <w:lvl w:ilvl="5" w:tplc="27649350">
      <w:start w:val="1"/>
      <w:numFmt w:val="bullet"/>
      <w:lvlText w:val=""/>
      <w:lvlJc w:val="left"/>
      <w:pPr>
        <w:ind w:left="4320" w:hanging="360"/>
      </w:pPr>
      <w:rPr>
        <w:rFonts w:ascii="Wingdings" w:hAnsi="Wingdings" w:hint="default"/>
      </w:rPr>
    </w:lvl>
    <w:lvl w:ilvl="6" w:tplc="00FE6B94">
      <w:start w:val="1"/>
      <w:numFmt w:val="bullet"/>
      <w:lvlText w:val=""/>
      <w:lvlJc w:val="left"/>
      <w:pPr>
        <w:ind w:left="5040" w:hanging="360"/>
      </w:pPr>
      <w:rPr>
        <w:rFonts w:ascii="Symbol" w:hAnsi="Symbol" w:hint="default"/>
      </w:rPr>
    </w:lvl>
    <w:lvl w:ilvl="7" w:tplc="7A860036">
      <w:start w:val="1"/>
      <w:numFmt w:val="bullet"/>
      <w:lvlText w:val="o"/>
      <w:lvlJc w:val="left"/>
      <w:pPr>
        <w:ind w:left="5760" w:hanging="360"/>
      </w:pPr>
      <w:rPr>
        <w:rFonts w:ascii="Courier New" w:hAnsi="Courier New" w:hint="default"/>
      </w:rPr>
    </w:lvl>
    <w:lvl w:ilvl="8" w:tplc="81E6F9A0">
      <w:start w:val="1"/>
      <w:numFmt w:val="bullet"/>
      <w:lvlText w:val=""/>
      <w:lvlJc w:val="left"/>
      <w:pPr>
        <w:ind w:left="6480" w:hanging="360"/>
      </w:pPr>
      <w:rPr>
        <w:rFonts w:ascii="Wingdings" w:hAnsi="Wingdings" w:hint="default"/>
      </w:rPr>
    </w:lvl>
  </w:abstractNum>
  <w:abstractNum w:abstractNumId="18"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DD10B61"/>
    <w:multiLevelType w:val="hybridMultilevel"/>
    <w:tmpl w:val="5282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DB7CE2"/>
    <w:multiLevelType w:val="multilevel"/>
    <w:tmpl w:val="72A6C6EC"/>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21" w15:restartNumberingAfterBreak="0">
    <w:nsid w:val="20202515"/>
    <w:multiLevelType w:val="hybridMultilevel"/>
    <w:tmpl w:val="E44AA62A"/>
    <w:lvl w:ilvl="0" w:tplc="0B2E22CA">
      <w:start w:val="2"/>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25F559B5"/>
    <w:multiLevelType w:val="multilevel"/>
    <w:tmpl w:val="9DFEB6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26D332C6"/>
    <w:multiLevelType w:val="hybridMultilevel"/>
    <w:tmpl w:val="1EEE0C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2D247F41"/>
    <w:multiLevelType w:val="hybridMultilevel"/>
    <w:tmpl w:val="4C0A6D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4D247D"/>
    <w:multiLevelType w:val="hybridMultilevel"/>
    <w:tmpl w:val="EBDC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2F1A26"/>
    <w:multiLevelType w:val="singleLevel"/>
    <w:tmpl w:val="9E186FF4"/>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18129B2"/>
    <w:multiLevelType w:val="hybridMultilevel"/>
    <w:tmpl w:val="CE6CC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174AB"/>
    <w:multiLevelType w:val="hybridMultilevel"/>
    <w:tmpl w:val="D9B45256"/>
    <w:lvl w:ilvl="0" w:tplc="0C090001">
      <w:start w:val="1"/>
      <w:numFmt w:val="bullet"/>
      <w:lvlText w:val=""/>
      <w:lvlJc w:val="left"/>
      <w:pPr>
        <w:ind w:left="1572" w:hanging="360"/>
      </w:pPr>
      <w:rPr>
        <w:rFonts w:ascii="Symbol" w:hAnsi="Symbol" w:hint="default"/>
      </w:rPr>
    </w:lvl>
    <w:lvl w:ilvl="1" w:tplc="108AEFFE">
      <w:numFmt w:val="bullet"/>
      <w:lvlText w:val="•"/>
      <w:lvlJc w:val="left"/>
      <w:pPr>
        <w:ind w:left="2292" w:hanging="360"/>
      </w:pPr>
      <w:rPr>
        <w:rFonts w:ascii="Open Sans" w:eastAsia="MS Mincho" w:hAnsi="Open Sans" w:cs="Open Sans"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31" w15:restartNumberingAfterBreak="0">
    <w:nsid w:val="44217A60"/>
    <w:multiLevelType w:val="hybridMultilevel"/>
    <w:tmpl w:val="6EB6B04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15:restartNumberingAfterBreak="0">
    <w:nsid w:val="496B5FF7"/>
    <w:multiLevelType w:val="hybridMultilevel"/>
    <w:tmpl w:val="7E42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FF7A73"/>
    <w:multiLevelType w:val="multilevel"/>
    <w:tmpl w:val="758E230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color w:val="auto"/>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5036746B"/>
    <w:multiLevelType w:val="singleLevel"/>
    <w:tmpl w:val="B5AC1DE0"/>
    <w:lvl w:ilvl="0">
      <w:start w:val="1"/>
      <w:numFmt w:val="bullet"/>
      <w:lvlText w:val=""/>
      <w:lvlJc w:val="left"/>
      <w:pPr>
        <w:tabs>
          <w:tab w:val="num" w:pos="340"/>
        </w:tabs>
        <w:ind w:left="340" w:hanging="340"/>
      </w:pPr>
      <w:rPr>
        <w:rFonts w:ascii="Symbol" w:hAnsi="Symbol" w:hint="default"/>
        <w:color w:val="auto"/>
        <w:sz w:val="22"/>
      </w:rPr>
    </w:lvl>
  </w:abstractNum>
  <w:abstractNum w:abstractNumId="36" w15:restartNumberingAfterBreak="0">
    <w:nsid w:val="58493C9F"/>
    <w:multiLevelType w:val="hybridMultilevel"/>
    <w:tmpl w:val="B0F0837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9B5FE1"/>
    <w:multiLevelType w:val="hybridMultilevel"/>
    <w:tmpl w:val="F3408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24508E"/>
    <w:multiLevelType w:val="hybridMultilevel"/>
    <w:tmpl w:val="CE6CC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421E9E"/>
    <w:multiLevelType w:val="hybridMultilevel"/>
    <w:tmpl w:val="74A8C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023687"/>
    <w:multiLevelType w:val="hybridMultilevel"/>
    <w:tmpl w:val="0A024498"/>
    <w:lvl w:ilvl="0" w:tplc="E6363D9C">
      <w:start w:val="1"/>
      <w:numFmt w:val="bullet"/>
      <w:lvlText w:val="•"/>
      <w:lvlJc w:val="left"/>
      <w:pPr>
        <w:tabs>
          <w:tab w:val="num" w:pos="360"/>
        </w:tabs>
        <w:ind w:left="360" w:hanging="360"/>
      </w:pPr>
      <w:rPr>
        <w:rFonts w:ascii="Times New Roman" w:hAnsi="Times New Roman" w:hint="default"/>
      </w:rPr>
    </w:lvl>
    <w:lvl w:ilvl="1" w:tplc="FCF253EE" w:tentative="1">
      <w:start w:val="1"/>
      <w:numFmt w:val="bullet"/>
      <w:lvlText w:val="•"/>
      <w:lvlJc w:val="left"/>
      <w:pPr>
        <w:tabs>
          <w:tab w:val="num" w:pos="1080"/>
        </w:tabs>
        <w:ind w:left="1080" w:hanging="360"/>
      </w:pPr>
      <w:rPr>
        <w:rFonts w:ascii="Times New Roman" w:hAnsi="Times New Roman" w:hint="default"/>
      </w:rPr>
    </w:lvl>
    <w:lvl w:ilvl="2" w:tplc="6C94CF06" w:tentative="1">
      <w:start w:val="1"/>
      <w:numFmt w:val="bullet"/>
      <w:lvlText w:val="•"/>
      <w:lvlJc w:val="left"/>
      <w:pPr>
        <w:tabs>
          <w:tab w:val="num" w:pos="1800"/>
        </w:tabs>
        <w:ind w:left="1800" w:hanging="360"/>
      </w:pPr>
      <w:rPr>
        <w:rFonts w:ascii="Times New Roman" w:hAnsi="Times New Roman" w:hint="default"/>
      </w:rPr>
    </w:lvl>
    <w:lvl w:ilvl="3" w:tplc="96D27AB2" w:tentative="1">
      <w:start w:val="1"/>
      <w:numFmt w:val="bullet"/>
      <w:lvlText w:val="•"/>
      <w:lvlJc w:val="left"/>
      <w:pPr>
        <w:tabs>
          <w:tab w:val="num" w:pos="2520"/>
        </w:tabs>
        <w:ind w:left="2520" w:hanging="360"/>
      </w:pPr>
      <w:rPr>
        <w:rFonts w:ascii="Times New Roman" w:hAnsi="Times New Roman" w:hint="default"/>
      </w:rPr>
    </w:lvl>
    <w:lvl w:ilvl="4" w:tplc="8DEC0C9A" w:tentative="1">
      <w:start w:val="1"/>
      <w:numFmt w:val="bullet"/>
      <w:lvlText w:val="•"/>
      <w:lvlJc w:val="left"/>
      <w:pPr>
        <w:tabs>
          <w:tab w:val="num" w:pos="3240"/>
        </w:tabs>
        <w:ind w:left="3240" w:hanging="360"/>
      </w:pPr>
      <w:rPr>
        <w:rFonts w:ascii="Times New Roman" w:hAnsi="Times New Roman" w:hint="default"/>
      </w:rPr>
    </w:lvl>
    <w:lvl w:ilvl="5" w:tplc="AF3C36B2" w:tentative="1">
      <w:start w:val="1"/>
      <w:numFmt w:val="bullet"/>
      <w:lvlText w:val="•"/>
      <w:lvlJc w:val="left"/>
      <w:pPr>
        <w:tabs>
          <w:tab w:val="num" w:pos="3960"/>
        </w:tabs>
        <w:ind w:left="3960" w:hanging="360"/>
      </w:pPr>
      <w:rPr>
        <w:rFonts w:ascii="Times New Roman" w:hAnsi="Times New Roman" w:hint="default"/>
      </w:rPr>
    </w:lvl>
    <w:lvl w:ilvl="6" w:tplc="D36A16BA" w:tentative="1">
      <w:start w:val="1"/>
      <w:numFmt w:val="bullet"/>
      <w:lvlText w:val="•"/>
      <w:lvlJc w:val="left"/>
      <w:pPr>
        <w:tabs>
          <w:tab w:val="num" w:pos="4680"/>
        </w:tabs>
        <w:ind w:left="4680" w:hanging="360"/>
      </w:pPr>
      <w:rPr>
        <w:rFonts w:ascii="Times New Roman" w:hAnsi="Times New Roman" w:hint="default"/>
      </w:rPr>
    </w:lvl>
    <w:lvl w:ilvl="7" w:tplc="54C69BB2" w:tentative="1">
      <w:start w:val="1"/>
      <w:numFmt w:val="bullet"/>
      <w:lvlText w:val="•"/>
      <w:lvlJc w:val="left"/>
      <w:pPr>
        <w:tabs>
          <w:tab w:val="num" w:pos="5400"/>
        </w:tabs>
        <w:ind w:left="5400" w:hanging="360"/>
      </w:pPr>
      <w:rPr>
        <w:rFonts w:ascii="Times New Roman" w:hAnsi="Times New Roman" w:hint="default"/>
      </w:rPr>
    </w:lvl>
    <w:lvl w:ilvl="8" w:tplc="799E25F4" w:tentative="1">
      <w:start w:val="1"/>
      <w:numFmt w:val="bullet"/>
      <w:lvlText w:val="•"/>
      <w:lvlJc w:val="left"/>
      <w:pPr>
        <w:tabs>
          <w:tab w:val="num" w:pos="6120"/>
        </w:tabs>
        <w:ind w:left="6120" w:hanging="360"/>
      </w:pPr>
      <w:rPr>
        <w:rFonts w:ascii="Times New Roman" w:hAnsi="Times New Roman" w:hint="default"/>
      </w:rPr>
    </w:lvl>
  </w:abstractNum>
  <w:abstractNum w:abstractNumId="41" w15:restartNumberingAfterBreak="0">
    <w:nsid w:val="6952342B"/>
    <w:multiLevelType w:val="hybridMultilevel"/>
    <w:tmpl w:val="F6FCD5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A63171F"/>
    <w:multiLevelType w:val="hybridMultilevel"/>
    <w:tmpl w:val="AF7CB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B91CE3"/>
    <w:multiLevelType w:val="hybridMultilevel"/>
    <w:tmpl w:val="E0E07F02"/>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383599"/>
    <w:multiLevelType w:val="hybridMultilevel"/>
    <w:tmpl w:val="C01EDCD8"/>
    <w:lvl w:ilvl="0" w:tplc="8E700270">
      <w:numFmt w:val="bullet"/>
      <w:lvlText w:val="-"/>
      <w:lvlJc w:val="left"/>
      <w:pPr>
        <w:ind w:left="720" w:hanging="360"/>
      </w:pPr>
      <w:rPr>
        <w:rFonts w:ascii="Open Sans" w:eastAsia="MS Mincho"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26F5D69"/>
    <w:multiLevelType w:val="hybridMultilevel"/>
    <w:tmpl w:val="5BD2F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1"/>
  </w:num>
  <w:num w:numId="10">
    <w:abstractNumId w:val="0"/>
  </w:num>
  <w:num w:numId="11">
    <w:abstractNumId w:val="3"/>
  </w:num>
  <w:num w:numId="12">
    <w:abstractNumId w:val="2"/>
  </w:num>
  <w:num w:numId="13">
    <w:abstractNumId w:val="34"/>
  </w:num>
  <w:num w:numId="14">
    <w:abstractNumId w:val="28"/>
  </w:num>
  <w:num w:numId="15">
    <w:abstractNumId w:val="22"/>
  </w:num>
  <w:num w:numId="16">
    <w:abstractNumId w:val="18"/>
  </w:num>
  <w:num w:numId="17">
    <w:abstractNumId w:val="30"/>
  </w:num>
  <w:num w:numId="18">
    <w:abstractNumId w:val="35"/>
  </w:num>
  <w:num w:numId="19">
    <w:abstractNumId w:val="27"/>
  </w:num>
  <w:num w:numId="20">
    <w:abstractNumId w:val="40"/>
  </w:num>
  <w:num w:numId="21">
    <w:abstractNumId w:val="21"/>
  </w:num>
  <w:num w:numId="22">
    <w:abstractNumId w:val="45"/>
  </w:num>
  <w:num w:numId="23">
    <w:abstractNumId w:val="15"/>
  </w:num>
  <w:num w:numId="24">
    <w:abstractNumId w:val="39"/>
  </w:num>
  <w:num w:numId="25">
    <w:abstractNumId w:val="31"/>
  </w:num>
  <w:num w:numId="26">
    <w:abstractNumId w:val="12"/>
  </w:num>
  <w:num w:numId="27">
    <w:abstractNumId w:val="19"/>
  </w:num>
  <w:num w:numId="28">
    <w:abstractNumId w:val="13"/>
  </w:num>
  <w:num w:numId="29">
    <w:abstractNumId w:val="36"/>
  </w:num>
  <w:num w:numId="30">
    <w:abstractNumId w:val="16"/>
  </w:num>
  <w:num w:numId="31">
    <w:abstractNumId w:val="26"/>
  </w:num>
  <w:num w:numId="32">
    <w:abstractNumId w:val="14"/>
  </w:num>
  <w:num w:numId="33">
    <w:abstractNumId w:val="32"/>
  </w:num>
  <w:num w:numId="34">
    <w:abstractNumId w:val="38"/>
  </w:num>
  <w:num w:numId="35">
    <w:abstractNumId w:val="37"/>
  </w:num>
  <w:num w:numId="36">
    <w:abstractNumId w:val="29"/>
  </w:num>
  <w:num w:numId="37">
    <w:abstractNumId w:val="43"/>
  </w:num>
  <w:num w:numId="38">
    <w:abstractNumId w:val="25"/>
  </w:num>
  <w:num w:numId="39">
    <w:abstractNumId w:val="11"/>
  </w:num>
  <w:num w:numId="40">
    <w:abstractNumId w:val="8"/>
  </w:num>
  <w:num w:numId="41">
    <w:abstractNumId w:val="20"/>
  </w:num>
  <w:num w:numId="42">
    <w:abstractNumId w:val="24"/>
  </w:num>
  <w:num w:numId="43">
    <w:abstractNumId w:val="44"/>
  </w:num>
  <w:num w:numId="44">
    <w:abstractNumId w:val="42"/>
  </w:num>
  <w:num w:numId="45">
    <w:abstractNumId w:val="10"/>
  </w:num>
  <w:num w:numId="46">
    <w:abstractNumId w:val="23"/>
  </w:num>
  <w:num w:numId="47">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ocumentProtection w:edit="trackedChanges" w:formatting="1" w:enforcement="0"/>
  <w:defaultTabStop w:val="720"/>
  <w:drawingGridHorizontalSpacing w:val="120"/>
  <w:displayHorizontalDrawingGridEvery w:val="2"/>
  <w:characterSpacingControl w:val="doNotCompress"/>
  <w:hdrShapeDefaults>
    <o:shapedefaults v:ext="edit" spidmax="207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3A"/>
    <w:rsid w:val="00000071"/>
    <w:rsid w:val="000004BB"/>
    <w:rsid w:val="00000FEB"/>
    <w:rsid w:val="000015EC"/>
    <w:rsid w:val="00001C8D"/>
    <w:rsid w:val="00002AFE"/>
    <w:rsid w:val="00003EA5"/>
    <w:rsid w:val="00006830"/>
    <w:rsid w:val="000104A1"/>
    <w:rsid w:val="000115D3"/>
    <w:rsid w:val="00011687"/>
    <w:rsid w:val="000116E0"/>
    <w:rsid w:val="00011B52"/>
    <w:rsid w:val="00013C8B"/>
    <w:rsid w:val="00013C91"/>
    <w:rsid w:val="0001542A"/>
    <w:rsid w:val="000161C2"/>
    <w:rsid w:val="000170C2"/>
    <w:rsid w:val="00017E2C"/>
    <w:rsid w:val="000228A9"/>
    <w:rsid w:val="0002450C"/>
    <w:rsid w:val="0002476A"/>
    <w:rsid w:val="00024B4C"/>
    <w:rsid w:val="0002598A"/>
    <w:rsid w:val="000265B6"/>
    <w:rsid w:val="000302BD"/>
    <w:rsid w:val="00032A50"/>
    <w:rsid w:val="00032B3D"/>
    <w:rsid w:val="00035A36"/>
    <w:rsid w:val="00035C51"/>
    <w:rsid w:val="00036BE4"/>
    <w:rsid w:val="00036F54"/>
    <w:rsid w:val="0003767E"/>
    <w:rsid w:val="000430B8"/>
    <w:rsid w:val="0004317F"/>
    <w:rsid w:val="00044C51"/>
    <w:rsid w:val="00045712"/>
    <w:rsid w:val="00045C4B"/>
    <w:rsid w:val="000465F1"/>
    <w:rsid w:val="00046FA3"/>
    <w:rsid w:val="00046FB6"/>
    <w:rsid w:val="0005216B"/>
    <w:rsid w:val="00055404"/>
    <w:rsid w:val="00056638"/>
    <w:rsid w:val="000579B1"/>
    <w:rsid w:val="000604BD"/>
    <w:rsid w:val="00061C4B"/>
    <w:rsid w:val="00061C6C"/>
    <w:rsid w:val="0006268B"/>
    <w:rsid w:val="00062DB2"/>
    <w:rsid w:val="00063907"/>
    <w:rsid w:val="000644DB"/>
    <w:rsid w:val="00066C0D"/>
    <w:rsid w:val="000705F2"/>
    <w:rsid w:val="00072137"/>
    <w:rsid w:val="0007248C"/>
    <w:rsid w:val="00072EDA"/>
    <w:rsid w:val="00075EE6"/>
    <w:rsid w:val="0007660D"/>
    <w:rsid w:val="00077003"/>
    <w:rsid w:val="00077A79"/>
    <w:rsid w:val="000800F2"/>
    <w:rsid w:val="000811DE"/>
    <w:rsid w:val="000815E8"/>
    <w:rsid w:val="00082727"/>
    <w:rsid w:val="0008780D"/>
    <w:rsid w:val="00090073"/>
    <w:rsid w:val="00090CBE"/>
    <w:rsid w:val="00091EFE"/>
    <w:rsid w:val="00093A1F"/>
    <w:rsid w:val="000954E0"/>
    <w:rsid w:val="00097F99"/>
    <w:rsid w:val="000A0720"/>
    <w:rsid w:val="000A1DB8"/>
    <w:rsid w:val="000A1F84"/>
    <w:rsid w:val="000A2D6C"/>
    <w:rsid w:val="000A48AC"/>
    <w:rsid w:val="000A520E"/>
    <w:rsid w:val="000A6E1F"/>
    <w:rsid w:val="000B0603"/>
    <w:rsid w:val="000B0A5D"/>
    <w:rsid w:val="000B1002"/>
    <w:rsid w:val="000B2299"/>
    <w:rsid w:val="000B2440"/>
    <w:rsid w:val="000B3888"/>
    <w:rsid w:val="000B4130"/>
    <w:rsid w:val="000B41AF"/>
    <w:rsid w:val="000B5384"/>
    <w:rsid w:val="000B5B68"/>
    <w:rsid w:val="000B6643"/>
    <w:rsid w:val="000B69DA"/>
    <w:rsid w:val="000B7003"/>
    <w:rsid w:val="000B7BFF"/>
    <w:rsid w:val="000C0633"/>
    <w:rsid w:val="000C09A3"/>
    <w:rsid w:val="000C1A9B"/>
    <w:rsid w:val="000C1EC5"/>
    <w:rsid w:val="000C33A5"/>
    <w:rsid w:val="000C434D"/>
    <w:rsid w:val="000C5608"/>
    <w:rsid w:val="000C5D4D"/>
    <w:rsid w:val="000C5DA6"/>
    <w:rsid w:val="000C7246"/>
    <w:rsid w:val="000D1185"/>
    <w:rsid w:val="000D2FDC"/>
    <w:rsid w:val="000D4869"/>
    <w:rsid w:val="000E07F5"/>
    <w:rsid w:val="000E08F6"/>
    <w:rsid w:val="000E130A"/>
    <w:rsid w:val="000E2BF3"/>
    <w:rsid w:val="000E4837"/>
    <w:rsid w:val="000E7705"/>
    <w:rsid w:val="000E7D24"/>
    <w:rsid w:val="000F11F7"/>
    <w:rsid w:val="000F3C10"/>
    <w:rsid w:val="000F4614"/>
    <w:rsid w:val="000F7C0D"/>
    <w:rsid w:val="001007D9"/>
    <w:rsid w:val="00100E89"/>
    <w:rsid w:val="00100FF9"/>
    <w:rsid w:val="00101B3A"/>
    <w:rsid w:val="0010632C"/>
    <w:rsid w:val="001066CA"/>
    <w:rsid w:val="00106BCB"/>
    <w:rsid w:val="00112397"/>
    <w:rsid w:val="001145BB"/>
    <w:rsid w:val="00114A65"/>
    <w:rsid w:val="0011657D"/>
    <w:rsid w:val="00116628"/>
    <w:rsid w:val="001168DE"/>
    <w:rsid w:val="001168E7"/>
    <w:rsid w:val="00117349"/>
    <w:rsid w:val="00121841"/>
    <w:rsid w:val="00123F23"/>
    <w:rsid w:val="00126F1B"/>
    <w:rsid w:val="001278C5"/>
    <w:rsid w:val="00130520"/>
    <w:rsid w:val="00130F50"/>
    <w:rsid w:val="00131E13"/>
    <w:rsid w:val="00134774"/>
    <w:rsid w:val="00134779"/>
    <w:rsid w:val="001364CA"/>
    <w:rsid w:val="00137A00"/>
    <w:rsid w:val="00137FE0"/>
    <w:rsid w:val="00140274"/>
    <w:rsid w:val="00140BC9"/>
    <w:rsid w:val="0014248D"/>
    <w:rsid w:val="001429D4"/>
    <w:rsid w:val="00142FE1"/>
    <w:rsid w:val="00143EF9"/>
    <w:rsid w:val="001456D8"/>
    <w:rsid w:val="00145A25"/>
    <w:rsid w:val="00146100"/>
    <w:rsid w:val="00151263"/>
    <w:rsid w:val="00151B69"/>
    <w:rsid w:val="00151CFD"/>
    <w:rsid w:val="0015239E"/>
    <w:rsid w:val="00152E09"/>
    <w:rsid w:val="00154B6A"/>
    <w:rsid w:val="00155053"/>
    <w:rsid w:val="001565D2"/>
    <w:rsid w:val="00160F85"/>
    <w:rsid w:val="00160F87"/>
    <w:rsid w:val="001618F6"/>
    <w:rsid w:val="0016266F"/>
    <w:rsid w:val="00162A8D"/>
    <w:rsid w:val="00163551"/>
    <w:rsid w:val="00164E31"/>
    <w:rsid w:val="00165061"/>
    <w:rsid w:val="00165E3C"/>
    <w:rsid w:val="00166F33"/>
    <w:rsid w:val="00170195"/>
    <w:rsid w:val="00170961"/>
    <w:rsid w:val="00171F7D"/>
    <w:rsid w:val="00172714"/>
    <w:rsid w:val="001732FE"/>
    <w:rsid w:val="00173F6C"/>
    <w:rsid w:val="00173FB5"/>
    <w:rsid w:val="00174479"/>
    <w:rsid w:val="0017480C"/>
    <w:rsid w:val="00174D9A"/>
    <w:rsid w:val="00174F05"/>
    <w:rsid w:val="00175987"/>
    <w:rsid w:val="00177144"/>
    <w:rsid w:val="0018024E"/>
    <w:rsid w:val="001812D9"/>
    <w:rsid w:val="001814D0"/>
    <w:rsid w:val="00183624"/>
    <w:rsid w:val="00183DA4"/>
    <w:rsid w:val="001865AF"/>
    <w:rsid w:val="00190CFF"/>
    <w:rsid w:val="00193D7C"/>
    <w:rsid w:val="00195019"/>
    <w:rsid w:val="00195EDE"/>
    <w:rsid w:val="00196D2B"/>
    <w:rsid w:val="001A29FB"/>
    <w:rsid w:val="001A2D55"/>
    <w:rsid w:val="001A34A3"/>
    <w:rsid w:val="001A667E"/>
    <w:rsid w:val="001A774B"/>
    <w:rsid w:val="001B0353"/>
    <w:rsid w:val="001B0BA8"/>
    <w:rsid w:val="001B3CA6"/>
    <w:rsid w:val="001B5458"/>
    <w:rsid w:val="001B661D"/>
    <w:rsid w:val="001B6FBD"/>
    <w:rsid w:val="001B72F7"/>
    <w:rsid w:val="001B7557"/>
    <w:rsid w:val="001C04F6"/>
    <w:rsid w:val="001C19ED"/>
    <w:rsid w:val="001C1F8B"/>
    <w:rsid w:val="001D02B8"/>
    <w:rsid w:val="001D0568"/>
    <w:rsid w:val="001D058F"/>
    <w:rsid w:val="001D07C0"/>
    <w:rsid w:val="001D14B6"/>
    <w:rsid w:val="001D3E76"/>
    <w:rsid w:val="001D54F7"/>
    <w:rsid w:val="001D5AF9"/>
    <w:rsid w:val="001D5D82"/>
    <w:rsid w:val="001D6774"/>
    <w:rsid w:val="001D6C7B"/>
    <w:rsid w:val="001E12E6"/>
    <w:rsid w:val="001E2A0A"/>
    <w:rsid w:val="001E5676"/>
    <w:rsid w:val="001E5952"/>
    <w:rsid w:val="001E5FFD"/>
    <w:rsid w:val="001E65A9"/>
    <w:rsid w:val="001F06F3"/>
    <w:rsid w:val="001F2BBB"/>
    <w:rsid w:val="001F2F37"/>
    <w:rsid w:val="001F3039"/>
    <w:rsid w:val="001F478C"/>
    <w:rsid w:val="001F52FD"/>
    <w:rsid w:val="001F5754"/>
    <w:rsid w:val="001F62CC"/>
    <w:rsid w:val="00200677"/>
    <w:rsid w:val="002007A4"/>
    <w:rsid w:val="002012F7"/>
    <w:rsid w:val="00201FC6"/>
    <w:rsid w:val="002027F6"/>
    <w:rsid w:val="00202F9F"/>
    <w:rsid w:val="00204C00"/>
    <w:rsid w:val="002051A9"/>
    <w:rsid w:val="002068EB"/>
    <w:rsid w:val="00210529"/>
    <w:rsid w:val="002107C1"/>
    <w:rsid w:val="002107ED"/>
    <w:rsid w:val="0021214B"/>
    <w:rsid w:val="002139BF"/>
    <w:rsid w:val="00213EAF"/>
    <w:rsid w:val="0021489E"/>
    <w:rsid w:val="0021514B"/>
    <w:rsid w:val="00216B0D"/>
    <w:rsid w:val="0021717E"/>
    <w:rsid w:val="002176F4"/>
    <w:rsid w:val="002222A6"/>
    <w:rsid w:val="002227A0"/>
    <w:rsid w:val="00224713"/>
    <w:rsid w:val="00224868"/>
    <w:rsid w:val="002254E4"/>
    <w:rsid w:val="00226D9F"/>
    <w:rsid w:val="002274E1"/>
    <w:rsid w:val="00227638"/>
    <w:rsid w:val="00231ED1"/>
    <w:rsid w:val="00232789"/>
    <w:rsid w:val="0023338F"/>
    <w:rsid w:val="00233A5E"/>
    <w:rsid w:val="0023622E"/>
    <w:rsid w:val="00240380"/>
    <w:rsid w:val="00241523"/>
    <w:rsid w:val="00241AE9"/>
    <w:rsid w:val="00241E4E"/>
    <w:rsid w:val="00242624"/>
    <w:rsid w:val="00242EC9"/>
    <w:rsid w:val="00243D76"/>
    <w:rsid w:val="0024423A"/>
    <w:rsid w:val="00244883"/>
    <w:rsid w:val="0024557E"/>
    <w:rsid w:val="00245BC4"/>
    <w:rsid w:val="00246A22"/>
    <w:rsid w:val="002471FD"/>
    <w:rsid w:val="002518CE"/>
    <w:rsid w:val="002534BF"/>
    <w:rsid w:val="00253789"/>
    <w:rsid w:val="002537BE"/>
    <w:rsid w:val="002549FC"/>
    <w:rsid w:val="00257C29"/>
    <w:rsid w:val="00260117"/>
    <w:rsid w:val="002606E0"/>
    <w:rsid w:val="0026088A"/>
    <w:rsid w:val="0026124F"/>
    <w:rsid w:val="00261F24"/>
    <w:rsid w:val="0026221D"/>
    <w:rsid w:val="002632EA"/>
    <w:rsid w:val="0026793A"/>
    <w:rsid w:val="00267DDD"/>
    <w:rsid w:val="00270FFE"/>
    <w:rsid w:val="002711B0"/>
    <w:rsid w:val="00271520"/>
    <w:rsid w:val="0027166C"/>
    <w:rsid w:val="00274680"/>
    <w:rsid w:val="00275CE9"/>
    <w:rsid w:val="002764EC"/>
    <w:rsid w:val="00276680"/>
    <w:rsid w:val="0028035B"/>
    <w:rsid w:val="00281605"/>
    <w:rsid w:val="002840C5"/>
    <w:rsid w:val="002846D5"/>
    <w:rsid w:val="00284E13"/>
    <w:rsid w:val="0028506A"/>
    <w:rsid w:val="002850B0"/>
    <w:rsid w:val="0028581A"/>
    <w:rsid w:val="002859EB"/>
    <w:rsid w:val="002862DE"/>
    <w:rsid w:val="00286349"/>
    <w:rsid w:val="002863D7"/>
    <w:rsid w:val="002873B4"/>
    <w:rsid w:val="002908C8"/>
    <w:rsid w:val="002914E7"/>
    <w:rsid w:val="00291666"/>
    <w:rsid w:val="00292AB5"/>
    <w:rsid w:val="002943E1"/>
    <w:rsid w:val="0029590D"/>
    <w:rsid w:val="00297DFE"/>
    <w:rsid w:val="00297E00"/>
    <w:rsid w:val="002A11AD"/>
    <w:rsid w:val="002A27B2"/>
    <w:rsid w:val="002A2C2A"/>
    <w:rsid w:val="002A3FEF"/>
    <w:rsid w:val="002A43C2"/>
    <w:rsid w:val="002A5CF4"/>
    <w:rsid w:val="002A5F45"/>
    <w:rsid w:val="002A68E7"/>
    <w:rsid w:val="002B14A7"/>
    <w:rsid w:val="002B1B65"/>
    <w:rsid w:val="002B281E"/>
    <w:rsid w:val="002B63C9"/>
    <w:rsid w:val="002B6D79"/>
    <w:rsid w:val="002B7FCD"/>
    <w:rsid w:val="002B7FF5"/>
    <w:rsid w:val="002C012B"/>
    <w:rsid w:val="002C02DB"/>
    <w:rsid w:val="002C0DF4"/>
    <w:rsid w:val="002C10F2"/>
    <w:rsid w:val="002C15BD"/>
    <w:rsid w:val="002C1866"/>
    <w:rsid w:val="002C3671"/>
    <w:rsid w:val="002C5691"/>
    <w:rsid w:val="002C5F00"/>
    <w:rsid w:val="002C75FD"/>
    <w:rsid w:val="002D1FF5"/>
    <w:rsid w:val="002D329C"/>
    <w:rsid w:val="002D3A23"/>
    <w:rsid w:val="002D73C1"/>
    <w:rsid w:val="002D753E"/>
    <w:rsid w:val="002D7E07"/>
    <w:rsid w:val="002E0547"/>
    <w:rsid w:val="002E30C0"/>
    <w:rsid w:val="002E323F"/>
    <w:rsid w:val="002E33FE"/>
    <w:rsid w:val="002E5A1B"/>
    <w:rsid w:val="002E5AA9"/>
    <w:rsid w:val="002F19FD"/>
    <w:rsid w:val="002F24C1"/>
    <w:rsid w:val="002F3AD6"/>
    <w:rsid w:val="002F3E15"/>
    <w:rsid w:val="002F4543"/>
    <w:rsid w:val="002F4CE1"/>
    <w:rsid w:val="002F5E96"/>
    <w:rsid w:val="002F660B"/>
    <w:rsid w:val="002F745C"/>
    <w:rsid w:val="002F7CE6"/>
    <w:rsid w:val="0030053D"/>
    <w:rsid w:val="00300F22"/>
    <w:rsid w:val="003016B8"/>
    <w:rsid w:val="00303563"/>
    <w:rsid w:val="00304A37"/>
    <w:rsid w:val="0031040E"/>
    <w:rsid w:val="00310ED4"/>
    <w:rsid w:val="00312301"/>
    <w:rsid w:val="00313597"/>
    <w:rsid w:val="00313F75"/>
    <w:rsid w:val="0031492A"/>
    <w:rsid w:val="0031637C"/>
    <w:rsid w:val="003164BE"/>
    <w:rsid w:val="00316C1A"/>
    <w:rsid w:val="003173C3"/>
    <w:rsid w:val="00317549"/>
    <w:rsid w:val="00317F10"/>
    <w:rsid w:val="003218F8"/>
    <w:rsid w:val="00323C73"/>
    <w:rsid w:val="00325153"/>
    <w:rsid w:val="003273A9"/>
    <w:rsid w:val="0033002E"/>
    <w:rsid w:val="0033070C"/>
    <w:rsid w:val="00330C24"/>
    <w:rsid w:val="00331141"/>
    <w:rsid w:val="00331CE1"/>
    <w:rsid w:val="00332A8E"/>
    <w:rsid w:val="003379C1"/>
    <w:rsid w:val="00341514"/>
    <w:rsid w:val="00341AAF"/>
    <w:rsid w:val="003423F4"/>
    <w:rsid w:val="00344758"/>
    <w:rsid w:val="00344B9D"/>
    <w:rsid w:val="00347142"/>
    <w:rsid w:val="003476A3"/>
    <w:rsid w:val="00350AA0"/>
    <w:rsid w:val="00350D1B"/>
    <w:rsid w:val="003514F0"/>
    <w:rsid w:val="003518E8"/>
    <w:rsid w:val="003565A8"/>
    <w:rsid w:val="003566EA"/>
    <w:rsid w:val="00357F7B"/>
    <w:rsid w:val="00360203"/>
    <w:rsid w:val="00361CE4"/>
    <w:rsid w:val="00366453"/>
    <w:rsid w:val="00367A1D"/>
    <w:rsid w:val="00370D17"/>
    <w:rsid w:val="00371167"/>
    <w:rsid w:val="003712E8"/>
    <w:rsid w:val="00372C79"/>
    <w:rsid w:val="00373305"/>
    <w:rsid w:val="00376AA4"/>
    <w:rsid w:val="003804C0"/>
    <w:rsid w:val="003807C1"/>
    <w:rsid w:val="00380963"/>
    <w:rsid w:val="00380F60"/>
    <w:rsid w:val="00381827"/>
    <w:rsid w:val="00381A27"/>
    <w:rsid w:val="003837A5"/>
    <w:rsid w:val="00383BBA"/>
    <w:rsid w:val="00386B7F"/>
    <w:rsid w:val="00386C15"/>
    <w:rsid w:val="00391181"/>
    <w:rsid w:val="003911D6"/>
    <w:rsid w:val="00397516"/>
    <w:rsid w:val="003A0142"/>
    <w:rsid w:val="003A168E"/>
    <w:rsid w:val="003A16CF"/>
    <w:rsid w:val="003A48B7"/>
    <w:rsid w:val="003A65D4"/>
    <w:rsid w:val="003A786F"/>
    <w:rsid w:val="003A79B8"/>
    <w:rsid w:val="003A7FC9"/>
    <w:rsid w:val="003B1BD2"/>
    <w:rsid w:val="003B3E4E"/>
    <w:rsid w:val="003B66D4"/>
    <w:rsid w:val="003C00BF"/>
    <w:rsid w:val="003C0C39"/>
    <w:rsid w:val="003C164F"/>
    <w:rsid w:val="003C1D63"/>
    <w:rsid w:val="003C255C"/>
    <w:rsid w:val="003C7993"/>
    <w:rsid w:val="003D004E"/>
    <w:rsid w:val="003D10B9"/>
    <w:rsid w:val="003D4060"/>
    <w:rsid w:val="003D43A3"/>
    <w:rsid w:val="003D541C"/>
    <w:rsid w:val="003D7BD4"/>
    <w:rsid w:val="003E076A"/>
    <w:rsid w:val="003E0D5B"/>
    <w:rsid w:val="003E1B20"/>
    <w:rsid w:val="003E1CC2"/>
    <w:rsid w:val="003E30B2"/>
    <w:rsid w:val="003E52CC"/>
    <w:rsid w:val="003E59E0"/>
    <w:rsid w:val="003E5DEF"/>
    <w:rsid w:val="003F105B"/>
    <w:rsid w:val="003F5329"/>
    <w:rsid w:val="00400C41"/>
    <w:rsid w:val="00400D83"/>
    <w:rsid w:val="004014CB"/>
    <w:rsid w:val="00401CC7"/>
    <w:rsid w:val="004026BF"/>
    <w:rsid w:val="004036DE"/>
    <w:rsid w:val="00403CA3"/>
    <w:rsid w:val="0040497E"/>
    <w:rsid w:val="004054C0"/>
    <w:rsid w:val="00406172"/>
    <w:rsid w:val="00411618"/>
    <w:rsid w:val="004134D0"/>
    <w:rsid w:val="00414113"/>
    <w:rsid w:val="00414919"/>
    <w:rsid w:val="00414A38"/>
    <w:rsid w:val="00416082"/>
    <w:rsid w:val="00416500"/>
    <w:rsid w:val="0041722C"/>
    <w:rsid w:val="004175FB"/>
    <w:rsid w:val="00417AD1"/>
    <w:rsid w:val="00420E78"/>
    <w:rsid w:val="00422417"/>
    <w:rsid w:val="00422864"/>
    <w:rsid w:val="00423702"/>
    <w:rsid w:val="00423E96"/>
    <w:rsid w:val="00424233"/>
    <w:rsid w:val="00427C09"/>
    <w:rsid w:val="004323C5"/>
    <w:rsid w:val="0043348E"/>
    <w:rsid w:val="004357E2"/>
    <w:rsid w:val="004357F3"/>
    <w:rsid w:val="00436729"/>
    <w:rsid w:val="00437DB2"/>
    <w:rsid w:val="0044066E"/>
    <w:rsid w:val="00441D04"/>
    <w:rsid w:val="0044200A"/>
    <w:rsid w:val="004428CD"/>
    <w:rsid w:val="00442C51"/>
    <w:rsid w:val="004433A5"/>
    <w:rsid w:val="00444028"/>
    <w:rsid w:val="004451FC"/>
    <w:rsid w:val="004456FD"/>
    <w:rsid w:val="00445CB5"/>
    <w:rsid w:val="00446ACB"/>
    <w:rsid w:val="0044792B"/>
    <w:rsid w:val="0045024E"/>
    <w:rsid w:val="004502DA"/>
    <w:rsid w:val="00450633"/>
    <w:rsid w:val="00450A02"/>
    <w:rsid w:val="00450E2B"/>
    <w:rsid w:val="004535ED"/>
    <w:rsid w:val="00454D2A"/>
    <w:rsid w:val="00455E7C"/>
    <w:rsid w:val="004569B9"/>
    <w:rsid w:val="00456E29"/>
    <w:rsid w:val="00457426"/>
    <w:rsid w:val="00460EE0"/>
    <w:rsid w:val="0046511B"/>
    <w:rsid w:val="00465614"/>
    <w:rsid w:val="0046579F"/>
    <w:rsid w:val="00465E2F"/>
    <w:rsid w:val="00467142"/>
    <w:rsid w:val="00470E78"/>
    <w:rsid w:val="004712FB"/>
    <w:rsid w:val="00471506"/>
    <w:rsid w:val="00471BB7"/>
    <w:rsid w:val="0047228C"/>
    <w:rsid w:val="00472EFF"/>
    <w:rsid w:val="00474063"/>
    <w:rsid w:val="00474A9B"/>
    <w:rsid w:val="00476793"/>
    <w:rsid w:val="00480BCD"/>
    <w:rsid w:val="00481B2A"/>
    <w:rsid w:val="00482091"/>
    <w:rsid w:val="004857D9"/>
    <w:rsid w:val="00485A17"/>
    <w:rsid w:val="0048630F"/>
    <w:rsid w:val="00491429"/>
    <w:rsid w:val="00493E09"/>
    <w:rsid w:val="0049648F"/>
    <w:rsid w:val="00497BC1"/>
    <w:rsid w:val="004A0EAC"/>
    <w:rsid w:val="004A187B"/>
    <w:rsid w:val="004A2282"/>
    <w:rsid w:val="004A2AF6"/>
    <w:rsid w:val="004A2D3C"/>
    <w:rsid w:val="004A3307"/>
    <w:rsid w:val="004A351F"/>
    <w:rsid w:val="004A35B3"/>
    <w:rsid w:val="004A3803"/>
    <w:rsid w:val="004A554B"/>
    <w:rsid w:val="004A6D94"/>
    <w:rsid w:val="004B02A1"/>
    <w:rsid w:val="004B1EFD"/>
    <w:rsid w:val="004B349E"/>
    <w:rsid w:val="004B4F7D"/>
    <w:rsid w:val="004B6A0C"/>
    <w:rsid w:val="004C0501"/>
    <w:rsid w:val="004C1D07"/>
    <w:rsid w:val="004C2617"/>
    <w:rsid w:val="004C402D"/>
    <w:rsid w:val="004C4A4F"/>
    <w:rsid w:val="004C53D1"/>
    <w:rsid w:val="004C6634"/>
    <w:rsid w:val="004C7412"/>
    <w:rsid w:val="004D04BF"/>
    <w:rsid w:val="004D068E"/>
    <w:rsid w:val="004D25B0"/>
    <w:rsid w:val="004D2C01"/>
    <w:rsid w:val="004D34B1"/>
    <w:rsid w:val="004D4F35"/>
    <w:rsid w:val="004D6E47"/>
    <w:rsid w:val="004E0DFF"/>
    <w:rsid w:val="004E13F1"/>
    <w:rsid w:val="004E28AA"/>
    <w:rsid w:val="004E4F4B"/>
    <w:rsid w:val="004E6333"/>
    <w:rsid w:val="004E7AF0"/>
    <w:rsid w:val="004F03B0"/>
    <w:rsid w:val="004F07C3"/>
    <w:rsid w:val="004F1C7C"/>
    <w:rsid w:val="004F3B1C"/>
    <w:rsid w:val="004F3CBE"/>
    <w:rsid w:val="004F473E"/>
    <w:rsid w:val="004F4B4B"/>
    <w:rsid w:val="004F5E4C"/>
    <w:rsid w:val="00501DBA"/>
    <w:rsid w:val="005023CF"/>
    <w:rsid w:val="00503172"/>
    <w:rsid w:val="00503ACF"/>
    <w:rsid w:val="00504A78"/>
    <w:rsid w:val="00506356"/>
    <w:rsid w:val="00506DCD"/>
    <w:rsid w:val="00510390"/>
    <w:rsid w:val="00511293"/>
    <w:rsid w:val="00511F5F"/>
    <w:rsid w:val="005123F0"/>
    <w:rsid w:val="005134B7"/>
    <w:rsid w:val="00513540"/>
    <w:rsid w:val="00513941"/>
    <w:rsid w:val="00513BCA"/>
    <w:rsid w:val="00517717"/>
    <w:rsid w:val="00517B0D"/>
    <w:rsid w:val="00521569"/>
    <w:rsid w:val="005226E6"/>
    <w:rsid w:val="00522CDB"/>
    <w:rsid w:val="00522E1A"/>
    <w:rsid w:val="005245B9"/>
    <w:rsid w:val="00524613"/>
    <w:rsid w:val="005248DA"/>
    <w:rsid w:val="00525324"/>
    <w:rsid w:val="005258A6"/>
    <w:rsid w:val="00525C16"/>
    <w:rsid w:val="005261DB"/>
    <w:rsid w:val="00526545"/>
    <w:rsid w:val="00526E6B"/>
    <w:rsid w:val="005302B9"/>
    <w:rsid w:val="0053051D"/>
    <w:rsid w:val="005309C5"/>
    <w:rsid w:val="00531342"/>
    <w:rsid w:val="00531456"/>
    <w:rsid w:val="00531658"/>
    <w:rsid w:val="00531BC9"/>
    <w:rsid w:val="0053366B"/>
    <w:rsid w:val="00536649"/>
    <w:rsid w:val="00540235"/>
    <w:rsid w:val="00540FB1"/>
    <w:rsid w:val="00541A11"/>
    <w:rsid w:val="00542861"/>
    <w:rsid w:val="005431E7"/>
    <w:rsid w:val="00544173"/>
    <w:rsid w:val="005447F1"/>
    <w:rsid w:val="005466B0"/>
    <w:rsid w:val="005472D8"/>
    <w:rsid w:val="005502A7"/>
    <w:rsid w:val="005507FC"/>
    <w:rsid w:val="0055127A"/>
    <w:rsid w:val="00552B58"/>
    <w:rsid w:val="00553688"/>
    <w:rsid w:val="00555AAC"/>
    <w:rsid w:val="00556C21"/>
    <w:rsid w:val="005574B4"/>
    <w:rsid w:val="00557770"/>
    <w:rsid w:val="00560B7B"/>
    <w:rsid w:val="00560C4B"/>
    <w:rsid w:val="005611BA"/>
    <w:rsid w:val="00563670"/>
    <w:rsid w:val="00564208"/>
    <w:rsid w:val="00571CEB"/>
    <w:rsid w:val="00573092"/>
    <w:rsid w:val="00573B0F"/>
    <w:rsid w:val="0057493B"/>
    <w:rsid w:val="00576073"/>
    <w:rsid w:val="00576B56"/>
    <w:rsid w:val="00576FCA"/>
    <w:rsid w:val="00577BE3"/>
    <w:rsid w:val="005802A3"/>
    <w:rsid w:val="00581813"/>
    <w:rsid w:val="00581EFE"/>
    <w:rsid w:val="00582ED6"/>
    <w:rsid w:val="00583847"/>
    <w:rsid w:val="00586A8D"/>
    <w:rsid w:val="00587430"/>
    <w:rsid w:val="00587C43"/>
    <w:rsid w:val="00587DB3"/>
    <w:rsid w:val="0059034B"/>
    <w:rsid w:val="00590E35"/>
    <w:rsid w:val="00591951"/>
    <w:rsid w:val="005929F6"/>
    <w:rsid w:val="00594BF0"/>
    <w:rsid w:val="00595831"/>
    <w:rsid w:val="00595895"/>
    <w:rsid w:val="00595E24"/>
    <w:rsid w:val="0059615C"/>
    <w:rsid w:val="005A085C"/>
    <w:rsid w:val="005A0964"/>
    <w:rsid w:val="005A0FDF"/>
    <w:rsid w:val="005A25A2"/>
    <w:rsid w:val="005A4B7B"/>
    <w:rsid w:val="005A566E"/>
    <w:rsid w:val="005A713D"/>
    <w:rsid w:val="005B0BD5"/>
    <w:rsid w:val="005B1B67"/>
    <w:rsid w:val="005B3087"/>
    <w:rsid w:val="005B36F6"/>
    <w:rsid w:val="005B4044"/>
    <w:rsid w:val="005B4E7F"/>
    <w:rsid w:val="005B4F36"/>
    <w:rsid w:val="005B5640"/>
    <w:rsid w:val="005B68D6"/>
    <w:rsid w:val="005B76F5"/>
    <w:rsid w:val="005C0720"/>
    <w:rsid w:val="005C2ECF"/>
    <w:rsid w:val="005C3533"/>
    <w:rsid w:val="005C3F0B"/>
    <w:rsid w:val="005C4391"/>
    <w:rsid w:val="005C4780"/>
    <w:rsid w:val="005C5D41"/>
    <w:rsid w:val="005C7CC1"/>
    <w:rsid w:val="005C7EDC"/>
    <w:rsid w:val="005D02FF"/>
    <w:rsid w:val="005D1F34"/>
    <w:rsid w:val="005D24FD"/>
    <w:rsid w:val="005D383D"/>
    <w:rsid w:val="005D4A70"/>
    <w:rsid w:val="005D6A31"/>
    <w:rsid w:val="005D75B5"/>
    <w:rsid w:val="005D7CB3"/>
    <w:rsid w:val="005E151D"/>
    <w:rsid w:val="005E21E9"/>
    <w:rsid w:val="005E289A"/>
    <w:rsid w:val="005E2BA3"/>
    <w:rsid w:val="005E5688"/>
    <w:rsid w:val="005E61EC"/>
    <w:rsid w:val="005E65E2"/>
    <w:rsid w:val="005E7EC5"/>
    <w:rsid w:val="005F09E4"/>
    <w:rsid w:val="005F202E"/>
    <w:rsid w:val="005F2183"/>
    <w:rsid w:val="005F373C"/>
    <w:rsid w:val="00603E87"/>
    <w:rsid w:val="0060517C"/>
    <w:rsid w:val="006065A6"/>
    <w:rsid w:val="0061080F"/>
    <w:rsid w:val="00610B8B"/>
    <w:rsid w:val="00611109"/>
    <w:rsid w:val="006131B5"/>
    <w:rsid w:val="006143B4"/>
    <w:rsid w:val="00614550"/>
    <w:rsid w:val="006149BC"/>
    <w:rsid w:val="00616F88"/>
    <w:rsid w:val="00617184"/>
    <w:rsid w:val="00617812"/>
    <w:rsid w:val="006200E9"/>
    <w:rsid w:val="00622508"/>
    <w:rsid w:val="006231F1"/>
    <w:rsid w:val="006239E4"/>
    <w:rsid w:val="006245BF"/>
    <w:rsid w:val="0062632B"/>
    <w:rsid w:val="0063009F"/>
    <w:rsid w:val="0063034F"/>
    <w:rsid w:val="00631D47"/>
    <w:rsid w:val="00631E23"/>
    <w:rsid w:val="006337FB"/>
    <w:rsid w:val="006356C5"/>
    <w:rsid w:val="00636154"/>
    <w:rsid w:val="006366A7"/>
    <w:rsid w:val="00637133"/>
    <w:rsid w:val="006423DE"/>
    <w:rsid w:val="006426EE"/>
    <w:rsid w:val="006427D9"/>
    <w:rsid w:val="00643082"/>
    <w:rsid w:val="00644B15"/>
    <w:rsid w:val="0064790A"/>
    <w:rsid w:val="00650E26"/>
    <w:rsid w:val="00651C94"/>
    <w:rsid w:val="00652953"/>
    <w:rsid w:val="00654793"/>
    <w:rsid w:val="00655367"/>
    <w:rsid w:val="00657DEC"/>
    <w:rsid w:val="00661489"/>
    <w:rsid w:val="00662546"/>
    <w:rsid w:val="00662ACB"/>
    <w:rsid w:val="00664302"/>
    <w:rsid w:val="0066738B"/>
    <w:rsid w:val="00672D45"/>
    <w:rsid w:val="00672F72"/>
    <w:rsid w:val="006730F1"/>
    <w:rsid w:val="00675232"/>
    <w:rsid w:val="00675952"/>
    <w:rsid w:val="00675DCD"/>
    <w:rsid w:val="00676157"/>
    <w:rsid w:val="006768FB"/>
    <w:rsid w:val="00676F8C"/>
    <w:rsid w:val="0068193C"/>
    <w:rsid w:val="00684010"/>
    <w:rsid w:val="00684672"/>
    <w:rsid w:val="006847E0"/>
    <w:rsid w:val="00685301"/>
    <w:rsid w:val="006857F5"/>
    <w:rsid w:val="00685AA1"/>
    <w:rsid w:val="0069086D"/>
    <w:rsid w:val="0069092B"/>
    <w:rsid w:val="0069213F"/>
    <w:rsid w:val="0069362B"/>
    <w:rsid w:val="006A055D"/>
    <w:rsid w:val="006A1C4D"/>
    <w:rsid w:val="006A3952"/>
    <w:rsid w:val="006A3CEC"/>
    <w:rsid w:val="006A6BB3"/>
    <w:rsid w:val="006A71B1"/>
    <w:rsid w:val="006B06FB"/>
    <w:rsid w:val="006B0EBD"/>
    <w:rsid w:val="006B1D55"/>
    <w:rsid w:val="006B3DE1"/>
    <w:rsid w:val="006B50C1"/>
    <w:rsid w:val="006B525D"/>
    <w:rsid w:val="006B58D2"/>
    <w:rsid w:val="006B62DE"/>
    <w:rsid w:val="006C05D5"/>
    <w:rsid w:val="006C0642"/>
    <w:rsid w:val="006C0C73"/>
    <w:rsid w:val="006C5EB0"/>
    <w:rsid w:val="006C60E6"/>
    <w:rsid w:val="006C64A9"/>
    <w:rsid w:val="006C67E3"/>
    <w:rsid w:val="006C7248"/>
    <w:rsid w:val="006D0407"/>
    <w:rsid w:val="006D0D77"/>
    <w:rsid w:val="006D4DB1"/>
    <w:rsid w:val="006D5EE5"/>
    <w:rsid w:val="006D66E8"/>
    <w:rsid w:val="006D7ACE"/>
    <w:rsid w:val="006E19DC"/>
    <w:rsid w:val="006E22CC"/>
    <w:rsid w:val="006E3FCB"/>
    <w:rsid w:val="006E49F7"/>
    <w:rsid w:val="006E6D3B"/>
    <w:rsid w:val="006E6FC6"/>
    <w:rsid w:val="006F0C59"/>
    <w:rsid w:val="006F389A"/>
    <w:rsid w:val="006F4D77"/>
    <w:rsid w:val="006F51D6"/>
    <w:rsid w:val="006F5401"/>
    <w:rsid w:val="006F5A10"/>
    <w:rsid w:val="006F5E94"/>
    <w:rsid w:val="007003EF"/>
    <w:rsid w:val="00700C89"/>
    <w:rsid w:val="00701362"/>
    <w:rsid w:val="00701561"/>
    <w:rsid w:val="0070251A"/>
    <w:rsid w:val="0070443A"/>
    <w:rsid w:val="00704B30"/>
    <w:rsid w:val="0070525A"/>
    <w:rsid w:val="00705C5B"/>
    <w:rsid w:val="00706663"/>
    <w:rsid w:val="00706E77"/>
    <w:rsid w:val="00710551"/>
    <w:rsid w:val="007118ED"/>
    <w:rsid w:val="00713A07"/>
    <w:rsid w:val="00714340"/>
    <w:rsid w:val="00714FF5"/>
    <w:rsid w:val="00715573"/>
    <w:rsid w:val="007160B4"/>
    <w:rsid w:val="00717093"/>
    <w:rsid w:val="00717113"/>
    <w:rsid w:val="0071799F"/>
    <w:rsid w:val="00717AE0"/>
    <w:rsid w:val="007237DF"/>
    <w:rsid w:val="0072556A"/>
    <w:rsid w:val="0072738E"/>
    <w:rsid w:val="00730BD2"/>
    <w:rsid w:val="00730D6B"/>
    <w:rsid w:val="007320FC"/>
    <w:rsid w:val="00732635"/>
    <w:rsid w:val="00732B63"/>
    <w:rsid w:val="0073336D"/>
    <w:rsid w:val="00734EB7"/>
    <w:rsid w:val="00736E19"/>
    <w:rsid w:val="00737418"/>
    <w:rsid w:val="00743CE4"/>
    <w:rsid w:val="007449C8"/>
    <w:rsid w:val="00744BA2"/>
    <w:rsid w:val="00745A03"/>
    <w:rsid w:val="007475CD"/>
    <w:rsid w:val="00747DD0"/>
    <w:rsid w:val="00750498"/>
    <w:rsid w:val="0075103C"/>
    <w:rsid w:val="00751B81"/>
    <w:rsid w:val="007523EF"/>
    <w:rsid w:val="007540BF"/>
    <w:rsid w:val="007542EC"/>
    <w:rsid w:val="0075483F"/>
    <w:rsid w:val="0075491A"/>
    <w:rsid w:val="00754DDA"/>
    <w:rsid w:val="00754E95"/>
    <w:rsid w:val="0075627C"/>
    <w:rsid w:val="007564D5"/>
    <w:rsid w:val="00760D84"/>
    <w:rsid w:val="007633E4"/>
    <w:rsid w:val="00763637"/>
    <w:rsid w:val="007637A8"/>
    <w:rsid w:val="0076492F"/>
    <w:rsid w:val="00765B58"/>
    <w:rsid w:val="00767F07"/>
    <w:rsid w:val="00770DCB"/>
    <w:rsid w:val="007718B2"/>
    <w:rsid w:val="00773F78"/>
    <w:rsid w:val="00775485"/>
    <w:rsid w:val="00776A66"/>
    <w:rsid w:val="0078085C"/>
    <w:rsid w:val="007811FA"/>
    <w:rsid w:val="00783532"/>
    <w:rsid w:val="007846B5"/>
    <w:rsid w:val="00785895"/>
    <w:rsid w:val="00786064"/>
    <w:rsid w:val="00786CDC"/>
    <w:rsid w:val="00787F2A"/>
    <w:rsid w:val="00790DA5"/>
    <w:rsid w:val="00793DDA"/>
    <w:rsid w:val="00796E57"/>
    <w:rsid w:val="0079724E"/>
    <w:rsid w:val="007A072E"/>
    <w:rsid w:val="007A09CC"/>
    <w:rsid w:val="007A2251"/>
    <w:rsid w:val="007A25BC"/>
    <w:rsid w:val="007A3217"/>
    <w:rsid w:val="007A566E"/>
    <w:rsid w:val="007A6C1F"/>
    <w:rsid w:val="007B00CE"/>
    <w:rsid w:val="007B06EA"/>
    <w:rsid w:val="007B08E5"/>
    <w:rsid w:val="007C27F7"/>
    <w:rsid w:val="007C4CC3"/>
    <w:rsid w:val="007C549D"/>
    <w:rsid w:val="007C6C77"/>
    <w:rsid w:val="007D0ADD"/>
    <w:rsid w:val="007D2868"/>
    <w:rsid w:val="007D2F00"/>
    <w:rsid w:val="007D34CA"/>
    <w:rsid w:val="007D648E"/>
    <w:rsid w:val="007D7BA3"/>
    <w:rsid w:val="007E0E55"/>
    <w:rsid w:val="007E1326"/>
    <w:rsid w:val="007E2926"/>
    <w:rsid w:val="007E292C"/>
    <w:rsid w:val="007E2B2F"/>
    <w:rsid w:val="007E3FA3"/>
    <w:rsid w:val="007E41C5"/>
    <w:rsid w:val="007E5B88"/>
    <w:rsid w:val="007E6C90"/>
    <w:rsid w:val="007E71FA"/>
    <w:rsid w:val="007E7FB8"/>
    <w:rsid w:val="007F06CA"/>
    <w:rsid w:val="007F0D0B"/>
    <w:rsid w:val="007F78D0"/>
    <w:rsid w:val="00800591"/>
    <w:rsid w:val="008007A8"/>
    <w:rsid w:val="00801DE0"/>
    <w:rsid w:val="00802BD1"/>
    <w:rsid w:val="008042D9"/>
    <w:rsid w:val="0080444D"/>
    <w:rsid w:val="00804B9C"/>
    <w:rsid w:val="00804DFA"/>
    <w:rsid w:val="00805960"/>
    <w:rsid w:val="0080626D"/>
    <w:rsid w:val="00806836"/>
    <w:rsid w:val="0080711C"/>
    <w:rsid w:val="008077D1"/>
    <w:rsid w:val="00810B6B"/>
    <w:rsid w:val="00812208"/>
    <w:rsid w:val="008129CE"/>
    <w:rsid w:val="00812B9D"/>
    <w:rsid w:val="00814B84"/>
    <w:rsid w:val="00814E5A"/>
    <w:rsid w:val="00814FC0"/>
    <w:rsid w:val="00816273"/>
    <w:rsid w:val="00816B4E"/>
    <w:rsid w:val="00817C73"/>
    <w:rsid w:val="0082082F"/>
    <w:rsid w:val="00823005"/>
    <w:rsid w:val="0082389C"/>
    <w:rsid w:val="00823D32"/>
    <w:rsid w:val="0082503F"/>
    <w:rsid w:val="00827027"/>
    <w:rsid w:val="008314E9"/>
    <w:rsid w:val="0083303A"/>
    <w:rsid w:val="008365F9"/>
    <w:rsid w:val="00836D14"/>
    <w:rsid w:val="00843E62"/>
    <w:rsid w:val="00844207"/>
    <w:rsid w:val="008449B9"/>
    <w:rsid w:val="008450E9"/>
    <w:rsid w:val="00845B04"/>
    <w:rsid w:val="00846247"/>
    <w:rsid w:val="0084652A"/>
    <w:rsid w:val="00847191"/>
    <w:rsid w:val="00850DC7"/>
    <w:rsid w:val="00854A0E"/>
    <w:rsid w:val="00855AB5"/>
    <w:rsid w:val="00855DAB"/>
    <w:rsid w:val="00855F97"/>
    <w:rsid w:val="00860A9A"/>
    <w:rsid w:val="008612C2"/>
    <w:rsid w:val="00861A4D"/>
    <w:rsid w:val="0086254F"/>
    <w:rsid w:val="008627D9"/>
    <w:rsid w:val="00862F2F"/>
    <w:rsid w:val="00862FBC"/>
    <w:rsid w:val="00864AF3"/>
    <w:rsid w:val="008661DB"/>
    <w:rsid w:val="008673DA"/>
    <w:rsid w:val="008708D6"/>
    <w:rsid w:val="0087179C"/>
    <w:rsid w:val="0087246A"/>
    <w:rsid w:val="008724DE"/>
    <w:rsid w:val="0087299F"/>
    <w:rsid w:val="00873167"/>
    <w:rsid w:val="008739C4"/>
    <w:rsid w:val="00873C02"/>
    <w:rsid w:val="00874748"/>
    <w:rsid w:val="00874839"/>
    <w:rsid w:val="00875829"/>
    <w:rsid w:val="008758D9"/>
    <w:rsid w:val="00875B5F"/>
    <w:rsid w:val="00875F7B"/>
    <w:rsid w:val="00876B1E"/>
    <w:rsid w:val="00877376"/>
    <w:rsid w:val="008818B3"/>
    <w:rsid w:val="00881BA0"/>
    <w:rsid w:val="00882B0A"/>
    <w:rsid w:val="00884AAA"/>
    <w:rsid w:val="00886C4E"/>
    <w:rsid w:val="00887620"/>
    <w:rsid w:val="00890012"/>
    <w:rsid w:val="00892F25"/>
    <w:rsid w:val="00894F86"/>
    <w:rsid w:val="00895386"/>
    <w:rsid w:val="00895DD7"/>
    <w:rsid w:val="00897424"/>
    <w:rsid w:val="00897FC6"/>
    <w:rsid w:val="008A066C"/>
    <w:rsid w:val="008A2CA9"/>
    <w:rsid w:val="008A392F"/>
    <w:rsid w:val="008A3D57"/>
    <w:rsid w:val="008A66EC"/>
    <w:rsid w:val="008A697B"/>
    <w:rsid w:val="008A6995"/>
    <w:rsid w:val="008A7BB1"/>
    <w:rsid w:val="008B072B"/>
    <w:rsid w:val="008B07AD"/>
    <w:rsid w:val="008B1018"/>
    <w:rsid w:val="008B1466"/>
    <w:rsid w:val="008B1750"/>
    <w:rsid w:val="008B2397"/>
    <w:rsid w:val="008B23BC"/>
    <w:rsid w:val="008B2467"/>
    <w:rsid w:val="008B3899"/>
    <w:rsid w:val="008B4FA5"/>
    <w:rsid w:val="008B5745"/>
    <w:rsid w:val="008C34F1"/>
    <w:rsid w:val="008C53DD"/>
    <w:rsid w:val="008C751A"/>
    <w:rsid w:val="008C783F"/>
    <w:rsid w:val="008D09B2"/>
    <w:rsid w:val="008D118E"/>
    <w:rsid w:val="008D17F9"/>
    <w:rsid w:val="008D37AD"/>
    <w:rsid w:val="008D4BDF"/>
    <w:rsid w:val="008D69EB"/>
    <w:rsid w:val="008D7D37"/>
    <w:rsid w:val="008E0C02"/>
    <w:rsid w:val="008E0D88"/>
    <w:rsid w:val="008E1D84"/>
    <w:rsid w:val="008E328C"/>
    <w:rsid w:val="008E339C"/>
    <w:rsid w:val="008E3D60"/>
    <w:rsid w:val="008E3F4C"/>
    <w:rsid w:val="008E4C49"/>
    <w:rsid w:val="008E4D97"/>
    <w:rsid w:val="008E53C0"/>
    <w:rsid w:val="008E56B3"/>
    <w:rsid w:val="008E5EC1"/>
    <w:rsid w:val="008E6844"/>
    <w:rsid w:val="008F062E"/>
    <w:rsid w:val="008F1237"/>
    <w:rsid w:val="008F199D"/>
    <w:rsid w:val="008F33E6"/>
    <w:rsid w:val="008F39C8"/>
    <w:rsid w:val="008F3E2F"/>
    <w:rsid w:val="008F43F2"/>
    <w:rsid w:val="008F47BF"/>
    <w:rsid w:val="008F5556"/>
    <w:rsid w:val="008F79BA"/>
    <w:rsid w:val="0090039C"/>
    <w:rsid w:val="00900445"/>
    <w:rsid w:val="0090165F"/>
    <w:rsid w:val="00901A2C"/>
    <w:rsid w:val="00901B82"/>
    <w:rsid w:val="00902F45"/>
    <w:rsid w:val="0090330E"/>
    <w:rsid w:val="00903DBE"/>
    <w:rsid w:val="00903F97"/>
    <w:rsid w:val="00905BB8"/>
    <w:rsid w:val="009109B7"/>
    <w:rsid w:val="00912167"/>
    <w:rsid w:val="00912B09"/>
    <w:rsid w:val="00914F77"/>
    <w:rsid w:val="00920594"/>
    <w:rsid w:val="00920EBD"/>
    <w:rsid w:val="00921E7B"/>
    <w:rsid w:val="00923B6E"/>
    <w:rsid w:val="009246B0"/>
    <w:rsid w:val="00924D92"/>
    <w:rsid w:val="0092654C"/>
    <w:rsid w:val="00930BD7"/>
    <w:rsid w:val="00930E1A"/>
    <w:rsid w:val="0093272B"/>
    <w:rsid w:val="0093287E"/>
    <w:rsid w:val="00935F1B"/>
    <w:rsid w:val="009368CA"/>
    <w:rsid w:val="00936B15"/>
    <w:rsid w:val="009375E3"/>
    <w:rsid w:val="009422D5"/>
    <w:rsid w:val="00942CF4"/>
    <w:rsid w:val="009432CF"/>
    <w:rsid w:val="0094335D"/>
    <w:rsid w:val="009443DE"/>
    <w:rsid w:val="0094676D"/>
    <w:rsid w:val="00946F41"/>
    <w:rsid w:val="00950972"/>
    <w:rsid w:val="00950983"/>
    <w:rsid w:val="00951280"/>
    <w:rsid w:val="00953DC5"/>
    <w:rsid w:val="009549AC"/>
    <w:rsid w:val="009555B6"/>
    <w:rsid w:val="009562C7"/>
    <w:rsid w:val="0095654B"/>
    <w:rsid w:val="009572E0"/>
    <w:rsid w:val="00962981"/>
    <w:rsid w:val="00964300"/>
    <w:rsid w:val="00966C2F"/>
    <w:rsid w:val="00967335"/>
    <w:rsid w:val="0096742A"/>
    <w:rsid w:val="00967494"/>
    <w:rsid w:val="00967B26"/>
    <w:rsid w:val="00971FC1"/>
    <w:rsid w:val="009725F7"/>
    <w:rsid w:val="00973798"/>
    <w:rsid w:val="009743BB"/>
    <w:rsid w:val="0097498E"/>
    <w:rsid w:val="0097512B"/>
    <w:rsid w:val="00977AF1"/>
    <w:rsid w:val="009807C4"/>
    <w:rsid w:val="00980F91"/>
    <w:rsid w:val="0098123B"/>
    <w:rsid w:val="009818B8"/>
    <w:rsid w:val="00982404"/>
    <w:rsid w:val="00982B35"/>
    <w:rsid w:val="00982FB3"/>
    <w:rsid w:val="0098352E"/>
    <w:rsid w:val="009840D5"/>
    <w:rsid w:val="00984146"/>
    <w:rsid w:val="00984C4E"/>
    <w:rsid w:val="00990F53"/>
    <w:rsid w:val="00991CA1"/>
    <w:rsid w:val="009920D7"/>
    <w:rsid w:val="009954C6"/>
    <w:rsid w:val="00996ADA"/>
    <w:rsid w:val="00996EC4"/>
    <w:rsid w:val="009A0CEC"/>
    <w:rsid w:val="009A1259"/>
    <w:rsid w:val="009A1455"/>
    <w:rsid w:val="009A4BA6"/>
    <w:rsid w:val="009A55D0"/>
    <w:rsid w:val="009B00EF"/>
    <w:rsid w:val="009B1BC9"/>
    <w:rsid w:val="009B2D8F"/>
    <w:rsid w:val="009B578C"/>
    <w:rsid w:val="009B6702"/>
    <w:rsid w:val="009B6F2B"/>
    <w:rsid w:val="009B75B9"/>
    <w:rsid w:val="009B7706"/>
    <w:rsid w:val="009C082E"/>
    <w:rsid w:val="009C0D24"/>
    <w:rsid w:val="009C1BED"/>
    <w:rsid w:val="009C4AE3"/>
    <w:rsid w:val="009C4B96"/>
    <w:rsid w:val="009C7BF2"/>
    <w:rsid w:val="009D2957"/>
    <w:rsid w:val="009D558D"/>
    <w:rsid w:val="009D55B0"/>
    <w:rsid w:val="009D5A02"/>
    <w:rsid w:val="009D5B2E"/>
    <w:rsid w:val="009D67F6"/>
    <w:rsid w:val="009D737E"/>
    <w:rsid w:val="009E08D1"/>
    <w:rsid w:val="009E0FE1"/>
    <w:rsid w:val="009E2F04"/>
    <w:rsid w:val="009E4BD0"/>
    <w:rsid w:val="009E638B"/>
    <w:rsid w:val="009E6F4A"/>
    <w:rsid w:val="009E7FE9"/>
    <w:rsid w:val="009F0A31"/>
    <w:rsid w:val="009F11D7"/>
    <w:rsid w:val="009F2764"/>
    <w:rsid w:val="009F315A"/>
    <w:rsid w:val="009F5EA3"/>
    <w:rsid w:val="009F6875"/>
    <w:rsid w:val="009F7A64"/>
    <w:rsid w:val="00A02879"/>
    <w:rsid w:val="00A0406E"/>
    <w:rsid w:val="00A052D8"/>
    <w:rsid w:val="00A06497"/>
    <w:rsid w:val="00A074BB"/>
    <w:rsid w:val="00A07BA8"/>
    <w:rsid w:val="00A1097A"/>
    <w:rsid w:val="00A11307"/>
    <w:rsid w:val="00A1150E"/>
    <w:rsid w:val="00A136DA"/>
    <w:rsid w:val="00A13AF3"/>
    <w:rsid w:val="00A14EA0"/>
    <w:rsid w:val="00A150D9"/>
    <w:rsid w:val="00A163DB"/>
    <w:rsid w:val="00A16E0E"/>
    <w:rsid w:val="00A205FD"/>
    <w:rsid w:val="00A21388"/>
    <w:rsid w:val="00A21B0E"/>
    <w:rsid w:val="00A27223"/>
    <w:rsid w:val="00A27791"/>
    <w:rsid w:val="00A27ABE"/>
    <w:rsid w:val="00A27E8E"/>
    <w:rsid w:val="00A27EDA"/>
    <w:rsid w:val="00A27FD0"/>
    <w:rsid w:val="00A30784"/>
    <w:rsid w:val="00A30F88"/>
    <w:rsid w:val="00A34DA3"/>
    <w:rsid w:val="00A355F9"/>
    <w:rsid w:val="00A362F5"/>
    <w:rsid w:val="00A36441"/>
    <w:rsid w:val="00A375C1"/>
    <w:rsid w:val="00A403B7"/>
    <w:rsid w:val="00A4083F"/>
    <w:rsid w:val="00A41355"/>
    <w:rsid w:val="00A43200"/>
    <w:rsid w:val="00A4350C"/>
    <w:rsid w:val="00A437B6"/>
    <w:rsid w:val="00A43B92"/>
    <w:rsid w:val="00A45699"/>
    <w:rsid w:val="00A467DB"/>
    <w:rsid w:val="00A51CB3"/>
    <w:rsid w:val="00A54251"/>
    <w:rsid w:val="00A558B0"/>
    <w:rsid w:val="00A56469"/>
    <w:rsid w:val="00A57556"/>
    <w:rsid w:val="00A604C7"/>
    <w:rsid w:val="00A6088E"/>
    <w:rsid w:val="00A60A88"/>
    <w:rsid w:val="00A6179E"/>
    <w:rsid w:val="00A61840"/>
    <w:rsid w:val="00A64316"/>
    <w:rsid w:val="00A64362"/>
    <w:rsid w:val="00A64F90"/>
    <w:rsid w:val="00A67790"/>
    <w:rsid w:val="00A67949"/>
    <w:rsid w:val="00A67D37"/>
    <w:rsid w:val="00A700EE"/>
    <w:rsid w:val="00A707A6"/>
    <w:rsid w:val="00A70A56"/>
    <w:rsid w:val="00A73233"/>
    <w:rsid w:val="00A73B0A"/>
    <w:rsid w:val="00A74363"/>
    <w:rsid w:val="00A757F4"/>
    <w:rsid w:val="00A75BA1"/>
    <w:rsid w:val="00A7615D"/>
    <w:rsid w:val="00A804D9"/>
    <w:rsid w:val="00A82B8F"/>
    <w:rsid w:val="00A8413A"/>
    <w:rsid w:val="00A8573B"/>
    <w:rsid w:val="00A87F0E"/>
    <w:rsid w:val="00A9216B"/>
    <w:rsid w:val="00A92915"/>
    <w:rsid w:val="00A92F92"/>
    <w:rsid w:val="00A96211"/>
    <w:rsid w:val="00A96892"/>
    <w:rsid w:val="00AA0CC0"/>
    <w:rsid w:val="00AA108F"/>
    <w:rsid w:val="00AA10EF"/>
    <w:rsid w:val="00AA2051"/>
    <w:rsid w:val="00AA29E9"/>
    <w:rsid w:val="00AA70C4"/>
    <w:rsid w:val="00AB1052"/>
    <w:rsid w:val="00AB2945"/>
    <w:rsid w:val="00AB53BA"/>
    <w:rsid w:val="00AB7C8F"/>
    <w:rsid w:val="00AC2192"/>
    <w:rsid w:val="00AC267E"/>
    <w:rsid w:val="00AC4477"/>
    <w:rsid w:val="00AC588F"/>
    <w:rsid w:val="00AC5B8E"/>
    <w:rsid w:val="00AC636D"/>
    <w:rsid w:val="00AC7876"/>
    <w:rsid w:val="00AD0438"/>
    <w:rsid w:val="00AD23C4"/>
    <w:rsid w:val="00AD2725"/>
    <w:rsid w:val="00AD3296"/>
    <w:rsid w:val="00AD3599"/>
    <w:rsid w:val="00AD5674"/>
    <w:rsid w:val="00AD767A"/>
    <w:rsid w:val="00AE13E4"/>
    <w:rsid w:val="00AE142F"/>
    <w:rsid w:val="00AE1885"/>
    <w:rsid w:val="00AE2519"/>
    <w:rsid w:val="00AE346B"/>
    <w:rsid w:val="00AE4A51"/>
    <w:rsid w:val="00AE5583"/>
    <w:rsid w:val="00AE7E5E"/>
    <w:rsid w:val="00AF0C49"/>
    <w:rsid w:val="00AF18C6"/>
    <w:rsid w:val="00AF1C8E"/>
    <w:rsid w:val="00AF298F"/>
    <w:rsid w:val="00AF4973"/>
    <w:rsid w:val="00AF4B95"/>
    <w:rsid w:val="00AF4BB3"/>
    <w:rsid w:val="00AF4BCC"/>
    <w:rsid w:val="00AF5FFA"/>
    <w:rsid w:val="00AF64E6"/>
    <w:rsid w:val="00AF7517"/>
    <w:rsid w:val="00B00F61"/>
    <w:rsid w:val="00B010CE"/>
    <w:rsid w:val="00B02A43"/>
    <w:rsid w:val="00B03246"/>
    <w:rsid w:val="00B039D1"/>
    <w:rsid w:val="00B04368"/>
    <w:rsid w:val="00B04DFA"/>
    <w:rsid w:val="00B06F3D"/>
    <w:rsid w:val="00B07DA1"/>
    <w:rsid w:val="00B10A9C"/>
    <w:rsid w:val="00B1102B"/>
    <w:rsid w:val="00B148A3"/>
    <w:rsid w:val="00B15B26"/>
    <w:rsid w:val="00B15D26"/>
    <w:rsid w:val="00B237FB"/>
    <w:rsid w:val="00B24B1D"/>
    <w:rsid w:val="00B25200"/>
    <w:rsid w:val="00B26C33"/>
    <w:rsid w:val="00B277E0"/>
    <w:rsid w:val="00B3078E"/>
    <w:rsid w:val="00B34946"/>
    <w:rsid w:val="00B350CA"/>
    <w:rsid w:val="00B36042"/>
    <w:rsid w:val="00B40B56"/>
    <w:rsid w:val="00B41594"/>
    <w:rsid w:val="00B415EE"/>
    <w:rsid w:val="00B43D7D"/>
    <w:rsid w:val="00B454F5"/>
    <w:rsid w:val="00B46E32"/>
    <w:rsid w:val="00B476F4"/>
    <w:rsid w:val="00B51687"/>
    <w:rsid w:val="00B519FD"/>
    <w:rsid w:val="00B5209A"/>
    <w:rsid w:val="00B520BC"/>
    <w:rsid w:val="00B529BD"/>
    <w:rsid w:val="00B539CC"/>
    <w:rsid w:val="00B53C86"/>
    <w:rsid w:val="00B57007"/>
    <w:rsid w:val="00B611E8"/>
    <w:rsid w:val="00B63455"/>
    <w:rsid w:val="00B636F5"/>
    <w:rsid w:val="00B63D24"/>
    <w:rsid w:val="00B655D3"/>
    <w:rsid w:val="00B66EA8"/>
    <w:rsid w:val="00B71068"/>
    <w:rsid w:val="00B72B1F"/>
    <w:rsid w:val="00B7496F"/>
    <w:rsid w:val="00B74B67"/>
    <w:rsid w:val="00B7602E"/>
    <w:rsid w:val="00B77541"/>
    <w:rsid w:val="00B81408"/>
    <w:rsid w:val="00B82C44"/>
    <w:rsid w:val="00B8787A"/>
    <w:rsid w:val="00B87AC4"/>
    <w:rsid w:val="00B9221C"/>
    <w:rsid w:val="00B9237E"/>
    <w:rsid w:val="00B924E6"/>
    <w:rsid w:val="00B94396"/>
    <w:rsid w:val="00B95E0F"/>
    <w:rsid w:val="00BA0251"/>
    <w:rsid w:val="00BA0DDB"/>
    <w:rsid w:val="00BA206B"/>
    <w:rsid w:val="00BA20C5"/>
    <w:rsid w:val="00BA262D"/>
    <w:rsid w:val="00BA34F2"/>
    <w:rsid w:val="00BA503D"/>
    <w:rsid w:val="00BA5698"/>
    <w:rsid w:val="00BA5E3B"/>
    <w:rsid w:val="00BA6947"/>
    <w:rsid w:val="00BA7B4D"/>
    <w:rsid w:val="00BB017F"/>
    <w:rsid w:val="00BB3A8E"/>
    <w:rsid w:val="00BB6048"/>
    <w:rsid w:val="00BB6291"/>
    <w:rsid w:val="00BC1CBF"/>
    <w:rsid w:val="00BC25D6"/>
    <w:rsid w:val="00BC3388"/>
    <w:rsid w:val="00BC45EC"/>
    <w:rsid w:val="00BC79EB"/>
    <w:rsid w:val="00BC7E25"/>
    <w:rsid w:val="00BC7F5A"/>
    <w:rsid w:val="00BD059A"/>
    <w:rsid w:val="00BD154E"/>
    <w:rsid w:val="00BD28F7"/>
    <w:rsid w:val="00BD37E9"/>
    <w:rsid w:val="00BD3B07"/>
    <w:rsid w:val="00BD52D2"/>
    <w:rsid w:val="00BD6AFF"/>
    <w:rsid w:val="00BD6D26"/>
    <w:rsid w:val="00BD712E"/>
    <w:rsid w:val="00BD7FCF"/>
    <w:rsid w:val="00BE110F"/>
    <w:rsid w:val="00BE26C0"/>
    <w:rsid w:val="00BE3C77"/>
    <w:rsid w:val="00BE5EAE"/>
    <w:rsid w:val="00BE7006"/>
    <w:rsid w:val="00BE74B6"/>
    <w:rsid w:val="00BF03CE"/>
    <w:rsid w:val="00BF0BC3"/>
    <w:rsid w:val="00BF1397"/>
    <w:rsid w:val="00BF1982"/>
    <w:rsid w:val="00BF2282"/>
    <w:rsid w:val="00BF38BF"/>
    <w:rsid w:val="00BF6406"/>
    <w:rsid w:val="00BF79B5"/>
    <w:rsid w:val="00C021CC"/>
    <w:rsid w:val="00C03AFE"/>
    <w:rsid w:val="00C03DB5"/>
    <w:rsid w:val="00C04B1D"/>
    <w:rsid w:val="00C05AD9"/>
    <w:rsid w:val="00C064DC"/>
    <w:rsid w:val="00C11399"/>
    <w:rsid w:val="00C1290A"/>
    <w:rsid w:val="00C12973"/>
    <w:rsid w:val="00C133E6"/>
    <w:rsid w:val="00C135CC"/>
    <w:rsid w:val="00C149BD"/>
    <w:rsid w:val="00C15D06"/>
    <w:rsid w:val="00C16BEB"/>
    <w:rsid w:val="00C170DC"/>
    <w:rsid w:val="00C20142"/>
    <w:rsid w:val="00C20FA0"/>
    <w:rsid w:val="00C213B0"/>
    <w:rsid w:val="00C2210E"/>
    <w:rsid w:val="00C22497"/>
    <w:rsid w:val="00C22533"/>
    <w:rsid w:val="00C22599"/>
    <w:rsid w:val="00C23344"/>
    <w:rsid w:val="00C2562F"/>
    <w:rsid w:val="00C25BDA"/>
    <w:rsid w:val="00C26614"/>
    <w:rsid w:val="00C30197"/>
    <w:rsid w:val="00C302FF"/>
    <w:rsid w:val="00C3067D"/>
    <w:rsid w:val="00C30B25"/>
    <w:rsid w:val="00C314C2"/>
    <w:rsid w:val="00C31A81"/>
    <w:rsid w:val="00C32381"/>
    <w:rsid w:val="00C328A9"/>
    <w:rsid w:val="00C33104"/>
    <w:rsid w:val="00C332D4"/>
    <w:rsid w:val="00C337EB"/>
    <w:rsid w:val="00C33DB2"/>
    <w:rsid w:val="00C34465"/>
    <w:rsid w:val="00C3486F"/>
    <w:rsid w:val="00C35A97"/>
    <w:rsid w:val="00C3681F"/>
    <w:rsid w:val="00C410C1"/>
    <w:rsid w:val="00C41B6F"/>
    <w:rsid w:val="00C43265"/>
    <w:rsid w:val="00C43BDA"/>
    <w:rsid w:val="00C51011"/>
    <w:rsid w:val="00C52255"/>
    <w:rsid w:val="00C52CF8"/>
    <w:rsid w:val="00C53565"/>
    <w:rsid w:val="00C55244"/>
    <w:rsid w:val="00C560AC"/>
    <w:rsid w:val="00C56933"/>
    <w:rsid w:val="00C5781C"/>
    <w:rsid w:val="00C601B5"/>
    <w:rsid w:val="00C60343"/>
    <w:rsid w:val="00C63127"/>
    <w:rsid w:val="00C6379B"/>
    <w:rsid w:val="00C663ED"/>
    <w:rsid w:val="00C6783B"/>
    <w:rsid w:val="00C74C76"/>
    <w:rsid w:val="00C74FC0"/>
    <w:rsid w:val="00C769C1"/>
    <w:rsid w:val="00C76A28"/>
    <w:rsid w:val="00C77306"/>
    <w:rsid w:val="00C80340"/>
    <w:rsid w:val="00C834DF"/>
    <w:rsid w:val="00C854D4"/>
    <w:rsid w:val="00C855FF"/>
    <w:rsid w:val="00C86324"/>
    <w:rsid w:val="00C86EE5"/>
    <w:rsid w:val="00C90556"/>
    <w:rsid w:val="00C91A7A"/>
    <w:rsid w:val="00C931AA"/>
    <w:rsid w:val="00C943C2"/>
    <w:rsid w:val="00C96972"/>
    <w:rsid w:val="00C96B99"/>
    <w:rsid w:val="00C971A5"/>
    <w:rsid w:val="00C97615"/>
    <w:rsid w:val="00CA0A7B"/>
    <w:rsid w:val="00CA0D78"/>
    <w:rsid w:val="00CA4855"/>
    <w:rsid w:val="00CA5A7E"/>
    <w:rsid w:val="00CA5D90"/>
    <w:rsid w:val="00CA6F95"/>
    <w:rsid w:val="00CA7640"/>
    <w:rsid w:val="00CA79BF"/>
    <w:rsid w:val="00CB0002"/>
    <w:rsid w:val="00CB066B"/>
    <w:rsid w:val="00CB24FE"/>
    <w:rsid w:val="00CB3D5A"/>
    <w:rsid w:val="00CB45FF"/>
    <w:rsid w:val="00CB48E6"/>
    <w:rsid w:val="00CB5889"/>
    <w:rsid w:val="00CB602E"/>
    <w:rsid w:val="00CB6122"/>
    <w:rsid w:val="00CC0BB9"/>
    <w:rsid w:val="00CC0EE4"/>
    <w:rsid w:val="00CC265E"/>
    <w:rsid w:val="00CC2AA0"/>
    <w:rsid w:val="00CC4D53"/>
    <w:rsid w:val="00CC6946"/>
    <w:rsid w:val="00CD131F"/>
    <w:rsid w:val="00CD188E"/>
    <w:rsid w:val="00CD2AA4"/>
    <w:rsid w:val="00CD3641"/>
    <w:rsid w:val="00CD365C"/>
    <w:rsid w:val="00CD409C"/>
    <w:rsid w:val="00CD5047"/>
    <w:rsid w:val="00CD58FD"/>
    <w:rsid w:val="00CD5AD8"/>
    <w:rsid w:val="00CD5ECD"/>
    <w:rsid w:val="00CE01C8"/>
    <w:rsid w:val="00CE1C10"/>
    <w:rsid w:val="00CE241F"/>
    <w:rsid w:val="00CE288E"/>
    <w:rsid w:val="00CE3A4C"/>
    <w:rsid w:val="00CE5436"/>
    <w:rsid w:val="00CE5B4F"/>
    <w:rsid w:val="00CE6134"/>
    <w:rsid w:val="00CE61A6"/>
    <w:rsid w:val="00CE6C7A"/>
    <w:rsid w:val="00CE7580"/>
    <w:rsid w:val="00CE7C96"/>
    <w:rsid w:val="00CF0F6F"/>
    <w:rsid w:val="00CF1314"/>
    <w:rsid w:val="00CF1AE5"/>
    <w:rsid w:val="00CF2D36"/>
    <w:rsid w:val="00CF3AB3"/>
    <w:rsid w:val="00CF3FE9"/>
    <w:rsid w:val="00CF4D21"/>
    <w:rsid w:val="00CF5487"/>
    <w:rsid w:val="00CF676B"/>
    <w:rsid w:val="00CF6EA1"/>
    <w:rsid w:val="00CF7430"/>
    <w:rsid w:val="00D00FC2"/>
    <w:rsid w:val="00D02074"/>
    <w:rsid w:val="00D02A4E"/>
    <w:rsid w:val="00D03307"/>
    <w:rsid w:val="00D03DEF"/>
    <w:rsid w:val="00D04234"/>
    <w:rsid w:val="00D0482D"/>
    <w:rsid w:val="00D076C5"/>
    <w:rsid w:val="00D10EB0"/>
    <w:rsid w:val="00D143A8"/>
    <w:rsid w:val="00D14BF5"/>
    <w:rsid w:val="00D151F1"/>
    <w:rsid w:val="00D156DA"/>
    <w:rsid w:val="00D16341"/>
    <w:rsid w:val="00D201D6"/>
    <w:rsid w:val="00D2052F"/>
    <w:rsid w:val="00D20E46"/>
    <w:rsid w:val="00D21437"/>
    <w:rsid w:val="00D23306"/>
    <w:rsid w:val="00D23468"/>
    <w:rsid w:val="00D24C49"/>
    <w:rsid w:val="00D25E59"/>
    <w:rsid w:val="00D26F58"/>
    <w:rsid w:val="00D27D1A"/>
    <w:rsid w:val="00D30632"/>
    <w:rsid w:val="00D30826"/>
    <w:rsid w:val="00D31C6B"/>
    <w:rsid w:val="00D329DC"/>
    <w:rsid w:val="00D32B29"/>
    <w:rsid w:val="00D343FA"/>
    <w:rsid w:val="00D34B00"/>
    <w:rsid w:val="00D34FB4"/>
    <w:rsid w:val="00D361A9"/>
    <w:rsid w:val="00D3640D"/>
    <w:rsid w:val="00D36B7C"/>
    <w:rsid w:val="00D370E7"/>
    <w:rsid w:val="00D37531"/>
    <w:rsid w:val="00D40237"/>
    <w:rsid w:val="00D417C9"/>
    <w:rsid w:val="00D418FF"/>
    <w:rsid w:val="00D45D8E"/>
    <w:rsid w:val="00D45FCD"/>
    <w:rsid w:val="00D45FF9"/>
    <w:rsid w:val="00D46EE4"/>
    <w:rsid w:val="00D46F9B"/>
    <w:rsid w:val="00D4799F"/>
    <w:rsid w:val="00D51C56"/>
    <w:rsid w:val="00D54DA8"/>
    <w:rsid w:val="00D5531A"/>
    <w:rsid w:val="00D56479"/>
    <w:rsid w:val="00D56933"/>
    <w:rsid w:val="00D57A4F"/>
    <w:rsid w:val="00D61183"/>
    <w:rsid w:val="00D6147F"/>
    <w:rsid w:val="00D62160"/>
    <w:rsid w:val="00D651A1"/>
    <w:rsid w:val="00D65C76"/>
    <w:rsid w:val="00D734C7"/>
    <w:rsid w:val="00D73C4D"/>
    <w:rsid w:val="00D74A03"/>
    <w:rsid w:val="00D7542B"/>
    <w:rsid w:val="00D76366"/>
    <w:rsid w:val="00D804F2"/>
    <w:rsid w:val="00D81514"/>
    <w:rsid w:val="00D826AC"/>
    <w:rsid w:val="00D828DC"/>
    <w:rsid w:val="00D8314C"/>
    <w:rsid w:val="00D834B7"/>
    <w:rsid w:val="00D8351F"/>
    <w:rsid w:val="00D839EC"/>
    <w:rsid w:val="00D83F41"/>
    <w:rsid w:val="00D84800"/>
    <w:rsid w:val="00D8700E"/>
    <w:rsid w:val="00D8706B"/>
    <w:rsid w:val="00D87A07"/>
    <w:rsid w:val="00D914DD"/>
    <w:rsid w:val="00D940EC"/>
    <w:rsid w:val="00D9510A"/>
    <w:rsid w:val="00D95B97"/>
    <w:rsid w:val="00D95EEA"/>
    <w:rsid w:val="00D97D9A"/>
    <w:rsid w:val="00DA1412"/>
    <w:rsid w:val="00DA1D32"/>
    <w:rsid w:val="00DA2F73"/>
    <w:rsid w:val="00DA4CC6"/>
    <w:rsid w:val="00DA5296"/>
    <w:rsid w:val="00DA6849"/>
    <w:rsid w:val="00DA7A55"/>
    <w:rsid w:val="00DB03C8"/>
    <w:rsid w:val="00DB184C"/>
    <w:rsid w:val="00DB234F"/>
    <w:rsid w:val="00DB2524"/>
    <w:rsid w:val="00DB40A6"/>
    <w:rsid w:val="00DB40C6"/>
    <w:rsid w:val="00DB4520"/>
    <w:rsid w:val="00DB58F8"/>
    <w:rsid w:val="00DB6C99"/>
    <w:rsid w:val="00DB7656"/>
    <w:rsid w:val="00DC307B"/>
    <w:rsid w:val="00DC343B"/>
    <w:rsid w:val="00DC395B"/>
    <w:rsid w:val="00DC418C"/>
    <w:rsid w:val="00DC462F"/>
    <w:rsid w:val="00DC499A"/>
    <w:rsid w:val="00DD10FF"/>
    <w:rsid w:val="00DD1829"/>
    <w:rsid w:val="00DD2042"/>
    <w:rsid w:val="00DD2A94"/>
    <w:rsid w:val="00DD2ECB"/>
    <w:rsid w:val="00DD6A21"/>
    <w:rsid w:val="00DE0BB0"/>
    <w:rsid w:val="00DE0C5B"/>
    <w:rsid w:val="00DE0C6F"/>
    <w:rsid w:val="00DE18A7"/>
    <w:rsid w:val="00DE2EFB"/>
    <w:rsid w:val="00DE4B47"/>
    <w:rsid w:val="00DE4C2E"/>
    <w:rsid w:val="00DE53FB"/>
    <w:rsid w:val="00DE60CA"/>
    <w:rsid w:val="00DE6CDF"/>
    <w:rsid w:val="00DE7227"/>
    <w:rsid w:val="00DF1084"/>
    <w:rsid w:val="00DF10AD"/>
    <w:rsid w:val="00DF16A1"/>
    <w:rsid w:val="00DF3D25"/>
    <w:rsid w:val="00DF6735"/>
    <w:rsid w:val="00DF7018"/>
    <w:rsid w:val="00DF74C3"/>
    <w:rsid w:val="00DF7A22"/>
    <w:rsid w:val="00E0017B"/>
    <w:rsid w:val="00E022B8"/>
    <w:rsid w:val="00E02517"/>
    <w:rsid w:val="00E027E1"/>
    <w:rsid w:val="00E02FC5"/>
    <w:rsid w:val="00E03AFF"/>
    <w:rsid w:val="00E03E53"/>
    <w:rsid w:val="00E057F8"/>
    <w:rsid w:val="00E063C6"/>
    <w:rsid w:val="00E10A47"/>
    <w:rsid w:val="00E111DF"/>
    <w:rsid w:val="00E12356"/>
    <w:rsid w:val="00E1452E"/>
    <w:rsid w:val="00E14833"/>
    <w:rsid w:val="00E1675F"/>
    <w:rsid w:val="00E176AD"/>
    <w:rsid w:val="00E20F07"/>
    <w:rsid w:val="00E213DB"/>
    <w:rsid w:val="00E21A62"/>
    <w:rsid w:val="00E2293A"/>
    <w:rsid w:val="00E23F86"/>
    <w:rsid w:val="00E24FA3"/>
    <w:rsid w:val="00E25223"/>
    <w:rsid w:val="00E26149"/>
    <w:rsid w:val="00E26B28"/>
    <w:rsid w:val="00E27EB1"/>
    <w:rsid w:val="00E31465"/>
    <w:rsid w:val="00E321EC"/>
    <w:rsid w:val="00E3220B"/>
    <w:rsid w:val="00E328CD"/>
    <w:rsid w:val="00E3489E"/>
    <w:rsid w:val="00E362F0"/>
    <w:rsid w:val="00E36964"/>
    <w:rsid w:val="00E36B95"/>
    <w:rsid w:val="00E4003F"/>
    <w:rsid w:val="00E432BC"/>
    <w:rsid w:val="00E43A0B"/>
    <w:rsid w:val="00E44068"/>
    <w:rsid w:val="00E44DB4"/>
    <w:rsid w:val="00E458F6"/>
    <w:rsid w:val="00E45954"/>
    <w:rsid w:val="00E46704"/>
    <w:rsid w:val="00E47A40"/>
    <w:rsid w:val="00E53546"/>
    <w:rsid w:val="00E55324"/>
    <w:rsid w:val="00E55F24"/>
    <w:rsid w:val="00E55FFE"/>
    <w:rsid w:val="00E56368"/>
    <w:rsid w:val="00E56F26"/>
    <w:rsid w:val="00E60C0F"/>
    <w:rsid w:val="00E6183E"/>
    <w:rsid w:val="00E6235D"/>
    <w:rsid w:val="00E62856"/>
    <w:rsid w:val="00E63C45"/>
    <w:rsid w:val="00E63E0D"/>
    <w:rsid w:val="00E6594F"/>
    <w:rsid w:val="00E668C4"/>
    <w:rsid w:val="00E67FCC"/>
    <w:rsid w:val="00E70EBF"/>
    <w:rsid w:val="00E71C99"/>
    <w:rsid w:val="00E72672"/>
    <w:rsid w:val="00E74045"/>
    <w:rsid w:val="00E74188"/>
    <w:rsid w:val="00E750FB"/>
    <w:rsid w:val="00E7520D"/>
    <w:rsid w:val="00E76393"/>
    <w:rsid w:val="00E76769"/>
    <w:rsid w:val="00E812F7"/>
    <w:rsid w:val="00E81BD0"/>
    <w:rsid w:val="00E834D2"/>
    <w:rsid w:val="00E83F8A"/>
    <w:rsid w:val="00E8419E"/>
    <w:rsid w:val="00E861D7"/>
    <w:rsid w:val="00E864E8"/>
    <w:rsid w:val="00E87650"/>
    <w:rsid w:val="00E90559"/>
    <w:rsid w:val="00E90A88"/>
    <w:rsid w:val="00E913AE"/>
    <w:rsid w:val="00E92868"/>
    <w:rsid w:val="00E92BC9"/>
    <w:rsid w:val="00E93C3D"/>
    <w:rsid w:val="00E94C6A"/>
    <w:rsid w:val="00E95FF1"/>
    <w:rsid w:val="00E960EF"/>
    <w:rsid w:val="00E9784D"/>
    <w:rsid w:val="00EA04B9"/>
    <w:rsid w:val="00EA3F4B"/>
    <w:rsid w:val="00EA40D5"/>
    <w:rsid w:val="00EA44D9"/>
    <w:rsid w:val="00EA61E0"/>
    <w:rsid w:val="00EA6522"/>
    <w:rsid w:val="00EA6C70"/>
    <w:rsid w:val="00EA76DF"/>
    <w:rsid w:val="00EA784D"/>
    <w:rsid w:val="00EA7862"/>
    <w:rsid w:val="00EB0236"/>
    <w:rsid w:val="00EB2DEC"/>
    <w:rsid w:val="00EB2EB5"/>
    <w:rsid w:val="00EB4313"/>
    <w:rsid w:val="00EB6A76"/>
    <w:rsid w:val="00EB7125"/>
    <w:rsid w:val="00EB73C3"/>
    <w:rsid w:val="00EC04BB"/>
    <w:rsid w:val="00EC18E3"/>
    <w:rsid w:val="00EC24F9"/>
    <w:rsid w:val="00EC4BB5"/>
    <w:rsid w:val="00ED2C2F"/>
    <w:rsid w:val="00ED440E"/>
    <w:rsid w:val="00ED4DFF"/>
    <w:rsid w:val="00ED5454"/>
    <w:rsid w:val="00ED5469"/>
    <w:rsid w:val="00ED546C"/>
    <w:rsid w:val="00ED5860"/>
    <w:rsid w:val="00ED5B78"/>
    <w:rsid w:val="00ED6354"/>
    <w:rsid w:val="00ED7E13"/>
    <w:rsid w:val="00EE0425"/>
    <w:rsid w:val="00EE1800"/>
    <w:rsid w:val="00EE262E"/>
    <w:rsid w:val="00EE2766"/>
    <w:rsid w:val="00EE2BCD"/>
    <w:rsid w:val="00EE53FA"/>
    <w:rsid w:val="00EE76B9"/>
    <w:rsid w:val="00EF0A54"/>
    <w:rsid w:val="00EF0F89"/>
    <w:rsid w:val="00EF15F6"/>
    <w:rsid w:val="00EF2B79"/>
    <w:rsid w:val="00EF2DDE"/>
    <w:rsid w:val="00EF6A3A"/>
    <w:rsid w:val="00EF6DEC"/>
    <w:rsid w:val="00F0105C"/>
    <w:rsid w:val="00F0438B"/>
    <w:rsid w:val="00F04ADE"/>
    <w:rsid w:val="00F074CF"/>
    <w:rsid w:val="00F0799D"/>
    <w:rsid w:val="00F107A0"/>
    <w:rsid w:val="00F112C5"/>
    <w:rsid w:val="00F127A8"/>
    <w:rsid w:val="00F141D0"/>
    <w:rsid w:val="00F14C6D"/>
    <w:rsid w:val="00F14C9C"/>
    <w:rsid w:val="00F1554A"/>
    <w:rsid w:val="00F170B5"/>
    <w:rsid w:val="00F1745F"/>
    <w:rsid w:val="00F17549"/>
    <w:rsid w:val="00F17AD8"/>
    <w:rsid w:val="00F17D57"/>
    <w:rsid w:val="00F20DCB"/>
    <w:rsid w:val="00F220A5"/>
    <w:rsid w:val="00F2321F"/>
    <w:rsid w:val="00F25B0D"/>
    <w:rsid w:val="00F26A1D"/>
    <w:rsid w:val="00F2789F"/>
    <w:rsid w:val="00F27B05"/>
    <w:rsid w:val="00F30717"/>
    <w:rsid w:val="00F307B1"/>
    <w:rsid w:val="00F31C98"/>
    <w:rsid w:val="00F33D42"/>
    <w:rsid w:val="00F3416A"/>
    <w:rsid w:val="00F34362"/>
    <w:rsid w:val="00F34BC9"/>
    <w:rsid w:val="00F34C38"/>
    <w:rsid w:val="00F35EE4"/>
    <w:rsid w:val="00F35FBA"/>
    <w:rsid w:val="00F36A5C"/>
    <w:rsid w:val="00F37B72"/>
    <w:rsid w:val="00F40121"/>
    <w:rsid w:val="00F42E73"/>
    <w:rsid w:val="00F44B5C"/>
    <w:rsid w:val="00F45001"/>
    <w:rsid w:val="00F4798E"/>
    <w:rsid w:val="00F513AE"/>
    <w:rsid w:val="00F52F55"/>
    <w:rsid w:val="00F52F85"/>
    <w:rsid w:val="00F53646"/>
    <w:rsid w:val="00F55D98"/>
    <w:rsid w:val="00F561A6"/>
    <w:rsid w:val="00F60B45"/>
    <w:rsid w:val="00F61AD5"/>
    <w:rsid w:val="00F6246A"/>
    <w:rsid w:val="00F63D8A"/>
    <w:rsid w:val="00F6496D"/>
    <w:rsid w:val="00F65158"/>
    <w:rsid w:val="00F65789"/>
    <w:rsid w:val="00F65CE7"/>
    <w:rsid w:val="00F667A9"/>
    <w:rsid w:val="00F66877"/>
    <w:rsid w:val="00F676DD"/>
    <w:rsid w:val="00F70E6C"/>
    <w:rsid w:val="00F71352"/>
    <w:rsid w:val="00F71E23"/>
    <w:rsid w:val="00F729B0"/>
    <w:rsid w:val="00F72FF0"/>
    <w:rsid w:val="00F73412"/>
    <w:rsid w:val="00F73630"/>
    <w:rsid w:val="00F7476D"/>
    <w:rsid w:val="00F763A4"/>
    <w:rsid w:val="00F76C25"/>
    <w:rsid w:val="00F77ACD"/>
    <w:rsid w:val="00F77D5C"/>
    <w:rsid w:val="00F77D86"/>
    <w:rsid w:val="00F815DC"/>
    <w:rsid w:val="00F82DDD"/>
    <w:rsid w:val="00F82EA2"/>
    <w:rsid w:val="00F8302E"/>
    <w:rsid w:val="00F83C05"/>
    <w:rsid w:val="00F83F63"/>
    <w:rsid w:val="00F86304"/>
    <w:rsid w:val="00F868E0"/>
    <w:rsid w:val="00F86DAB"/>
    <w:rsid w:val="00F87105"/>
    <w:rsid w:val="00F87A7A"/>
    <w:rsid w:val="00F9093C"/>
    <w:rsid w:val="00F909BF"/>
    <w:rsid w:val="00F95EAB"/>
    <w:rsid w:val="00F969EB"/>
    <w:rsid w:val="00FA0741"/>
    <w:rsid w:val="00FA4916"/>
    <w:rsid w:val="00FA4FFB"/>
    <w:rsid w:val="00FA5342"/>
    <w:rsid w:val="00FA5B0A"/>
    <w:rsid w:val="00FA7E5C"/>
    <w:rsid w:val="00FA7FC5"/>
    <w:rsid w:val="00FB0D22"/>
    <w:rsid w:val="00FB10EE"/>
    <w:rsid w:val="00FB1829"/>
    <w:rsid w:val="00FB193D"/>
    <w:rsid w:val="00FB2B95"/>
    <w:rsid w:val="00FB3422"/>
    <w:rsid w:val="00FB3FD9"/>
    <w:rsid w:val="00FB684B"/>
    <w:rsid w:val="00FB68E4"/>
    <w:rsid w:val="00FB7DA6"/>
    <w:rsid w:val="00FC0F91"/>
    <w:rsid w:val="00FC426B"/>
    <w:rsid w:val="00FC466F"/>
    <w:rsid w:val="00FC7AB3"/>
    <w:rsid w:val="00FD01B5"/>
    <w:rsid w:val="00FD0246"/>
    <w:rsid w:val="00FD1BB7"/>
    <w:rsid w:val="00FD4E73"/>
    <w:rsid w:val="00FD57FA"/>
    <w:rsid w:val="00FD5868"/>
    <w:rsid w:val="00FD5BF0"/>
    <w:rsid w:val="00FD6277"/>
    <w:rsid w:val="00FD6E00"/>
    <w:rsid w:val="00FE0BAD"/>
    <w:rsid w:val="00FE4814"/>
    <w:rsid w:val="00FE64E2"/>
    <w:rsid w:val="00FE7144"/>
    <w:rsid w:val="00FE78A7"/>
    <w:rsid w:val="00FE7AA9"/>
    <w:rsid w:val="00FF00EB"/>
    <w:rsid w:val="00FF2E8A"/>
    <w:rsid w:val="00FF422B"/>
    <w:rsid w:val="00FF553C"/>
    <w:rsid w:val="00FF6680"/>
    <w:rsid w:val="00FF6DD6"/>
    <w:rsid w:val="00FF7944"/>
    <w:rsid w:val="00FF7C49"/>
    <w:rsid w:val="1C6E7BCB"/>
    <w:rsid w:val="30173DDF"/>
    <w:rsid w:val="45C62E58"/>
    <w:rsid w:val="705D8F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2"/>
    <o:shapelayout v:ext="edit">
      <o:idmap v:ext="edit" data="1"/>
    </o:shapelayout>
  </w:shapeDefaults>
  <w:decimalSymbol w:val="."/>
  <w:listSeparator w:val=","/>
  <w14:docId w14:val="25321E58"/>
  <w15:docId w15:val="{61FD1D07-21CA-439E-A9BB-5726AE21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semiHidden="1" w:unhideWhenUsed="1"/>
    <w:lsdException w:name="heading 6" w:locked="0"/>
    <w:lsdException w:name="heading 7" w:locked="0"/>
    <w:lsdException w:name="heading 8" w:locked="0"/>
    <w:lsdException w:name="heading 9" w:locked="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nhideWhenUsed="1" w:qFormat="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locked="0" w:semiHidden="1" w:unhideWhenUsed="1" w:qFormat="1"/>
    <w:lsdException w:name="endnote text" w:locked="0"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0"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rPr>
  </w:style>
  <w:style w:type="paragraph" w:styleId="Heading1">
    <w:name w:val="heading 1"/>
    <w:basedOn w:val="Normal"/>
    <w:next w:val="Normal"/>
    <w:link w:val="Heading1Char"/>
    <w:qFormat/>
    <w:rsid w:val="005C2ECF"/>
    <w:pPr>
      <w:keepNext/>
      <w:keepLines/>
      <w:numPr>
        <w:numId w:val="2"/>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2"/>
      </w:numPr>
      <w:spacing w:before="200"/>
      <w:outlineLvl w:val="4"/>
    </w:pPr>
  </w:style>
  <w:style w:type="paragraph" w:styleId="Heading6">
    <w:name w:val="heading 6"/>
    <w:basedOn w:val="Normal"/>
    <w:next w:val="Normal"/>
    <w:link w:val="Heading6Char"/>
    <w:locked/>
    <w:rsid w:val="005C2ECF"/>
    <w:pPr>
      <w:keepNext/>
      <w:keepLines/>
      <w:numPr>
        <w:ilvl w:val="5"/>
        <w:numId w:val="2"/>
      </w:numPr>
      <w:spacing w:before="200"/>
      <w:outlineLvl w:val="5"/>
    </w:pPr>
    <w:rPr>
      <w:i/>
      <w:iCs/>
    </w:rPr>
  </w:style>
  <w:style w:type="paragraph" w:styleId="Heading7">
    <w:name w:val="heading 7"/>
    <w:basedOn w:val="Normal"/>
    <w:next w:val="Normal"/>
    <w:link w:val="Heading7Char"/>
    <w:locked/>
    <w:rsid w:val="005C2ECF"/>
    <w:pPr>
      <w:keepNext/>
      <w:keepLines/>
      <w:numPr>
        <w:ilvl w:val="6"/>
        <w:numId w:val="2"/>
      </w:numPr>
      <w:spacing w:before="200"/>
      <w:outlineLvl w:val="6"/>
    </w:pPr>
    <w:rPr>
      <w:i/>
      <w:iCs/>
    </w:rPr>
  </w:style>
  <w:style w:type="paragraph" w:styleId="Heading8">
    <w:name w:val="heading 8"/>
    <w:basedOn w:val="Normal"/>
    <w:next w:val="Normal"/>
    <w:link w:val="Heading8Char"/>
    <w:locked/>
    <w:rsid w:val="005C2ECF"/>
    <w:pPr>
      <w:keepNext/>
      <w:keepLines/>
      <w:numPr>
        <w:ilvl w:val="7"/>
        <w:numId w:val="2"/>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2"/>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uiPriority w:val="22"/>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semiHidden/>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3"/>
      </w:numPr>
    </w:pPr>
  </w:style>
  <w:style w:type="paragraph" w:styleId="TOC1">
    <w:name w:val="toc 1"/>
    <w:basedOn w:val="Normal"/>
    <w:next w:val="Normal"/>
    <w:autoRedefine/>
    <w:uiPriority w:val="39"/>
    <w:rsid w:val="00361CE4"/>
    <w:pPr>
      <w:tabs>
        <w:tab w:val="right" w:leader="dot" w:pos="9060"/>
      </w:tabs>
      <w:spacing w:after="0"/>
      <w:ind w:left="720" w:hanging="720"/>
    </w:pPr>
    <w:rPr>
      <w:b/>
      <w:noProof/>
    </w:rPr>
  </w:style>
  <w:style w:type="paragraph" w:styleId="TOC2">
    <w:name w:val="toc 2"/>
    <w:basedOn w:val="Normal"/>
    <w:next w:val="Normal"/>
    <w:autoRedefine/>
    <w:uiPriority w:val="39"/>
    <w:locked/>
    <w:rsid w:val="000E4837"/>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4"/>
      </w:numPr>
    </w:pPr>
  </w:style>
  <w:style w:type="numbering" w:styleId="ArticleSection">
    <w:name w:val="Outline List 3"/>
    <w:basedOn w:val="NoList"/>
    <w:semiHidden/>
    <w:locked/>
    <w:rsid w:val="00E45954"/>
    <w:pPr>
      <w:numPr>
        <w:numId w:val="15"/>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3"/>
      </w:numPr>
      <w:spacing w:before="0"/>
    </w:pPr>
  </w:style>
  <w:style w:type="paragraph" w:styleId="ListBullet2">
    <w:name w:val="List Bullet 2"/>
    <w:basedOn w:val="Normal"/>
    <w:semiHidden/>
    <w:locked/>
    <w:rsid w:val="005C2ECF"/>
    <w:pPr>
      <w:numPr>
        <w:numId w:val="4"/>
      </w:numPr>
    </w:pPr>
  </w:style>
  <w:style w:type="paragraph" w:styleId="ListBullet3">
    <w:name w:val="List Bullet 3"/>
    <w:basedOn w:val="Normal"/>
    <w:semiHidden/>
    <w:locked/>
    <w:rsid w:val="005C2ECF"/>
    <w:pPr>
      <w:numPr>
        <w:numId w:val="5"/>
      </w:numPr>
    </w:pPr>
  </w:style>
  <w:style w:type="paragraph" w:styleId="ListBullet4">
    <w:name w:val="List Bullet 4"/>
    <w:basedOn w:val="Normal"/>
    <w:semiHidden/>
    <w:locked/>
    <w:rsid w:val="005C2ECF"/>
    <w:pPr>
      <w:numPr>
        <w:numId w:val="6"/>
      </w:numPr>
    </w:pPr>
  </w:style>
  <w:style w:type="paragraph" w:styleId="ListBullet5">
    <w:name w:val="List Bullet 5"/>
    <w:basedOn w:val="Normal"/>
    <w:semiHidden/>
    <w:locked/>
    <w:rsid w:val="005C2ECF"/>
    <w:pPr>
      <w:numPr>
        <w:numId w:val="7"/>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8"/>
      </w:numPr>
      <w:tabs>
        <w:tab w:val="left" w:pos="1134"/>
      </w:tabs>
      <w:spacing w:before="120" w:after="120"/>
    </w:pPr>
  </w:style>
  <w:style w:type="paragraph" w:styleId="ListNumber2">
    <w:name w:val="List Number 2"/>
    <w:basedOn w:val="Normal"/>
    <w:semiHidden/>
    <w:locked/>
    <w:rsid w:val="005C2ECF"/>
    <w:pPr>
      <w:numPr>
        <w:numId w:val="11"/>
      </w:numPr>
    </w:pPr>
  </w:style>
  <w:style w:type="paragraph" w:styleId="ListNumber3">
    <w:name w:val="List Number 3"/>
    <w:basedOn w:val="Normal"/>
    <w:semiHidden/>
    <w:locked/>
    <w:rsid w:val="005C2ECF"/>
    <w:pPr>
      <w:numPr>
        <w:numId w:val="12"/>
      </w:numPr>
    </w:pPr>
  </w:style>
  <w:style w:type="paragraph" w:styleId="ListNumber4">
    <w:name w:val="List Number 4"/>
    <w:basedOn w:val="Normal"/>
    <w:semiHidden/>
    <w:locked/>
    <w:rsid w:val="005C2ECF"/>
    <w:pPr>
      <w:numPr>
        <w:numId w:val="9"/>
      </w:numPr>
    </w:pPr>
  </w:style>
  <w:style w:type="paragraph" w:styleId="ListNumber5">
    <w:name w:val="List Number 5"/>
    <w:basedOn w:val="Normal"/>
    <w:semiHidden/>
    <w:locked/>
    <w:rsid w:val="005C2ECF"/>
    <w:pPr>
      <w:numPr>
        <w:numId w:val="10"/>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6"/>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uiPriority w:val="99"/>
    <w:rsid w:val="00045C4B"/>
    <w:rPr>
      <w:rFonts w:ascii="Open Sans" w:hAnsi="Open Sans"/>
      <w:sz w:val="16"/>
      <w:szCs w:val="16"/>
    </w:rPr>
  </w:style>
  <w:style w:type="paragraph" w:styleId="CommentText">
    <w:name w:val="annotation text"/>
    <w:basedOn w:val="Normal"/>
    <w:link w:val="CommentTextChar"/>
    <w:uiPriority w:val="99"/>
    <w:rsid w:val="00045C4B"/>
    <w:rPr>
      <w:sz w:val="20"/>
      <w:szCs w:val="20"/>
    </w:rPr>
  </w:style>
  <w:style w:type="character" w:customStyle="1" w:styleId="CommentTextChar">
    <w:name w:val="Comment Text Char"/>
    <w:link w:val="CommentText"/>
    <w:uiPriority w:val="99"/>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rPr>
  </w:style>
  <w:style w:type="character" w:styleId="SubtleEmphasis">
    <w:name w:val="Subtle Emphasis"/>
    <w:uiPriority w:val="19"/>
    <w:qFormat/>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styleId="FootnoteText">
    <w:name w:val="footnote text"/>
    <w:basedOn w:val="Normal"/>
    <w:link w:val="FootnoteTextChar"/>
    <w:uiPriority w:val="99"/>
    <w:unhideWhenUsed/>
    <w:locked/>
    <w:rsid w:val="003518E8"/>
    <w:pPr>
      <w:spacing w:before="0" w:after="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3518E8"/>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locked/>
    <w:rsid w:val="003518E8"/>
    <w:rPr>
      <w:vertAlign w:val="superscript"/>
    </w:rPr>
  </w:style>
  <w:style w:type="character" w:customStyle="1" w:styleId="normaltextrun">
    <w:name w:val="normaltextrun"/>
    <w:basedOn w:val="DefaultParagraphFont"/>
    <w:rsid w:val="003518E8"/>
  </w:style>
  <w:style w:type="character" w:customStyle="1" w:styleId="spellingerror">
    <w:name w:val="spellingerror"/>
    <w:basedOn w:val="DefaultParagraphFont"/>
    <w:rsid w:val="003518E8"/>
  </w:style>
  <w:style w:type="paragraph" w:styleId="Revision">
    <w:name w:val="Revision"/>
    <w:hidden/>
    <w:uiPriority w:val="99"/>
    <w:semiHidden/>
    <w:rsid w:val="00517717"/>
    <w:rPr>
      <w:rFonts w:ascii="Open Sans" w:eastAsia="MS Mincho" w:hAnsi="Open Sans"/>
    </w:rPr>
  </w:style>
  <w:style w:type="paragraph" w:customStyle="1" w:styleId="Default">
    <w:name w:val="Default"/>
    <w:rsid w:val="00093A1F"/>
    <w:pPr>
      <w:autoSpaceDE w:val="0"/>
      <w:autoSpaceDN w:val="0"/>
      <w:adjustRightInd w:val="0"/>
    </w:pPr>
    <w:rPr>
      <w:rFonts w:ascii="Arial" w:hAnsi="Arial" w:cs="Arial"/>
      <w:color w:val="000000"/>
    </w:rPr>
  </w:style>
  <w:style w:type="character" w:customStyle="1" w:styleId="UnresolvedMention2">
    <w:name w:val="Unresolved Mention2"/>
    <w:basedOn w:val="DefaultParagraphFont"/>
    <w:uiPriority w:val="99"/>
    <w:semiHidden/>
    <w:unhideWhenUsed/>
    <w:rsid w:val="00C2210E"/>
    <w:rPr>
      <w:color w:val="605E5C"/>
      <w:shd w:val="clear" w:color="auto" w:fill="E1DFDD"/>
    </w:rPr>
  </w:style>
  <w:style w:type="character" w:customStyle="1" w:styleId="apple-converted-space">
    <w:name w:val="apple-converted-space"/>
    <w:basedOn w:val="DefaultParagraphFont"/>
    <w:rsid w:val="004C2617"/>
  </w:style>
  <w:style w:type="paragraph" w:customStyle="1" w:styleId="numberedlist1">
    <w:name w:val="numberedlist1"/>
    <w:basedOn w:val="Normal"/>
    <w:rsid w:val="00860A9A"/>
    <w:pPr>
      <w:spacing w:before="100" w:beforeAutospacing="1" w:after="100" w:afterAutospacing="1"/>
    </w:pPr>
    <w:rPr>
      <w:rFonts w:ascii="Times" w:eastAsia="Times New Roman" w:hAnsi="Times"/>
      <w:sz w:val="20"/>
      <w:szCs w:val="20"/>
      <w:lang w:eastAsia="en-US"/>
    </w:rPr>
  </w:style>
  <w:style w:type="paragraph" w:customStyle="1" w:styleId="numberedlist2">
    <w:name w:val="numberedlist2"/>
    <w:basedOn w:val="Normal"/>
    <w:rsid w:val="00860A9A"/>
    <w:pPr>
      <w:spacing w:before="100" w:beforeAutospacing="1" w:after="100" w:afterAutospacing="1"/>
    </w:pPr>
    <w:rPr>
      <w:rFonts w:ascii="Times" w:eastAsia="Times New Roman" w:hAnsi="Times"/>
      <w:sz w:val="20"/>
      <w:szCs w:val="20"/>
      <w:lang w:eastAsia="en-US"/>
    </w:rPr>
  </w:style>
  <w:style w:type="character" w:styleId="UnresolvedMention">
    <w:name w:val="Unresolved Mention"/>
    <w:basedOn w:val="DefaultParagraphFont"/>
    <w:uiPriority w:val="99"/>
    <w:unhideWhenUsed/>
    <w:rsid w:val="004B02A1"/>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682">
      <w:bodyDiv w:val="1"/>
      <w:marLeft w:val="0"/>
      <w:marRight w:val="0"/>
      <w:marTop w:val="0"/>
      <w:marBottom w:val="0"/>
      <w:divBdr>
        <w:top w:val="none" w:sz="0" w:space="0" w:color="auto"/>
        <w:left w:val="none" w:sz="0" w:space="0" w:color="auto"/>
        <w:bottom w:val="none" w:sz="0" w:space="0" w:color="auto"/>
        <w:right w:val="none" w:sz="0" w:space="0" w:color="auto"/>
      </w:divBdr>
    </w:div>
    <w:div w:id="36702911">
      <w:bodyDiv w:val="1"/>
      <w:marLeft w:val="0"/>
      <w:marRight w:val="0"/>
      <w:marTop w:val="0"/>
      <w:marBottom w:val="0"/>
      <w:divBdr>
        <w:top w:val="none" w:sz="0" w:space="0" w:color="auto"/>
        <w:left w:val="none" w:sz="0" w:space="0" w:color="auto"/>
        <w:bottom w:val="none" w:sz="0" w:space="0" w:color="auto"/>
        <w:right w:val="none" w:sz="0" w:space="0" w:color="auto"/>
      </w:divBdr>
    </w:div>
    <w:div w:id="78211767">
      <w:bodyDiv w:val="1"/>
      <w:marLeft w:val="0"/>
      <w:marRight w:val="0"/>
      <w:marTop w:val="0"/>
      <w:marBottom w:val="0"/>
      <w:divBdr>
        <w:top w:val="none" w:sz="0" w:space="0" w:color="auto"/>
        <w:left w:val="none" w:sz="0" w:space="0" w:color="auto"/>
        <w:bottom w:val="none" w:sz="0" w:space="0" w:color="auto"/>
        <w:right w:val="none" w:sz="0" w:space="0" w:color="auto"/>
      </w:divBdr>
    </w:div>
    <w:div w:id="114252057">
      <w:bodyDiv w:val="1"/>
      <w:marLeft w:val="0"/>
      <w:marRight w:val="0"/>
      <w:marTop w:val="0"/>
      <w:marBottom w:val="0"/>
      <w:divBdr>
        <w:top w:val="none" w:sz="0" w:space="0" w:color="auto"/>
        <w:left w:val="none" w:sz="0" w:space="0" w:color="auto"/>
        <w:bottom w:val="none" w:sz="0" w:space="0" w:color="auto"/>
        <w:right w:val="none" w:sz="0" w:space="0" w:color="auto"/>
      </w:divBdr>
    </w:div>
    <w:div w:id="356391041">
      <w:bodyDiv w:val="1"/>
      <w:marLeft w:val="0"/>
      <w:marRight w:val="0"/>
      <w:marTop w:val="0"/>
      <w:marBottom w:val="0"/>
      <w:divBdr>
        <w:top w:val="none" w:sz="0" w:space="0" w:color="auto"/>
        <w:left w:val="none" w:sz="0" w:space="0" w:color="auto"/>
        <w:bottom w:val="none" w:sz="0" w:space="0" w:color="auto"/>
        <w:right w:val="none" w:sz="0" w:space="0" w:color="auto"/>
      </w:divBdr>
    </w:div>
    <w:div w:id="363286153">
      <w:bodyDiv w:val="1"/>
      <w:marLeft w:val="0"/>
      <w:marRight w:val="0"/>
      <w:marTop w:val="0"/>
      <w:marBottom w:val="0"/>
      <w:divBdr>
        <w:top w:val="none" w:sz="0" w:space="0" w:color="auto"/>
        <w:left w:val="none" w:sz="0" w:space="0" w:color="auto"/>
        <w:bottom w:val="none" w:sz="0" w:space="0" w:color="auto"/>
        <w:right w:val="none" w:sz="0" w:space="0" w:color="auto"/>
      </w:divBdr>
    </w:div>
    <w:div w:id="363486605">
      <w:bodyDiv w:val="1"/>
      <w:marLeft w:val="0"/>
      <w:marRight w:val="0"/>
      <w:marTop w:val="0"/>
      <w:marBottom w:val="0"/>
      <w:divBdr>
        <w:top w:val="none" w:sz="0" w:space="0" w:color="auto"/>
        <w:left w:val="none" w:sz="0" w:space="0" w:color="auto"/>
        <w:bottom w:val="none" w:sz="0" w:space="0" w:color="auto"/>
        <w:right w:val="none" w:sz="0" w:space="0" w:color="auto"/>
      </w:divBdr>
      <w:divsChild>
        <w:div w:id="117916717">
          <w:marLeft w:val="0"/>
          <w:marRight w:val="0"/>
          <w:marTop w:val="0"/>
          <w:marBottom w:val="0"/>
          <w:divBdr>
            <w:top w:val="none" w:sz="0" w:space="0" w:color="auto"/>
            <w:left w:val="none" w:sz="0" w:space="0" w:color="auto"/>
            <w:bottom w:val="none" w:sz="0" w:space="0" w:color="auto"/>
            <w:right w:val="none" w:sz="0" w:space="0" w:color="auto"/>
          </w:divBdr>
          <w:divsChild>
            <w:div w:id="98065531">
              <w:marLeft w:val="0"/>
              <w:marRight w:val="0"/>
              <w:marTop w:val="0"/>
              <w:marBottom w:val="0"/>
              <w:divBdr>
                <w:top w:val="none" w:sz="0" w:space="0" w:color="auto"/>
                <w:left w:val="none" w:sz="0" w:space="0" w:color="auto"/>
                <w:bottom w:val="none" w:sz="0" w:space="0" w:color="auto"/>
                <w:right w:val="none" w:sz="0" w:space="0" w:color="auto"/>
              </w:divBdr>
              <w:divsChild>
                <w:div w:id="14949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99817">
      <w:bodyDiv w:val="1"/>
      <w:marLeft w:val="0"/>
      <w:marRight w:val="0"/>
      <w:marTop w:val="0"/>
      <w:marBottom w:val="0"/>
      <w:divBdr>
        <w:top w:val="none" w:sz="0" w:space="0" w:color="auto"/>
        <w:left w:val="none" w:sz="0" w:space="0" w:color="auto"/>
        <w:bottom w:val="none" w:sz="0" w:space="0" w:color="auto"/>
        <w:right w:val="none" w:sz="0" w:space="0" w:color="auto"/>
      </w:divBdr>
      <w:divsChild>
        <w:div w:id="717508924">
          <w:marLeft w:val="0"/>
          <w:marRight w:val="0"/>
          <w:marTop w:val="0"/>
          <w:marBottom w:val="0"/>
          <w:divBdr>
            <w:top w:val="none" w:sz="0" w:space="0" w:color="auto"/>
            <w:left w:val="none" w:sz="0" w:space="0" w:color="auto"/>
            <w:bottom w:val="none" w:sz="0" w:space="0" w:color="auto"/>
            <w:right w:val="none" w:sz="0" w:space="0" w:color="auto"/>
          </w:divBdr>
          <w:divsChild>
            <w:div w:id="1541820296">
              <w:marLeft w:val="0"/>
              <w:marRight w:val="0"/>
              <w:marTop w:val="0"/>
              <w:marBottom w:val="0"/>
              <w:divBdr>
                <w:top w:val="none" w:sz="0" w:space="0" w:color="auto"/>
                <w:left w:val="none" w:sz="0" w:space="0" w:color="auto"/>
                <w:bottom w:val="none" w:sz="0" w:space="0" w:color="auto"/>
                <w:right w:val="none" w:sz="0" w:space="0" w:color="auto"/>
              </w:divBdr>
              <w:divsChild>
                <w:div w:id="1035882410">
                  <w:marLeft w:val="0"/>
                  <w:marRight w:val="0"/>
                  <w:marTop w:val="0"/>
                  <w:marBottom w:val="0"/>
                  <w:divBdr>
                    <w:top w:val="none" w:sz="0" w:space="0" w:color="auto"/>
                    <w:left w:val="none" w:sz="0" w:space="0" w:color="auto"/>
                    <w:bottom w:val="none" w:sz="0" w:space="0" w:color="auto"/>
                    <w:right w:val="none" w:sz="0" w:space="0" w:color="auto"/>
                  </w:divBdr>
                  <w:divsChild>
                    <w:div w:id="11369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03207">
      <w:bodyDiv w:val="1"/>
      <w:marLeft w:val="0"/>
      <w:marRight w:val="0"/>
      <w:marTop w:val="0"/>
      <w:marBottom w:val="0"/>
      <w:divBdr>
        <w:top w:val="none" w:sz="0" w:space="0" w:color="auto"/>
        <w:left w:val="none" w:sz="0" w:space="0" w:color="auto"/>
        <w:bottom w:val="none" w:sz="0" w:space="0" w:color="auto"/>
        <w:right w:val="none" w:sz="0" w:space="0" w:color="auto"/>
      </w:divBdr>
    </w:div>
    <w:div w:id="449592335">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07346498">
      <w:bodyDiv w:val="1"/>
      <w:marLeft w:val="0"/>
      <w:marRight w:val="0"/>
      <w:marTop w:val="0"/>
      <w:marBottom w:val="0"/>
      <w:divBdr>
        <w:top w:val="none" w:sz="0" w:space="0" w:color="auto"/>
        <w:left w:val="none" w:sz="0" w:space="0" w:color="auto"/>
        <w:bottom w:val="none" w:sz="0" w:space="0" w:color="auto"/>
        <w:right w:val="none" w:sz="0" w:space="0" w:color="auto"/>
      </w:divBdr>
      <w:divsChild>
        <w:div w:id="2123719808">
          <w:marLeft w:val="0"/>
          <w:marRight w:val="0"/>
          <w:marTop w:val="0"/>
          <w:marBottom w:val="0"/>
          <w:divBdr>
            <w:top w:val="none" w:sz="0" w:space="0" w:color="auto"/>
            <w:left w:val="none" w:sz="0" w:space="0" w:color="auto"/>
            <w:bottom w:val="none" w:sz="0" w:space="0" w:color="auto"/>
            <w:right w:val="none" w:sz="0" w:space="0" w:color="auto"/>
          </w:divBdr>
          <w:divsChild>
            <w:div w:id="1933975677">
              <w:marLeft w:val="0"/>
              <w:marRight w:val="0"/>
              <w:marTop w:val="0"/>
              <w:marBottom w:val="0"/>
              <w:divBdr>
                <w:top w:val="none" w:sz="0" w:space="0" w:color="auto"/>
                <w:left w:val="none" w:sz="0" w:space="0" w:color="auto"/>
                <w:bottom w:val="none" w:sz="0" w:space="0" w:color="auto"/>
                <w:right w:val="none" w:sz="0" w:space="0" w:color="auto"/>
              </w:divBdr>
              <w:divsChild>
                <w:div w:id="9985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3847">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74469483">
      <w:bodyDiv w:val="1"/>
      <w:marLeft w:val="0"/>
      <w:marRight w:val="0"/>
      <w:marTop w:val="0"/>
      <w:marBottom w:val="0"/>
      <w:divBdr>
        <w:top w:val="none" w:sz="0" w:space="0" w:color="auto"/>
        <w:left w:val="none" w:sz="0" w:space="0" w:color="auto"/>
        <w:bottom w:val="none" w:sz="0" w:space="0" w:color="auto"/>
        <w:right w:val="none" w:sz="0" w:space="0" w:color="auto"/>
      </w:divBdr>
      <w:divsChild>
        <w:div w:id="859901070">
          <w:marLeft w:val="547"/>
          <w:marRight w:val="0"/>
          <w:marTop w:val="0"/>
          <w:marBottom w:val="0"/>
          <w:divBdr>
            <w:top w:val="none" w:sz="0" w:space="0" w:color="auto"/>
            <w:left w:val="none" w:sz="0" w:space="0" w:color="auto"/>
            <w:bottom w:val="none" w:sz="0" w:space="0" w:color="auto"/>
            <w:right w:val="none" w:sz="0" w:space="0" w:color="auto"/>
          </w:divBdr>
        </w:div>
        <w:div w:id="975642948">
          <w:marLeft w:val="547"/>
          <w:marRight w:val="0"/>
          <w:marTop w:val="0"/>
          <w:marBottom w:val="0"/>
          <w:divBdr>
            <w:top w:val="none" w:sz="0" w:space="0" w:color="auto"/>
            <w:left w:val="none" w:sz="0" w:space="0" w:color="auto"/>
            <w:bottom w:val="none" w:sz="0" w:space="0" w:color="auto"/>
            <w:right w:val="none" w:sz="0" w:space="0" w:color="auto"/>
          </w:divBdr>
        </w:div>
      </w:divsChild>
    </w:div>
    <w:div w:id="1406875625">
      <w:bodyDiv w:val="1"/>
      <w:marLeft w:val="0"/>
      <w:marRight w:val="0"/>
      <w:marTop w:val="0"/>
      <w:marBottom w:val="0"/>
      <w:divBdr>
        <w:top w:val="none" w:sz="0" w:space="0" w:color="auto"/>
        <w:left w:val="none" w:sz="0" w:space="0" w:color="auto"/>
        <w:bottom w:val="none" w:sz="0" w:space="0" w:color="auto"/>
        <w:right w:val="none" w:sz="0" w:space="0" w:color="auto"/>
      </w:divBdr>
      <w:divsChild>
        <w:div w:id="1240409490">
          <w:marLeft w:val="0"/>
          <w:marRight w:val="0"/>
          <w:marTop w:val="0"/>
          <w:marBottom w:val="0"/>
          <w:divBdr>
            <w:top w:val="none" w:sz="0" w:space="0" w:color="auto"/>
            <w:left w:val="none" w:sz="0" w:space="0" w:color="auto"/>
            <w:bottom w:val="none" w:sz="0" w:space="0" w:color="auto"/>
            <w:right w:val="none" w:sz="0" w:space="0" w:color="auto"/>
          </w:divBdr>
          <w:divsChild>
            <w:div w:id="1320501308">
              <w:marLeft w:val="0"/>
              <w:marRight w:val="0"/>
              <w:marTop w:val="0"/>
              <w:marBottom w:val="0"/>
              <w:divBdr>
                <w:top w:val="none" w:sz="0" w:space="0" w:color="auto"/>
                <w:left w:val="none" w:sz="0" w:space="0" w:color="auto"/>
                <w:bottom w:val="none" w:sz="0" w:space="0" w:color="auto"/>
                <w:right w:val="none" w:sz="0" w:space="0" w:color="auto"/>
              </w:divBdr>
              <w:divsChild>
                <w:div w:id="8285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2982">
      <w:bodyDiv w:val="1"/>
      <w:marLeft w:val="0"/>
      <w:marRight w:val="0"/>
      <w:marTop w:val="0"/>
      <w:marBottom w:val="0"/>
      <w:divBdr>
        <w:top w:val="none" w:sz="0" w:space="0" w:color="auto"/>
        <w:left w:val="none" w:sz="0" w:space="0" w:color="auto"/>
        <w:bottom w:val="none" w:sz="0" w:space="0" w:color="auto"/>
        <w:right w:val="none" w:sz="0" w:space="0" w:color="auto"/>
      </w:divBdr>
      <w:divsChild>
        <w:div w:id="280429040">
          <w:marLeft w:val="0"/>
          <w:marRight w:val="0"/>
          <w:marTop w:val="0"/>
          <w:marBottom w:val="0"/>
          <w:divBdr>
            <w:top w:val="none" w:sz="0" w:space="0" w:color="auto"/>
            <w:left w:val="none" w:sz="0" w:space="0" w:color="auto"/>
            <w:bottom w:val="none" w:sz="0" w:space="0" w:color="auto"/>
            <w:right w:val="none" w:sz="0" w:space="0" w:color="auto"/>
          </w:divBdr>
          <w:divsChild>
            <w:div w:id="1315838721">
              <w:marLeft w:val="0"/>
              <w:marRight w:val="0"/>
              <w:marTop w:val="0"/>
              <w:marBottom w:val="0"/>
              <w:divBdr>
                <w:top w:val="none" w:sz="0" w:space="0" w:color="auto"/>
                <w:left w:val="none" w:sz="0" w:space="0" w:color="auto"/>
                <w:bottom w:val="none" w:sz="0" w:space="0" w:color="auto"/>
                <w:right w:val="none" w:sz="0" w:space="0" w:color="auto"/>
              </w:divBdr>
              <w:divsChild>
                <w:div w:id="265815412">
                  <w:marLeft w:val="0"/>
                  <w:marRight w:val="0"/>
                  <w:marTop w:val="0"/>
                  <w:marBottom w:val="0"/>
                  <w:divBdr>
                    <w:top w:val="none" w:sz="0" w:space="0" w:color="auto"/>
                    <w:left w:val="none" w:sz="0" w:space="0" w:color="auto"/>
                    <w:bottom w:val="none" w:sz="0" w:space="0" w:color="auto"/>
                    <w:right w:val="none" w:sz="0" w:space="0" w:color="auto"/>
                  </w:divBdr>
                  <w:divsChild>
                    <w:div w:id="20390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3565">
      <w:bodyDiv w:val="1"/>
      <w:marLeft w:val="0"/>
      <w:marRight w:val="0"/>
      <w:marTop w:val="0"/>
      <w:marBottom w:val="0"/>
      <w:divBdr>
        <w:top w:val="none" w:sz="0" w:space="0" w:color="auto"/>
        <w:left w:val="none" w:sz="0" w:space="0" w:color="auto"/>
        <w:bottom w:val="none" w:sz="0" w:space="0" w:color="auto"/>
        <w:right w:val="none" w:sz="0" w:space="0" w:color="auto"/>
      </w:divBdr>
    </w:div>
    <w:div w:id="1461532686">
      <w:bodyDiv w:val="1"/>
      <w:marLeft w:val="0"/>
      <w:marRight w:val="0"/>
      <w:marTop w:val="0"/>
      <w:marBottom w:val="0"/>
      <w:divBdr>
        <w:top w:val="none" w:sz="0" w:space="0" w:color="auto"/>
        <w:left w:val="none" w:sz="0" w:space="0" w:color="auto"/>
        <w:bottom w:val="none" w:sz="0" w:space="0" w:color="auto"/>
        <w:right w:val="none" w:sz="0" w:space="0" w:color="auto"/>
      </w:divBdr>
    </w:div>
    <w:div w:id="1491948165">
      <w:bodyDiv w:val="1"/>
      <w:marLeft w:val="0"/>
      <w:marRight w:val="0"/>
      <w:marTop w:val="0"/>
      <w:marBottom w:val="0"/>
      <w:divBdr>
        <w:top w:val="none" w:sz="0" w:space="0" w:color="auto"/>
        <w:left w:val="none" w:sz="0" w:space="0" w:color="auto"/>
        <w:bottom w:val="none" w:sz="0" w:space="0" w:color="auto"/>
        <w:right w:val="none" w:sz="0" w:space="0" w:color="auto"/>
      </w:divBdr>
      <w:divsChild>
        <w:div w:id="735858746">
          <w:marLeft w:val="0"/>
          <w:marRight w:val="0"/>
          <w:marTop w:val="0"/>
          <w:marBottom w:val="0"/>
          <w:divBdr>
            <w:top w:val="none" w:sz="0" w:space="0" w:color="auto"/>
            <w:left w:val="none" w:sz="0" w:space="0" w:color="auto"/>
            <w:bottom w:val="none" w:sz="0" w:space="0" w:color="auto"/>
            <w:right w:val="none" w:sz="0" w:space="0" w:color="auto"/>
          </w:divBdr>
          <w:divsChild>
            <w:div w:id="2083916251">
              <w:marLeft w:val="0"/>
              <w:marRight w:val="0"/>
              <w:marTop w:val="0"/>
              <w:marBottom w:val="0"/>
              <w:divBdr>
                <w:top w:val="none" w:sz="0" w:space="0" w:color="auto"/>
                <w:left w:val="none" w:sz="0" w:space="0" w:color="auto"/>
                <w:bottom w:val="none" w:sz="0" w:space="0" w:color="auto"/>
                <w:right w:val="none" w:sz="0" w:space="0" w:color="auto"/>
              </w:divBdr>
              <w:divsChild>
                <w:div w:id="1681395973">
                  <w:marLeft w:val="0"/>
                  <w:marRight w:val="0"/>
                  <w:marTop w:val="0"/>
                  <w:marBottom w:val="0"/>
                  <w:divBdr>
                    <w:top w:val="none" w:sz="0" w:space="0" w:color="auto"/>
                    <w:left w:val="none" w:sz="0" w:space="0" w:color="auto"/>
                    <w:bottom w:val="none" w:sz="0" w:space="0" w:color="auto"/>
                    <w:right w:val="none" w:sz="0" w:space="0" w:color="auto"/>
                  </w:divBdr>
                  <w:divsChild>
                    <w:div w:id="3589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28862">
      <w:bodyDiv w:val="1"/>
      <w:marLeft w:val="0"/>
      <w:marRight w:val="0"/>
      <w:marTop w:val="0"/>
      <w:marBottom w:val="0"/>
      <w:divBdr>
        <w:top w:val="none" w:sz="0" w:space="0" w:color="auto"/>
        <w:left w:val="none" w:sz="0" w:space="0" w:color="auto"/>
        <w:bottom w:val="none" w:sz="0" w:space="0" w:color="auto"/>
        <w:right w:val="none" w:sz="0" w:space="0" w:color="auto"/>
      </w:divBdr>
    </w:div>
    <w:div w:id="1800955092">
      <w:bodyDiv w:val="1"/>
      <w:marLeft w:val="0"/>
      <w:marRight w:val="0"/>
      <w:marTop w:val="0"/>
      <w:marBottom w:val="0"/>
      <w:divBdr>
        <w:top w:val="none" w:sz="0" w:space="0" w:color="auto"/>
        <w:left w:val="none" w:sz="0" w:space="0" w:color="auto"/>
        <w:bottom w:val="none" w:sz="0" w:space="0" w:color="auto"/>
        <w:right w:val="none" w:sz="0" w:space="0" w:color="auto"/>
      </w:divBdr>
      <w:divsChild>
        <w:div w:id="739137992">
          <w:marLeft w:val="0"/>
          <w:marRight w:val="0"/>
          <w:marTop w:val="0"/>
          <w:marBottom w:val="0"/>
          <w:divBdr>
            <w:top w:val="none" w:sz="0" w:space="0" w:color="auto"/>
            <w:left w:val="none" w:sz="0" w:space="0" w:color="auto"/>
            <w:bottom w:val="none" w:sz="0" w:space="0" w:color="auto"/>
            <w:right w:val="none" w:sz="0" w:space="0" w:color="auto"/>
          </w:divBdr>
          <w:divsChild>
            <w:div w:id="1258756953">
              <w:marLeft w:val="0"/>
              <w:marRight w:val="0"/>
              <w:marTop w:val="0"/>
              <w:marBottom w:val="0"/>
              <w:divBdr>
                <w:top w:val="none" w:sz="0" w:space="0" w:color="auto"/>
                <w:left w:val="none" w:sz="0" w:space="0" w:color="auto"/>
                <w:bottom w:val="none" w:sz="0" w:space="0" w:color="auto"/>
                <w:right w:val="none" w:sz="0" w:space="0" w:color="auto"/>
              </w:divBdr>
              <w:divsChild>
                <w:div w:id="1101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6821">
      <w:bodyDiv w:val="1"/>
      <w:marLeft w:val="0"/>
      <w:marRight w:val="0"/>
      <w:marTop w:val="0"/>
      <w:marBottom w:val="0"/>
      <w:divBdr>
        <w:top w:val="none" w:sz="0" w:space="0" w:color="auto"/>
        <w:left w:val="none" w:sz="0" w:space="0" w:color="auto"/>
        <w:bottom w:val="none" w:sz="0" w:space="0" w:color="auto"/>
        <w:right w:val="none" w:sz="0" w:space="0" w:color="auto"/>
      </w:divBdr>
    </w:div>
    <w:div w:id="1858303454">
      <w:bodyDiv w:val="1"/>
      <w:marLeft w:val="0"/>
      <w:marRight w:val="0"/>
      <w:marTop w:val="0"/>
      <w:marBottom w:val="0"/>
      <w:divBdr>
        <w:top w:val="none" w:sz="0" w:space="0" w:color="auto"/>
        <w:left w:val="none" w:sz="0" w:space="0" w:color="auto"/>
        <w:bottom w:val="none" w:sz="0" w:space="0" w:color="auto"/>
        <w:right w:val="none" w:sz="0" w:space="0" w:color="auto"/>
      </w:divBdr>
    </w:div>
    <w:div w:id="192749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8" Type="http://schemas.openxmlformats.org/officeDocument/2006/relationships/hyperlink" Target="https://www.ungpreporting.org/resources/salient-human-rights-issues/" TargetMode="External"/><Relationship Id="rId3" Type="http://schemas.openxmlformats.org/officeDocument/2006/relationships/hyperlink" Target="https://www.homeaffairs.gov.au/criminal-justice/files/modern-slavery-reporting-entities.pdf" TargetMode="External"/><Relationship Id="rId7" Type="http://schemas.openxmlformats.org/officeDocument/2006/relationships/hyperlink" Target="https://www.ungpreporting.org/resources/salient-human-rights-issues/" TargetMode="External"/><Relationship Id="rId2" Type="http://schemas.openxmlformats.org/officeDocument/2006/relationships/hyperlink" Target="https://www.homeaffairs.gov.au/criminal-justice/files/modern-slavery-reporting-entities.pdf" TargetMode="External"/><Relationship Id="rId1" Type="http://schemas.openxmlformats.org/officeDocument/2006/relationships/hyperlink" Target="https://www.humanrights.dk/sites/humanrights.dk/files/media/dokumenter/udgivelser/hrd_2020/nhri_case_stories/denmark_nhri_bhr_case_study_2020.pdf" TargetMode="External"/><Relationship Id="rId6" Type="http://schemas.openxmlformats.org/officeDocument/2006/relationships/hyperlink" Target="https://www.homeaffairs.gov.au/criminal-justice/files/modern-slavery-reporting-entities.pdf" TargetMode="External"/><Relationship Id="rId5" Type="http://schemas.openxmlformats.org/officeDocument/2006/relationships/hyperlink" Target="https://www.finance.gov.au/sites/default/files/2020-01/consideration-of-relevant-regulations-andor-frameworks.pdf" TargetMode="External"/><Relationship Id="rId10" Type="http://schemas.openxmlformats.org/officeDocument/2006/relationships/hyperlink" Target="https://www.finance.gov.au/sites/default/files/2020-01/consideration-of-relevant-regulations-andor-frameworks.pdf" TargetMode="External"/><Relationship Id="rId4" Type="http://schemas.openxmlformats.org/officeDocument/2006/relationships/hyperlink" Target="https://www.globalslaveryindex.org/2018/findings/global-findings/" TargetMode="External"/><Relationship Id="rId9" Type="http://schemas.openxmlformats.org/officeDocument/2006/relationships/hyperlink" Target="https://www.finance.gov.au/sites/default/files/2020-01/consideration-of-relevant-regulations-andor-framework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39C723B5F7C418BBCCFB12FF99BCA" ma:contentTypeVersion="1720" ma:contentTypeDescription="Create a new document." ma:contentTypeScope="" ma:versionID="a4bfdd4284eb5f761b5e4b0c8d9c56f8">
  <xsd:schema xmlns:xsd="http://www.w3.org/2001/XMLSchema" xmlns:xs="http://www.w3.org/2001/XMLSchema" xmlns:p="http://schemas.microsoft.com/office/2006/metadata/properties" xmlns:ns2="f38bc97f-71db-45c8-93e4-332747d752e1" xmlns:ns3="6500fe01-343b-4fb9-a1b0-68ac19d62e01" xmlns:ns4="f2221338-180f-48d3-8b0d-b1c91680e415" targetNamespace="http://schemas.microsoft.com/office/2006/metadata/properties" ma:root="true" ma:fieldsID="7f5ed7455a929c5537198035767a7c7c" ns2:_="" ns3:_="" ns4:_="">
    <xsd:import namespace="f38bc97f-71db-45c8-93e4-332747d752e1"/>
    <xsd:import namespace="6500fe01-343b-4fb9-a1b0-68ac19d62e01"/>
    <xsd:import namespace="f2221338-180f-48d3-8b0d-b1c91680e415"/>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2:Download" minOccurs="0"/>
                <xsd:element ref="ns2:Open_x0020_in_x0020_Outlook"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dexed="true" ma:internalName="Download" ma:readOnly="false">
      <xsd:simpleType>
        <xsd:restriction base="dms:Text">
          <xsd:maxLength value="255"/>
        </xsd:restriction>
      </xsd:simpleType>
    </xsd:element>
    <xsd:element name="Open_x0020_in_x0020_Outlook" ma:index="25" nillable="true" ma:displayName="Open in Outlook" ma:hidden="true" ma:indexed="true" ma:internalName="Open_x0020_in_x0020_Outlook" ma:readOnly="false">
      <xsd:simpleType>
        <xsd:restriction base="dms:Text">
          <xsd:maxLength value="255"/>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221338-180f-48d3-8b0d-b1c91680e415"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975c5ac6-a0cc-43ed-b850-4a2ae59237b6"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6500fe01-343b-4fb9-a1b0-68ac19d62e01">RUUPY3S2X5Q7-1306611558-1934</_dlc_DocId>
    <_dlc_DocIdUrl xmlns="6500fe01-343b-4fb9-a1b0-68ac19d62e01">
      <Url>https://australianhrc.sharepoint.com/sites/PolicyExternalProjects/_layouts/15/DocIdRedir.aspx?ID=RUUPY3S2X5Q7-1306611558-1934</Url>
      <Description>RUUPY3S2X5Q7-1306611558-1934</Description>
    </_dlc_DocIdUrl>
    <fbe8333e833142b1aa4e528d7d71931d xmlns="f38bc97f-71db-45c8-93e4-332747d752e1">
      <Terms xmlns="http://schemas.microsoft.com/office/infopath/2007/PartnerControls"/>
    </fbe8333e833142b1aa4e528d7d71931d>
    <To xmlns="f38bc97f-71db-45c8-93e4-332747d752e1" xsi:nil="true"/>
    <Divider xmlns="6500fe01-343b-4fb9-a1b0-68ac19d62e01">Policy drafts 2020</Divider>
    <TaxCatchAll xmlns="6500fe01-343b-4fb9-a1b0-68ac19d62e01"/>
    <Has_x0020_Attachments xmlns="f38bc97f-71db-45c8-93e4-332747d752e1" xsi:nil="true"/>
    <Subdivider xmlns="f38bc97f-71db-45c8-93e4-332747d752e1">Policy drafts 2020</Subdivider>
    <TaxKeywordTaxHTField xmlns="6500fe01-343b-4fb9-a1b0-68ac19d62e01">
      <Terms xmlns="http://schemas.microsoft.com/office/infopath/2007/PartnerControls"/>
    </TaxKeywordTaxHTField>
    <Download xmlns="f38bc97f-71db-45c8-93e4-332747d752e1" xsi:nil="true"/>
    <Received_x002f_Sent xmlns="f38bc97f-71db-45c8-93e4-332747d752e1" xsi:nil="true"/>
    <Open_x0020_in_x0020_Outlook xmlns="f38bc97f-71db-45c8-93e4-332747d752e1" xsi:nil="true"/>
    <From1 xmlns="f38bc97f-71db-45c8-93e4-332747d752e1" xsi:nil="true"/>
    <SharedWithUsers xmlns="f38bc97f-71db-45c8-93e4-332747d752e1">
      <UserInfo>
        <DisplayName>Lauren Zanetti</DisplayName>
        <AccountId>3368</AccountId>
        <AccountType/>
      </UserInfo>
    </SharedWithUser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7B837-F221-4854-AE89-A77A9749D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bc97f-71db-45c8-93e4-332747d752e1"/>
    <ds:schemaRef ds:uri="6500fe01-343b-4fb9-a1b0-68ac19d62e01"/>
    <ds:schemaRef ds:uri="f2221338-180f-48d3-8b0d-b1c91680e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CEE6B-C838-4867-AEB1-3AA7C289F6FE}">
  <ds:schemaRefs>
    <ds:schemaRef ds:uri="http://schemas.microsoft.com/sharepoint/v3/contenttype/forms"/>
  </ds:schemaRefs>
</ds:datastoreItem>
</file>

<file path=customXml/itemProps3.xml><?xml version="1.0" encoding="utf-8"?>
<ds:datastoreItem xmlns:ds="http://schemas.openxmlformats.org/officeDocument/2006/customXml" ds:itemID="{9ACA6A73-6DBA-400D-9FF7-E3D9657E3B1B}">
  <ds:schemaRefs>
    <ds:schemaRef ds:uri="http://schemas.microsoft.com/office/2006/metadata/customXsn"/>
  </ds:schemaRefs>
</ds:datastoreItem>
</file>

<file path=customXml/itemProps4.xml><?xml version="1.0" encoding="utf-8"?>
<ds:datastoreItem xmlns:ds="http://schemas.openxmlformats.org/officeDocument/2006/customXml" ds:itemID="{F0BBC60A-35C3-418F-A3E1-B7B80B26A3C9}">
  <ds:schemaRefs>
    <ds:schemaRef ds:uri="Microsoft.SharePoint.Taxonomy.ContentTypeSync"/>
  </ds:schemaRefs>
</ds:datastoreItem>
</file>

<file path=customXml/itemProps5.xml><?xml version="1.0" encoding="utf-8"?>
<ds:datastoreItem xmlns:ds="http://schemas.openxmlformats.org/officeDocument/2006/customXml" ds:itemID="{E964CA29-1420-4CF2-A843-E188B640EDC1}">
  <ds:schemaRefs>
    <ds:schemaRef ds:uri="http://purl.org/dc/elements/1.1/"/>
    <ds:schemaRef ds:uri="http://schemas.microsoft.com/office/infopath/2007/PartnerControls"/>
    <ds:schemaRef ds:uri="http://schemas.microsoft.com/office/2006/documentManagement/types"/>
    <ds:schemaRef ds:uri="f2221338-180f-48d3-8b0d-b1c91680e415"/>
    <ds:schemaRef ds:uri="http://purl.org/dc/terms/"/>
    <ds:schemaRef ds:uri="http://purl.org/dc/dcmitype/"/>
    <ds:schemaRef ds:uri="http://schemas.microsoft.com/office/2006/metadata/properties"/>
    <ds:schemaRef ds:uri="http://schemas.openxmlformats.org/package/2006/metadata/core-properties"/>
    <ds:schemaRef ds:uri="6500fe01-343b-4fb9-a1b0-68ac19d62e01"/>
    <ds:schemaRef ds:uri="f38bc97f-71db-45c8-93e4-332747d752e1"/>
    <ds:schemaRef ds:uri="http://www.w3.org/XML/1998/namespace"/>
  </ds:schemaRefs>
</ds:datastoreItem>
</file>

<file path=customXml/itemProps6.xml><?xml version="1.0" encoding="utf-8"?>
<ds:datastoreItem xmlns:ds="http://schemas.openxmlformats.org/officeDocument/2006/customXml" ds:itemID="{BCDD4E36-24EA-4540-901C-6AEF9EC11883}">
  <ds:schemaRefs>
    <ds:schemaRef ds:uri="http://schemas.microsoft.com/sharepoint/events"/>
  </ds:schemaRefs>
</ds:datastoreItem>
</file>

<file path=customXml/itemProps7.xml><?xml version="1.0" encoding="utf-8"?>
<ds:datastoreItem xmlns:ds="http://schemas.openxmlformats.org/officeDocument/2006/customXml" ds:itemID="{2CAFA2F2-0EC5-4202-9AA1-C33D35AB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Submission_New.dotx</Template>
  <TotalTime>0</TotalTime>
  <Pages>16</Pages>
  <Words>3737</Words>
  <Characters>23539</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27222</CharactersWithSpaces>
  <SharedDoc>false</SharedDoc>
  <HLinks>
    <vt:vector size="234" baseType="variant">
      <vt:variant>
        <vt:i4>4980794</vt:i4>
      </vt:variant>
      <vt:variant>
        <vt:i4>177</vt:i4>
      </vt:variant>
      <vt:variant>
        <vt:i4>0</vt:i4>
      </vt:variant>
      <vt:variant>
        <vt:i4>5</vt:i4>
      </vt:variant>
      <vt:variant>
        <vt:lpwstr>https://www.legislation.gov.au/Details/F2019L00536/Html/Text</vt:lpwstr>
      </vt:variant>
      <vt:variant>
        <vt:lpwstr>_ftn2</vt:lpwstr>
      </vt:variant>
      <vt:variant>
        <vt:i4>1048632</vt:i4>
      </vt:variant>
      <vt:variant>
        <vt:i4>164</vt:i4>
      </vt:variant>
      <vt:variant>
        <vt:i4>0</vt:i4>
      </vt:variant>
      <vt:variant>
        <vt:i4>5</vt:i4>
      </vt:variant>
      <vt:variant>
        <vt:lpwstr/>
      </vt:variant>
      <vt:variant>
        <vt:lpwstr>_Toc39836855</vt:lpwstr>
      </vt:variant>
      <vt:variant>
        <vt:i4>1114168</vt:i4>
      </vt:variant>
      <vt:variant>
        <vt:i4>158</vt:i4>
      </vt:variant>
      <vt:variant>
        <vt:i4>0</vt:i4>
      </vt:variant>
      <vt:variant>
        <vt:i4>5</vt:i4>
      </vt:variant>
      <vt:variant>
        <vt:lpwstr/>
      </vt:variant>
      <vt:variant>
        <vt:lpwstr>_Toc39836854</vt:lpwstr>
      </vt:variant>
      <vt:variant>
        <vt:i4>1441848</vt:i4>
      </vt:variant>
      <vt:variant>
        <vt:i4>152</vt:i4>
      </vt:variant>
      <vt:variant>
        <vt:i4>0</vt:i4>
      </vt:variant>
      <vt:variant>
        <vt:i4>5</vt:i4>
      </vt:variant>
      <vt:variant>
        <vt:lpwstr/>
      </vt:variant>
      <vt:variant>
        <vt:lpwstr>_Toc39836853</vt:lpwstr>
      </vt:variant>
      <vt:variant>
        <vt:i4>1507384</vt:i4>
      </vt:variant>
      <vt:variant>
        <vt:i4>146</vt:i4>
      </vt:variant>
      <vt:variant>
        <vt:i4>0</vt:i4>
      </vt:variant>
      <vt:variant>
        <vt:i4>5</vt:i4>
      </vt:variant>
      <vt:variant>
        <vt:lpwstr/>
      </vt:variant>
      <vt:variant>
        <vt:lpwstr>_Toc39836852</vt:lpwstr>
      </vt:variant>
      <vt:variant>
        <vt:i4>1310776</vt:i4>
      </vt:variant>
      <vt:variant>
        <vt:i4>140</vt:i4>
      </vt:variant>
      <vt:variant>
        <vt:i4>0</vt:i4>
      </vt:variant>
      <vt:variant>
        <vt:i4>5</vt:i4>
      </vt:variant>
      <vt:variant>
        <vt:lpwstr/>
      </vt:variant>
      <vt:variant>
        <vt:lpwstr>_Toc39836851</vt:lpwstr>
      </vt:variant>
      <vt:variant>
        <vt:i4>1376312</vt:i4>
      </vt:variant>
      <vt:variant>
        <vt:i4>134</vt:i4>
      </vt:variant>
      <vt:variant>
        <vt:i4>0</vt:i4>
      </vt:variant>
      <vt:variant>
        <vt:i4>5</vt:i4>
      </vt:variant>
      <vt:variant>
        <vt:lpwstr/>
      </vt:variant>
      <vt:variant>
        <vt:lpwstr>_Toc39836850</vt:lpwstr>
      </vt:variant>
      <vt:variant>
        <vt:i4>1900601</vt:i4>
      </vt:variant>
      <vt:variant>
        <vt:i4>128</vt:i4>
      </vt:variant>
      <vt:variant>
        <vt:i4>0</vt:i4>
      </vt:variant>
      <vt:variant>
        <vt:i4>5</vt:i4>
      </vt:variant>
      <vt:variant>
        <vt:lpwstr/>
      </vt:variant>
      <vt:variant>
        <vt:lpwstr>_Toc39836848</vt:lpwstr>
      </vt:variant>
      <vt:variant>
        <vt:i4>1179705</vt:i4>
      </vt:variant>
      <vt:variant>
        <vt:i4>122</vt:i4>
      </vt:variant>
      <vt:variant>
        <vt:i4>0</vt:i4>
      </vt:variant>
      <vt:variant>
        <vt:i4>5</vt:i4>
      </vt:variant>
      <vt:variant>
        <vt:lpwstr/>
      </vt:variant>
      <vt:variant>
        <vt:lpwstr>_Toc39836847</vt:lpwstr>
      </vt:variant>
      <vt:variant>
        <vt:i4>1245241</vt:i4>
      </vt:variant>
      <vt:variant>
        <vt:i4>116</vt:i4>
      </vt:variant>
      <vt:variant>
        <vt:i4>0</vt:i4>
      </vt:variant>
      <vt:variant>
        <vt:i4>5</vt:i4>
      </vt:variant>
      <vt:variant>
        <vt:lpwstr/>
      </vt:variant>
      <vt:variant>
        <vt:lpwstr>_Toc39836846</vt:lpwstr>
      </vt:variant>
      <vt:variant>
        <vt:i4>1048633</vt:i4>
      </vt:variant>
      <vt:variant>
        <vt:i4>110</vt:i4>
      </vt:variant>
      <vt:variant>
        <vt:i4>0</vt:i4>
      </vt:variant>
      <vt:variant>
        <vt:i4>5</vt:i4>
      </vt:variant>
      <vt:variant>
        <vt:lpwstr/>
      </vt:variant>
      <vt:variant>
        <vt:lpwstr>_Toc39836845</vt:lpwstr>
      </vt:variant>
      <vt:variant>
        <vt:i4>1114169</vt:i4>
      </vt:variant>
      <vt:variant>
        <vt:i4>104</vt:i4>
      </vt:variant>
      <vt:variant>
        <vt:i4>0</vt:i4>
      </vt:variant>
      <vt:variant>
        <vt:i4>5</vt:i4>
      </vt:variant>
      <vt:variant>
        <vt:lpwstr/>
      </vt:variant>
      <vt:variant>
        <vt:lpwstr>_Toc39836844</vt:lpwstr>
      </vt:variant>
      <vt:variant>
        <vt:i4>1441849</vt:i4>
      </vt:variant>
      <vt:variant>
        <vt:i4>98</vt:i4>
      </vt:variant>
      <vt:variant>
        <vt:i4>0</vt:i4>
      </vt:variant>
      <vt:variant>
        <vt:i4>5</vt:i4>
      </vt:variant>
      <vt:variant>
        <vt:lpwstr/>
      </vt:variant>
      <vt:variant>
        <vt:lpwstr>_Toc39836843</vt:lpwstr>
      </vt:variant>
      <vt:variant>
        <vt:i4>1507385</vt:i4>
      </vt:variant>
      <vt:variant>
        <vt:i4>92</vt:i4>
      </vt:variant>
      <vt:variant>
        <vt:i4>0</vt:i4>
      </vt:variant>
      <vt:variant>
        <vt:i4>5</vt:i4>
      </vt:variant>
      <vt:variant>
        <vt:lpwstr/>
      </vt:variant>
      <vt:variant>
        <vt:lpwstr>_Toc39836842</vt:lpwstr>
      </vt:variant>
      <vt:variant>
        <vt:i4>1310777</vt:i4>
      </vt:variant>
      <vt:variant>
        <vt:i4>86</vt:i4>
      </vt:variant>
      <vt:variant>
        <vt:i4>0</vt:i4>
      </vt:variant>
      <vt:variant>
        <vt:i4>5</vt:i4>
      </vt:variant>
      <vt:variant>
        <vt:lpwstr/>
      </vt:variant>
      <vt:variant>
        <vt:lpwstr>_Toc39836841</vt:lpwstr>
      </vt:variant>
      <vt:variant>
        <vt:i4>1376313</vt:i4>
      </vt:variant>
      <vt:variant>
        <vt:i4>80</vt:i4>
      </vt:variant>
      <vt:variant>
        <vt:i4>0</vt:i4>
      </vt:variant>
      <vt:variant>
        <vt:i4>5</vt:i4>
      </vt:variant>
      <vt:variant>
        <vt:lpwstr/>
      </vt:variant>
      <vt:variant>
        <vt:lpwstr>_Toc39836840</vt:lpwstr>
      </vt:variant>
      <vt:variant>
        <vt:i4>1835070</vt:i4>
      </vt:variant>
      <vt:variant>
        <vt:i4>74</vt:i4>
      </vt:variant>
      <vt:variant>
        <vt:i4>0</vt:i4>
      </vt:variant>
      <vt:variant>
        <vt:i4>5</vt:i4>
      </vt:variant>
      <vt:variant>
        <vt:lpwstr/>
      </vt:variant>
      <vt:variant>
        <vt:lpwstr>_Toc39836839</vt:lpwstr>
      </vt:variant>
      <vt:variant>
        <vt:i4>1900606</vt:i4>
      </vt:variant>
      <vt:variant>
        <vt:i4>68</vt:i4>
      </vt:variant>
      <vt:variant>
        <vt:i4>0</vt:i4>
      </vt:variant>
      <vt:variant>
        <vt:i4>5</vt:i4>
      </vt:variant>
      <vt:variant>
        <vt:lpwstr/>
      </vt:variant>
      <vt:variant>
        <vt:lpwstr>_Toc39836838</vt:lpwstr>
      </vt:variant>
      <vt:variant>
        <vt:i4>1179710</vt:i4>
      </vt:variant>
      <vt:variant>
        <vt:i4>62</vt:i4>
      </vt:variant>
      <vt:variant>
        <vt:i4>0</vt:i4>
      </vt:variant>
      <vt:variant>
        <vt:i4>5</vt:i4>
      </vt:variant>
      <vt:variant>
        <vt:lpwstr/>
      </vt:variant>
      <vt:variant>
        <vt:lpwstr>_Toc39836837</vt:lpwstr>
      </vt:variant>
      <vt:variant>
        <vt:i4>1245246</vt:i4>
      </vt:variant>
      <vt:variant>
        <vt:i4>56</vt:i4>
      </vt:variant>
      <vt:variant>
        <vt:i4>0</vt:i4>
      </vt:variant>
      <vt:variant>
        <vt:i4>5</vt:i4>
      </vt:variant>
      <vt:variant>
        <vt:lpwstr/>
      </vt:variant>
      <vt:variant>
        <vt:lpwstr>_Toc39836836</vt:lpwstr>
      </vt:variant>
      <vt:variant>
        <vt:i4>1048638</vt:i4>
      </vt:variant>
      <vt:variant>
        <vt:i4>50</vt:i4>
      </vt:variant>
      <vt:variant>
        <vt:i4>0</vt:i4>
      </vt:variant>
      <vt:variant>
        <vt:i4>5</vt:i4>
      </vt:variant>
      <vt:variant>
        <vt:lpwstr/>
      </vt:variant>
      <vt:variant>
        <vt:lpwstr>_Toc39836835</vt:lpwstr>
      </vt:variant>
      <vt:variant>
        <vt:i4>1114174</vt:i4>
      </vt:variant>
      <vt:variant>
        <vt:i4>44</vt:i4>
      </vt:variant>
      <vt:variant>
        <vt:i4>0</vt:i4>
      </vt:variant>
      <vt:variant>
        <vt:i4>5</vt:i4>
      </vt:variant>
      <vt:variant>
        <vt:lpwstr/>
      </vt:variant>
      <vt:variant>
        <vt:lpwstr>_Toc39836834</vt:lpwstr>
      </vt:variant>
      <vt:variant>
        <vt:i4>1441854</vt:i4>
      </vt:variant>
      <vt:variant>
        <vt:i4>38</vt:i4>
      </vt:variant>
      <vt:variant>
        <vt:i4>0</vt:i4>
      </vt:variant>
      <vt:variant>
        <vt:i4>5</vt:i4>
      </vt:variant>
      <vt:variant>
        <vt:lpwstr/>
      </vt:variant>
      <vt:variant>
        <vt:lpwstr>_Toc39836833</vt:lpwstr>
      </vt:variant>
      <vt:variant>
        <vt:i4>1507390</vt:i4>
      </vt:variant>
      <vt:variant>
        <vt:i4>32</vt:i4>
      </vt:variant>
      <vt:variant>
        <vt:i4>0</vt:i4>
      </vt:variant>
      <vt:variant>
        <vt:i4>5</vt:i4>
      </vt:variant>
      <vt:variant>
        <vt:lpwstr/>
      </vt:variant>
      <vt:variant>
        <vt:lpwstr>_Toc39836832</vt:lpwstr>
      </vt:variant>
      <vt:variant>
        <vt:i4>1310782</vt:i4>
      </vt:variant>
      <vt:variant>
        <vt:i4>26</vt:i4>
      </vt:variant>
      <vt:variant>
        <vt:i4>0</vt:i4>
      </vt:variant>
      <vt:variant>
        <vt:i4>5</vt:i4>
      </vt:variant>
      <vt:variant>
        <vt:lpwstr/>
      </vt:variant>
      <vt:variant>
        <vt:lpwstr>_Toc39836831</vt:lpwstr>
      </vt:variant>
      <vt:variant>
        <vt:i4>1376318</vt:i4>
      </vt:variant>
      <vt:variant>
        <vt:i4>20</vt:i4>
      </vt:variant>
      <vt:variant>
        <vt:i4>0</vt:i4>
      </vt:variant>
      <vt:variant>
        <vt:i4>5</vt:i4>
      </vt:variant>
      <vt:variant>
        <vt:lpwstr/>
      </vt:variant>
      <vt:variant>
        <vt:lpwstr>_Toc39836830</vt:lpwstr>
      </vt:variant>
      <vt:variant>
        <vt:i4>1835071</vt:i4>
      </vt:variant>
      <vt:variant>
        <vt:i4>14</vt:i4>
      </vt:variant>
      <vt:variant>
        <vt:i4>0</vt:i4>
      </vt:variant>
      <vt:variant>
        <vt:i4>5</vt:i4>
      </vt:variant>
      <vt:variant>
        <vt:lpwstr/>
      </vt:variant>
      <vt:variant>
        <vt:lpwstr>_Toc39836829</vt:lpwstr>
      </vt:variant>
      <vt:variant>
        <vt:i4>1900607</vt:i4>
      </vt:variant>
      <vt:variant>
        <vt:i4>8</vt:i4>
      </vt:variant>
      <vt:variant>
        <vt:i4>0</vt:i4>
      </vt:variant>
      <vt:variant>
        <vt:i4>5</vt:i4>
      </vt:variant>
      <vt:variant>
        <vt:lpwstr/>
      </vt:variant>
      <vt:variant>
        <vt:lpwstr>_Toc39836828</vt:lpwstr>
      </vt:variant>
      <vt:variant>
        <vt:i4>1179711</vt:i4>
      </vt:variant>
      <vt:variant>
        <vt:i4>2</vt:i4>
      </vt:variant>
      <vt:variant>
        <vt:i4>0</vt:i4>
      </vt:variant>
      <vt:variant>
        <vt:i4>5</vt:i4>
      </vt:variant>
      <vt:variant>
        <vt:lpwstr/>
      </vt:variant>
      <vt:variant>
        <vt:lpwstr>_Toc39836827</vt:lpwstr>
      </vt:variant>
      <vt:variant>
        <vt:i4>5308507</vt:i4>
      </vt:variant>
      <vt:variant>
        <vt:i4>27</vt:i4>
      </vt:variant>
      <vt:variant>
        <vt:i4>0</vt:i4>
      </vt:variant>
      <vt:variant>
        <vt:i4>5</vt:i4>
      </vt:variant>
      <vt:variant>
        <vt:lpwstr>https://www.finance.gov.au/sites/default/files/2020-01/consideration-of-relevant-regulations-andor-frameworks.pdf</vt:lpwstr>
      </vt:variant>
      <vt:variant>
        <vt:lpwstr/>
      </vt:variant>
      <vt:variant>
        <vt:i4>5308507</vt:i4>
      </vt:variant>
      <vt:variant>
        <vt:i4>24</vt:i4>
      </vt:variant>
      <vt:variant>
        <vt:i4>0</vt:i4>
      </vt:variant>
      <vt:variant>
        <vt:i4>5</vt:i4>
      </vt:variant>
      <vt:variant>
        <vt:lpwstr>https://www.finance.gov.au/sites/default/files/2020-01/consideration-of-relevant-regulations-andor-frameworks.pdf</vt:lpwstr>
      </vt:variant>
      <vt:variant>
        <vt:lpwstr/>
      </vt:variant>
      <vt:variant>
        <vt:i4>5701660</vt:i4>
      </vt:variant>
      <vt:variant>
        <vt:i4>21</vt:i4>
      </vt:variant>
      <vt:variant>
        <vt:i4>0</vt:i4>
      </vt:variant>
      <vt:variant>
        <vt:i4>5</vt:i4>
      </vt:variant>
      <vt:variant>
        <vt:lpwstr>https://www.ungpreporting.org/resources/salient-human-rights-issues/</vt:lpwstr>
      </vt:variant>
      <vt:variant>
        <vt:lpwstr/>
      </vt:variant>
      <vt:variant>
        <vt:i4>5701660</vt:i4>
      </vt:variant>
      <vt:variant>
        <vt:i4>18</vt:i4>
      </vt:variant>
      <vt:variant>
        <vt:i4>0</vt:i4>
      </vt:variant>
      <vt:variant>
        <vt:i4>5</vt:i4>
      </vt:variant>
      <vt:variant>
        <vt:lpwstr>https://www.ungpreporting.org/resources/salient-human-rights-issues/</vt:lpwstr>
      </vt:variant>
      <vt:variant>
        <vt:lpwstr/>
      </vt:variant>
      <vt:variant>
        <vt:i4>3276853</vt:i4>
      </vt:variant>
      <vt:variant>
        <vt:i4>15</vt:i4>
      </vt:variant>
      <vt:variant>
        <vt:i4>0</vt:i4>
      </vt:variant>
      <vt:variant>
        <vt:i4>5</vt:i4>
      </vt:variant>
      <vt:variant>
        <vt:lpwstr>https://www.homeaffairs.gov.au/criminal-justice/files/modern-slavery-reporting-entities.pdf</vt:lpwstr>
      </vt:variant>
      <vt:variant>
        <vt:lpwstr/>
      </vt:variant>
      <vt:variant>
        <vt:i4>5308507</vt:i4>
      </vt:variant>
      <vt:variant>
        <vt:i4>12</vt:i4>
      </vt:variant>
      <vt:variant>
        <vt:i4>0</vt:i4>
      </vt:variant>
      <vt:variant>
        <vt:i4>5</vt:i4>
      </vt:variant>
      <vt:variant>
        <vt:lpwstr>https://www.finance.gov.au/sites/default/files/2020-01/consideration-of-relevant-regulations-andor-frameworks.pdf</vt:lpwstr>
      </vt:variant>
      <vt:variant>
        <vt:lpwstr/>
      </vt:variant>
      <vt:variant>
        <vt:i4>5701658</vt:i4>
      </vt:variant>
      <vt:variant>
        <vt:i4>9</vt:i4>
      </vt:variant>
      <vt:variant>
        <vt:i4>0</vt:i4>
      </vt:variant>
      <vt:variant>
        <vt:i4>5</vt:i4>
      </vt:variant>
      <vt:variant>
        <vt:lpwstr>https://www.globalslaveryindex.org/2018/findings/global-findings/</vt:lpwstr>
      </vt:variant>
      <vt:variant>
        <vt:lpwstr/>
      </vt:variant>
      <vt:variant>
        <vt:i4>3276853</vt:i4>
      </vt:variant>
      <vt:variant>
        <vt:i4>6</vt:i4>
      </vt:variant>
      <vt:variant>
        <vt:i4>0</vt:i4>
      </vt:variant>
      <vt:variant>
        <vt:i4>5</vt:i4>
      </vt:variant>
      <vt:variant>
        <vt:lpwstr>https://www.homeaffairs.gov.au/criminal-justice/files/modern-slavery-reporting-entities.pdf</vt:lpwstr>
      </vt:variant>
      <vt:variant>
        <vt:lpwstr/>
      </vt:variant>
      <vt:variant>
        <vt:i4>3276853</vt:i4>
      </vt:variant>
      <vt:variant>
        <vt:i4>3</vt:i4>
      </vt:variant>
      <vt:variant>
        <vt:i4>0</vt:i4>
      </vt:variant>
      <vt:variant>
        <vt:i4>5</vt:i4>
      </vt:variant>
      <vt:variant>
        <vt:lpwstr>https://www.homeaffairs.gov.au/criminal-justice/files/modern-slavery-reporting-entities.pdf</vt:lpwstr>
      </vt:variant>
      <vt:variant>
        <vt:lpwstr/>
      </vt:variant>
      <vt:variant>
        <vt:i4>4980826</vt:i4>
      </vt:variant>
      <vt:variant>
        <vt:i4>0</vt:i4>
      </vt:variant>
      <vt:variant>
        <vt:i4>0</vt:i4>
      </vt:variant>
      <vt:variant>
        <vt:i4>5</vt:i4>
      </vt:variant>
      <vt:variant>
        <vt:lpwstr>https://www.humanrights.dk/sites/humanrights.dk/files/media/dokumenter/udgivelser/hrd_2020/nhri_case_stories/denmark_nhri_bhr_case_study_2020.pdf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Lauren Zanetti</dc:creator>
  <cp:keywords/>
  <dc:description/>
  <cp:lastModifiedBy>Lauren Zanetti</cp:lastModifiedBy>
  <cp:revision>2</cp:revision>
  <cp:lastPrinted>1900-12-30T19:00:00Z</cp:lastPrinted>
  <dcterms:created xsi:type="dcterms:W3CDTF">2020-05-20T04:03:00Z</dcterms:created>
  <dcterms:modified xsi:type="dcterms:W3CDTF">2020-05-20T04:03:00Z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0x01010046A39C723B5F7C418BBCCFB12FF99BCA</vt:lpwstr>
  </property>
  <property fmtid="{D5CDD505-2E9C-101B-9397-08002B2CF9AE}" pid="3" name="_dlc_DocIdItemGuid">
    <vt:lpwstr>4b52b8f9-d065-4730-bbc3-4bf71583d5e0</vt:lpwstr>
  </property>
  <property fmtid="{D5CDD505-2E9C-101B-9397-08002B2CF9AE}" pid="4" name="TaxKeyword">
    <vt:lpwstr/>
  </property>
  <property fmtid="{D5CDD505-2E9C-101B-9397-08002B2CF9AE}" pid="5" name="Document Type">
    <vt:lpwstr/>
  </property>
</Properties>
</file>